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143CBD">
        <w:rPr>
          <w:b w:val="0"/>
          <w:bCs w:val="0"/>
        </w:rPr>
        <w:t>4</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5F3E24" w:rsidRDefault="00D77F98" w:rsidP="005F3E24">
      <w:pPr>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 xml:space="preserve">Exhibit No. </w:t>
      </w:r>
      <w:proofErr w:type="gramStart"/>
      <w:r w:rsidRPr="00BD4B85">
        <w:t>___</w:t>
      </w:r>
      <w:r w:rsidR="00F17F93">
        <w:t xml:space="preserve"> </w:t>
      </w:r>
      <w:r w:rsidRPr="00BD4B85">
        <w:t>(CGK-2</w:t>
      </w:r>
      <w:r w:rsidR="00504F50">
        <w:t>C</w:t>
      </w:r>
      <w:r w:rsidRPr="00BD4B85">
        <w:t>)</w:t>
      </w:r>
      <w:r w:rsidR="00351756">
        <w:t>.</w:t>
      </w:r>
      <w:proofErr w:type="gramEnd"/>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r w:rsidR="00330A39" w:rsidRPr="00330A39">
        <w:t xml:space="preserve"> </w:t>
      </w:r>
      <w:r w:rsidR="005F3E24">
        <w:br w:type="page"/>
      </w:r>
    </w:p>
    <w:p w:rsidR="00330A39" w:rsidRPr="004E67FC" w:rsidRDefault="00330A39" w:rsidP="00330A39">
      <w:pPr>
        <w:spacing w:line="480" w:lineRule="auto"/>
        <w:ind w:firstLine="720"/>
        <w:jc w:val="both"/>
      </w:pPr>
      <w:r w:rsidRPr="004E67FC">
        <w:lastRenderedPageBreak/>
        <w:t>A table of the contents for my testimony is as follows:</w:t>
      </w:r>
    </w:p>
    <w:p w:rsidR="00330A39" w:rsidRPr="003A5428" w:rsidRDefault="00330A39" w:rsidP="005F3E24">
      <w:pPr>
        <w:tabs>
          <w:tab w:val="left" w:pos="1260"/>
          <w:tab w:val="center" w:pos="7380"/>
        </w:tabs>
        <w:spacing w:line="360" w:lineRule="auto"/>
        <w:ind w:firstLine="720"/>
        <w:rPr>
          <w:u w:val="single"/>
        </w:rPr>
      </w:pPr>
      <w:r w:rsidRPr="003A5428">
        <w:rPr>
          <w:u w:val="single"/>
        </w:rPr>
        <w:t>Description</w:t>
      </w:r>
      <w:r w:rsidRPr="003A5428">
        <w:rPr>
          <w:u w:val="single"/>
        </w:rPr>
        <w:tab/>
        <w:t>Page</w:t>
      </w:r>
    </w:p>
    <w:p w:rsidR="00330A39" w:rsidRPr="00330A39" w:rsidRDefault="00330A39" w:rsidP="00330A39">
      <w:pPr>
        <w:pStyle w:val="BodyText2"/>
        <w:numPr>
          <w:ilvl w:val="0"/>
          <w:numId w:val="22"/>
        </w:numPr>
        <w:tabs>
          <w:tab w:val="right" w:pos="7470"/>
        </w:tabs>
        <w:autoSpaceDE/>
        <w:autoSpaceDN/>
        <w:spacing w:line="360" w:lineRule="auto"/>
        <w:rPr>
          <w:b w:val="0"/>
        </w:rPr>
      </w:pPr>
      <w:r w:rsidRPr="00330A39">
        <w:rPr>
          <w:b w:val="0"/>
        </w:rPr>
        <w:t>Introduction</w:t>
      </w:r>
      <w:r w:rsidRPr="00330A39">
        <w:rPr>
          <w:b w:val="0"/>
        </w:rPr>
        <w:tab/>
        <w:t>1</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The Dispatch Model</w:t>
      </w:r>
      <w:r w:rsidRPr="00330A39">
        <w:rPr>
          <w:b w:val="0"/>
        </w:rPr>
        <w:tab/>
      </w:r>
      <w:r>
        <w:rPr>
          <w:b w:val="0"/>
        </w:rPr>
        <w:t>3</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Other Key Modeling Assumptions</w:t>
      </w:r>
      <w:r w:rsidRPr="00330A39">
        <w:rPr>
          <w:b w:val="0"/>
        </w:rPr>
        <w:tab/>
      </w:r>
      <w:r w:rsidR="006D0258">
        <w:rPr>
          <w:b w:val="0"/>
        </w:rPr>
        <w:t>9</w:t>
      </w:r>
    </w:p>
    <w:p w:rsidR="00330A39" w:rsidRPr="00330A39" w:rsidRDefault="00330A39" w:rsidP="00330A39">
      <w:pPr>
        <w:pStyle w:val="BodyText2"/>
        <w:numPr>
          <w:ilvl w:val="0"/>
          <w:numId w:val="22"/>
        </w:numPr>
        <w:tabs>
          <w:tab w:val="right" w:pos="7470"/>
        </w:tabs>
        <w:autoSpaceDE/>
        <w:autoSpaceDN/>
        <w:spacing w:line="360" w:lineRule="auto"/>
        <w:rPr>
          <w:b w:val="0"/>
        </w:rPr>
      </w:pPr>
      <w:r>
        <w:rPr>
          <w:b w:val="0"/>
        </w:rPr>
        <w:t>Results</w:t>
      </w:r>
      <w:r w:rsidR="006D0258">
        <w:rPr>
          <w:b w:val="0"/>
        </w:rPr>
        <w:tab/>
        <w:t>10</w:t>
      </w:r>
    </w:p>
    <w:p w:rsidR="00330A39" w:rsidRDefault="00330A39">
      <w:pPr>
        <w:pStyle w:val="BodyTextIndent3"/>
        <w:tabs>
          <w:tab w:val="clear" w:pos="1260"/>
        </w:tabs>
        <w:ind w:firstLine="0"/>
        <w:jc w:val="center"/>
        <w:rPr>
          <w:u w:val="single"/>
        </w:rPr>
      </w:pPr>
    </w:p>
    <w:p w:rsidR="00D77F98" w:rsidRPr="002B60EC" w:rsidRDefault="007C5CE8">
      <w:pPr>
        <w:pStyle w:val="BodyTextIndent3"/>
        <w:tabs>
          <w:tab w:val="clear" w:pos="1260"/>
        </w:tabs>
        <w:ind w:firstLine="0"/>
        <w:jc w:val="center"/>
        <w:rPr>
          <w:u w:val="single"/>
        </w:rPr>
      </w:pPr>
      <w:r>
        <w:rPr>
          <w:u w:val="single"/>
        </w:rPr>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3B3884">
        <w:rPr>
          <w:rFonts w:ascii="Times New Roman" w:hAnsi="Times New Roman"/>
        </w:rPr>
        <w:t>5</w:t>
      </w:r>
      <w:r w:rsidR="00DD66D5">
        <w:rPr>
          <w:rFonts w:ascii="Times New Roman" w:hAnsi="Times New Roman"/>
        </w:rPr>
        <w:t xml:space="preserve"> through December 31, 201</w:t>
      </w:r>
      <w:r w:rsidR="003B3884">
        <w:rPr>
          <w:rFonts w:ascii="Times New Roman" w:hAnsi="Times New Roman"/>
        </w:rPr>
        <w:t>5</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 xml:space="preserve">in the same hour to arrive at the least-cost market-clearing price for the hour.  Once resources are </w:t>
      </w:r>
      <w:r w:rsidRPr="00BD4B85">
        <w:lastRenderedPageBreak/>
        <w:t>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6D0258" w:rsidRDefault="00CF608F" w:rsidP="00330A39">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w:t>
      </w:r>
      <w:r w:rsidRPr="00BC1828">
        <w:rPr>
          <w:bCs/>
        </w:rPr>
        <w:lastRenderedPageBreak/>
        <w:t xml:space="preserve">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proforma </w:t>
      </w:r>
      <w:r w:rsidR="00C04950">
        <w:rPr>
          <w:bCs/>
          <w:iCs/>
        </w:rPr>
        <w:t>201</w:t>
      </w:r>
      <w:r w:rsidR="003B3884">
        <w:rPr>
          <w:bCs/>
          <w:iCs/>
        </w:rPr>
        <w:t>5</w:t>
      </w:r>
      <w:r w:rsidR="00C04950">
        <w:rPr>
          <w:bCs/>
          <w:iCs/>
        </w:rPr>
        <w:t xml:space="preserve"> </w:t>
      </w:r>
      <w:r w:rsidR="00030BF8">
        <w:rPr>
          <w:bCs/>
          <w:iCs/>
        </w:rPr>
        <w:t xml:space="preserve">period </w:t>
      </w:r>
      <w:r w:rsidR="00C04950">
        <w:rPr>
          <w:bCs/>
          <w:iCs/>
        </w:rPr>
        <w:t>are</w:t>
      </w:r>
      <w:r w:rsidR="00C04950" w:rsidRPr="00BC1828">
        <w:rPr>
          <w:bCs/>
          <w:iCs/>
        </w:rPr>
        <w:t xml:space="preserve"> </w:t>
      </w:r>
      <w:r w:rsidR="00C04950">
        <w:rPr>
          <w:bCs/>
          <w:iCs/>
        </w:rPr>
        <w:t>3</w:t>
      </w:r>
      <w:r w:rsidR="003B3884">
        <w:rPr>
          <w:bCs/>
          <w:iCs/>
        </w:rPr>
        <w:t>7</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545526">
        <w:rPr>
          <w:bCs/>
          <w:iCs/>
        </w:rPr>
        <w:t>40</w:t>
      </w:r>
      <w:r w:rsidRPr="00BC1828">
        <w:rPr>
          <w:bCs/>
          <w:iCs/>
        </w:rPr>
        <w:t>%</w:t>
      </w:r>
      <w:r w:rsidRPr="00BC1828">
        <w:rPr>
          <w:b/>
          <w:iCs/>
        </w:rPr>
        <w:t xml:space="preserve"> </w:t>
      </w:r>
      <w:r w:rsidRPr="00BC1828">
        <w:rPr>
          <w:bCs/>
          <w:iCs/>
        </w:rPr>
        <w:t xml:space="preserve">higher than off-peak prices.  </w:t>
      </w:r>
      <w:r w:rsidR="008B594F">
        <w:rPr>
          <w:bCs/>
          <w:iCs/>
        </w:rPr>
        <w:t xml:space="preserve">A graphical representation of the differences in on- and off-peak prices over the proforma period is shown below in </w:t>
      </w:r>
      <w:r w:rsidR="00330A39">
        <w:rPr>
          <w:bCs/>
          <w:iCs/>
        </w:rPr>
        <w:t>Illustration</w:t>
      </w:r>
      <w:r w:rsidR="008B594F">
        <w:rPr>
          <w:bCs/>
          <w:iCs/>
        </w:rPr>
        <w:t xml:space="preserve"> </w:t>
      </w:r>
      <w:r w:rsidR="006A0D4D">
        <w:rPr>
          <w:bCs/>
          <w:iCs/>
        </w:rPr>
        <w:t xml:space="preserve">No. </w:t>
      </w:r>
      <w:r w:rsidR="008B594F">
        <w:rPr>
          <w:bCs/>
          <w:iCs/>
        </w:rPr>
        <w:t>1.</w:t>
      </w:r>
    </w:p>
    <w:p w:rsidR="00330A39" w:rsidRPr="00330A39" w:rsidRDefault="00330A39" w:rsidP="00330A39">
      <w:pPr>
        <w:tabs>
          <w:tab w:val="left" w:pos="1440"/>
        </w:tabs>
        <w:spacing w:line="480" w:lineRule="auto"/>
        <w:ind w:firstLine="720"/>
        <w:jc w:val="both"/>
        <w:rPr>
          <w:bCs/>
          <w:iCs/>
        </w:rPr>
      </w:pPr>
      <w:r w:rsidRPr="00330A39">
        <w:rPr>
          <w:b/>
          <w:bCs/>
          <w:iCs/>
          <w:u w:val="single"/>
        </w:rPr>
        <w:t>Illustration</w:t>
      </w:r>
      <w:r w:rsidR="008B594F" w:rsidRPr="00330A39">
        <w:rPr>
          <w:b/>
          <w:bCs/>
          <w:iCs/>
          <w:u w:val="single"/>
        </w:rPr>
        <w:t xml:space="preserve"> </w:t>
      </w:r>
      <w:r w:rsidR="006A0D4D" w:rsidRPr="00330A39">
        <w:rPr>
          <w:b/>
          <w:bCs/>
          <w:iCs/>
          <w:u w:val="single"/>
        </w:rPr>
        <w:t xml:space="preserve">No. </w:t>
      </w:r>
      <w:r w:rsidR="008B594F" w:rsidRPr="00330A39">
        <w:rPr>
          <w:b/>
          <w:bCs/>
          <w:iCs/>
          <w:u w:val="single"/>
        </w:rPr>
        <w:t>1</w:t>
      </w:r>
      <w:r w:rsidR="008B594F">
        <w:rPr>
          <w:b/>
          <w:bCs/>
          <w:iCs/>
        </w:rPr>
        <w:t xml:space="preserve"> – Monthly AURORA modeled versus forward Mid-C Prices</w:t>
      </w:r>
    </w:p>
    <w:p w:rsidR="007950C4" w:rsidRDefault="00545526" w:rsidP="00030BF8">
      <w:pPr>
        <w:spacing w:line="480" w:lineRule="auto"/>
        <w:jc w:val="center"/>
        <w:rPr>
          <w:b/>
          <w:bCs/>
          <w:iCs/>
        </w:rPr>
      </w:pPr>
      <w:r w:rsidRPr="00545526">
        <w:rPr>
          <w:noProof/>
        </w:rPr>
        <w:drawing>
          <wp:anchor distT="0" distB="0" distL="114300" distR="114300" simplePos="0" relativeHeight="251658240" behindDoc="0" locked="0" layoutInCell="1" allowOverlap="1">
            <wp:simplePos x="0" y="0"/>
            <wp:positionH relativeFrom="column">
              <wp:posOffset>-2786</wp:posOffset>
            </wp:positionH>
            <wp:positionV relativeFrom="paragraph">
              <wp:posOffset>-1365</wp:posOffset>
            </wp:positionV>
            <wp:extent cx="5597003" cy="3252335"/>
            <wp:effectExtent l="19050" t="0" r="3697"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974" cy="3251156"/>
                    </a:xfrm>
                    <a:prstGeom prst="rect">
                      <a:avLst/>
                    </a:prstGeom>
                    <a:noFill/>
                    <a:ln>
                      <a:noFill/>
                    </a:ln>
                  </pic:spPr>
                </pic:pic>
              </a:graphicData>
            </a:graphic>
          </wp:anchor>
        </w:drawing>
      </w: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330A39" w:rsidRDefault="00330A39" w:rsidP="008B594F">
      <w:pPr>
        <w:tabs>
          <w:tab w:val="left" w:pos="1440"/>
        </w:tabs>
        <w:spacing w:line="480" w:lineRule="auto"/>
        <w:ind w:firstLine="720"/>
        <w:jc w:val="both"/>
        <w:rPr>
          <w:bCs/>
          <w:iCs/>
        </w:rPr>
      </w:pPr>
    </w:p>
    <w:p w:rsidR="008B594F" w:rsidRPr="00BC1828" w:rsidRDefault="008B594F" w:rsidP="00330A39">
      <w:pPr>
        <w:tabs>
          <w:tab w:val="left" w:pos="1440"/>
        </w:tabs>
        <w:spacing w:line="480" w:lineRule="auto"/>
        <w:ind w:firstLine="720"/>
        <w:jc w:val="both"/>
        <w:rPr>
          <w:bCs/>
          <w:iCs/>
        </w:rPr>
      </w:pPr>
      <w:r>
        <w:rPr>
          <w:bCs/>
          <w:iCs/>
        </w:rPr>
        <w:t>Forward prices month to month are tracked very closely in the Dispatch Model</w:t>
      </w:r>
      <w:r w:rsidR="00C04950">
        <w:rPr>
          <w:bCs/>
          <w:iCs/>
        </w:rPr>
        <w:t xml:space="preserve">, given that the AURORA model is using normalized hydro, load, </w:t>
      </w:r>
      <w:r w:rsidR="00632A5A">
        <w:rPr>
          <w:bCs/>
          <w:iCs/>
        </w:rPr>
        <w:t xml:space="preserve">and resource </w:t>
      </w:r>
      <w:r w:rsidR="00C04950">
        <w:rPr>
          <w:bCs/>
          <w:iCs/>
        </w:rPr>
        <w:t>outage</w:t>
      </w:r>
      <w:r w:rsidR="00632A5A">
        <w:rPr>
          <w:bCs/>
          <w:iCs/>
        </w:rPr>
        <w:t>s</w:t>
      </w:r>
      <w:r>
        <w:rPr>
          <w:bCs/>
          <w:iCs/>
        </w:rPr>
        <w:t xml:space="preserve">.  </w:t>
      </w:r>
      <w:r w:rsidR="00CF608F" w:rsidRPr="00BC1828">
        <w:rPr>
          <w:bCs/>
          <w:iCs/>
        </w:rPr>
        <w:t>In summary, the Dispatch Model appropriately values the energy from Avista’s resources during on-peak periods in a manner similar to that recently experienced in the Northwest region</w:t>
      </w:r>
      <w:r w:rsidR="00E25FED">
        <w:rPr>
          <w:bCs/>
          <w:iCs/>
        </w:rPr>
        <w:t xml:space="preserve"> for the 201</w:t>
      </w:r>
      <w:r w:rsidR="003B3884">
        <w:rPr>
          <w:bCs/>
          <w:iCs/>
        </w:rPr>
        <w:t>5</w:t>
      </w:r>
      <w:r w:rsidR="00E25FED">
        <w:rPr>
          <w:bCs/>
          <w:iCs/>
        </w:rPr>
        <w:t xml:space="preserve"> proforma period</w:t>
      </w:r>
      <w:r w:rsidR="00CF608F" w:rsidRPr="00BC1828">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lastRenderedPageBreak/>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lastRenderedPageBreak/>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Avista’s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 xml:space="preserve">atural gas prices are modified to match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B3884">
        <w:rPr>
          <w:rFonts w:ascii="Times New Roman" w:hAnsi="Times New Roman"/>
          <w:bCs/>
        </w:rPr>
        <w:t>3</w:t>
      </w:r>
      <w:r w:rsidR="00F2166F">
        <w:rPr>
          <w:rFonts w:ascii="Times New Roman" w:hAnsi="Times New Roman"/>
          <w:bCs/>
        </w:rPr>
        <w:t xml:space="preserve"> </w:t>
      </w:r>
      <w:r w:rsidR="004C459A">
        <w:rPr>
          <w:rFonts w:ascii="Times New Roman" w:hAnsi="Times New Roman"/>
          <w:bCs/>
        </w:rPr>
        <w:t>Integrated Resource Plan</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Default="007F3535" w:rsidP="00304A23">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 xml:space="preserve">Has the Company made any changes to the way it models hydro </w:t>
      </w:r>
      <w:r w:rsidR="00476D3C">
        <w:rPr>
          <w:rFonts w:ascii="Times New Roman" w:hAnsi="Times New Roman"/>
          <w:b/>
          <w:bCs/>
        </w:rPr>
        <w:t>in</w:t>
      </w:r>
      <w:r>
        <w:rPr>
          <w:rFonts w:ascii="Times New Roman" w:hAnsi="Times New Roman"/>
          <w:b/>
          <w:bCs/>
        </w:rPr>
        <w:t xml:space="preserve"> this case?</w:t>
      </w:r>
    </w:p>
    <w:p w:rsidR="00A9200C" w:rsidRDefault="007F3535" w:rsidP="007F3535">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t xml:space="preserve">Methodologically, no.  We did update the hydro record to include </w:t>
      </w:r>
      <w:r w:rsidR="007E3200">
        <w:rPr>
          <w:rFonts w:ascii="Times New Roman" w:hAnsi="Times New Roman"/>
          <w:bCs/>
        </w:rPr>
        <w:t>ten</w:t>
      </w:r>
      <w:r>
        <w:rPr>
          <w:rFonts w:ascii="Times New Roman" w:hAnsi="Times New Roman"/>
          <w:bCs/>
        </w:rPr>
        <w:t xml:space="preserve"> additional years of hydrology that have become available since our last general rate case.  We now model 80 years, from 1929 through 2008.  Further, </w:t>
      </w:r>
      <w:r w:rsidR="002804C8" w:rsidRPr="007F3535">
        <w:rPr>
          <w:rFonts w:ascii="Times New Roman" w:hAnsi="Times New Roman"/>
          <w:bCs/>
        </w:rPr>
        <w:t xml:space="preserve">BPA data </w:t>
      </w:r>
      <w:r>
        <w:rPr>
          <w:rFonts w:ascii="Times New Roman" w:hAnsi="Times New Roman"/>
          <w:bCs/>
        </w:rPr>
        <w:t xml:space="preserve">now </w:t>
      </w:r>
      <w:r w:rsidR="002804C8" w:rsidRPr="007F3535">
        <w:rPr>
          <w:rFonts w:ascii="Times New Roman" w:hAnsi="Times New Roman"/>
          <w:bCs/>
        </w:rPr>
        <w:t>is being used f</w:t>
      </w:r>
      <w:r w:rsidR="007B6C76" w:rsidRPr="007F3535">
        <w:rPr>
          <w:rFonts w:ascii="Times New Roman" w:hAnsi="Times New Roman"/>
          <w:bCs/>
        </w:rPr>
        <w:t>or the Mid-C</w:t>
      </w:r>
      <w:r w:rsidR="002804C8" w:rsidRPr="007F3535">
        <w:rPr>
          <w:rFonts w:ascii="Times New Roman" w:hAnsi="Times New Roman"/>
          <w:bCs/>
        </w:rPr>
        <w:t xml:space="preserve"> </w:t>
      </w:r>
      <w:r>
        <w:rPr>
          <w:rFonts w:ascii="Times New Roman" w:hAnsi="Times New Roman"/>
          <w:bCs/>
        </w:rPr>
        <w:t xml:space="preserve">projects </w:t>
      </w:r>
      <w:r w:rsidR="002804C8" w:rsidRPr="007F3535">
        <w:rPr>
          <w:rFonts w:ascii="Times New Roman" w:hAnsi="Times New Roman"/>
          <w:bCs/>
        </w:rPr>
        <w:t>because the Northwest Power Pool</w:t>
      </w:r>
      <w:r w:rsidR="00476D3C">
        <w:rPr>
          <w:rFonts w:ascii="Times New Roman" w:hAnsi="Times New Roman"/>
          <w:bCs/>
        </w:rPr>
        <w:t xml:space="preserve"> (NWPP)</w:t>
      </w:r>
      <w:r w:rsidR="002804C8" w:rsidRPr="007F3535">
        <w:rPr>
          <w:rFonts w:ascii="Times New Roman" w:hAnsi="Times New Roman"/>
          <w:bCs/>
        </w:rPr>
        <w:t xml:space="preserve">, the source we have used in the past, </w:t>
      </w:r>
      <w:r>
        <w:rPr>
          <w:rFonts w:ascii="Times New Roman" w:hAnsi="Times New Roman"/>
          <w:bCs/>
        </w:rPr>
        <w:t xml:space="preserve">has not updated its work to include </w:t>
      </w:r>
      <w:r w:rsidR="002804C8" w:rsidRPr="007F3535">
        <w:rPr>
          <w:rFonts w:ascii="Times New Roman" w:hAnsi="Times New Roman"/>
          <w:bCs/>
        </w:rPr>
        <w:t>an 80-year record.  This change also provides a consistent data set across all Avista hydroelectricity projects.</w:t>
      </w:r>
    </w:p>
    <w:p w:rsidR="00476D3C" w:rsidRDefault="00476D3C" w:rsidP="005F3E24">
      <w:pPr>
        <w:pStyle w:val="BodyTextIndent3"/>
        <w:tabs>
          <w:tab w:val="clear" w:pos="1260"/>
          <w:tab w:val="left" w:pos="1440"/>
        </w:tabs>
      </w:pPr>
      <w:r w:rsidRPr="001D7D3C">
        <w:t>Q.</w:t>
      </w:r>
      <w:r w:rsidRPr="001D7D3C">
        <w:tab/>
      </w:r>
      <w:r>
        <w:t>How does BPA data for the Mid-C projects compare to the NWPP data?</w:t>
      </w:r>
    </w:p>
    <w:p w:rsidR="00476D3C" w:rsidRDefault="00476D3C" w:rsidP="005F3E24">
      <w:pPr>
        <w:pStyle w:val="BodyTextIndent3"/>
        <w:tabs>
          <w:tab w:val="clear" w:pos="1260"/>
          <w:tab w:val="left" w:pos="1440"/>
        </w:tabs>
        <w:rPr>
          <w:b w:val="0"/>
        </w:rPr>
      </w:pPr>
      <w:r>
        <w:rPr>
          <w:b w:val="0"/>
        </w:rPr>
        <w:lastRenderedPageBreak/>
        <w:t>A.</w:t>
      </w:r>
      <w:r>
        <w:rPr>
          <w:b w:val="0"/>
        </w:rPr>
        <w:tab/>
        <w:t xml:space="preserve">Because the NWPP doesn’t have an 80-year record available, Avista is able only to compare the 70-year records.  The BPA 70-year record provides 2.5% more generation </w:t>
      </w:r>
      <w:r w:rsidR="007E3200">
        <w:rPr>
          <w:b w:val="0"/>
        </w:rPr>
        <w:t xml:space="preserve">in the proforma period </w:t>
      </w:r>
      <w:r>
        <w:rPr>
          <w:b w:val="0"/>
        </w:rPr>
        <w:t>than the same NWPP 70-year record.  This difference decrease</w:t>
      </w:r>
      <w:r w:rsidR="007E3200">
        <w:rPr>
          <w:b w:val="0"/>
        </w:rPr>
        <w:t>s</w:t>
      </w:r>
      <w:r>
        <w:rPr>
          <w:b w:val="0"/>
        </w:rPr>
        <w:t xml:space="preserve"> revenue requirement relative to continued use of NWPP data.</w:t>
      </w:r>
    </w:p>
    <w:p w:rsidR="003F439F" w:rsidRDefault="003F439F" w:rsidP="006D0258">
      <w:pPr>
        <w:autoSpaceDE/>
        <w:autoSpaceDN/>
        <w:spacing w:line="480" w:lineRule="auto"/>
        <w:ind w:firstLine="720"/>
        <w:rPr>
          <w:b/>
        </w:rPr>
      </w:pPr>
      <w:r w:rsidRPr="006D0258">
        <w:rPr>
          <w:b/>
        </w:rPr>
        <w:t>Q.</w:t>
      </w:r>
      <w:r w:rsidRPr="006D0258">
        <w:rPr>
          <w:b/>
        </w:rPr>
        <w:tab/>
        <w:t xml:space="preserve">Why </w:t>
      </w:r>
      <w:r w:rsidR="007F3535" w:rsidRPr="006D0258">
        <w:rPr>
          <w:b/>
        </w:rPr>
        <w:t xml:space="preserve">did </w:t>
      </w:r>
      <w:r w:rsidR="002804C8" w:rsidRPr="006D0258">
        <w:rPr>
          <w:b/>
        </w:rPr>
        <w:t xml:space="preserve">Avista </w:t>
      </w:r>
      <w:r w:rsidR="007F3535" w:rsidRPr="006D0258">
        <w:rPr>
          <w:b/>
        </w:rPr>
        <w:t>modify its analysis to use</w:t>
      </w:r>
      <w:r w:rsidR="002804C8" w:rsidRPr="006D0258">
        <w:rPr>
          <w:b/>
        </w:rPr>
        <w:t xml:space="preserve"> an 80-year record?</w:t>
      </w:r>
    </w:p>
    <w:p w:rsidR="003F439F" w:rsidRDefault="003F439F" w:rsidP="006D0258">
      <w:pPr>
        <w:pStyle w:val="BodyTextIndent3"/>
        <w:tabs>
          <w:tab w:val="clear" w:pos="1260"/>
        </w:tabs>
        <w:rPr>
          <w:b w:val="0"/>
        </w:rPr>
      </w:pPr>
      <w:r>
        <w:rPr>
          <w:b w:val="0"/>
        </w:rPr>
        <w:t>A.</w:t>
      </w:r>
      <w:r>
        <w:rPr>
          <w:b w:val="0"/>
        </w:rPr>
        <w:tab/>
      </w:r>
      <w:r w:rsidR="002804C8">
        <w:rPr>
          <w:b w:val="0"/>
        </w:rPr>
        <w:t xml:space="preserve">Consistent with precedent, </w:t>
      </w:r>
      <w:r>
        <w:rPr>
          <w:b w:val="0"/>
        </w:rPr>
        <w:t xml:space="preserve">Avista uses the </w:t>
      </w:r>
      <w:r w:rsidR="002804C8">
        <w:rPr>
          <w:b w:val="0"/>
        </w:rPr>
        <w:t>full hydro record</w:t>
      </w:r>
      <w:r>
        <w:rPr>
          <w:b w:val="0"/>
        </w:rPr>
        <w:t xml:space="preserve"> for </w:t>
      </w:r>
      <w:r w:rsidR="002804C8">
        <w:rPr>
          <w:b w:val="0"/>
        </w:rPr>
        <w:t xml:space="preserve">its </w:t>
      </w:r>
      <w:r>
        <w:rPr>
          <w:b w:val="0"/>
        </w:rPr>
        <w:t xml:space="preserve">rate filings. </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AURORA</w:t>
      </w:r>
      <w:r w:rsidR="00F17F93" w:rsidRPr="00F17F93">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r w:rsidR="007E3200">
        <w:rPr>
          <w:b w:val="0"/>
        </w:rPr>
        <w:t xml:space="preserve">Avista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C56A47" w:rsidRPr="002B60EC">
        <w:rPr>
          <w:b w:val="0"/>
        </w:rPr>
        <w:t>20</w:t>
      </w:r>
      <w:r w:rsidR="00C56A47">
        <w:rPr>
          <w:b w:val="0"/>
        </w:rPr>
        <w:t>1</w:t>
      </w:r>
      <w:r w:rsidR="004D0E37">
        <w:rPr>
          <w:b w:val="0"/>
        </w:rPr>
        <w:t>2</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lastRenderedPageBreak/>
        <w:t>I</w:t>
      </w:r>
      <w:r w:rsidR="006D0258">
        <w:rPr>
          <w:u w:val="single"/>
        </w:rPr>
        <w:t>II</w:t>
      </w:r>
      <w:r w:rsidR="00A9200C" w:rsidRPr="002B60EC">
        <w:rPr>
          <w:u w:val="single"/>
        </w:rPr>
        <w:t xml:space="preserve">. </w:t>
      </w:r>
      <w:r w:rsidR="00A9200C">
        <w:rPr>
          <w:u w:val="single"/>
        </w:rPr>
        <w:t>OTHER KEY MODELING ASSUMPTIONS</w:t>
      </w:r>
    </w:p>
    <w:p w:rsidR="00D04BEB" w:rsidRPr="00050DD6" w:rsidRDefault="00D04BEB" w:rsidP="00330A39">
      <w:pPr>
        <w:pStyle w:val="TestBody"/>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F7423D" w:rsidRDefault="00D04BEB" w:rsidP="00F7423D">
      <w:pPr>
        <w:spacing w:line="480" w:lineRule="auto"/>
        <w:ind w:firstLine="720"/>
        <w:jc w:val="both"/>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4D0E37">
        <w:rPr>
          <w:bCs/>
        </w:rPr>
        <w:t>August 1</w:t>
      </w:r>
      <w:r w:rsidR="00170EBC" w:rsidRPr="00BC1828">
        <w:rPr>
          <w:bCs/>
        </w:rPr>
        <w:t xml:space="preserve">, </w:t>
      </w:r>
      <w:r w:rsidR="00C56A47" w:rsidRPr="00BC1828">
        <w:rPr>
          <w:bCs/>
        </w:rPr>
        <w:t>20</w:t>
      </w:r>
      <w:r w:rsidR="00C56A47">
        <w:rPr>
          <w:bCs/>
        </w:rPr>
        <w:t>1</w:t>
      </w:r>
      <w:r w:rsidR="004D0E37">
        <w:rPr>
          <w:bCs/>
        </w:rPr>
        <w:t>3</w:t>
      </w:r>
      <w:r w:rsidR="00C56A47" w:rsidRPr="00BC1828">
        <w:rPr>
          <w:bCs/>
        </w:rPr>
        <w:t xml:space="preserve"> </w:t>
      </w:r>
      <w:r w:rsidR="00170EBC" w:rsidRPr="00BC1828">
        <w:rPr>
          <w:bCs/>
        </w:rPr>
        <w:t xml:space="preserve">to </w:t>
      </w:r>
      <w:r w:rsidR="004D0E37">
        <w:rPr>
          <w:bCs/>
        </w:rPr>
        <w:t>October 31,</w:t>
      </w:r>
      <w:r w:rsidR="001C6AD1">
        <w:rPr>
          <w:bCs/>
        </w:rPr>
        <w:t xml:space="preserve"> 20</w:t>
      </w:r>
      <w:r w:rsidR="0002228E">
        <w:rPr>
          <w:bCs/>
        </w:rPr>
        <w:t>1</w:t>
      </w:r>
      <w:r w:rsidR="004D0E37">
        <w:rPr>
          <w:bCs/>
        </w:rPr>
        <w:t>3</w:t>
      </w:r>
      <w:r w:rsidR="00170EBC">
        <w:rPr>
          <w:bCs/>
        </w:rPr>
        <w:t xml:space="preserve"> of </w:t>
      </w:r>
      <w:r w:rsidR="00B22814">
        <w:rPr>
          <w:bCs/>
        </w:rPr>
        <w:t xml:space="preserve">calendar-year </w:t>
      </w:r>
      <w:r w:rsidR="00C56A47">
        <w:rPr>
          <w:bCs/>
        </w:rPr>
        <w:t>201</w:t>
      </w:r>
      <w:r w:rsidR="004D0E37">
        <w:rPr>
          <w:bCs/>
        </w:rPr>
        <w:t>5</w:t>
      </w:r>
      <w:r w:rsidR="00C56A47"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presented be</w:t>
      </w:r>
      <w:r w:rsidR="00D043B7">
        <w:t>low in Table No 1</w:t>
      </w:r>
      <w:r w:rsidR="00162436">
        <w:t>.</w:t>
      </w:r>
    </w:p>
    <w:p w:rsidR="00162436" w:rsidRPr="00F7423D" w:rsidRDefault="00162436" w:rsidP="00330A39">
      <w:pPr>
        <w:spacing w:line="480" w:lineRule="auto"/>
        <w:jc w:val="both"/>
      </w:pPr>
      <w:r w:rsidRPr="00330A39">
        <w:rPr>
          <w:b/>
          <w:u w:val="single"/>
        </w:rPr>
        <w:t xml:space="preserve">Table </w:t>
      </w:r>
      <w:r w:rsidR="00767A93" w:rsidRPr="00330A39">
        <w:rPr>
          <w:b/>
          <w:u w:val="single"/>
        </w:rPr>
        <w:t xml:space="preserve">No. </w:t>
      </w:r>
      <w:r w:rsidR="00D043B7">
        <w:rPr>
          <w:b/>
          <w:u w:val="single"/>
        </w:rPr>
        <w:t>1</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C56A47" w:rsidRPr="003A4DAD" w:rsidRDefault="004D0E37" w:rsidP="00825AF6">
      <w:pPr>
        <w:spacing w:line="480" w:lineRule="auto"/>
        <w:jc w:val="center"/>
        <w:rPr>
          <w:b/>
        </w:rPr>
      </w:pPr>
      <w:r w:rsidRPr="004D0E37">
        <w:rPr>
          <w:noProof/>
        </w:rPr>
        <w:drawing>
          <wp:anchor distT="0" distB="0" distL="114300" distR="114300" simplePos="0" relativeHeight="251659264" behindDoc="0" locked="0" layoutInCell="1" allowOverlap="1">
            <wp:simplePos x="0" y="0"/>
            <wp:positionH relativeFrom="column">
              <wp:posOffset>625010</wp:posOffset>
            </wp:positionH>
            <wp:positionV relativeFrom="paragraph">
              <wp:posOffset>-682</wp:posOffset>
            </wp:positionV>
            <wp:extent cx="1877989" cy="1808328"/>
            <wp:effectExtent l="19050" t="0" r="7961"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77989" cy="1808328"/>
                    </a:xfrm>
                    <a:prstGeom prst="rect">
                      <a:avLst/>
                    </a:prstGeom>
                    <a:noFill/>
                    <a:ln w="9525">
                      <a:noFill/>
                      <a:miter lim="800000"/>
                      <a:headEnd/>
                      <a:tailEnd/>
                    </a:ln>
                  </pic:spPr>
                </pic:pic>
              </a:graphicData>
            </a:graphic>
          </wp:anchor>
        </w:drawing>
      </w: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330A39" w:rsidRDefault="00330A39" w:rsidP="00B5793D">
      <w:pPr>
        <w:pStyle w:val="BodyTextIndent3"/>
        <w:tabs>
          <w:tab w:val="clear" w:pos="1260"/>
        </w:tabs>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7E3200">
        <w:t>Again</w:t>
      </w:r>
      <w:r w:rsidR="00545526">
        <w:t>,</w:t>
      </w:r>
      <w:r w:rsidR="007E3200">
        <w:t xml:space="preserve"> consistent with prior general rate case proceedings, </w:t>
      </w:r>
      <w:r w:rsidR="00545526">
        <w:t xml:space="preserve">historical </w:t>
      </w:r>
      <w:r>
        <w:t xml:space="preserve">loads </w:t>
      </w:r>
      <w:r w:rsidR="00AC1FBB">
        <w:t xml:space="preserve">used </w:t>
      </w:r>
      <w:r>
        <w:t xml:space="preserve">in this case are </w:t>
      </w:r>
      <w:r w:rsidR="00DF2978">
        <w:t>weather-adjusted</w:t>
      </w:r>
      <w:r w:rsidR="007E3200">
        <w:t xml:space="preserve">.  For this filing we weather normalize </w:t>
      </w:r>
      <w:r w:rsidR="00C56A47">
        <w:t>201</w:t>
      </w:r>
      <w:r w:rsidR="0061403F">
        <w:t>2-13</w:t>
      </w:r>
      <w:r w:rsidR="00C56A47">
        <w:t xml:space="preserve"> </w:t>
      </w:r>
      <w:r w:rsidR="00DF2978">
        <w:t>loads</w:t>
      </w:r>
      <w:r w:rsidR="00D043B7">
        <w:t>.  Table No. 2</w:t>
      </w:r>
      <w:r w:rsidR="00AC1FBB">
        <w:t xml:space="preserve"> below details </w:t>
      </w:r>
      <w:r w:rsidR="007E3200">
        <w:t>data included in the case</w:t>
      </w:r>
      <w:r w:rsidR="00F17F93">
        <w:t>.</w:t>
      </w:r>
    </w:p>
    <w:p w:rsidR="00825AF6" w:rsidRPr="00A87D27" w:rsidRDefault="00825AF6" w:rsidP="00330A39">
      <w:pPr>
        <w:pStyle w:val="BodyTextIndent3"/>
        <w:tabs>
          <w:tab w:val="clear" w:pos="1260"/>
        </w:tabs>
        <w:ind w:firstLine="0"/>
      </w:pPr>
      <w:r w:rsidRPr="00330A39">
        <w:rPr>
          <w:u w:val="single"/>
        </w:rPr>
        <w:t xml:space="preserve">Table No. </w:t>
      </w:r>
      <w:r w:rsidR="00D043B7">
        <w:rPr>
          <w:u w:val="single"/>
        </w:rPr>
        <w:t>2</w:t>
      </w:r>
      <w:r w:rsidRPr="00A87D27">
        <w:t xml:space="preserve"> – Pro Forma Loads</w:t>
      </w:r>
    </w:p>
    <w:p w:rsidR="00330A39" w:rsidRDefault="00330A39" w:rsidP="00825AF6">
      <w:pPr>
        <w:pStyle w:val="BodyTextIndent3"/>
        <w:tabs>
          <w:tab w:val="clear" w:pos="1260"/>
        </w:tabs>
        <w:ind w:firstLine="0"/>
        <w:jc w:val="center"/>
        <w:rPr>
          <w:b w:val="0"/>
          <w:bCs w:val="0"/>
        </w:rPr>
      </w:pPr>
      <w:r>
        <w:rPr>
          <w:b w:val="0"/>
          <w:bCs w:val="0"/>
          <w:noProof/>
        </w:rPr>
        <w:drawing>
          <wp:anchor distT="0" distB="0" distL="114300" distR="114300" simplePos="0" relativeHeight="251660288" behindDoc="0" locked="0" layoutInCell="1" allowOverlap="1">
            <wp:simplePos x="0" y="0"/>
            <wp:positionH relativeFrom="column">
              <wp:posOffset>160987</wp:posOffset>
            </wp:positionH>
            <wp:positionV relativeFrom="paragraph">
              <wp:posOffset>30660</wp:posOffset>
            </wp:positionV>
            <wp:extent cx="5678255" cy="1562669"/>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78255" cy="1562669"/>
                    </a:xfrm>
                    <a:prstGeom prst="rect">
                      <a:avLst/>
                    </a:prstGeom>
                    <a:noFill/>
                    <a:ln w="9525">
                      <a:noFill/>
                      <a:miter lim="800000"/>
                      <a:headEnd/>
                      <a:tailEnd/>
                    </a:ln>
                  </pic:spPr>
                </pic:pic>
              </a:graphicData>
            </a:graphic>
          </wp:anchor>
        </w:drawing>
      </w:r>
    </w:p>
    <w:p w:rsidR="00330A39" w:rsidRDefault="00330A39" w:rsidP="00825AF6">
      <w:pPr>
        <w:pStyle w:val="BodyTextIndent3"/>
        <w:tabs>
          <w:tab w:val="clear" w:pos="1260"/>
        </w:tabs>
        <w:ind w:firstLine="0"/>
        <w:jc w:val="center"/>
        <w:rPr>
          <w:b w:val="0"/>
          <w:bCs w:val="0"/>
        </w:rPr>
      </w:pPr>
    </w:p>
    <w:p w:rsidR="00825AF6" w:rsidRDefault="00825AF6" w:rsidP="00825AF6">
      <w:pPr>
        <w:pStyle w:val="BodyTextIndent3"/>
        <w:tabs>
          <w:tab w:val="clear" w:pos="1260"/>
        </w:tabs>
        <w:ind w:firstLine="0"/>
        <w:jc w:val="center"/>
        <w:rPr>
          <w:b w:val="0"/>
          <w:bCs w:val="0"/>
        </w:rPr>
      </w:pPr>
    </w:p>
    <w:p w:rsidR="00330A39" w:rsidRDefault="00330A39" w:rsidP="00825AF6">
      <w:pPr>
        <w:pStyle w:val="BodyTextIndent3"/>
        <w:tabs>
          <w:tab w:val="clear" w:pos="1260"/>
        </w:tabs>
        <w:ind w:firstLine="0"/>
        <w:jc w:val="center"/>
        <w:rPr>
          <w:b w:val="0"/>
          <w:bCs w:val="0"/>
        </w:rPr>
      </w:pPr>
    </w:p>
    <w:p w:rsidR="00330A39" w:rsidRDefault="00330A39" w:rsidP="00825AF6">
      <w:pPr>
        <w:pStyle w:val="BodyTextIndent3"/>
        <w:tabs>
          <w:tab w:val="clear" w:pos="1260"/>
        </w:tabs>
        <w:ind w:firstLine="0"/>
        <w:jc w:val="center"/>
        <w:rPr>
          <w:b w:val="0"/>
          <w:bCs w:val="0"/>
        </w:rPr>
      </w:pPr>
    </w:p>
    <w:p w:rsidR="006D14F7" w:rsidRDefault="006D14F7" w:rsidP="00246A68">
      <w:pPr>
        <w:tabs>
          <w:tab w:val="left" w:pos="720"/>
          <w:tab w:val="left" w:pos="1440"/>
        </w:tabs>
        <w:spacing w:line="480" w:lineRule="auto"/>
        <w:ind w:firstLine="720"/>
        <w:jc w:val="both"/>
        <w:rPr>
          <w:b/>
        </w:rPr>
      </w:pPr>
      <w:r>
        <w:rPr>
          <w:b/>
        </w:rPr>
        <w:lastRenderedPageBreak/>
        <w:t>Q.</w:t>
      </w:r>
      <w:r>
        <w:rPr>
          <w:b/>
        </w:rPr>
        <w:tab/>
        <w:t xml:space="preserve">Why </w:t>
      </w:r>
      <w:r w:rsidR="007F3535">
        <w:rPr>
          <w:b/>
        </w:rPr>
        <w:t>are</w:t>
      </w:r>
      <w:r>
        <w:rPr>
          <w:b/>
        </w:rPr>
        <w:t xml:space="preserve"> Inland Empire Paper (IEP) loads adjusted?</w:t>
      </w:r>
    </w:p>
    <w:p w:rsidR="006D14F7" w:rsidRPr="006D14F7" w:rsidRDefault="006D14F7" w:rsidP="00246A68">
      <w:pPr>
        <w:tabs>
          <w:tab w:val="left" w:pos="720"/>
          <w:tab w:val="left" w:pos="1440"/>
        </w:tabs>
        <w:spacing w:line="480" w:lineRule="auto"/>
        <w:ind w:firstLine="720"/>
        <w:jc w:val="both"/>
      </w:pPr>
      <w:r>
        <w:t>A.</w:t>
      </w:r>
      <w:r>
        <w:tab/>
        <w:t>During the load test period</w:t>
      </w:r>
      <w:r w:rsidR="007E3200">
        <w:t>,</w:t>
      </w:r>
      <w:r>
        <w:t xml:space="preserve"> IEP’s loads between July and September </w:t>
      </w:r>
      <w:r w:rsidR="00C457C7">
        <w:t xml:space="preserve">were </w:t>
      </w:r>
      <w:r w:rsidR="007F3535">
        <w:t xml:space="preserve">significantly </w:t>
      </w:r>
      <w:r>
        <w:t>lower</w:t>
      </w:r>
      <w:r w:rsidR="00C457C7">
        <w:t xml:space="preserve"> due </w:t>
      </w:r>
      <w:r w:rsidR="00F7423D">
        <w:t xml:space="preserve">to </w:t>
      </w:r>
      <w:r w:rsidR="00C457C7">
        <w:t xml:space="preserve">a motor failure. These months were adjusted up to account for the </w:t>
      </w:r>
      <w:r w:rsidR="007F3535">
        <w:t>expectation that IEP’s loads will be higher in future now that their equipment has been repaired</w:t>
      </w:r>
      <w:r w:rsidR="00C457C7">
        <w:t xml:space="preserve">. The adjustment was made by adding the difference between the actual monthly </w:t>
      </w:r>
      <w:proofErr w:type="gramStart"/>
      <w:r w:rsidR="00C457C7">
        <w:t>load</w:t>
      </w:r>
      <w:proofErr w:type="gramEnd"/>
      <w:r w:rsidR="00C457C7">
        <w:t xml:space="preserve"> v</w:t>
      </w:r>
      <w:r w:rsidR="007E3200">
        <w:t>er</w:t>
      </w:r>
      <w:r w:rsidR="00C457C7">
        <w:t>s</w:t>
      </w:r>
      <w:r w:rsidR="007E3200">
        <w:t>us</w:t>
      </w:r>
      <w:r w:rsidR="00C457C7">
        <w:t xml:space="preserve"> the average load of the other nine months.</w:t>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rsidR="006D14F7">
        <w:t xml:space="preserve">, </w:t>
      </w:r>
      <w:r w:rsidR="007E3200">
        <w:t xml:space="preserve">and consistent with prior cases, </w:t>
      </w:r>
      <w:r w:rsidR="006D14F7">
        <w:t xml:space="preserve">we use the most recent available </w:t>
      </w:r>
      <w:r>
        <w:t xml:space="preserve">5-year average </w:t>
      </w:r>
      <w:r w:rsidR="006D14F7">
        <w:t>outages</w:t>
      </w:r>
      <w:r w:rsidR="00C56A47">
        <w:t xml:space="preserve"> </w:t>
      </w:r>
      <w:r>
        <w:t xml:space="preserve">to estimate long-run performance at the Colstrip plant.  The </w:t>
      </w:r>
      <w:r w:rsidR="00C56A47">
        <w:t>9</w:t>
      </w:r>
      <w:r w:rsidR="00DF2978">
        <w:t>.</w:t>
      </w:r>
      <w:r w:rsidR="006D14F7">
        <w:t>27</w:t>
      </w:r>
      <w:r>
        <w:t>% for</w:t>
      </w:r>
      <w:r w:rsidR="006D14F7">
        <w:t>ced outage rate is based on the</w:t>
      </w:r>
      <w:r>
        <w:t xml:space="preserve"> average</w:t>
      </w:r>
      <w:r w:rsidR="00560BAB">
        <w:t xml:space="preserve"> </w:t>
      </w:r>
      <w:r w:rsidR="006D14F7">
        <w:t xml:space="preserve">outages between 2008 and 2012 </w:t>
      </w:r>
      <w:r w:rsidR="00560BAB">
        <w:t xml:space="preserve">and </w:t>
      </w:r>
      <w:r w:rsidR="00DF2978">
        <w:t xml:space="preserve">is </w:t>
      </w:r>
      <w:r w:rsidR="006D14F7">
        <w:t>below</w:t>
      </w:r>
      <w:r w:rsidR="00C56A47">
        <w:t xml:space="preserve"> </w:t>
      </w:r>
      <w:r w:rsidR="00DF2978">
        <w:t xml:space="preserve">the </w:t>
      </w:r>
      <w:r w:rsidR="006D14F7">
        <w:t>9.57</w:t>
      </w:r>
      <w:r w:rsidR="00DF2978">
        <w:t xml:space="preserve">% level in </w:t>
      </w:r>
      <w:r w:rsidR="00560BAB">
        <w:t xml:space="preserve">present </w:t>
      </w:r>
      <w:r w:rsidR="00143CBD">
        <w:t>rates.</w:t>
      </w:r>
    </w:p>
    <w:p w:rsidR="006C6F37" w:rsidRPr="006C6F37" w:rsidRDefault="00143CBD" w:rsidP="00246A68">
      <w:pPr>
        <w:tabs>
          <w:tab w:val="left" w:pos="720"/>
          <w:tab w:val="left" w:pos="1440"/>
        </w:tabs>
        <w:spacing w:line="480" w:lineRule="auto"/>
        <w:ind w:firstLine="720"/>
        <w:jc w:val="both"/>
        <w:rPr>
          <w:b/>
        </w:rPr>
      </w:pPr>
      <w:r>
        <w:rPr>
          <w:b/>
        </w:rPr>
        <w:t>Q.</w:t>
      </w:r>
      <w:r>
        <w:rPr>
          <w:b/>
        </w:rPr>
        <w:tab/>
        <w:t xml:space="preserve">Are </w:t>
      </w:r>
      <w:r w:rsidR="006C6F37">
        <w:rPr>
          <w:b/>
        </w:rPr>
        <w:t>there any other significant modeling changes from the last rate filing?</w:t>
      </w:r>
    </w:p>
    <w:p w:rsidR="006C6F37" w:rsidRDefault="006C6F37" w:rsidP="00246A68">
      <w:pPr>
        <w:tabs>
          <w:tab w:val="left" w:pos="720"/>
          <w:tab w:val="left" w:pos="1440"/>
        </w:tabs>
        <w:spacing w:line="480" w:lineRule="auto"/>
        <w:ind w:firstLine="720"/>
        <w:jc w:val="both"/>
      </w:pPr>
      <w:r>
        <w:t xml:space="preserve">A. </w:t>
      </w:r>
      <w:r>
        <w:tab/>
      </w:r>
      <w:r w:rsidR="007F3535">
        <w:t>In the past Avista has not reflect</w:t>
      </w:r>
      <w:r w:rsidR="00F7423D">
        <w:t>ed</w:t>
      </w:r>
      <w:r w:rsidR="007F3535">
        <w:t xml:space="preserve"> the costs of station service i</w:t>
      </w:r>
      <w:r w:rsidR="00A66FB8">
        <w:t>n</w:t>
      </w:r>
      <w:r w:rsidR="007F3535">
        <w:t xml:space="preserve"> its </w:t>
      </w:r>
      <w:r w:rsidR="00F7423D">
        <w:t xml:space="preserve">proforma </w:t>
      </w:r>
      <w:r w:rsidR="007E3200">
        <w:t>power supply expenses</w:t>
      </w:r>
      <w:r w:rsidR="00F7423D">
        <w:t xml:space="preserve"> because AURORA was unable to account for it</w:t>
      </w:r>
      <w:r w:rsidR="007F3535">
        <w:t>.  S</w:t>
      </w:r>
      <w:r>
        <w:t xml:space="preserve">tation service </w:t>
      </w:r>
      <w:r w:rsidR="00B53EB9">
        <w:t>is</w:t>
      </w:r>
      <w:r w:rsidR="007F3535">
        <w:t xml:space="preserve"> now </w:t>
      </w:r>
      <w:r w:rsidR="00B53EB9">
        <w:t>tracked in AURORA</w:t>
      </w:r>
      <w:r w:rsidR="007F3535">
        <w:t>.</w:t>
      </w:r>
      <w:r>
        <w:t xml:space="preserve"> </w:t>
      </w:r>
      <w:r w:rsidR="007F3535">
        <w:t xml:space="preserve"> </w:t>
      </w:r>
      <w:r w:rsidR="00F7423D">
        <w:t>S</w:t>
      </w:r>
      <w:r>
        <w:t>tation service is calculated using average station service load between 2009</w:t>
      </w:r>
      <w:r w:rsidR="00476D3C">
        <w:t xml:space="preserve"> and </w:t>
      </w:r>
      <w:r>
        <w:t>2013</w:t>
      </w:r>
      <w:r w:rsidR="00B53EB9">
        <w:t xml:space="preserve"> for each plant</w:t>
      </w:r>
      <w:r w:rsidR="007F3535">
        <w:t>.  The cost is determined by multiplying station service</w:t>
      </w:r>
      <w:r>
        <w:t xml:space="preserve"> </w:t>
      </w:r>
      <w:r w:rsidR="00476D3C">
        <w:t xml:space="preserve">consumption </w:t>
      </w:r>
      <w:r>
        <w:t>by the hourly</w:t>
      </w:r>
      <w:r w:rsidR="00B53EB9">
        <w:t xml:space="preserve"> simulated</w:t>
      </w:r>
      <w:r>
        <w:t xml:space="preserve"> Mid-Columbia market price.</w:t>
      </w:r>
    </w:p>
    <w:p w:rsidR="006C6F37" w:rsidRDefault="006C6F37" w:rsidP="004A3E3B">
      <w:pPr>
        <w:pStyle w:val="BodyTextIndent3"/>
        <w:tabs>
          <w:tab w:val="clear" w:pos="1260"/>
        </w:tabs>
        <w:ind w:firstLine="0"/>
        <w:jc w:val="center"/>
        <w:rPr>
          <w:u w:val="single"/>
        </w:rPr>
      </w:pPr>
    </w:p>
    <w:p w:rsidR="004A3E3B" w:rsidRPr="00FF6C24" w:rsidRDefault="006D0258" w:rsidP="004A3E3B">
      <w:pPr>
        <w:pStyle w:val="BodyTextIndent3"/>
        <w:tabs>
          <w:tab w:val="clear" w:pos="1260"/>
        </w:tabs>
        <w:ind w:firstLine="0"/>
        <w:jc w:val="center"/>
        <w:rPr>
          <w:b w:val="0"/>
          <w:u w:val="single"/>
        </w:rPr>
      </w:pPr>
      <w:r>
        <w:rPr>
          <w:u w:val="single"/>
        </w:rPr>
        <w:t>I</w:t>
      </w:r>
      <w:r w:rsidR="004A3E3B"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w:t>
      </w:r>
      <w:r w:rsidRPr="00BD4B85">
        <w:rPr>
          <w:rFonts w:ascii="Times New Roman" w:hAnsi="Times New Roman"/>
        </w:rPr>
        <w:lastRenderedPageBreak/>
        <w:t>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5"/>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58" w:rsidRDefault="006D0258">
      <w:r>
        <w:separator/>
      </w:r>
    </w:p>
  </w:endnote>
  <w:endnote w:type="continuationSeparator" w:id="0">
    <w:p w:rsidR="006D0258" w:rsidRDefault="006D0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Pr="006A0D4D" w:rsidRDefault="006D0258" w:rsidP="00831D2C">
    <w:pPr>
      <w:pStyle w:val="Footer"/>
      <w:tabs>
        <w:tab w:val="clear" w:pos="4320"/>
        <w:tab w:val="clear" w:pos="8640"/>
        <w:tab w:val="right" w:pos="9540"/>
      </w:tabs>
      <w:ind w:right="480"/>
    </w:pPr>
    <w:r w:rsidRPr="006A0D4D">
      <w:t>Direct Testimony of Clint G. Kalich</w:t>
    </w:r>
  </w:p>
  <w:p w:rsidR="006D0258" w:rsidRPr="006A0D4D" w:rsidRDefault="006D0258" w:rsidP="007A56E2">
    <w:pPr>
      <w:pStyle w:val="Footer"/>
      <w:tabs>
        <w:tab w:val="clear" w:pos="4320"/>
      </w:tabs>
      <w:ind w:right="360"/>
      <w:rPr>
        <w:rStyle w:val="PageNumber"/>
      </w:rPr>
    </w:pPr>
    <w:r w:rsidRPr="006A0D4D">
      <w:rPr>
        <w:rStyle w:val="PageNumber"/>
      </w:rPr>
      <w:t>Avista Corporation</w:t>
    </w:r>
  </w:p>
  <w:p w:rsidR="006D0258" w:rsidRDefault="006D0258" w:rsidP="001D29C2">
    <w:pPr>
      <w:pStyle w:val="Footer"/>
      <w:tabs>
        <w:tab w:val="clear" w:pos="4320"/>
        <w:tab w:val="clear" w:pos="8640"/>
        <w:tab w:val="left" w:pos="6120"/>
        <w:tab w:val="right" w:pos="9540"/>
      </w:tabs>
      <w:ind w:right="180"/>
    </w:pPr>
    <w:r w:rsidRPr="006A0D4D">
      <w:rPr>
        <w:rStyle w:val="PageNumber"/>
      </w:rPr>
      <w:t>Docket No. UE-1</w:t>
    </w:r>
    <w:r>
      <w:rPr>
        <w:rStyle w:val="PageNumber"/>
      </w:rPr>
      <w:t>4</w:t>
    </w:r>
    <w:r w:rsidRPr="006A0D4D">
      <w:rPr>
        <w:rStyle w:val="PageNumber"/>
      </w:rPr>
      <w:t>____</w:t>
    </w:r>
    <w:r>
      <w:rPr>
        <w:rStyle w:val="PageNumber"/>
      </w:rPr>
      <w:tab/>
    </w:r>
    <w:r>
      <w:rPr>
        <w:rStyle w:val="PageNumber"/>
      </w:rPr>
      <w:tab/>
    </w:r>
    <w:r>
      <w:t xml:space="preserve">Page </w:t>
    </w:r>
    <w:r w:rsidR="00733DA5">
      <w:rPr>
        <w:rStyle w:val="PageNumber"/>
      </w:rPr>
      <w:fldChar w:fldCharType="begin"/>
    </w:r>
    <w:r>
      <w:rPr>
        <w:rStyle w:val="PageNumber"/>
      </w:rPr>
      <w:instrText xml:space="preserve"> PAGE </w:instrText>
    </w:r>
    <w:r w:rsidR="00733DA5">
      <w:rPr>
        <w:rStyle w:val="PageNumber"/>
      </w:rPr>
      <w:fldChar w:fldCharType="separate"/>
    </w:r>
    <w:r w:rsidR="005F3E24">
      <w:rPr>
        <w:rStyle w:val="PageNumber"/>
        <w:noProof/>
      </w:rPr>
      <w:t>11</w:t>
    </w:r>
    <w:r w:rsidR="00733DA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58" w:rsidRDefault="006D0258">
      <w:r>
        <w:separator/>
      </w:r>
    </w:p>
  </w:footnote>
  <w:footnote w:type="continuationSeparator" w:id="0">
    <w:p w:rsidR="006D0258" w:rsidRDefault="006D0258">
      <w:r>
        <w:continuationSeparator/>
      </w:r>
    </w:p>
  </w:footnote>
  <w:footnote w:id="1">
    <w:p w:rsidR="006D0258" w:rsidRDefault="006D0258">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11.2.1072 with a Windows 7 operating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rsidP="00BA1F0F">
    <w:pPr>
      <w:pStyle w:val="Header"/>
      <w:jc w:val="right"/>
    </w:pPr>
    <w:r>
      <w:t>Exhibit No. __</w:t>
    </w:r>
    <w:proofErr w:type="gramStart"/>
    <w:r>
      <w:t>_(</w:t>
    </w:r>
    <w:proofErr w:type="gramEnd"/>
    <w:r>
      <w:t>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Default="006D0258" w:rsidP="00A55205">
    <w:pPr>
      <w:pStyle w:val="Header"/>
      <w:ind w:right="-360"/>
      <w:jc w:val="right"/>
    </w:pPr>
    <w:r>
      <w:t>Exhibit No. __</w:t>
    </w:r>
    <w:proofErr w:type="gramStart"/>
    <w:r>
      <w:t>_(</w:t>
    </w:r>
    <w:proofErr w:type="gramEnd"/>
    <w:r>
      <w:t>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58" w:rsidRPr="004B593F" w:rsidRDefault="006D0258" w:rsidP="004B593F">
    <w:pPr>
      <w:pStyle w:val="Header"/>
      <w:jc w:val="right"/>
    </w:pPr>
    <w:r>
      <w:t>Exhibit No. __</w:t>
    </w:r>
    <w:proofErr w:type="gramStart"/>
    <w:r>
      <w:t>_(</w:t>
    </w:r>
    <w:proofErr w:type="gramEnd"/>
    <w:r>
      <w:t>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3">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7">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2"/>
  </w:num>
  <w:num w:numId="4">
    <w:abstractNumId w:val="0"/>
  </w:num>
  <w:num w:numId="5">
    <w:abstractNumId w:val="9"/>
  </w:num>
  <w:num w:numId="6">
    <w:abstractNumId w:val="17"/>
  </w:num>
  <w:num w:numId="7">
    <w:abstractNumId w:val="20"/>
  </w:num>
  <w:num w:numId="8">
    <w:abstractNumId w:val="10"/>
  </w:num>
  <w:num w:numId="9">
    <w:abstractNumId w:val="19"/>
  </w:num>
  <w:num w:numId="10">
    <w:abstractNumId w:val="3"/>
  </w:num>
  <w:num w:numId="11">
    <w:abstractNumId w:val="7"/>
  </w:num>
  <w:num w:numId="12">
    <w:abstractNumId w:val="13"/>
  </w:num>
  <w:num w:numId="13">
    <w:abstractNumId w:val="21"/>
  </w:num>
  <w:num w:numId="14">
    <w:abstractNumId w:val="5"/>
  </w:num>
  <w:num w:numId="15">
    <w:abstractNumId w:val="18"/>
  </w:num>
  <w:num w:numId="16">
    <w:abstractNumId w:val="8"/>
  </w:num>
  <w:num w:numId="17">
    <w:abstractNumId w:val="12"/>
  </w:num>
  <w:num w:numId="18">
    <w:abstractNumId w:val="4"/>
  </w:num>
  <w:num w:numId="19">
    <w:abstractNumId w:val="15"/>
  </w:num>
  <w:num w:numId="20">
    <w:abstractNumId w:val="14"/>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3084"/>
    <w:rsid w:val="00125288"/>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46A68"/>
    <w:rsid w:val="00252F21"/>
    <w:rsid w:val="00257222"/>
    <w:rsid w:val="00275355"/>
    <w:rsid w:val="002754B7"/>
    <w:rsid w:val="002804C8"/>
    <w:rsid w:val="00291AB0"/>
    <w:rsid w:val="002A1E29"/>
    <w:rsid w:val="002B60EC"/>
    <w:rsid w:val="002C0D71"/>
    <w:rsid w:val="002C5210"/>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30A39"/>
    <w:rsid w:val="003423D4"/>
    <w:rsid w:val="003428BB"/>
    <w:rsid w:val="00344498"/>
    <w:rsid w:val="00351756"/>
    <w:rsid w:val="00352DA7"/>
    <w:rsid w:val="003568D2"/>
    <w:rsid w:val="003633C4"/>
    <w:rsid w:val="00364FE9"/>
    <w:rsid w:val="003767A4"/>
    <w:rsid w:val="00383032"/>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593F"/>
    <w:rsid w:val="004B5E3D"/>
    <w:rsid w:val="004C176D"/>
    <w:rsid w:val="004C459A"/>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5526"/>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5F3E24"/>
    <w:rsid w:val="0060532F"/>
    <w:rsid w:val="0061403F"/>
    <w:rsid w:val="00614ED9"/>
    <w:rsid w:val="006154EA"/>
    <w:rsid w:val="00623CC2"/>
    <w:rsid w:val="00624BEE"/>
    <w:rsid w:val="00632A5A"/>
    <w:rsid w:val="00644F81"/>
    <w:rsid w:val="00650FFA"/>
    <w:rsid w:val="00656655"/>
    <w:rsid w:val="00656DD4"/>
    <w:rsid w:val="006610E8"/>
    <w:rsid w:val="00664403"/>
    <w:rsid w:val="00672A6A"/>
    <w:rsid w:val="00673777"/>
    <w:rsid w:val="00677D0F"/>
    <w:rsid w:val="00692FB0"/>
    <w:rsid w:val="00693DFF"/>
    <w:rsid w:val="00694705"/>
    <w:rsid w:val="00696359"/>
    <w:rsid w:val="006A01A1"/>
    <w:rsid w:val="006A0D4D"/>
    <w:rsid w:val="006B231D"/>
    <w:rsid w:val="006B3005"/>
    <w:rsid w:val="006C12C0"/>
    <w:rsid w:val="006C167E"/>
    <w:rsid w:val="006C6F37"/>
    <w:rsid w:val="006D0258"/>
    <w:rsid w:val="006D14F7"/>
    <w:rsid w:val="006D4332"/>
    <w:rsid w:val="006D72DF"/>
    <w:rsid w:val="006D7D8D"/>
    <w:rsid w:val="006E6014"/>
    <w:rsid w:val="006F3705"/>
    <w:rsid w:val="006F65F0"/>
    <w:rsid w:val="00702914"/>
    <w:rsid w:val="00710FAD"/>
    <w:rsid w:val="00723DB8"/>
    <w:rsid w:val="00733DA5"/>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78C5"/>
    <w:rsid w:val="00CD4810"/>
    <w:rsid w:val="00CD4E46"/>
    <w:rsid w:val="00CD727F"/>
    <w:rsid w:val="00CD786F"/>
    <w:rsid w:val="00CF05A6"/>
    <w:rsid w:val="00CF142E"/>
    <w:rsid w:val="00CF1CE7"/>
    <w:rsid w:val="00CF608F"/>
    <w:rsid w:val="00D043B7"/>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3194"/>
    <w:rsid w:val="00DF5323"/>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7423D"/>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8A386A-8CAC-49FE-8F50-B724363918C4}"/>
</file>

<file path=customXml/itemProps2.xml><?xml version="1.0" encoding="utf-8"?>
<ds:datastoreItem xmlns:ds="http://schemas.openxmlformats.org/officeDocument/2006/customXml" ds:itemID="{FDB254DB-9CF6-422B-9ADE-86B05785F66C}"/>
</file>

<file path=customXml/itemProps3.xml><?xml version="1.0" encoding="utf-8"?>
<ds:datastoreItem xmlns:ds="http://schemas.openxmlformats.org/officeDocument/2006/customXml" ds:itemID="{424EF758-944F-46F1-9397-E24F01082DE4}"/>
</file>

<file path=customXml/itemProps4.xml><?xml version="1.0" encoding="utf-8"?>
<ds:datastoreItem xmlns:ds="http://schemas.openxmlformats.org/officeDocument/2006/customXml" ds:itemID="{461749EF-7911-45BD-97EA-89544F193C91}"/>
</file>

<file path=customXml/itemProps5.xml><?xml version="1.0" encoding="utf-8"?>
<ds:datastoreItem xmlns:ds="http://schemas.openxmlformats.org/officeDocument/2006/customXml" ds:itemID="{BAF901DE-3D8A-4949-BC80-DEF3E6831A39}"/>
</file>

<file path=docProps/app.xml><?xml version="1.0" encoding="utf-8"?>
<Properties xmlns="http://schemas.openxmlformats.org/officeDocument/2006/extended-properties" xmlns:vt="http://schemas.openxmlformats.org/officeDocument/2006/docPropsVTypes">
  <Template>Normal.dotm</Template>
  <TotalTime>12</TotalTime>
  <Pages>12</Pages>
  <Words>2317</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jzlfgj</cp:lastModifiedBy>
  <cp:revision>3</cp:revision>
  <cp:lastPrinted>2014-01-27T21:42:00Z</cp:lastPrinted>
  <dcterms:created xsi:type="dcterms:W3CDTF">2014-01-27T21:45:00Z</dcterms:created>
  <dcterms:modified xsi:type="dcterms:W3CDTF">2014-01-27T22:19:00Z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