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5F17A2" w:rsidRDefault="005F17A2" w:rsidP="005F17A2">
      <w:pPr>
        <w:pStyle w:val="Heading1"/>
        <w:rPr>
          <w:vanish w:val="0"/>
          <w:szCs w:val="16"/>
        </w:rPr>
      </w:pPr>
      <w:r>
        <w:rPr>
          <w:vanish w:val="0"/>
          <w:szCs w:val="16"/>
        </w:rPr>
        <w:t>Northwest Region Vice President</w:t>
      </w:r>
    </w:p>
    <w:p w:rsidR="005F17A2" w:rsidRPr="005F17A2" w:rsidRDefault="005F17A2" w:rsidP="005F17A2">
      <w:pPr>
        <w:rPr>
          <w:rFonts w:ascii="Times New Roman" w:hAnsi="Times New Roman"/>
          <w:sz w:val="16"/>
          <w:szCs w:val="16"/>
        </w:rPr>
      </w:pPr>
      <w:r>
        <w:rPr>
          <w:rFonts w:ascii="Times New Roman" w:hAnsi="Times New Roman"/>
          <w:sz w:val="16"/>
          <w:szCs w:val="16"/>
        </w:rPr>
        <w:t>Public Policy</w:t>
      </w:r>
    </w:p>
    <w:p w:rsidR="00D467AE" w:rsidRDefault="00D467AE" w:rsidP="00BB721D">
      <w:pPr>
        <w:rPr>
          <w:rFonts w:ascii="Times New Roman" w:hAnsi="Times New Roman"/>
        </w:rPr>
      </w:pPr>
    </w:p>
    <w:p w:rsidR="00D467AE" w:rsidRDefault="00837F3B" w:rsidP="00BB721D">
      <w:pPr>
        <w:rPr>
          <w:rFonts w:ascii="Times New Roman" w:hAnsi="Times New Roman"/>
        </w:rPr>
      </w:pPr>
      <w:r>
        <w:rPr>
          <w:rFonts w:ascii="Times New Roman" w:hAnsi="Times New Roman"/>
        </w:rPr>
        <w:t>March 2</w:t>
      </w:r>
      <w:r w:rsidR="00E322B5">
        <w:rPr>
          <w:rFonts w:ascii="Times New Roman" w:hAnsi="Times New Roman"/>
        </w:rPr>
        <w:t>7</w:t>
      </w:r>
      <w:r w:rsidR="00D467AE" w:rsidRPr="00BB721D">
        <w:rPr>
          <w:rFonts w:ascii="Times New Roman" w:hAnsi="Times New Roman"/>
        </w:rPr>
        <w:t>, 20</w:t>
      </w:r>
      <w:r w:rsidR="000103D8">
        <w:rPr>
          <w:rFonts w:ascii="Times New Roman" w:hAnsi="Times New Roman"/>
        </w:rPr>
        <w:t>1</w:t>
      </w:r>
      <w:r w:rsidR="00CB25B4">
        <w:rPr>
          <w:rFonts w:ascii="Times New Roman" w:hAnsi="Times New Roman"/>
        </w:rPr>
        <w:t>3</w:t>
      </w:r>
    </w:p>
    <w:p w:rsidR="00D467AE" w:rsidRDefault="00E86BFE" w:rsidP="00E86BFE">
      <w:pPr>
        <w:tabs>
          <w:tab w:val="left" w:pos="1965"/>
        </w:tabs>
        <w:rPr>
          <w:rFonts w:ascii="Times New Roman" w:hAnsi="Times New Roman"/>
        </w:rPr>
      </w:pPr>
      <w:r>
        <w:rPr>
          <w:rFonts w:ascii="Times New Roman" w:hAnsi="Times New Roman"/>
        </w:rPr>
        <w:tab/>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CB25B4" w:rsidRDefault="00CB25B4" w:rsidP="00BB721D">
      <w:pPr>
        <w:rPr>
          <w:rFonts w:ascii="Times New Roman" w:hAnsi="Times New Roman"/>
        </w:rPr>
      </w:pPr>
      <w:bookmarkStart w:id="0" w:name="InsertAddress"/>
      <w:bookmarkEnd w:id="0"/>
      <w:r>
        <w:rPr>
          <w:rFonts w:ascii="Times New Roman" w:hAnsi="Times New Roman"/>
        </w:rPr>
        <w:t>Mr. Steven V. King</w:t>
      </w:r>
      <w:r w:rsidR="00D467AE" w:rsidRPr="00BB721D">
        <w:rPr>
          <w:rFonts w:ascii="Times New Roman" w:hAnsi="Times New Roman"/>
        </w:rPr>
        <w:t xml:space="preserve"> </w:t>
      </w:r>
    </w:p>
    <w:p w:rsidR="00D467AE" w:rsidRPr="00BB721D" w:rsidRDefault="00CB25B4" w:rsidP="00BB721D">
      <w:pPr>
        <w:rPr>
          <w:rFonts w:ascii="Times New Roman" w:hAnsi="Times New Roman"/>
        </w:rPr>
      </w:pPr>
      <w:r>
        <w:rPr>
          <w:rFonts w:ascii="Times New Roman" w:hAnsi="Times New Roman"/>
        </w:rPr>
        <w:t xml:space="preserve">Acting </w:t>
      </w:r>
      <w:r w:rsidR="00D467AE" w:rsidRPr="00BB721D">
        <w:rPr>
          <w:rFonts w:ascii="Times New Roman" w:hAnsi="Times New Roman"/>
        </w:rPr>
        <w:t>Executive Director</w:t>
      </w:r>
      <w:r>
        <w:rPr>
          <w:rFonts w:ascii="Times New Roman" w:hAnsi="Times New Roman"/>
        </w:rPr>
        <w:t xml:space="preserve"> and Secretary</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Condition No. </w:t>
      </w:r>
      <w:r w:rsidR="005F58A6">
        <w:rPr>
          <w:rFonts w:ascii="Times New Roman" w:hAnsi="Times New Roman"/>
        </w:rPr>
        <w:t>1</w:t>
      </w:r>
      <w:r w:rsidR="000E6389">
        <w:rPr>
          <w:rFonts w:ascii="Times New Roman" w:hAnsi="Times New Roman"/>
        </w:rPr>
        <w:t>3</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Dear Mr. </w:t>
      </w:r>
      <w:r w:rsidR="00CB25B4">
        <w:rPr>
          <w:rFonts w:ascii="Times New Roman" w:hAnsi="Times New Roman"/>
        </w:rPr>
        <w:t>King</w:t>
      </w:r>
      <w:r>
        <w:rPr>
          <w:rFonts w:ascii="Times New Roman" w:hAnsi="Times New Roman"/>
        </w:rPr>
        <w:t>,</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Condition No. </w:t>
      </w:r>
      <w:r w:rsidR="00E86BFE">
        <w:rPr>
          <w:rFonts w:ascii="Times New Roman" w:hAnsi="Times New Roman"/>
        </w:rPr>
        <w:t>1</w:t>
      </w:r>
      <w:r w:rsidR="000E6389">
        <w:rPr>
          <w:rFonts w:ascii="Times New Roman" w:hAnsi="Times New Roman"/>
        </w:rPr>
        <w:t>3</w:t>
      </w:r>
      <w:r w:rsidR="005F58A6">
        <w:rPr>
          <w:rFonts w:ascii="Times New Roman" w:hAnsi="Times New Roman"/>
        </w:rPr>
        <w:t xml:space="preserve"> </w:t>
      </w:r>
      <w:r>
        <w:rPr>
          <w:rFonts w:ascii="Times New Roman" w:hAnsi="Times New Roman"/>
        </w:rPr>
        <w:t xml:space="preserve">in the Docket UT-100820 merger settlement agreement between CenturyLink, Commission Staff and Public Counsel, adopted by the Commission in its Order 14 in the docket, requires the filing with the Commission of </w:t>
      </w:r>
      <w:r w:rsidR="005F58A6">
        <w:rPr>
          <w:rFonts w:ascii="Times New Roman" w:hAnsi="Times New Roman"/>
        </w:rPr>
        <w:t xml:space="preserve">a report on the company’s </w:t>
      </w:r>
      <w:r w:rsidR="004E2AF5">
        <w:rPr>
          <w:rFonts w:ascii="Times New Roman" w:hAnsi="Times New Roman"/>
        </w:rPr>
        <w:t>capital expenditures</w:t>
      </w:r>
      <w:r w:rsidR="005F58A6">
        <w:rPr>
          <w:rFonts w:ascii="Times New Roman" w:hAnsi="Times New Roman"/>
        </w:rPr>
        <w:t xml:space="preserve">:  </w:t>
      </w:r>
    </w:p>
    <w:p w:rsidR="005F58A6" w:rsidRDefault="005F58A6" w:rsidP="00BB721D">
      <w:pPr>
        <w:rPr>
          <w:rFonts w:ascii="Times New Roman" w:hAnsi="Times New Roman"/>
        </w:rPr>
      </w:pPr>
    </w:p>
    <w:p w:rsidR="00E86BFE" w:rsidRPr="00E86BFE" w:rsidRDefault="004E2AF5" w:rsidP="00E86BFE">
      <w:pPr>
        <w:numPr>
          <w:ilvl w:val="0"/>
          <w:numId w:val="4"/>
        </w:numPr>
        <w:tabs>
          <w:tab w:val="clear" w:pos="720"/>
        </w:tabs>
        <w:ind w:left="1080"/>
        <w:rPr>
          <w:b/>
          <w:i/>
        </w:rPr>
      </w:pPr>
      <w:r>
        <w:rPr>
          <w:b/>
          <w:i/>
        </w:rPr>
        <w:t>Report of Capital Expenditures</w:t>
      </w:r>
    </w:p>
    <w:p w:rsidR="00E86BFE" w:rsidRPr="00E86BFE" w:rsidRDefault="00E86BFE" w:rsidP="00E86BFE">
      <w:pPr>
        <w:pStyle w:val="ListParagraph"/>
        <w:ind w:left="1080"/>
        <w:rPr>
          <w:i/>
          <w:sz w:val="24"/>
          <w:szCs w:val="24"/>
        </w:rPr>
      </w:pPr>
    </w:p>
    <w:p w:rsidR="004E2AF5" w:rsidRPr="004E2AF5" w:rsidRDefault="004E2AF5" w:rsidP="00B80684">
      <w:pPr>
        <w:ind w:left="720"/>
        <w:rPr>
          <w:i/>
        </w:rPr>
      </w:pPr>
      <w:r w:rsidRPr="004E2AF5">
        <w:rPr>
          <w:bCs/>
          <w:i/>
        </w:rPr>
        <w:t xml:space="preserve">After the Transaction closes, </w:t>
      </w:r>
      <w:r w:rsidRPr="004E2AF5">
        <w:rPr>
          <w:i/>
        </w:rPr>
        <w:t>until such time as an AFOR proceeding for the CenturyLink ILECs and Qwest has concluded, CenturyLink will submit to the Commission, with copies to Commission Staff and Public Counsel, a confidential report for the previous calendar year detailing Washington regulated capital expenditures as a percentage of total system expenditures and a comparison of the amount of regulated capital expenditures per Washington access line with the amount of regulated capital expenditures per CenturyLink system-wide access line.</w:t>
      </w:r>
    </w:p>
    <w:p w:rsidR="004E2AF5" w:rsidRPr="004E2AF5" w:rsidRDefault="00B80684" w:rsidP="00B80684">
      <w:pPr>
        <w:rPr>
          <w:i/>
        </w:rPr>
      </w:pPr>
      <w:r>
        <w:rPr>
          <w:i/>
        </w:rPr>
        <w:br w:type="page"/>
      </w:r>
    </w:p>
    <w:p w:rsidR="004E2AF5" w:rsidRPr="004E2AF5" w:rsidRDefault="004E2AF5" w:rsidP="004E2AF5">
      <w:pPr>
        <w:ind w:left="720"/>
        <w:rPr>
          <w:i/>
        </w:rPr>
      </w:pPr>
      <w:r w:rsidRPr="004E2AF5">
        <w:rPr>
          <w:i/>
        </w:rPr>
        <w:lastRenderedPageBreak/>
        <w:t>After the Transaction closes, until such time as an AFOR proceeding for the CenturyLink ILECs and Qwest has concluded, CenturyLink will submit a report annually, within 30 days after capital budgets have been approved by the CenturyLink board, to the Commission, with a copy to Commission Staff and Public Counsel, containing the projected capital budgets for the CenturyLink ILECs and Qwest for the current budget year.  Recognizing that projected capital budgets are fluid, and that these budgets will be provided for informational purposes, follow-up filings will not be made except in the case of a major variance.</w:t>
      </w:r>
    </w:p>
    <w:p w:rsidR="005F58A6" w:rsidRDefault="005F58A6" w:rsidP="00BF63B7">
      <w:pPr>
        <w:ind w:left="810"/>
        <w:rPr>
          <w:rFonts w:ascii="Times New Roman" w:hAnsi="Times New Roman"/>
          <w:i/>
          <w:szCs w:val="24"/>
        </w:rPr>
      </w:pPr>
    </w:p>
    <w:p w:rsidR="00D467AE" w:rsidRDefault="00D467AE" w:rsidP="001E312C">
      <w:pPr>
        <w:rPr>
          <w:rFonts w:ascii="Times New Roman" w:hAnsi="Times New Roman"/>
        </w:rPr>
      </w:pPr>
      <w:r>
        <w:rPr>
          <w:rFonts w:ascii="Times New Roman" w:hAnsi="Times New Roman"/>
        </w:rPr>
        <w:t xml:space="preserve">CenturyLink provides </w:t>
      </w:r>
      <w:r w:rsidR="00CB25B4">
        <w:rPr>
          <w:rFonts w:ascii="Times New Roman" w:hAnsi="Times New Roman"/>
        </w:rPr>
        <w:t xml:space="preserve">Confidential </w:t>
      </w:r>
      <w:r>
        <w:rPr>
          <w:rFonts w:ascii="Times New Roman" w:hAnsi="Times New Roman"/>
        </w:rPr>
        <w:t>Attachment 1</w:t>
      </w:r>
      <w:r w:rsidR="00E86BFE">
        <w:rPr>
          <w:rFonts w:ascii="Times New Roman" w:hAnsi="Times New Roman"/>
        </w:rPr>
        <w:t xml:space="preserve"> </w:t>
      </w:r>
      <w:r>
        <w:rPr>
          <w:rFonts w:ascii="Times New Roman" w:hAnsi="Times New Roman"/>
        </w:rPr>
        <w:t xml:space="preserve">which </w:t>
      </w:r>
      <w:r w:rsidR="005F58A6">
        <w:rPr>
          <w:rFonts w:ascii="Times New Roman" w:hAnsi="Times New Roman"/>
        </w:rPr>
        <w:t xml:space="preserve">provides the required information concerning </w:t>
      </w:r>
      <w:r w:rsidR="004E2AF5">
        <w:rPr>
          <w:rFonts w:ascii="Times New Roman" w:hAnsi="Times New Roman"/>
        </w:rPr>
        <w:t>the company’s capital expenditures</w:t>
      </w:r>
      <w:r w:rsidR="005F58A6">
        <w:rPr>
          <w:rFonts w:ascii="Times New Roman" w:hAnsi="Times New Roman"/>
        </w:rPr>
        <w:t>.</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4C6433" w:rsidP="00BB721D">
      <w:pPr>
        <w:rPr>
          <w:rFonts w:ascii="Times New Roman" w:hAnsi="Times New Roman"/>
        </w:rPr>
      </w:pPr>
      <w:r w:rsidRPr="004C6433">
        <w:rPr>
          <w:rFonts w:ascii="Times New Roman" w:hAnsi="Times New Roman"/>
          <w:noProof/>
        </w:rPr>
        <w:drawing>
          <wp:inline distT="0" distB="0" distL="0" distR="0">
            <wp:extent cx="1797438" cy="3808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7779" cy="380910"/>
                    </a:xfrm>
                    <a:prstGeom prst="rect">
                      <a:avLst/>
                    </a:prstGeom>
                    <a:noFill/>
                    <a:ln w="9525">
                      <a:noFill/>
                      <a:miter lim="800000"/>
                      <a:headEnd/>
                      <a:tailEnd/>
                    </a:ln>
                  </pic:spPr>
                </pic:pic>
              </a:graphicData>
            </a:graphic>
          </wp:inline>
        </w:drawing>
      </w: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E322B5" w:rsidP="00584331">
      <w:pPr>
        <w:rPr>
          <w:rFonts w:ascii="Times New Roman" w:hAnsi="Times New Roman"/>
        </w:rPr>
      </w:pPr>
      <w:r>
        <w:rPr>
          <w:rFonts w:ascii="Times New Roman" w:hAnsi="Times New Roman"/>
        </w:rPr>
        <w:t xml:space="preserve">      Lisa </w:t>
      </w:r>
      <w:proofErr w:type="spellStart"/>
      <w:r>
        <w:rPr>
          <w:rFonts w:ascii="Times New Roman" w:hAnsi="Times New Roman"/>
        </w:rPr>
        <w:t>Gafken</w:t>
      </w:r>
      <w:proofErr w:type="spellEnd"/>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8FD" w:rsidRDefault="00FB28FD">
      <w:r>
        <w:separator/>
      </w:r>
    </w:p>
  </w:endnote>
  <w:endnote w:type="continuationSeparator" w:id="0">
    <w:p w:rsidR="00FB28FD" w:rsidRDefault="00FB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C6" w:rsidRDefault="005E4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C6" w:rsidRDefault="005E4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8FD" w:rsidRDefault="00FB28FD">
      <w:r>
        <w:separator/>
      </w:r>
    </w:p>
  </w:footnote>
  <w:footnote w:type="continuationSeparator" w:id="0">
    <w:p w:rsidR="00FB28FD" w:rsidRDefault="00FB2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C6" w:rsidRDefault="005E4B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CB25B4" w:rsidP="00D87102">
    <w:pPr>
      <w:pStyle w:val="Header"/>
      <w:rPr>
        <w:rFonts w:ascii="Times New Roman" w:hAnsi="Times New Roman"/>
        <w:sz w:val="20"/>
      </w:rPr>
    </w:pPr>
    <w:r>
      <w:rPr>
        <w:rFonts w:ascii="Times New Roman" w:hAnsi="Times New Roman"/>
        <w:sz w:val="20"/>
      </w:rPr>
      <w:t>Steven v. King</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75486D" w:rsidP="00D87102">
    <w:pPr>
      <w:pStyle w:val="Header"/>
      <w:rPr>
        <w:rFonts w:ascii="Times New Roman" w:hAnsi="Times New Roman"/>
        <w:sz w:val="20"/>
      </w:rPr>
    </w:pPr>
    <w:r>
      <w:rPr>
        <w:rFonts w:ascii="Times New Roman" w:hAnsi="Times New Roman"/>
        <w:sz w:val="20"/>
      </w:rPr>
      <w:t>March 2</w:t>
    </w:r>
    <w:r w:rsidR="00E322B5">
      <w:rPr>
        <w:rFonts w:ascii="Times New Roman" w:hAnsi="Times New Roman"/>
        <w:sz w:val="20"/>
      </w:rPr>
      <w:t>7</w:t>
    </w:r>
    <w:r>
      <w:rPr>
        <w:rFonts w:ascii="Times New Roman" w:hAnsi="Times New Roman"/>
        <w:sz w:val="20"/>
      </w:rPr>
      <w:t>, 201</w:t>
    </w:r>
    <w:r w:rsidR="00CB25B4">
      <w:rPr>
        <w:rFonts w:ascii="Times New Roman" w:hAnsi="Times New Roman"/>
        <w:sz w:val="20"/>
      </w:rPr>
      <w:t>3</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C51C28"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C51C28" w:rsidRPr="00D87102">
      <w:rPr>
        <w:rFonts w:ascii="Times New Roman" w:hAnsi="Times New Roman"/>
        <w:sz w:val="20"/>
      </w:rPr>
      <w:fldChar w:fldCharType="separate"/>
    </w:r>
    <w:r w:rsidR="005E4BC6">
      <w:rPr>
        <w:rFonts w:ascii="Times New Roman" w:hAnsi="Times New Roman"/>
        <w:noProof/>
        <w:sz w:val="20"/>
      </w:rPr>
      <w:t>2</w:t>
    </w:r>
    <w:r w:rsidR="00C51C28"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5E4BC6">
    <w:pPr>
      <w:pStyle w:val="Header"/>
    </w:pPr>
    <w:r w:rsidRPr="005E4BC6">
      <w:drawing>
        <wp:anchor distT="0" distB="0" distL="114300" distR="114300" simplePos="0" relativeHeight="251659264" behindDoc="1" locked="0" layoutInCell="1" allowOverlap="1">
          <wp:simplePos x="0" y="0"/>
          <wp:positionH relativeFrom="page">
            <wp:posOffset>5494020</wp:posOffset>
          </wp:positionH>
          <wp:positionV relativeFrom="page">
            <wp:posOffset>175260</wp:posOffset>
          </wp:positionV>
          <wp:extent cx="2514600" cy="1272540"/>
          <wp:effectExtent l="0" t="0" r="0" b="0"/>
          <wp:wrapNone/>
          <wp:docPr id="2"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pic:spPr>
              </pic:pic>
            </a:graphicData>
          </a:graphic>
        </wp:anchor>
      </w:drawing>
    </w:r>
  </w:p>
  <w:p w:rsidR="00D467AE" w:rsidRDefault="00D46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7708C9A"/>
    <w:lvl w:ilvl="0" w:tplc="8448284C">
      <w:start w:val="13"/>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numRestart w:val="eachPage"/>
    <w:footnote w:id="-1"/>
    <w:footnote w:id="0"/>
  </w:footnotePr>
  <w:endnotePr>
    <w:endnote w:id="-1"/>
    <w:endnote w:id="0"/>
  </w:endnotePr>
  <w:compat/>
  <w:rsids>
    <w:rsidRoot w:val="009B525B"/>
    <w:rsid w:val="000103D8"/>
    <w:rsid w:val="00030B26"/>
    <w:rsid w:val="000455F9"/>
    <w:rsid w:val="000572C8"/>
    <w:rsid w:val="000A3083"/>
    <w:rsid w:val="000E08FD"/>
    <w:rsid w:val="000E1380"/>
    <w:rsid w:val="000E6389"/>
    <w:rsid w:val="000F6F8B"/>
    <w:rsid w:val="0017458C"/>
    <w:rsid w:val="00180ED1"/>
    <w:rsid w:val="001C0754"/>
    <w:rsid w:val="001E312C"/>
    <w:rsid w:val="001E4552"/>
    <w:rsid w:val="001F7289"/>
    <w:rsid w:val="00200B09"/>
    <w:rsid w:val="00205A06"/>
    <w:rsid w:val="00225045"/>
    <w:rsid w:val="00240FF4"/>
    <w:rsid w:val="00273A9B"/>
    <w:rsid w:val="00277537"/>
    <w:rsid w:val="002A4A0F"/>
    <w:rsid w:val="002C2983"/>
    <w:rsid w:val="002E0827"/>
    <w:rsid w:val="0035316D"/>
    <w:rsid w:val="00364C8D"/>
    <w:rsid w:val="00474AFF"/>
    <w:rsid w:val="00493301"/>
    <w:rsid w:val="004B5792"/>
    <w:rsid w:val="004C6433"/>
    <w:rsid w:val="004C7177"/>
    <w:rsid w:val="004D0FC2"/>
    <w:rsid w:val="004E2AF5"/>
    <w:rsid w:val="00517F7A"/>
    <w:rsid w:val="0055181C"/>
    <w:rsid w:val="005801BA"/>
    <w:rsid w:val="00584190"/>
    <w:rsid w:val="00584331"/>
    <w:rsid w:val="005B20CF"/>
    <w:rsid w:val="005B2115"/>
    <w:rsid w:val="005E4BC6"/>
    <w:rsid w:val="005F17A2"/>
    <w:rsid w:val="005F3E53"/>
    <w:rsid w:val="005F58A6"/>
    <w:rsid w:val="00604FC8"/>
    <w:rsid w:val="006403C0"/>
    <w:rsid w:val="00685EC1"/>
    <w:rsid w:val="0075486D"/>
    <w:rsid w:val="007666D5"/>
    <w:rsid w:val="0077111C"/>
    <w:rsid w:val="00786452"/>
    <w:rsid w:val="0079563A"/>
    <w:rsid w:val="007E7960"/>
    <w:rsid w:val="0082524F"/>
    <w:rsid w:val="00837F3B"/>
    <w:rsid w:val="00865D63"/>
    <w:rsid w:val="008818BD"/>
    <w:rsid w:val="008D3C37"/>
    <w:rsid w:val="008F5BA6"/>
    <w:rsid w:val="00921AFD"/>
    <w:rsid w:val="00973E16"/>
    <w:rsid w:val="0098336C"/>
    <w:rsid w:val="009870DE"/>
    <w:rsid w:val="009A454B"/>
    <w:rsid w:val="009A7945"/>
    <w:rsid w:val="009B0ABA"/>
    <w:rsid w:val="009B3975"/>
    <w:rsid w:val="009B4842"/>
    <w:rsid w:val="009B525B"/>
    <w:rsid w:val="009B63BE"/>
    <w:rsid w:val="009C2069"/>
    <w:rsid w:val="009E18E0"/>
    <w:rsid w:val="00A412ED"/>
    <w:rsid w:val="00A83676"/>
    <w:rsid w:val="00A84BEA"/>
    <w:rsid w:val="00A857F1"/>
    <w:rsid w:val="00B107F9"/>
    <w:rsid w:val="00B23EFE"/>
    <w:rsid w:val="00B30518"/>
    <w:rsid w:val="00B4612F"/>
    <w:rsid w:val="00B80684"/>
    <w:rsid w:val="00BA2AC5"/>
    <w:rsid w:val="00BB721D"/>
    <w:rsid w:val="00BE36FB"/>
    <w:rsid w:val="00BF63B7"/>
    <w:rsid w:val="00C05E22"/>
    <w:rsid w:val="00C20D83"/>
    <w:rsid w:val="00C51C28"/>
    <w:rsid w:val="00C638F9"/>
    <w:rsid w:val="00C95DA4"/>
    <w:rsid w:val="00CB25B4"/>
    <w:rsid w:val="00CB2B44"/>
    <w:rsid w:val="00CC7EEB"/>
    <w:rsid w:val="00CE5DE0"/>
    <w:rsid w:val="00D40442"/>
    <w:rsid w:val="00D467AE"/>
    <w:rsid w:val="00D60B04"/>
    <w:rsid w:val="00D74DCF"/>
    <w:rsid w:val="00D76DE9"/>
    <w:rsid w:val="00D87102"/>
    <w:rsid w:val="00D96019"/>
    <w:rsid w:val="00DA390B"/>
    <w:rsid w:val="00E21E80"/>
    <w:rsid w:val="00E24E4D"/>
    <w:rsid w:val="00E322B5"/>
    <w:rsid w:val="00E86BFE"/>
    <w:rsid w:val="00EA2D3D"/>
    <w:rsid w:val="00ED5B20"/>
    <w:rsid w:val="00EE3EC2"/>
    <w:rsid w:val="00F37C18"/>
    <w:rsid w:val="00F72123"/>
    <w:rsid w:val="00FB2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5E299F-B85A-45D1-97AF-8B776DF06BC9}"/>
</file>

<file path=customXml/itemProps2.xml><?xml version="1.0" encoding="utf-8"?>
<ds:datastoreItem xmlns:ds="http://schemas.openxmlformats.org/officeDocument/2006/customXml" ds:itemID="{3D0D04C5-4FF2-4118-B86B-C2BD4D9CFBD5}"/>
</file>

<file path=customXml/itemProps3.xml><?xml version="1.0" encoding="utf-8"?>
<ds:datastoreItem xmlns:ds="http://schemas.openxmlformats.org/officeDocument/2006/customXml" ds:itemID="{AB38A832-0F32-469B-B6FE-32894ABCF57F}"/>
</file>

<file path=customXml/itemProps4.xml><?xml version="1.0" encoding="utf-8"?>
<ds:datastoreItem xmlns:ds="http://schemas.openxmlformats.org/officeDocument/2006/customXml" ds:itemID="{F71C5B6E-32A7-4841-8596-DC409D2EED56}"/>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CenturyLink Employee</cp:lastModifiedBy>
  <cp:revision>5</cp:revision>
  <cp:lastPrinted>2013-03-26T23:27:00Z</cp:lastPrinted>
  <dcterms:created xsi:type="dcterms:W3CDTF">2013-03-26T23:26:00Z</dcterms:created>
  <dcterms:modified xsi:type="dcterms:W3CDTF">2013-03-27T22:14:00Z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