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0D2DE1" w:rsidRPr="00753761" w:rsidP="000D2DE1">
      <w:pPr>
        <w:pStyle w:val="NoSpacing"/>
        <w:jc w:val="center"/>
        <w:rPr>
          <w:rFonts w:ascii="Times New Roman" w:hAnsi="Times New Roman" w:cs="Times New Roman"/>
          <w:b/>
          <w:sz w:val="24"/>
          <w:szCs w:val="24"/>
        </w:rPr>
      </w:pPr>
      <w:r w:rsidRPr="00753761">
        <w:rPr>
          <w:rFonts w:ascii="Times New Roman" w:hAnsi="Times New Roman" w:cs="Times New Roman"/>
          <w:b/>
          <w:sz w:val="24"/>
          <w:szCs w:val="24"/>
        </w:rPr>
        <w:t>BEFORE THE WASHINGTON STATE</w:t>
      </w:r>
    </w:p>
    <w:p w:rsidR="000D2DE1" w:rsidRPr="00753761" w:rsidP="000D2DE1">
      <w:pPr>
        <w:spacing w:line="240" w:lineRule="auto"/>
        <w:jc w:val="center"/>
        <w:rPr>
          <w:rFonts w:ascii="Times New Roman" w:hAnsi="Times New Roman" w:cs="Times New Roman"/>
          <w:b/>
          <w:sz w:val="24"/>
          <w:szCs w:val="24"/>
        </w:rPr>
      </w:pPr>
      <w:r w:rsidRPr="00753761">
        <w:rPr>
          <w:rFonts w:ascii="Times New Roman" w:hAnsi="Times New Roman" w:cs="Times New Roman"/>
          <w:b/>
          <w:sz w:val="24"/>
          <w:szCs w:val="24"/>
        </w:rPr>
        <w:t>UTILITIES AND TRANSPORTATION COMMISSION</w:t>
      </w:r>
    </w:p>
    <w:p w:rsidR="000D2DE1" w:rsidP="000D2DE1">
      <w:pPr>
        <w:pStyle w:val="BodyText"/>
        <w:ind w:left="-90" w:firstLine="0"/>
        <w:jc w:val="center"/>
        <w:rPr>
          <w:b/>
          <w:bCs/>
        </w:rPr>
      </w:pPr>
    </w:p>
    <w:tbl>
      <w:tblPr>
        <w:tblW w:w="8928" w:type="dxa"/>
        <w:tblLook w:val="0000"/>
      </w:tblPr>
      <w:tblGrid>
        <w:gridCol w:w="4248"/>
        <w:gridCol w:w="360"/>
        <w:gridCol w:w="4320"/>
      </w:tblGrid>
      <w:tr w:rsidTr="0063320B">
        <w:tblPrEx>
          <w:tblW w:w="8928" w:type="dxa"/>
          <w:tblLook w:val="0000"/>
        </w:tblPrEx>
        <w:trPr>
          <w:trHeight w:val="2700"/>
        </w:trPr>
        <w:tc>
          <w:tcPr>
            <w:tcW w:w="4248" w:type="dxa"/>
            <w:tcBorders>
              <w:bottom w:val="single" w:sz="4" w:space="0" w:color="auto"/>
              <w:right w:val="single" w:sz="4" w:space="0" w:color="auto"/>
            </w:tcBorders>
          </w:tcPr>
          <w:p w:rsidR="000D2DE1" w:rsidRPr="00753761" w:rsidP="0063320B">
            <w:pPr>
              <w:tabs>
                <w:tab w:val="left" w:pos="2160"/>
              </w:tabs>
              <w:rPr>
                <w:rFonts w:ascii="Times New Roman" w:hAnsi="Times New Roman" w:cs="Times New Roman"/>
                <w:bCs/>
                <w:sz w:val="24"/>
                <w:szCs w:val="24"/>
              </w:rPr>
            </w:pPr>
            <w:r w:rsidRPr="00753761">
              <w:rPr>
                <w:rFonts w:ascii="Times New Roman" w:hAnsi="Times New Roman" w:cs="Times New Roman"/>
                <w:bCs/>
                <w:sz w:val="24"/>
                <w:szCs w:val="24"/>
              </w:rPr>
              <w:t>WASHINGTON UTILITIES AND TRANSPORTATION COMMISSION,</w:t>
            </w:r>
          </w:p>
          <w:p w:rsidR="000D2DE1" w:rsidRPr="00753761" w:rsidP="0063320B">
            <w:pPr>
              <w:tabs>
                <w:tab w:val="left" w:pos="2160"/>
              </w:tabs>
              <w:rPr>
                <w:rFonts w:ascii="Times New Roman" w:hAnsi="Times New Roman" w:cs="Times New Roman"/>
                <w:bCs/>
                <w:sz w:val="24"/>
                <w:szCs w:val="24"/>
              </w:rPr>
            </w:pPr>
            <w:r w:rsidRPr="00753761">
              <w:rPr>
                <w:rFonts w:ascii="Times New Roman" w:hAnsi="Times New Roman" w:cs="Times New Roman"/>
                <w:bCs/>
                <w:sz w:val="24"/>
                <w:szCs w:val="24"/>
              </w:rPr>
              <w:tab/>
              <w:t>Complainant,</w:t>
            </w:r>
          </w:p>
          <w:p w:rsidR="000D2DE1" w:rsidRPr="00753761" w:rsidP="0063320B">
            <w:pPr>
              <w:tabs>
                <w:tab w:val="left" w:pos="2160"/>
              </w:tabs>
              <w:rPr>
                <w:rFonts w:ascii="Times New Roman" w:hAnsi="Times New Roman" w:cs="Times New Roman"/>
                <w:bCs/>
                <w:sz w:val="24"/>
                <w:szCs w:val="24"/>
              </w:rPr>
            </w:pPr>
            <w:r w:rsidRPr="00753761">
              <w:rPr>
                <w:rFonts w:ascii="Times New Roman" w:hAnsi="Times New Roman" w:cs="Times New Roman"/>
                <w:bCs/>
                <w:sz w:val="24"/>
                <w:szCs w:val="24"/>
              </w:rPr>
              <w:t>v.</w:t>
            </w:r>
          </w:p>
          <w:p w:rsidR="000D2DE1" w:rsidRPr="00753761" w:rsidP="0063320B">
            <w:pPr>
              <w:tabs>
                <w:tab w:val="left" w:pos="2160"/>
              </w:tabs>
              <w:rPr>
                <w:rFonts w:ascii="Times New Roman" w:hAnsi="Times New Roman" w:cs="Times New Roman"/>
                <w:bCs/>
                <w:sz w:val="24"/>
                <w:szCs w:val="24"/>
              </w:rPr>
            </w:pPr>
            <w:r w:rsidRPr="00753761">
              <w:rPr>
                <w:rFonts w:ascii="Times New Roman" w:hAnsi="Times New Roman" w:cs="Times New Roman"/>
                <w:bCs/>
                <w:sz w:val="24"/>
                <w:szCs w:val="24"/>
              </w:rPr>
              <w:t>WASTE CONTROL, INC., G-101,</w:t>
            </w:r>
          </w:p>
          <w:p w:rsidR="000D2DE1" w:rsidRPr="00753761" w:rsidP="0063320B">
            <w:pPr>
              <w:tabs>
                <w:tab w:val="left" w:pos="2160"/>
              </w:tabs>
              <w:rPr>
                <w:rFonts w:ascii="Times New Roman" w:hAnsi="Times New Roman" w:cs="Times New Roman"/>
                <w:bCs/>
                <w:sz w:val="24"/>
                <w:szCs w:val="24"/>
              </w:rPr>
            </w:pPr>
            <w:r w:rsidRPr="00753761">
              <w:rPr>
                <w:rFonts w:ascii="Times New Roman" w:hAnsi="Times New Roman" w:cs="Times New Roman"/>
                <w:bCs/>
                <w:sz w:val="24"/>
                <w:szCs w:val="24"/>
              </w:rPr>
              <w:tab/>
              <w:t>Respondent.</w:t>
            </w:r>
          </w:p>
        </w:tc>
        <w:tc>
          <w:tcPr>
            <w:tcW w:w="360" w:type="dxa"/>
            <w:tcBorders>
              <w:left w:val="single" w:sz="4" w:space="0" w:color="auto"/>
            </w:tcBorders>
          </w:tcPr>
          <w:p w:rsidR="000D2DE1" w:rsidRPr="00753761" w:rsidP="0063320B">
            <w:pPr>
              <w:rPr>
                <w:rFonts w:ascii="Times New Roman" w:hAnsi="Times New Roman" w:cs="Times New Roman"/>
                <w:sz w:val="24"/>
                <w:szCs w:val="24"/>
              </w:rPr>
            </w:pPr>
          </w:p>
        </w:tc>
        <w:tc>
          <w:tcPr>
            <w:tcW w:w="4320" w:type="dxa"/>
          </w:tcPr>
          <w:p w:rsidR="000D2DE1" w:rsidRPr="00753761" w:rsidP="0063320B">
            <w:pPr>
              <w:rPr>
                <w:rFonts w:ascii="Times New Roman" w:hAnsi="Times New Roman" w:cs="Times New Roman"/>
                <w:sz w:val="24"/>
                <w:szCs w:val="24"/>
              </w:rPr>
            </w:pPr>
            <w:r w:rsidRPr="00753761">
              <w:rPr>
                <w:rFonts w:ascii="Times New Roman" w:hAnsi="Times New Roman" w:cs="Times New Roman"/>
                <w:sz w:val="24"/>
                <w:szCs w:val="24"/>
              </w:rPr>
              <w:t>DOCKET TG-140560</w:t>
            </w:r>
          </w:p>
          <w:p w:rsidR="000D2DE1" w:rsidRPr="00753761" w:rsidP="0063320B">
            <w:pPr>
              <w:rPr>
                <w:rFonts w:ascii="Times New Roman" w:hAnsi="Times New Roman" w:cs="Times New Roman"/>
                <w:sz w:val="24"/>
                <w:szCs w:val="24"/>
              </w:rPr>
            </w:pPr>
          </w:p>
          <w:p w:rsidR="000D2DE1" w:rsidRPr="00753761" w:rsidP="0063320B">
            <w:pPr>
              <w:pStyle w:val="Header"/>
              <w:rPr>
                <w:rFonts w:ascii="Times New Roman" w:hAnsi="Times New Roman" w:cs="Times New Roman"/>
                <w:sz w:val="24"/>
                <w:szCs w:val="24"/>
              </w:rPr>
            </w:pPr>
          </w:p>
        </w:tc>
      </w:tr>
    </w:tbl>
    <w:p w:rsidR="000D2DE1" w:rsidP="000D2DE1">
      <w:pPr>
        <w:spacing w:line="288" w:lineRule="auto"/>
        <w:rPr>
          <w:sz w:val="25"/>
          <w:szCs w:val="25"/>
        </w:rPr>
      </w:pPr>
    </w:p>
    <w:p w:rsidR="000D2DE1" w:rsidRPr="00BD1EB2" w:rsidP="000D2DE1">
      <w:pPr>
        <w:spacing w:line="288" w:lineRule="auto"/>
        <w:rPr>
          <w:sz w:val="25"/>
          <w:szCs w:val="25"/>
        </w:rPr>
      </w:pPr>
    </w:p>
    <w:p w:rsidR="000D2DE1" w:rsidRPr="00013F94" w:rsidP="000D2DE1">
      <w:pPr>
        <w:pStyle w:val="NoSpacing"/>
        <w:jc w:val="center"/>
        <w:rPr>
          <w:rFonts w:ascii="Times New Roman" w:hAnsi="Times New Roman" w:cs="Times New Roman"/>
          <w:b/>
          <w:sz w:val="24"/>
          <w:szCs w:val="24"/>
        </w:rPr>
      </w:pPr>
      <w:r w:rsidRPr="00013F94">
        <w:rPr>
          <w:rFonts w:ascii="Times New Roman" w:hAnsi="Times New Roman" w:cs="Times New Roman"/>
          <w:b/>
          <w:sz w:val="24"/>
          <w:szCs w:val="24"/>
        </w:rPr>
        <w:t>RE</w:t>
      </w:r>
      <w:r w:rsidR="00635583">
        <w:rPr>
          <w:rFonts w:ascii="Times New Roman" w:hAnsi="Times New Roman" w:cs="Times New Roman"/>
          <w:b/>
          <w:sz w:val="24"/>
          <w:szCs w:val="24"/>
        </w:rPr>
        <w:t>BUTTAL</w:t>
      </w:r>
      <w:r w:rsidRPr="00013F94">
        <w:rPr>
          <w:rFonts w:ascii="Times New Roman" w:hAnsi="Times New Roman" w:cs="Times New Roman"/>
          <w:b/>
          <w:sz w:val="24"/>
          <w:szCs w:val="24"/>
        </w:rPr>
        <w:t xml:space="preserve"> TESTIMONY</w:t>
      </w:r>
      <w:r>
        <w:rPr>
          <w:rFonts w:ascii="Times New Roman" w:hAnsi="Times New Roman" w:cs="Times New Roman"/>
          <w:b/>
          <w:sz w:val="24"/>
          <w:szCs w:val="24"/>
        </w:rPr>
        <w:t xml:space="preserve"> OF</w:t>
      </w:r>
    </w:p>
    <w:p w:rsidR="000D2DE1" w:rsidP="000D2DE1">
      <w:pPr>
        <w:pStyle w:val="NoSpacing"/>
        <w:jc w:val="center"/>
        <w:rPr>
          <w:rFonts w:ascii="Times New Roman" w:hAnsi="Times New Roman" w:cs="Times New Roman"/>
          <w:b/>
          <w:sz w:val="24"/>
          <w:szCs w:val="24"/>
        </w:rPr>
      </w:pPr>
    </w:p>
    <w:p w:rsidR="000D2DE1" w:rsidP="000D2DE1">
      <w:pPr>
        <w:pStyle w:val="NoSpacing"/>
        <w:jc w:val="center"/>
        <w:rPr>
          <w:rFonts w:ascii="Times New Roman" w:hAnsi="Times New Roman" w:cs="Times New Roman"/>
          <w:b/>
          <w:sz w:val="24"/>
          <w:szCs w:val="24"/>
        </w:rPr>
      </w:pPr>
      <w:r w:rsidRPr="00013F94">
        <w:rPr>
          <w:rFonts w:ascii="Times New Roman" w:hAnsi="Times New Roman" w:cs="Times New Roman"/>
          <w:b/>
          <w:sz w:val="24"/>
          <w:szCs w:val="24"/>
        </w:rPr>
        <w:t xml:space="preserve"> LAYNE C. DEMAS</w:t>
      </w:r>
    </w:p>
    <w:p w:rsidR="000D2DE1" w:rsidRPr="00013F94" w:rsidP="000D2DE1">
      <w:pPr>
        <w:pStyle w:val="NoSpacing"/>
        <w:jc w:val="center"/>
        <w:rPr>
          <w:rFonts w:ascii="Times New Roman" w:hAnsi="Times New Roman" w:cs="Times New Roman"/>
          <w:b/>
          <w:sz w:val="24"/>
          <w:szCs w:val="24"/>
        </w:rPr>
      </w:pPr>
    </w:p>
    <w:p w:rsidR="000D2DE1" w:rsidRPr="00013F94" w:rsidP="000D2DE1">
      <w:pPr>
        <w:pStyle w:val="NoSpacing"/>
        <w:jc w:val="center"/>
        <w:rPr>
          <w:rFonts w:ascii="Times New Roman" w:hAnsi="Times New Roman" w:cs="Times New Roman"/>
          <w:b/>
          <w:sz w:val="24"/>
          <w:szCs w:val="24"/>
        </w:rPr>
      </w:pPr>
      <w:r w:rsidRPr="00013F94">
        <w:rPr>
          <w:rFonts w:ascii="Times New Roman" w:hAnsi="Times New Roman" w:cs="Times New Roman"/>
          <w:b/>
          <w:sz w:val="24"/>
          <w:szCs w:val="24"/>
        </w:rPr>
        <w:t>FOR WASTE CONTROL, INC.</w:t>
      </w:r>
    </w:p>
    <w:p w:rsidR="000D2DE1" w:rsidP="000D2DE1">
      <w:pPr>
        <w:pStyle w:val="HEADINGCENTERED"/>
      </w:pPr>
    </w:p>
    <w:p w:rsidR="000D2DE1" w:rsidP="000D2DE1">
      <w:pPr>
        <w:pStyle w:val="Judge"/>
        <w:jc w:val="center"/>
        <w:rPr>
          <w:b/>
        </w:rPr>
      </w:pPr>
    </w:p>
    <w:p w:rsidR="000D2DE1" w:rsidP="000D2DE1">
      <w:pPr>
        <w:pStyle w:val="Judge"/>
        <w:jc w:val="center"/>
        <w:rPr>
          <w:b/>
        </w:rPr>
      </w:pPr>
    </w:p>
    <w:p w:rsidR="000D2DE1" w:rsidP="000D2DE1">
      <w:pPr>
        <w:pStyle w:val="Judge"/>
        <w:jc w:val="center"/>
        <w:rPr>
          <w:b/>
        </w:rPr>
      </w:pPr>
    </w:p>
    <w:p w:rsidR="000D2DE1" w:rsidP="000D2DE1">
      <w:pPr>
        <w:pStyle w:val="Judge"/>
        <w:jc w:val="center"/>
        <w:rPr>
          <w:b/>
        </w:rPr>
      </w:pPr>
    </w:p>
    <w:p w:rsidR="000D2DE1" w:rsidP="000D2DE1">
      <w:pPr>
        <w:pStyle w:val="Judge"/>
        <w:jc w:val="center"/>
        <w:rPr>
          <w:b/>
        </w:rPr>
      </w:pPr>
    </w:p>
    <w:p w:rsidR="00DA2DD1" w:rsidP="000D2DE1">
      <w:pPr>
        <w:pStyle w:val="Judge"/>
        <w:jc w:val="center"/>
        <w:rPr>
          <w:b/>
        </w:rPr>
      </w:pPr>
    </w:p>
    <w:p w:rsidR="00DA2DD1" w:rsidP="000D2DE1">
      <w:pPr>
        <w:pStyle w:val="Judge"/>
        <w:jc w:val="center"/>
        <w:rPr>
          <w:b/>
        </w:rPr>
      </w:pPr>
    </w:p>
    <w:p w:rsidR="000D2DE1" w:rsidRPr="000D2DE1" w:rsidP="000D2DE1">
      <w:pPr>
        <w:pStyle w:val="Judge"/>
        <w:jc w:val="center"/>
        <w:rPr>
          <w:rFonts w:ascii="Times New Roman" w:hAnsi="Times New Roman" w:cs="Times New Roman"/>
        </w:rPr>
      </w:pPr>
      <w:r w:rsidRPr="000D2DE1">
        <w:rPr>
          <w:rFonts w:ascii="Times New Roman" w:hAnsi="Times New Roman" w:cs="Times New Roman"/>
        </w:rPr>
        <w:t>AUGUST 20, 2014</w:t>
      </w:r>
    </w:p>
    <w:p w:rsidR="000D2DE1" w:rsidP="000D2DE1">
      <w:pPr>
        <w:pStyle w:val="Judge"/>
        <w:jc w:val="center"/>
        <w:rPr>
          <w:b/>
        </w:rPr>
      </w:pPr>
    </w:p>
    <w:p w:rsidR="000D2DE1" w:rsidP="000D2DE1">
      <w:pPr>
        <w:pStyle w:val="Judge"/>
        <w:jc w:val="center"/>
        <w:rPr>
          <w:b/>
        </w:rPr>
        <w:sectPr w:rsidSect="0078516A">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236" w:gutter="0"/>
          <w:paperSrc w:first="261" w:other="261"/>
          <w:cols w:space="720"/>
          <w:titlePg/>
          <w:docGrid w:linePitch="360"/>
        </w:sectPr>
      </w:pPr>
    </w:p>
    <w:sdt>
      <w:sdtPr>
        <w:rPr>
          <w:rFonts w:asciiTheme="minorHAnsi" w:eastAsiaTheme="minorHAnsi" w:hAnsiTheme="minorHAnsi" w:cstheme="minorBidi"/>
          <w:b w:val="0"/>
          <w:bCs w:val="0"/>
          <w:color w:val="auto"/>
          <w:sz w:val="22"/>
          <w:szCs w:val="22"/>
        </w:rPr>
        <w:id w:val="-120771355"/>
        <w:docPartObj>
          <w:docPartGallery w:val="Table of Contents"/>
          <w:docPartUnique/>
        </w:docPartObj>
      </w:sdtPr>
      <w:sdtEndPr>
        <w:rPr>
          <w:caps/>
          <w:noProof/>
        </w:rPr>
      </w:sdtEndPr>
      <w:sdtContent>
        <w:p w:rsidR="000D2DE1" w:rsidRPr="000D2DE1" w:rsidP="00F368C2">
          <w:pPr>
            <w:pStyle w:val="TOCHeading"/>
            <w:numPr>
              <w:ilvl w:val="0"/>
              <w:numId w:val="3"/>
            </w:numPr>
            <w:tabs>
              <w:tab w:val="clear" w:pos="0"/>
            </w:tabs>
            <w:jc w:val="center"/>
            <w:rPr>
              <w:rFonts w:ascii="Times New Roman" w:hAnsi="Times New Roman"/>
              <w:color w:val="auto"/>
              <w:sz w:val="24"/>
              <w:szCs w:val="24"/>
            </w:rPr>
          </w:pPr>
          <w:r w:rsidRPr="000D2DE1">
            <w:rPr>
              <w:rFonts w:ascii="Times New Roman" w:hAnsi="Times New Roman"/>
              <w:color w:val="auto"/>
              <w:sz w:val="24"/>
              <w:szCs w:val="24"/>
            </w:rPr>
            <w:t>TABLE OF CONTENTS</w:t>
          </w:r>
        </w:p>
        <w:p w:rsidR="000D2DE1" w:rsidRPr="00CB2F3E" w:rsidP="000D2DE1">
          <w:pPr>
            <w:rPr>
              <w:lang w:eastAsia="ja-JP"/>
            </w:rPr>
          </w:pPr>
        </w:p>
        <w:p w:rsidR="00BA4A5C" w:rsidRPr="00BA4A5C">
          <w:pPr>
            <w:pStyle w:val="TOC1"/>
            <w:tabs>
              <w:tab w:val="right" w:leader="dot" w:pos="9350"/>
            </w:tabs>
            <w:rPr>
              <w:rFonts w:ascii="Times New Roman" w:hAnsi="Times New Roman" w:eastAsiaTheme="minorEastAsia" w:cs="Times New Roman"/>
              <w:b/>
              <w:noProof/>
            </w:rPr>
          </w:pPr>
          <w:r>
            <w:fldChar w:fldCharType="begin"/>
          </w:r>
          <w:r>
            <w:instrText xml:space="preserve"> TOC \h \t "Heading 1,1, Heading 2,2, HEADING CENTERED,1" \x \* MERGEFORMAT </w:instrText>
          </w:r>
          <w:r>
            <w:fldChar w:fldCharType="separate"/>
          </w:r>
          <w:r>
            <w:fldChar w:fldCharType="begin"/>
          </w:r>
          <w:r>
            <w:instrText xml:space="preserve"> HYPERLINK \l "_Toc396305770" </w:instrText>
          </w:r>
          <w:r>
            <w:fldChar w:fldCharType="separate"/>
          </w:r>
          <w:r w:rsidRPr="00BA4A5C">
            <w:rPr>
              <w:rStyle w:val="Hyperlink"/>
              <w:rFonts w:ascii="Times New Roman" w:hAnsi="Times New Roman" w:cs="Times New Roman"/>
              <w:b/>
              <w:noProof/>
            </w:rPr>
            <w:t>I.  WITNESS BACKGROUND</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_Toc396305770 \h </w:instrText>
          </w:r>
          <w:r w:rsidRPr="00BA4A5C">
            <w:rPr>
              <w:rFonts w:ascii="Times New Roman" w:hAnsi="Times New Roman" w:cs="Times New Roman"/>
              <w:b/>
              <w:noProof/>
            </w:rPr>
            <w:fldChar w:fldCharType="separate"/>
          </w:r>
          <w:r w:rsidR="00A370EA">
            <w:rPr>
              <w:rFonts w:ascii="Times New Roman" w:hAnsi="Times New Roman" w:cs="Times New Roman"/>
              <w:b/>
              <w:noProof/>
            </w:rPr>
            <w:t>1</w:t>
          </w:r>
          <w:r w:rsidRPr="00BA4A5C">
            <w:rPr>
              <w:rFonts w:ascii="Times New Roman" w:hAnsi="Times New Roman" w:cs="Times New Roman"/>
              <w:b/>
              <w:noProof/>
            </w:rPr>
            <w:fldChar w:fldCharType="end"/>
          </w:r>
          <w:r>
            <w:fldChar w:fldCharType="end"/>
          </w:r>
        </w:p>
        <w:p w:rsidR="00BA4A5C" w:rsidRPr="00BA4A5C">
          <w:pPr>
            <w:pStyle w:val="TOC1"/>
            <w:tabs>
              <w:tab w:val="right" w:leader="dot" w:pos="9350"/>
            </w:tabs>
            <w:rPr>
              <w:rFonts w:ascii="Times New Roman" w:hAnsi="Times New Roman" w:eastAsiaTheme="minorEastAsia" w:cs="Times New Roman"/>
              <w:b/>
              <w:noProof/>
            </w:rPr>
          </w:pPr>
          <w:r>
            <w:fldChar w:fldCharType="begin"/>
          </w:r>
          <w:r>
            <w:instrText xml:space="preserve"> HYPERLINK \l "_Toc396305771" </w:instrText>
          </w:r>
          <w:r>
            <w:fldChar w:fldCharType="separate"/>
          </w:r>
          <w:r w:rsidRPr="00BA4A5C">
            <w:rPr>
              <w:rStyle w:val="Hyperlink"/>
              <w:rFonts w:ascii="Times New Roman" w:hAnsi="Times New Roman" w:cs="Times New Roman"/>
              <w:b/>
              <w:noProof/>
            </w:rPr>
            <w:t>II.  ROLE AND PURPOSE OF TESTIMONY</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_Toc396305771 \h </w:instrText>
          </w:r>
          <w:r w:rsidRPr="00BA4A5C">
            <w:rPr>
              <w:rFonts w:ascii="Times New Roman" w:hAnsi="Times New Roman" w:cs="Times New Roman"/>
              <w:b/>
              <w:noProof/>
            </w:rPr>
            <w:fldChar w:fldCharType="separate"/>
          </w:r>
          <w:r>
            <w:rPr>
              <w:rFonts w:ascii="Times New Roman" w:hAnsi="Times New Roman" w:cs="Times New Roman"/>
              <w:b/>
              <w:noProof/>
            </w:rPr>
            <w:t>2</w:t>
          </w:r>
          <w:r w:rsidRPr="00BA4A5C">
            <w:rPr>
              <w:rFonts w:ascii="Times New Roman" w:hAnsi="Times New Roman" w:cs="Times New Roman"/>
              <w:b/>
              <w:noProof/>
            </w:rPr>
            <w:fldChar w:fldCharType="end"/>
          </w:r>
          <w:r>
            <w:fldChar w:fldCharType="end"/>
          </w:r>
        </w:p>
        <w:p w:rsidR="00BA4A5C" w:rsidRPr="00BA4A5C">
          <w:pPr>
            <w:pStyle w:val="TOC1"/>
            <w:tabs>
              <w:tab w:val="right" w:leader="dot" w:pos="9350"/>
            </w:tabs>
            <w:rPr>
              <w:rFonts w:ascii="Times New Roman" w:hAnsi="Times New Roman" w:eastAsiaTheme="minorEastAsia" w:cs="Times New Roman"/>
              <w:b/>
              <w:noProof/>
            </w:rPr>
          </w:pPr>
          <w:r>
            <w:fldChar w:fldCharType="begin"/>
          </w:r>
          <w:r>
            <w:instrText xml:space="preserve"> HYPERLINK \l "_Toc396305772" </w:instrText>
          </w:r>
          <w:r>
            <w:fldChar w:fldCharType="separate"/>
          </w:r>
          <w:r w:rsidRPr="00BA4A5C">
            <w:rPr>
              <w:rStyle w:val="Hyperlink"/>
              <w:rFonts w:ascii="Times New Roman" w:hAnsi="Times New Roman" w:cs="Times New Roman"/>
              <w:b/>
              <w:noProof/>
            </w:rPr>
            <w:t>III.  SELECTED TOPICS FOR RESPONSE IN STAFF’S CASE</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_Toc396305772 \h </w:instrText>
          </w:r>
          <w:r w:rsidRPr="00BA4A5C">
            <w:rPr>
              <w:rFonts w:ascii="Times New Roman" w:hAnsi="Times New Roman" w:cs="Times New Roman"/>
              <w:b/>
              <w:noProof/>
            </w:rPr>
            <w:fldChar w:fldCharType="separate"/>
          </w:r>
          <w:r>
            <w:rPr>
              <w:rFonts w:ascii="Times New Roman" w:hAnsi="Times New Roman" w:cs="Times New Roman"/>
              <w:b/>
              <w:noProof/>
            </w:rPr>
            <w:t>3</w:t>
          </w:r>
          <w:r w:rsidRPr="00BA4A5C">
            <w:rPr>
              <w:rFonts w:ascii="Times New Roman" w:hAnsi="Times New Roman" w:cs="Times New Roman"/>
              <w:b/>
              <w:noProof/>
            </w:rPr>
            <w:fldChar w:fldCharType="end"/>
          </w:r>
          <w:r>
            <w:fldChar w:fldCharType="end"/>
          </w:r>
        </w:p>
        <w:p w:rsidR="00BA4A5C" w:rsidRPr="00BA4A5C">
          <w:pPr>
            <w:pStyle w:val="TOC2"/>
            <w:tabs>
              <w:tab w:val="left" w:pos="1200"/>
              <w:tab w:val="right" w:leader="dot" w:pos="9350"/>
            </w:tabs>
            <w:rPr>
              <w:rFonts w:ascii="Times New Roman" w:hAnsi="Times New Roman" w:eastAsiaTheme="minorEastAsia" w:cs="Times New Roman"/>
              <w:b/>
              <w:noProof/>
            </w:rPr>
          </w:pPr>
          <w:r>
            <w:fldChar w:fldCharType="begin"/>
          </w:r>
          <w:r>
            <w:instrText xml:space="preserve"> HYPERLINK \l "_Toc396305773" </w:instrText>
          </w:r>
          <w:r>
            <w:fldChar w:fldCharType="separate"/>
          </w:r>
          <w:r w:rsidRPr="00BA4A5C">
            <w:rPr>
              <w:rStyle w:val="Hyperlink"/>
              <w:rFonts w:ascii="Times New Roman" w:hAnsi="Times New Roman" w:cs="Times New Roman"/>
              <w:b/>
              <w:noProof/>
            </w:rPr>
            <w:t>1.</w:t>
          </w:r>
          <w:r w:rsidR="00E869A2">
            <w:rPr>
              <w:rStyle w:val="Hyperlink"/>
              <w:rFonts w:ascii="Times New Roman" w:hAnsi="Times New Roman" w:cs="Times New Roman"/>
              <w:b/>
              <w:noProof/>
            </w:rPr>
            <w:t xml:space="preserve">  </w:t>
          </w:r>
          <w:r w:rsidRPr="00BA4A5C">
            <w:rPr>
              <w:rStyle w:val="Hyperlink"/>
              <w:rFonts w:ascii="Times New Roman" w:hAnsi="Times New Roman" w:cs="Times New Roman"/>
              <w:b/>
              <w:noProof/>
            </w:rPr>
            <w:t>Land and Building Rents</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_Toc396305773 \h </w:instrText>
          </w:r>
          <w:r w:rsidRPr="00BA4A5C">
            <w:rPr>
              <w:rFonts w:ascii="Times New Roman" w:hAnsi="Times New Roman" w:cs="Times New Roman"/>
              <w:b/>
              <w:noProof/>
            </w:rPr>
            <w:fldChar w:fldCharType="separate"/>
          </w:r>
          <w:r>
            <w:rPr>
              <w:rFonts w:ascii="Times New Roman" w:hAnsi="Times New Roman" w:cs="Times New Roman"/>
              <w:b/>
              <w:noProof/>
            </w:rPr>
            <w:t>3</w:t>
          </w:r>
          <w:r w:rsidRPr="00BA4A5C">
            <w:rPr>
              <w:rFonts w:ascii="Times New Roman" w:hAnsi="Times New Roman" w:cs="Times New Roman"/>
              <w:b/>
              <w:noProof/>
            </w:rPr>
            <w:fldChar w:fldCharType="end"/>
          </w:r>
          <w:r>
            <w:fldChar w:fldCharType="end"/>
          </w:r>
        </w:p>
        <w:p w:rsidR="00BA4A5C" w:rsidRPr="00BA4A5C">
          <w:pPr>
            <w:pStyle w:val="TOC2"/>
            <w:tabs>
              <w:tab w:val="right" w:leader="dot" w:pos="9350"/>
            </w:tabs>
            <w:rPr>
              <w:rFonts w:ascii="Times New Roman" w:hAnsi="Times New Roman" w:eastAsiaTheme="minorEastAsia" w:cs="Times New Roman"/>
              <w:b/>
              <w:noProof/>
            </w:rPr>
          </w:pPr>
          <w:r>
            <w:fldChar w:fldCharType="begin"/>
          </w:r>
          <w:r>
            <w:instrText xml:space="preserve"> HYPERLINK \l "_Toc396305774" </w:instrText>
          </w:r>
          <w:r>
            <w:fldChar w:fldCharType="separate"/>
          </w:r>
          <w:r w:rsidRPr="00BA4A5C">
            <w:rPr>
              <w:rStyle w:val="Hyperlink"/>
              <w:rFonts w:ascii="Times New Roman" w:hAnsi="Times New Roman" w:cs="Times New Roman"/>
              <w:b/>
              <w:noProof/>
            </w:rPr>
            <w:t>2. The Three-Factor Allocation Method</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_Toc396305774 \h </w:instrText>
          </w:r>
          <w:r w:rsidRPr="00BA4A5C">
            <w:rPr>
              <w:rFonts w:ascii="Times New Roman" w:hAnsi="Times New Roman" w:cs="Times New Roman"/>
              <w:b/>
              <w:noProof/>
            </w:rPr>
            <w:fldChar w:fldCharType="separate"/>
          </w:r>
          <w:r>
            <w:rPr>
              <w:rFonts w:ascii="Times New Roman" w:hAnsi="Times New Roman" w:cs="Times New Roman"/>
              <w:b/>
              <w:noProof/>
            </w:rPr>
            <w:t>6</w:t>
          </w:r>
          <w:r w:rsidRPr="00BA4A5C">
            <w:rPr>
              <w:rFonts w:ascii="Times New Roman" w:hAnsi="Times New Roman" w:cs="Times New Roman"/>
              <w:b/>
              <w:noProof/>
            </w:rPr>
            <w:fldChar w:fldCharType="end"/>
          </w:r>
          <w:r>
            <w:fldChar w:fldCharType="end"/>
          </w:r>
        </w:p>
        <w:p w:rsidR="00BA4A5C" w:rsidRPr="00BA4A5C">
          <w:pPr>
            <w:pStyle w:val="TOC2"/>
            <w:tabs>
              <w:tab w:val="right" w:leader="dot" w:pos="9350"/>
            </w:tabs>
            <w:rPr>
              <w:rFonts w:ascii="Times New Roman" w:hAnsi="Times New Roman" w:eastAsiaTheme="minorEastAsia" w:cs="Times New Roman"/>
              <w:b/>
              <w:noProof/>
            </w:rPr>
          </w:pPr>
          <w:r>
            <w:fldChar w:fldCharType="begin"/>
          </w:r>
          <w:r>
            <w:instrText xml:space="preserve"> HYPERLINK \l "_Toc396305775" </w:instrText>
          </w:r>
          <w:r>
            <w:fldChar w:fldCharType="separate"/>
          </w:r>
          <w:r w:rsidRPr="00BA4A5C">
            <w:rPr>
              <w:rStyle w:val="Hyperlink"/>
              <w:rFonts w:ascii="Times New Roman" w:hAnsi="Times New Roman" w:cs="Times New Roman"/>
              <w:b/>
              <w:noProof/>
            </w:rPr>
            <w:t>3.  Kalama Operations</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_Toc396305775 \h </w:instrText>
          </w:r>
          <w:r w:rsidRPr="00BA4A5C">
            <w:rPr>
              <w:rFonts w:ascii="Times New Roman" w:hAnsi="Times New Roman" w:cs="Times New Roman"/>
              <w:b/>
              <w:noProof/>
            </w:rPr>
            <w:fldChar w:fldCharType="separate"/>
          </w:r>
          <w:r>
            <w:rPr>
              <w:rFonts w:ascii="Times New Roman" w:hAnsi="Times New Roman" w:cs="Times New Roman"/>
              <w:b/>
              <w:noProof/>
            </w:rPr>
            <w:t>8</w:t>
          </w:r>
          <w:r w:rsidRPr="00BA4A5C">
            <w:rPr>
              <w:rFonts w:ascii="Times New Roman" w:hAnsi="Times New Roman" w:cs="Times New Roman"/>
              <w:b/>
              <w:noProof/>
            </w:rPr>
            <w:fldChar w:fldCharType="end"/>
          </w:r>
          <w:r>
            <w:fldChar w:fldCharType="end"/>
          </w:r>
        </w:p>
        <w:p w:rsidR="00BA4A5C">
          <w:pPr>
            <w:pStyle w:val="TOC1"/>
            <w:tabs>
              <w:tab w:val="right" w:leader="dot" w:pos="9350"/>
            </w:tabs>
            <w:rPr>
              <w:rFonts w:eastAsiaTheme="minorEastAsia"/>
              <w:noProof/>
            </w:rPr>
          </w:pPr>
          <w:r>
            <w:fldChar w:fldCharType="begin"/>
          </w:r>
          <w:r>
            <w:instrText xml:space="preserve"> HYPERLINK \l "_Toc396305776" </w:instrText>
          </w:r>
          <w:r>
            <w:fldChar w:fldCharType="separate"/>
          </w:r>
          <w:r>
            <w:rPr>
              <w:rStyle w:val="Hyperlink"/>
              <w:rFonts w:ascii="Times New Roman" w:hAnsi="Times New Roman" w:cs="Times New Roman"/>
              <w:b/>
              <w:noProof/>
            </w:rPr>
            <w:t>V</w:t>
          </w:r>
          <w:r w:rsidRPr="00BA4A5C">
            <w:rPr>
              <w:rStyle w:val="Hyperlink"/>
              <w:rFonts w:ascii="Times New Roman" w:hAnsi="Times New Roman" w:cs="Times New Roman"/>
              <w:b/>
              <w:noProof/>
            </w:rPr>
            <w:t>.  SUMMARY/CONCLUSIONS</w:t>
          </w:r>
          <w:r w:rsidRPr="00BA4A5C">
            <w:rPr>
              <w:rFonts w:ascii="Times New Roman" w:hAnsi="Times New Roman" w:cs="Times New Roman"/>
              <w:b/>
              <w:noProof/>
            </w:rPr>
            <w:tab/>
          </w:r>
          <w:r w:rsidRPr="00BA4A5C">
            <w:rPr>
              <w:rFonts w:ascii="Times New Roman" w:hAnsi="Times New Roman" w:cs="Times New Roman"/>
              <w:b/>
              <w:noProof/>
            </w:rPr>
            <w:fldChar w:fldCharType="begin"/>
          </w:r>
          <w:r w:rsidRPr="00BA4A5C">
            <w:rPr>
              <w:rFonts w:ascii="Times New Roman" w:hAnsi="Times New Roman" w:cs="Times New Roman"/>
              <w:b/>
              <w:noProof/>
            </w:rPr>
            <w:instrText xml:space="preserve"> PAGEREF _Toc396305776 \h </w:instrText>
          </w:r>
          <w:r w:rsidRPr="00BA4A5C">
            <w:rPr>
              <w:rFonts w:ascii="Times New Roman" w:hAnsi="Times New Roman" w:cs="Times New Roman"/>
              <w:b/>
              <w:noProof/>
            </w:rPr>
            <w:fldChar w:fldCharType="separate"/>
          </w:r>
          <w:r>
            <w:rPr>
              <w:rFonts w:ascii="Times New Roman" w:hAnsi="Times New Roman" w:cs="Times New Roman"/>
              <w:b/>
              <w:noProof/>
            </w:rPr>
            <w:t>12</w:t>
          </w:r>
          <w:r w:rsidRPr="00BA4A5C">
            <w:rPr>
              <w:rFonts w:ascii="Times New Roman" w:hAnsi="Times New Roman" w:cs="Times New Roman"/>
              <w:b/>
              <w:noProof/>
            </w:rPr>
            <w:fldChar w:fldCharType="end"/>
          </w:r>
          <w:r>
            <w:fldChar w:fldCharType="end"/>
          </w:r>
        </w:p>
        <w:p w:rsidR="000D2DE1" w:rsidP="000D2DE1">
          <w:pPr>
            <w:rPr>
              <w:b/>
            </w:rPr>
            <w:sectPr w:rsidSect="0078516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990" w:gutter="0"/>
              <w:paperSrc w:first="261" w:other="261"/>
              <w:cols w:space="720"/>
              <w:docGrid w:linePitch="299"/>
            </w:sectPr>
          </w:pPr>
          <w:r>
            <w:fldChar w:fldCharType="end"/>
          </w:r>
        </w:p>
      </w:sdtContent>
    </w:sdt>
    <w:p w:rsidR="000D2DE1" w:rsidRPr="005A5BE4" w:rsidP="000D2DE1">
      <w:pPr>
        <w:pStyle w:val="HEADINGCENTERED"/>
      </w:pPr>
      <w:bookmarkStart w:id="0" w:name="_Toc396305770"/>
      <w:r w:rsidRPr="005A5BE4">
        <w:t>I.  WITNESS BACKGROUND</w:t>
      </w:r>
      <w:bookmarkEnd w:id="0"/>
    </w:p>
    <w:p w:rsidR="000D2DE1" w:rsidRPr="005A5BE4" w:rsidP="00F368C2">
      <w:pPr>
        <w:pStyle w:val="QUESTION"/>
        <w:numPr>
          <w:ilvl w:val="1"/>
          <w:numId w:val="3"/>
        </w:numPr>
        <w:tabs>
          <w:tab w:val="clear" w:pos="0"/>
        </w:tabs>
        <w:ind w:left="720" w:hanging="720"/>
        <w:rPr>
          <w:rFonts w:cs="Times New Roman"/>
          <w:szCs w:val="24"/>
        </w:rPr>
      </w:pPr>
      <w:bookmarkStart w:id="1" w:name="_Toc395778095"/>
      <w:r w:rsidRPr="005A5BE4">
        <w:rPr>
          <w:rFonts w:cs="Times New Roman"/>
          <w:szCs w:val="24"/>
        </w:rPr>
        <w:t>q.</w:t>
      </w:r>
      <w:r w:rsidRPr="005A5BE4">
        <w:rPr>
          <w:rFonts w:cs="Times New Roman"/>
          <w:szCs w:val="24"/>
        </w:rPr>
        <w:tab/>
        <w:t>would you please state your name and provide your business address for the record?</w:t>
      </w:r>
      <w:bookmarkEnd w:id="1"/>
    </w:p>
    <w:p w:rsidR="000D2DE1" w:rsidRPr="005A5BE4" w:rsidP="00F368C2">
      <w:pPr>
        <w:pStyle w:val="Style4"/>
        <w:numPr>
          <w:ilvl w:val="1"/>
          <w:numId w:val="3"/>
        </w:numPr>
        <w:tabs>
          <w:tab w:val="clear" w:pos="0"/>
        </w:tabs>
        <w:ind w:left="720" w:hanging="720"/>
        <w:rPr>
          <w:rFonts w:cs="Times New Roman"/>
          <w:szCs w:val="24"/>
        </w:rPr>
      </w:pPr>
      <w:bookmarkStart w:id="2" w:name="_Toc395778096"/>
      <w:r w:rsidRPr="005A5BE4">
        <w:rPr>
          <w:rFonts w:cs="Times New Roman"/>
          <w:szCs w:val="24"/>
        </w:rPr>
        <w:t>A.</w:t>
      </w:r>
      <w:r w:rsidRPr="005A5BE4">
        <w:rPr>
          <w:rFonts w:cs="Times New Roman"/>
          <w:szCs w:val="24"/>
        </w:rPr>
        <w:tab/>
        <w:t xml:space="preserve">Yes.  My name is Layne Demas.  My address is 3715 N. Proctor, Tacoma, WA </w:t>
      </w:r>
      <w:bookmarkEnd w:id="2"/>
      <w:r w:rsidRPr="005A5BE4">
        <w:rPr>
          <w:rFonts w:cs="Times New Roman"/>
          <w:szCs w:val="24"/>
        </w:rPr>
        <w:t>98407.</w:t>
      </w:r>
    </w:p>
    <w:p w:rsidR="000D2DE1" w:rsidRPr="005A5BE4" w:rsidP="00F368C2">
      <w:pPr>
        <w:pStyle w:val="QUESTION"/>
        <w:numPr>
          <w:ilvl w:val="1"/>
          <w:numId w:val="3"/>
        </w:numPr>
        <w:tabs>
          <w:tab w:val="clear" w:pos="0"/>
        </w:tabs>
        <w:ind w:left="720" w:hanging="720"/>
        <w:rPr>
          <w:rFonts w:cs="Times New Roman"/>
          <w:szCs w:val="24"/>
        </w:rPr>
      </w:pPr>
      <w:bookmarkStart w:id="3" w:name="_Toc395778097"/>
      <w:r w:rsidRPr="005A5BE4">
        <w:rPr>
          <w:rFonts w:cs="Times New Roman"/>
          <w:szCs w:val="24"/>
        </w:rPr>
        <w:t>q.</w:t>
      </w:r>
      <w:r w:rsidRPr="005A5BE4">
        <w:rPr>
          <w:rFonts w:cs="Times New Roman"/>
          <w:szCs w:val="24"/>
        </w:rPr>
        <w:tab/>
        <w:t>what is your background or experience relevant to your testimony in this matter?</w:t>
      </w:r>
      <w:bookmarkEnd w:id="3"/>
    </w:p>
    <w:p w:rsidR="000D2DE1" w:rsidRPr="005A5BE4" w:rsidP="00E82BD9">
      <w:pPr>
        <w:pStyle w:val="Style4"/>
        <w:numPr>
          <w:ilvl w:val="1"/>
          <w:numId w:val="3"/>
        </w:numPr>
        <w:tabs>
          <w:tab w:val="clear" w:pos="0"/>
        </w:tabs>
        <w:spacing w:line="480" w:lineRule="exact"/>
        <w:ind w:left="720" w:hanging="720"/>
        <w:rPr>
          <w:rFonts w:cs="Times New Roman"/>
          <w:szCs w:val="24"/>
        </w:rPr>
      </w:pPr>
      <w:bookmarkStart w:id="4" w:name="_Toc395778098"/>
      <w:r w:rsidRPr="005A5BE4">
        <w:rPr>
          <w:rFonts w:cs="Times New Roman"/>
          <w:szCs w:val="24"/>
        </w:rPr>
        <w:t>A.</w:t>
      </w:r>
      <w:r w:rsidRPr="005A5BE4">
        <w:rPr>
          <w:rFonts w:cs="Times New Roman"/>
          <w:szCs w:val="24"/>
        </w:rPr>
        <w:tab/>
        <w:t>I retired as a regulatory analyst from the Washington Utilities and Transportation Commission, (“UTC”) in November, 2011 after a 25 year career beginning in October, 1986.  I graduated from the University of Puget Sound in 1976 with a Bachelors of Arts degree in Business Administration.  I am a Certified Public Accountant for occupational purposes in the State of Washington.</w:t>
      </w:r>
      <w:bookmarkEnd w:id="4"/>
    </w:p>
    <w:p w:rsidR="000D2DE1" w:rsidRPr="005A5BE4" w:rsidP="00F368C2">
      <w:pPr>
        <w:pStyle w:val="QUESTION"/>
        <w:numPr>
          <w:ilvl w:val="1"/>
          <w:numId w:val="3"/>
        </w:numPr>
        <w:tabs>
          <w:tab w:val="clear" w:pos="0"/>
        </w:tabs>
        <w:ind w:left="720" w:hanging="720"/>
        <w:rPr>
          <w:rFonts w:cs="Times New Roman"/>
          <w:szCs w:val="24"/>
        </w:rPr>
      </w:pPr>
      <w:bookmarkStart w:id="5" w:name="_Toc395778099"/>
      <w:r w:rsidRPr="005A5BE4">
        <w:rPr>
          <w:rFonts w:cs="Times New Roman"/>
          <w:szCs w:val="24"/>
        </w:rPr>
        <w:t>q.</w:t>
      </w:r>
      <w:r w:rsidRPr="005A5BE4">
        <w:rPr>
          <w:rFonts w:cs="Times New Roman"/>
          <w:szCs w:val="24"/>
        </w:rPr>
        <w:tab/>
        <w:t>would you please describe your pertinent experience at the UTC?</w:t>
      </w:r>
      <w:bookmarkEnd w:id="5"/>
    </w:p>
    <w:p w:rsidR="000D2DE1" w:rsidRPr="005A5BE4" w:rsidP="00F368C2">
      <w:pPr>
        <w:pStyle w:val="ANS"/>
        <w:numPr>
          <w:ilvl w:val="1"/>
          <w:numId w:val="3"/>
        </w:numPr>
        <w:tabs>
          <w:tab w:val="clear" w:pos="0"/>
        </w:tabs>
        <w:ind w:left="720" w:hanging="720"/>
        <w:rPr>
          <w:rFonts w:cs="Times New Roman"/>
          <w:szCs w:val="24"/>
        </w:rPr>
      </w:pPr>
      <w:r w:rsidRPr="005A5BE4">
        <w:rPr>
          <w:rFonts w:cs="Times New Roman"/>
          <w:szCs w:val="24"/>
        </w:rPr>
        <w:tab/>
      </w:r>
      <w:bookmarkStart w:id="6" w:name="_Toc395778100"/>
      <w:r w:rsidRPr="005A5BE4">
        <w:rPr>
          <w:rFonts w:cs="Times New Roman"/>
          <w:szCs w:val="24"/>
        </w:rPr>
        <w:t>Yes.  As a regulatory analyst for the Commission, I conducted numerous studies and accounting examinations related to tariff filings and other regulatory filings by businesses regulated by the Commission, particularly solid waste collection companies, various other transportation companies and water utilities.  I was the lead staff analyst for the UTC on each filing of Olympic Pipeline Company since 2003 and was the lead analyst in the U.S. Ecology filings since 1995 until my retirement.</w:t>
      </w:r>
      <w:bookmarkEnd w:id="6"/>
    </w:p>
    <w:p w:rsidR="000D2DE1" w:rsidRPr="005A5BE4" w:rsidP="00F368C2">
      <w:pPr>
        <w:pStyle w:val="QUESTION"/>
        <w:numPr>
          <w:ilvl w:val="1"/>
          <w:numId w:val="3"/>
        </w:numPr>
        <w:tabs>
          <w:tab w:val="clear" w:pos="0"/>
        </w:tabs>
        <w:ind w:left="720" w:hanging="720"/>
        <w:rPr>
          <w:rFonts w:cs="Times New Roman"/>
          <w:szCs w:val="24"/>
        </w:rPr>
      </w:pPr>
      <w:bookmarkStart w:id="7" w:name="_Toc395778101"/>
      <w:r w:rsidRPr="005A5BE4">
        <w:rPr>
          <w:rFonts w:cs="Times New Roman"/>
          <w:szCs w:val="24"/>
        </w:rPr>
        <w:t>q.</w:t>
      </w:r>
      <w:r w:rsidRPr="005A5BE4">
        <w:rPr>
          <w:rFonts w:cs="Times New Roman"/>
          <w:szCs w:val="24"/>
        </w:rPr>
        <w:tab/>
        <w:t>regarding solid waste general rate case filings, what is your particular experience?</w:t>
      </w:r>
      <w:bookmarkEnd w:id="7"/>
    </w:p>
    <w:p w:rsidR="000D2DE1" w:rsidRPr="005A5BE4" w:rsidP="00E82BD9">
      <w:pPr>
        <w:pStyle w:val="ANS"/>
        <w:numPr>
          <w:ilvl w:val="1"/>
          <w:numId w:val="3"/>
        </w:numPr>
        <w:tabs>
          <w:tab w:val="clear" w:pos="0"/>
        </w:tabs>
        <w:spacing w:after="0"/>
        <w:ind w:left="720" w:hanging="720"/>
        <w:rPr>
          <w:rFonts w:cs="Times New Roman"/>
          <w:szCs w:val="24"/>
        </w:rPr>
      </w:pPr>
      <w:bookmarkStart w:id="8" w:name="_Toc395778102"/>
      <w:r w:rsidRPr="005A5BE4">
        <w:rPr>
          <w:rFonts w:cs="Times New Roman"/>
          <w:szCs w:val="24"/>
        </w:rPr>
        <w:t>A.</w:t>
      </w:r>
      <w:r w:rsidRPr="005A5BE4">
        <w:rPr>
          <w:rFonts w:cs="Times New Roman"/>
          <w:szCs w:val="24"/>
        </w:rPr>
        <w:tab/>
        <w:t>I have performed scores of audits on solid waste collection companies regulated by the UTC, both class A and class B, and have been closely involved in applying the Lurito-Gallagher methodology in rate case assessments since its instigation by the Commission in 1988.</w:t>
      </w:r>
      <w:bookmarkEnd w:id="8"/>
    </w:p>
    <w:p w:rsidR="000D2DE1" w:rsidRPr="005A5BE4" w:rsidP="00E82BD9">
      <w:pPr>
        <w:pStyle w:val="HEADINGCENTERED"/>
        <w:keepNext/>
        <w:keepLines/>
        <w:widowControl w:val="0"/>
        <w:spacing w:after="240" w:line="240" w:lineRule="exact"/>
      </w:pPr>
      <w:bookmarkStart w:id="9" w:name="_Toc396305771"/>
      <w:r w:rsidRPr="005A5BE4">
        <w:t>II.  ROLE AND PURPOSE OF TESTIMONY</w:t>
      </w:r>
      <w:bookmarkEnd w:id="9"/>
    </w:p>
    <w:p w:rsidR="000D2DE1" w:rsidRPr="005A5BE4" w:rsidP="0078516A">
      <w:pPr>
        <w:pStyle w:val="Style2"/>
        <w:numPr>
          <w:ilvl w:val="1"/>
          <w:numId w:val="3"/>
        </w:numPr>
        <w:tabs>
          <w:tab w:val="clear" w:pos="0"/>
        </w:tabs>
        <w:spacing w:line="240" w:lineRule="exact"/>
        <w:ind w:left="720" w:hanging="720"/>
        <w:rPr>
          <w:rFonts w:cs="Times New Roman"/>
          <w:szCs w:val="24"/>
        </w:rPr>
      </w:pPr>
      <w:bookmarkStart w:id="10" w:name="_Toc395778103"/>
      <w:r w:rsidRPr="005A5BE4">
        <w:rPr>
          <w:rFonts w:cs="Times New Roman"/>
          <w:szCs w:val="24"/>
        </w:rPr>
        <w:t>Q.</w:t>
      </w:r>
      <w:r w:rsidRPr="005A5BE4">
        <w:rPr>
          <w:rFonts w:cs="Times New Roman"/>
          <w:szCs w:val="24"/>
        </w:rPr>
        <w:tab/>
        <w:t>PLEASE DESCRIBE YOUR ROLE IN SUBMITTING REBUTTAL TESTIMONY ON THE COMPANY’S BEHALF IN THIS CASE</w:t>
      </w:r>
      <w:bookmarkEnd w:id="10"/>
    </w:p>
    <w:p w:rsidR="000D2DE1" w:rsidP="00E82BD9">
      <w:pPr>
        <w:pStyle w:val="Style2"/>
        <w:keepNext w:val="0"/>
        <w:numPr>
          <w:ilvl w:val="1"/>
          <w:numId w:val="3"/>
        </w:numPr>
        <w:tabs>
          <w:tab w:val="clear" w:pos="0"/>
        </w:tabs>
        <w:spacing w:after="0" w:line="480" w:lineRule="exact"/>
        <w:ind w:left="720" w:hanging="720"/>
        <w:rPr>
          <w:rFonts w:eastAsiaTheme="minorHAnsi"/>
          <w:b w:val="0"/>
          <w:bCs w:val="0"/>
          <w:iCs w:val="0"/>
        </w:rPr>
      </w:pPr>
      <w:r w:rsidRPr="005A5BE4">
        <w:rPr>
          <w:rFonts w:cs="Times New Roman"/>
          <w:b w:val="0"/>
          <w:szCs w:val="24"/>
        </w:rPr>
        <w:t>A.</w:t>
      </w:r>
      <w:r w:rsidRPr="005A5BE4">
        <w:rPr>
          <w:rFonts w:cs="Times New Roman"/>
          <w:szCs w:val="24"/>
        </w:rPr>
        <w:tab/>
      </w:r>
      <w:r w:rsidRPr="00E82BD9">
        <w:rPr>
          <w:rFonts w:eastAsiaTheme="minorHAnsi"/>
          <w:b w:val="0"/>
          <w:bCs w:val="0"/>
          <w:iCs w:val="0"/>
        </w:rPr>
        <w:t>Yes.  I was given a few discrete assignments here.  First, I was asked to review recent general rate case files at the Commission for privately-held solid waste collection companies going back over the last three or so years.</w:t>
      </w:r>
    </w:p>
    <w:p w:rsidR="000D2DE1" w:rsidRPr="005A5BE4" w:rsidP="00E82BD9">
      <w:pPr>
        <w:pStyle w:val="QUESTION"/>
        <w:numPr>
          <w:ilvl w:val="1"/>
          <w:numId w:val="3"/>
        </w:numPr>
        <w:tabs>
          <w:tab w:val="clear" w:pos="0"/>
        </w:tabs>
        <w:ind w:left="720" w:hanging="720"/>
        <w:rPr>
          <w:rFonts w:cs="Times New Roman"/>
          <w:szCs w:val="24"/>
        </w:rPr>
      </w:pPr>
      <w:bookmarkStart w:id="11" w:name="_Toc395778104"/>
      <w:r w:rsidRPr="005A5BE4">
        <w:rPr>
          <w:rFonts w:cs="Times New Roman"/>
          <w:szCs w:val="24"/>
        </w:rPr>
        <w:t>q.</w:t>
      </w:r>
      <w:r w:rsidRPr="005A5BE4">
        <w:rPr>
          <w:rFonts w:cs="Times New Roman"/>
          <w:szCs w:val="24"/>
        </w:rPr>
        <w:tab/>
        <w:t>for what purpose?</w:t>
      </w:r>
      <w:bookmarkEnd w:id="11"/>
    </w:p>
    <w:p w:rsidR="000D2DE1" w:rsidRPr="005A5BE4" w:rsidP="00E82BD9">
      <w:pPr>
        <w:pStyle w:val="answerLD"/>
        <w:widowControl/>
      </w:pPr>
      <w:r w:rsidRPr="005A5BE4">
        <w:t>A.</w:t>
      </w:r>
      <w:r w:rsidRPr="005A5BE4">
        <w:tab/>
        <w:t>To review staff workpapers attached to the companies’ filings in an effort to evaluate/compare previous Staff-identified cost allocators in relation to this case for Land/Building Rents expenses and particularly, treatment of debt, cost of equity and return on investment approaches in those filings in attempt to reconcile the approach taken by staff in this Waste Control, Inc., (“WCI”), filing.  I was also to determine the cost allocations in the sampled rate cases to separate regulated from nonregulated operations.</w:t>
      </w:r>
    </w:p>
    <w:p w:rsidR="000D2DE1" w:rsidRPr="005A5BE4" w:rsidP="00E82BD9">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and what did you find?</w:t>
      </w:r>
    </w:p>
    <w:p w:rsidR="000D2DE1" w:rsidRPr="005A5BE4" w:rsidP="00E82BD9">
      <w:pPr>
        <w:pStyle w:val="ANS"/>
        <w:spacing w:after="0"/>
      </w:pPr>
      <w:r w:rsidRPr="005A5BE4">
        <w:t xml:space="preserve">I reviewed a total of twelve rate case files.  I was looking for any and all references to the issues described above.  I found several cases with consistency in the allocation factors used in separating regulated and nonregulated expenses.  The methods used by WCI in its general rate case are consistent with what I found in the workpaper files.  In general, the capital structure, cost of debt, and return on equity as filed by WCI echo the few rate case files I found that had similar transactions.  In every case, the return on equity was set at 15%.  Unfortunately, this specific information is not always presented uniformly throughout all rate cases I inspected with approximately three covering each of the topics above but often not the same three filings.  However, even though the relatively sparse information I was identifying in these cases was somewhat disappointing, the underlying organization of each of the cases I reviewed was quite similar to WCI’s filed case.  Also, in not one case of the twelve I reviewed were the methodologies such as proposed by </w:t>
      </w:r>
      <w:r w:rsidRPr="005A5BE4">
        <w:t xml:space="preserve">Staff here for allocations, treatment of debt, cost of equity and return on investments utilized by Staff there in those other filings.  </w:t>
      </w:r>
    </w:p>
    <w:p w:rsidR="000D2DE1" w:rsidRPr="005A5BE4" w:rsidP="00F368C2">
      <w:pPr>
        <w:pStyle w:val="QUESTION"/>
        <w:numPr>
          <w:ilvl w:val="1"/>
          <w:numId w:val="3"/>
        </w:numPr>
        <w:tabs>
          <w:tab w:val="clear" w:pos="0"/>
        </w:tabs>
        <w:ind w:left="720" w:hanging="720"/>
        <w:rPr>
          <w:rFonts w:cs="Times New Roman"/>
          <w:szCs w:val="24"/>
        </w:rPr>
      </w:pPr>
      <w:bookmarkStart w:id="12" w:name="_Toc395778105"/>
      <w:r w:rsidRPr="005A5BE4">
        <w:rPr>
          <w:rFonts w:cs="Times New Roman"/>
          <w:szCs w:val="24"/>
        </w:rPr>
        <w:t>q.</w:t>
      </w:r>
      <w:r w:rsidRPr="005A5BE4">
        <w:rPr>
          <w:rFonts w:cs="Times New Roman"/>
          <w:szCs w:val="24"/>
        </w:rPr>
        <w:tab/>
        <w:t>what was your other general assignment?</w:t>
      </w:r>
      <w:bookmarkEnd w:id="12"/>
    </w:p>
    <w:p w:rsidR="000D2DE1" w:rsidRPr="005A5BE4" w:rsidP="000D2DE1">
      <w:pPr>
        <w:pStyle w:val="answerLD"/>
      </w:pPr>
      <w:r w:rsidRPr="005A5BE4">
        <w:t>A.</w:t>
      </w:r>
      <w:r w:rsidRPr="005A5BE4">
        <w:tab/>
        <w:t>I was asked to generally assess the Staff’s WCI capital structure recommendations and Lurito-Gallagher inputs and rationale based on my knowledge of Lurito-Gallagher methodology and to look closely, in light of all of the above, at three specific allocation issues: Land Rent, the Three-Factor Allocation method and Staff’s recreated results of operations for the City of Kalama.</w:t>
      </w:r>
    </w:p>
    <w:p w:rsidR="000D2DE1" w:rsidRPr="005A5BE4" w:rsidP="000D2DE1">
      <w:pPr>
        <w:pStyle w:val="HEADINGCENTERED"/>
      </w:pPr>
      <w:bookmarkStart w:id="13" w:name="_Toc396305772"/>
      <w:r w:rsidRPr="005A5BE4">
        <w:t>III.  SELECTED TOPICS FOR RESPONSE IN STAFF’S CASE</w:t>
      </w:r>
      <w:bookmarkEnd w:id="13"/>
    </w:p>
    <w:p w:rsidR="000D2DE1" w:rsidRPr="005155DE" w:rsidP="00F368C2">
      <w:pPr>
        <w:pStyle w:val="Heading2"/>
        <w:widowControl/>
        <w:numPr>
          <w:ilvl w:val="1"/>
          <w:numId w:val="3"/>
        </w:numPr>
        <w:tabs>
          <w:tab w:val="clear" w:pos="0"/>
          <w:tab w:val="clear" w:pos="720"/>
        </w:tabs>
        <w:spacing w:before="200" w:after="0"/>
        <w:rPr>
          <w:rFonts w:ascii="Times New Roman" w:hAnsi="Times New Roman" w:cs="Times New Roman"/>
          <w:b/>
          <w:sz w:val="24"/>
          <w:szCs w:val="24"/>
          <w:u w:val="none"/>
        </w:rPr>
      </w:pPr>
      <w:bookmarkStart w:id="14" w:name="_Toc396305773"/>
      <w:r w:rsidRPr="005155DE">
        <w:rPr>
          <w:rFonts w:ascii="Times New Roman" w:hAnsi="Times New Roman" w:cs="Times New Roman"/>
          <w:b/>
          <w:sz w:val="24"/>
          <w:szCs w:val="24"/>
          <w:u w:val="none"/>
        </w:rPr>
        <w:t>1.</w:t>
      </w:r>
      <w:r w:rsidRPr="005155DE">
        <w:rPr>
          <w:rFonts w:ascii="Times New Roman" w:hAnsi="Times New Roman" w:cs="Times New Roman"/>
          <w:b/>
          <w:sz w:val="24"/>
          <w:szCs w:val="24"/>
          <w:u w:val="none"/>
        </w:rPr>
        <w:tab/>
        <w:t>Land and Building Rents</w:t>
      </w:r>
      <w:bookmarkEnd w:id="14"/>
    </w:p>
    <w:p w:rsidR="000D2DE1" w:rsidRPr="005A5BE4" w:rsidP="000D2DE1">
      <w:pPr>
        <w:pStyle w:val="BodyText2"/>
        <w:rPr>
          <w:rFonts w:ascii="Times New Roman" w:hAnsi="Times New Roman" w:cs="Times New Roman"/>
          <w:sz w:val="24"/>
          <w:szCs w:val="24"/>
        </w:rPr>
      </w:pPr>
    </w:p>
    <w:p w:rsidR="000D2DE1" w:rsidRPr="005A5BE4" w:rsidP="00F368C2">
      <w:pPr>
        <w:pStyle w:val="QUESTION"/>
        <w:numPr>
          <w:ilvl w:val="1"/>
          <w:numId w:val="3"/>
        </w:numPr>
        <w:tabs>
          <w:tab w:val="clear" w:pos="0"/>
        </w:tabs>
        <w:ind w:left="720" w:hanging="720"/>
        <w:rPr>
          <w:rFonts w:cs="Times New Roman"/>
          <w:szCs w:val="24"/>
        </w:rPr>
      </w:pPr>
      <w:bookmarkStart w:id="15" w:name="_Toc395778106"/>
      <w:r w:rsidRPr="005A5BE4">
        <w:rPr>
          <w:rFonts w:cs="Times New Roman"/>
          <w:szCs w:val="24"/>
        </w:rPr>
        <w:t>Q.</w:t>
      </w:r>
      <w:r w:rsidRPr="005A5BE4">
        <w:rPr>
          <w:rFonts w:cs="Times New Roman"/>
          <w:szCs w:val="24"/>
        </w:rPr>
        <w:tab/>
        <w:t>CAN YOU PLEASE SUMMARIZE WHY YOU BELIEVE THE STAFF’S RESTATING ADJUSTMENT OF $81,233 IS FLAWED?</w:t>
      </w:r>
      <w:bookmarkEnd w:id="15"/>
    </w:p>
    <w:p w:rsidR="000D2DE1" w:rsidRPr="001B7A22" w:rsidP="001B7A22">
      <w:pPr>
        <w:pStyle w:val="ANS"/>
      </w:pPr>
      <w:bookmarkStart w:id="16" w:name="_Toc395778107"/>
      <w:r w:rsidRPr="001B7A22">
        <w:t>A.</w:t>
      </w:r>
      <w:r w:rsidRPr="001B7A22">
        <w:tab/>
        <w:t>In my view, the Commission staff has used erroneous assumptions and flawed analyses in the three identified components of Waste Control Inc.’s land rent adjustment:  debt to equity ratio (capital structure), cost of debt, and return on equity.</w:t>
      </w:r>
      <w:bookmarkEnd w:id="16"/>
    </w:p>
    <w:p w:rsidR="000D2DE1" w:rsidRPr="005A5BE4" w:rsidP="00F368C2">
      <w:pPr>
        <w:pStyle w:val="QUESTION"/>
        <w:numPr>
          <w:ilvl w:val="1"/>
          <w:numId w:val="3"/>
        </w:numPr>
        <w:tabs>
          <w:tab w:val="clear" w:pos="0"/>
        </w:tabs>
        <w:ind w:left="720" w:hanging="720"/>
        <w:rPr>
          <w:rFonts w:cs="Times New Roman"/>
          <w:szCs w:val="24"/>
        </w:rPr>
      </w:pPr>
      <w:bookmarkStart w:id="17" w:name="_Toc395778108"/>
      <w:r w:rsidRPr="005A5BE4">
        <w:rPr>
          <w:rFonts w:cs="Times New Roman"/>
          <w:szCs w:val="24"/>
        </w:rPr>
        <w:t>Q.</w:t>
      </w:r>
      <w:r w:rsidRPr="005A5BE4">
        <w:rPr>
          <w:rFonts w:cs="Times New Roman"/>
          <w:szCs w:val="24"/>
        </w:rPr>
        <w:tab/>
        <w:t>WHAT ARE THE DiFFERENCES BETWEEN STAFF AND WCI IN THE DEBT TO EQUITY RATIO AND WHY IS IT IMPORTANT?</w:t>
      </w:r>
      <w:bookmarkEnd w:id="17"/>
      <w:r w:rsidRPr="005A5BE4">
        <w:rPr>
          <w:rFonts w:cs="Times New Roman"/>
          <w:szCs w:val="24"/>
        </w:rPr>
        <w:t xml:space="preserve"> </w:t>
      </w:r>
    </w:p>
    <w:p w:rsidR="00F368C2" w:rsidP="001B7A22">
      <w:pPr>
        <w:pStyle w:val="Style4"/>
        <w:numPr>
          <w:ilvl w:val="1"/>
          <w:numId w:val="3"/>
        </w:numPr>
        <w:tabs>
          <w:tab w:val="clear" w:pos="0"/>
        </w:tabs>
        <w:spacing w:line="480" w:lineRule="exact"/>
        <w:ind w:left="720" w:hanging="720"/>
        <w:rPr>
          <w:rFonts w:cs="Times New Roman"/>
          <w:szCs w:val="24"/>
        </w:rPr>
      </w:pPr>
      <w:bookmarkStart w:id="18" w:name="_Toc395778109"/>
      <w:r w:rsidRPr="005A5BE4">
        <w:rPr>
          <w:rFonts w:cs="Times New Roman"/>
          <w:szCs w:val="24"/>
        </w:rPr>
        <w:t>A.</w:t>
      </w:r>
      <w:r w:rsidRPr="005A5BE4">
        <w:rPr>
          <w:rFonts w:cs="Times New Roman"/>
          <w:szCs w:val="24"/>
        </w:rPr>
        <w:tab/>
        <w:t xml:space="preserve">To start off, Staff made the fundamental incorrect assumption that </w:t>
      </w:r>
      <w:r w:rsidRPr="005A5BE4">
        <w:rPr>
          <w:rFonts w:cs="Times New Roman"/>
          <w:szCs w:val="24"/>
          <w:u w:val="single"/>
        </w:rPr>
        <w:t>all</w:t>
      </w:r>
      <w:r w:rsidRPr="005A5BE4">
        <w:rPr>
          <w:rFonts w:cs="Times New Roman"/>
          <w:szCs w:val="24"/>
        </w:rPr>
        <w:t xml:space="preserve"> assets rented by </w:t>
      </w:r>
      <w:r w:rsidRPr="001B7A22">
        <w:t>HBI and HBII to affiliate companies, were leveraged with debt, when in fact only the</w:t>
      </w:r>
      <w:r w:rsidRPr="005A5BE4">
        <w:rPr>
          <w:rFonts w:cs="Times New Roman"/>
          <w:szCs w:val="24"/>
        </w:rPr>
        <w:t xml:space="preserve"> covered parking and warehouse space was financed subject to a mortgage.  The table below shows the difference in Staff’s assumptions and the Company’s analysis of these debt instruments and calculations.</w:t>
      </w:r>
      <w:bookmarkEnd w:id="18"/>
    </w:p>
    <w:p w:rsidR="00371FE2" w:rsidP="00371FE2">
      <w:pPr>
        <w:pStyle w:val="Style4"/>
        <w:numPr>
          <w:ilvl w:val="0"/>
          <w:numId w:val="0"/>
        </w:numPr>
        <w:spacing w:line="480" w:lineRule="exact"/>
        <w:ind w:left="720" w:hanging="720"/>
        <w:rPr>
          <w:rFonts w:cs="Times New Roman"/>
          <w:szCs w:val="24"/>
        </w:rPr>
      </w:pPr>
    </w:p>
    <w:p w:rsidR="00371FE2" w:rsidRPr="00F368C2" w:rsidP="00371FE2">
      <w:pPr>
        <w:pStyle w:val="Style4"/>
        <w:numPr>
          <w:ilvl w:val="0"/>
          <w:numId w:val="0"/>
        </w:numPr>
        <w:spacing w:line="480" w:lineRule="exact"/>
        <w:ind w:left="720" w:hanging="720"/>
        <w:rPr>
          <w:rFonts w:cs="Times New Roman"/>
          <w:szCs w:val="24"/>
        </w:rPr>
      </w:pPr>
    </w:p>
    <w:tbl>
      <w:tblPr>
        <w:tblStyle w:val="TableGrid"/>
        <w:tblW w:w="9720" w:type="dxa"/>
        <w:tblInd w:w="108" w:type="dxa"/>
        <w:tblLayout w:type="fixed"/>
        <w:tblLook w:val="04A0"/>
      </w:tblPr>
      <w:tblGrid>
        <w:gridCol w:w="1440"/>
        <w:gridCol w:w="1080"/>
        <w:gridCol w:w="1170"/>
        <w:gridCol w:w="1170"/>
        <w:gridCol w:w="900"/>
        <w:gridCol w:w="124"/>
        <w:gridCol w:w="1046"/>
        <w:gridCol w:w="1080"/>
        <w:gridCol w:w="810"/>
        <w:gridCol w:w="810"/>
        <w:gridCol w:w="90"/>
      </w:tblGrid>
      <w:tr w:rsidTr="00F368C2">
        <w:tblPrEx>
          <w:tblW w:w="9720" w:type="dxa"/>
          <w:tblInd w:w="108" w:type="dxa"/>
          <w:tblLayout w:type="fixed"/>
          <w:tblLook w:val="04A0"/>
        </w:tblPrEx>
        <w:trPr>
          <w:gridAfter w:val="1"/>
          <w:wAfter w:w="90" w:type="dxa"/>
          <w:trHeight w:val="264"/>
          <w:tblHeader/>
        </w:trPr>
        <w:tc>
          <w:tcPr>
            <w:tcW w:w="9630" w:type="dxa"/>
            <w:gridSpan w:val="10"/>
            <w:tcBorders>
              <w:top w:val="nil"/>
              <w:left w:val="nil"/>
              <w:bottom w:val="single" w:sz="4" w:space="0" w:color="auto"/>
              <w:right w:val="nil"/>
            </w:tcBorders>
          </w:tcPr>
          <w:p w:rsidR="000D2DE1" w:rsidRPr="006B2353" w:rsidP="0063320B">
            <w:pPr>
              <w:rPr>
                <w:b/>
              </w:rPr>
            </w:pPr>
            <w:r>
              <w:rPr>
                <w:b/>
              </w:rPr>
              <w:t>Demas Table No. 1</w:t>
            </w:r>
          </w:p>
        </w:tc>
      </w:tr>
      <w:tr w:rsidTr="00F368C2">
        <w:tblPrEx>
          <w:tblW w:w="9720" w:type="dxa"/>
          <w:tblInd w:w="108" w:type="dxa"/>
          <w:tblLayout w:type="fixed"/>
          <w:tblLook w:val="04A0"/>
        </w:tblPrEx>
        <w:trPr>
          <w:trHeight w:val="144"/>
          <w:tblHeader/>
        </w:trPr>
        <w:tc>
          <w:tcPr>
            <w:tcW w:w="1440" w:type="dxa"/>
            <w:tcBorders>
              <w:top w:val="single" w:sz="4" w:space="0" w:color="auto"/>
            </w:tcBorders>
          </w:tcPr>
          <w:p w:rsidR="000D2DE1" w:rsidRPr="005A5BE4" w:rsidP="0063320B">
            <w:pPr>
              <w:rPr>
                <w:rFonts w:ascii="Times New Roman" w:hAnsi="Times New Roman" w:cs="Times New Roman"/>
                <w:b/>
                <w:sz w:val="20"/>
                <w:szCs w:val="20"/>
              </w:rPr>
            </w:pPr>
            <w:r w:rsidRPr="005A5BE4">
              <w:rPr>
                <w:rFonts w:ascii="Times New Roman" w:hAnsi="Times New Roman" w:cs="Times New Roman"/>
                <w:b/>
                <w:sz w:val="20"/>
                <w:szCs w:val="20"/>
              </w:rPr>
              <w:t>Property</w:t>
            </w:r>
          </w:p>
        </w:tc>
        <w:tc>
          <w:tcPr>
            <w:tcW w:w="4320" w:type="dxa"/>
            <w:gridSpan w:val="4"/>
            <w:tcBorders>
              <w:top w:val="single" w:sz="4" w:space="0" w:color="auto"/>
            </w:tcBorders>
          </w:tcPr>
          <w:p w:rsidR="000D2DE1" w:rsidRPr="005A5BE4" w:rsidP="008778A9">
            <w:pPr>
              <w:spacing w:line="240" w:lineRule="auto"/>
              <w:rPr>
                <w:rFonts w:ascii="Times New Roman" w:hAnsi="Times New Roman" w:cs="Times New Roman"/>
                <w:b/>
                <w:sz w:val="20"/>
                <w:szCs w:val="20"/>
              </w:rPr>
            </w:pPr>
            <w:r w:rsidRPr="005A5BE4">
              <w:rPr>
                <w:rFonts w:ascii="Times New Roman" w:hAnsi="Times New Roman" w:cs="Times New Roman"/>
                <w:b/>
                <w:sz w:val="20"/>
                <w:szCs w:val="20"/>
              </w:rPr>
              <w:t>Staff Assumptions</w:t>
            </w:r>
            <w:r w:rsidR="008778A9">
              <w:rPr>
                <w:rFonts w:ascii="Times New Roman" w:hAnsi="Times New Roman" w:cs="Times New Roman"/>
                <w:b/>
                <w:sz w:val="20"/>
                <w:szCs w:val="20"/>
              </w:rPr>
              <w:br/>
            </w:r>
            <w:r w:rsidRPr="005A5BE4">
              <w:rPr>
                <w:rFonts w:ascii="Times New Roman" w:hAnsi="Times New Roman" w:cs="Times New Roman"/>
                <w:b/>
                <w:sz w:val="20"/>
                <w:szCs w:val="20"/>
              </w:rPr>
              <w:t xml:space="preserve">Source: Staff Data Request No. 5 Response, </w:t>
            </w:r>
            <w:r w:rsidR="008778A9">
              <w:rPr>
                <w:rFonts w:ascii="Times New Roman" w:hAnsi="Times New Roman" w:cs="Times New Roman"/>
                <w:b/>
                <w:sz w:val="20"/>
                <w:szCs w:val="20"/>
              </w:rPr>
              <w:br/>
            </w:r>
            <w:r w:rsidRPr="005A5BE4">
              <w:rPr>
                <w:rFonts w:ascii="Times New Roman" w:hAnsi="Times New Roman" w:cs="Times New Roman"/>
                <w:b/>
                <w:sz w:val="20"/>
                <w:szCs w:val="20"/>
              </w:rPr>
              <w:t>May 23 and 28, 2014</w:t>
            </w:r>
          </w:p>
        </w:tc>
        <w:tc>
          <w:tcPr>
            <w:tcW w:w="3960" w:type="dxa"/>
            <w:gridSpan w:val="6"/>
            <w:tcBorders>
              <w:top w:val="single" w:sz="4" w:space="0" w:color="auto"/>
            </w:tcBorders>
          </w:tcPr>
          <w:p w:rsidR="000D2DE1" w:rsidRPr="005A5BE4" w:rsidP="008778A9">
            <w:pPr>
              <w:spacing w:line="240" w:lineRule="auto"/>
              <w:rPr>
                <w:rFonts w:ascii="Times New Roman" w:hAnsi="Times New Roman" w:cs="Times New Roman"/>
                <w:b/>
                <w:sz w:val="20"/>
                <w:szCs w:val="20"/>
              </w:rPr>
            </w:pPr>
            <w:r w:rsidRPr="005A5BE4">
              <w:rPr>
                <w:rFonts w:ascii="Times New Roman" w:hAnsi="Times New Roman" w:cs="Times New Roman"/>
                <w:b/>
                <w:sz w:val="20"/>
                <w:szCs w:val="20"/>
              </w:rPr>
              <w:t>Company Analysis</w:t>
            </w:r>
            <w:r w:rsidR="008778A9">
              <w:rPr>
                <w:rFonts w:ascii="Times New Roman" w:hAnsi="Times New Roman" w:cs="Times New Roman"/>
                <w:b/>
                <w:sz w:val="20"/>
                <w:szCs w:val="20"/>
              </w:rPr>
              <w:br/>
            </w:r>
            <w:r w:rsidRPr="005A5BE4">
              <w:rPr>
                <w:rFonts w:ascii="Times New Roman" w:hAnsi="Times New Roman" w:cs="Times New Roman"/>
                <w:b/>
                <w:sz w:val="20"/>
                <w:szCs w:val="20"/>
              </w:rPr>
              <w:t>Source:  Exhibit JD-43</w:t>
            </w:r>
          </w:p>
        </w:tc>
      </w:tr>
      <w:tr w:rsidTr="00F368C2">
        <w:tblPrEx>
          <w:tblW w:w="9720" w:type="dxa"/>
          <w:tblInd w:w="108" w:type="dxa"/>
          <w:tblLayout w:type="fixed"/>
          <w:tblLook w:val="04A0"/>
        </w:tblPrEx>
        <w:trPr>
          <w:trHeight w:val="528"/>
        </w:trPr>
        <w:tc>
          <w:tcPr>
            <w:tcW w:w="1440" w:type="dxa"/>
          </w:tcPr>
          <w:p w:rsidR="000D2DE1" w:rsidP="0063320B"/>
        </w:tc>
        <w:tc>
          <w:tcPr>
            <w:tcW w:w="1080" w:type="dxa"/>
          </w:tcPr>
          <w:p w:rsidR="000D2DE1" w:rsidRPr="002B4643" w:rsidP="0063320B">
            <w:pPr>
              <w:rPr>
                <w:sz w:val="18"/>
                <w:szCs w:val="18"/>
              </w:rPr>
            </w:pPr>
            <w:r w:rsidRPr="002B4643">
              <w:rPr>
                <w:sz w:val="18"/>
                <w:szCs w:val="18"/>
              </w:rPr>
              <w:t>Debt percentage</w:t>
            </w:r>
          </w:p>
        </w:tc>
        <w:tc>
          <w:tcPr>
            <w:tcW w:w="1170" w:type="dxa"/>
          </w:tcPr>
          <w:p w:rsidR="000D2DE1" w:rsidP="0063320B">
            <w:r w:rsidRPr="002B4643">
              <w:rPr>
                <w:sz w:val="18"/>
                <w:szCs w:val="18"/>
              </w:rPr>
              <w:t>Equity percentage</w:t>
            </w:r>
          </w:p>
        </w:tc>
        <w:tc>
          <w:tcPr>
            <w:tcW w:w="1170" w:type="dxa"/>
          </w:tcPr>
          <w:p w:rsidR="000D2DE1" w:rsidP="0063320B">
            <w:r w:rsidRPr="00AA6B4C">
              <w:rPr>
                <w:sz w:val="18"/>
                <w:szCs w:val="18"/>
              </w:rPr>
              <w:t>Cost of Debt</w:t>
            </w:r>
          </w:p>
        </w:tc>
        <w:tc>
          <w:tcPr>
            <w:tcW w:w="1024" w:type="dxa"/>
            <w:gridSpan w:val="2"/>
          </w:tcPr>
          <w:p w:rsidR="000D2DE1" w:rsidP="0063320B">
            <w:r w:rsidRPr="00AA6B4C">
              <w:rPr>
                <w:sz w:val="18"/>
                <w:szCs w:val="18"/>
              </w:rPr>
              <w:t>Return on equity</w:t>
            </w:r>
          </w:p>
        </w:tc>
        <w:tc>
          <w:tcPr>
            <w:tcW w:w="1046" w:type="dxa"/>
          </w:tcPr>
          <w:p w:rsidR="000D2DE1" w:rsidP="0063320B">
            <w:r w:rsidRPr="002B4643">
              <w:rPr>
                <w:sz w:val="18"/>
                <w:szCs w:val="18"/>
              </w:rPr>
              <w:t>Debt percentage</w:t>
            </w:r>
          </w:p>
        </w:tc>
        <w:tc>
          <w:tcPr>
            <w:tcW w:w="1080" w:type="dxa"/>
          </w:tcPr>
          <w:p w:rsidR="000D2DE1" w:rsidP="0063320B">
            <w:r w:rsidRPr="002B4643">
              <w:rPr>
                <w:sz w:val="18"/>
                <w:szCs w:val="18"/>
              </w:rPr>
              <w:t>Equity percentage</w:t>
            </w:r>
          </w:p>
        </w:tc>
        <w:tc>
          <w:tcPr>
            <w:tcW w:w="810" w:type="dxa"/>
          </w:tcPr>
          <w:p w:rsidR="000D2DE1" w:rsidP="0063320B">
            <w:r w:rsidRPr="00AA6B4C">
              <w:rPr>
                <w:sz w:val="18"/>
                <w:szCs w:val="18"/>
              </w:rPr>
              <w:t>Cost of Debt</w:t>
            </w:r>
          </w:p>
        </w:tc>
        <w:tc>
          <w:tcPr>
            <w:tcW w:w="900" w:type="dxa"/>
            <w:gridSpan w:val="2"/>
          </w:tcPr>
          <w:p w:rsidR="000D2DE1" w:rsidP="0063320B">
            <w:r w:rsidRPr="00AA6B4C">
              <w:rPr>
                <w:sz w:val="18"/>
                <w:szCs w:val="18"/>
              </w:rPr>
              <w:t>Return on equity</w:t>
            </w:r>
          </w:p>
        </w:tc>
      </w:tr>
      <w:tr w:rsidTr="00F368C2">
        <w:tblPrEx>
          <w:tblW w:w="9720" w:type="dxa"/>
          <w:tblInd w:w="108" w:type="dxa"/>
          <w:tblLayout w:type="fixed"/>
          <w:tblLook w:val="04A0"/>
        </w:tblPrEx>
        <w:trPr>
          <w:trHeight w:val="418"/>
        </w:trPr>
        <w:tc>
          <w:tcPr>
            <w:tcW w:w="1440" w:type="dxa"/>
          </w:tcPr>
          <w:p w:rsidR="000D2DE1" w:rsidRPr="00AA6B4C" w:rsidP="0063320B">
            <w:pPr>
              <w:rPr>
                <w:sz w:val="18"/>
                <w:szCs w:val="18"/>
              </w:rPr>
            </w:pPr>
            <w:r w:rsidRPr="00AA6B4C">
              <w:rPr>
                <w:sz w:val="18"/>
                <w:szCs w:val="18"/>
              </w:rPr>
              <w:t>1150 3</w:t>
            </w:r>
            <w:r w:rsidRPr="00AA6B4C">
              <w:rPr>
                <w:sz w:val="18"/>
                <w:szCs w:val="18"/>
                <w:vertAlign w:val="superscript"/>
              </w:rPr>
              <w:t>rd</w:t>
            </w:r>
            <w:r w:rsidRPr="00AA6B4C">
              <w:rPr>
                <w:sz w:val="18"/>
                <w:szCs w:val="18"/>
              </w:rPr>
              <w:t xml:space="preserve"> Ave- Comm</w:t>
            </w:r>
          </w:p>
        </w:tc>
        <w:tc>
          <w:tcPr>
            <w:tcW w:w="1080" w:type="dxa"/>
          </w:tcPr>
          <w:p w:rsidR="000D2DE1" w:rsidP="008778A9">
            <w:r>
              <w:rPr>
                <w:rFonts w:ascii="Calibri" w:hAnsi="Calibri"/>
                <w:b/>
                <w:bCs/>
                <w:color w:val="7030A0"/>
                <w:sz w:val="20"/>
                <w:szCs w:val="20"/>
              </w:rPr>
              <w:t>93.67%</w:t>
            </w:r>
          </w:p>
        </w:tc>
        <w:tc>
          <w:tcPr>
            <w:tcW w:w="1170" w:type="dxa"/>
          </w:tcPr>
          <w:p w:rsidR="000D2DE1" w:rsidP="008778A9">
            <w:r>
              <w:rPr>
                <w:rFonts w:ascii="Calibri" w:hAnsi="Calibri"/>
                <w:b/>
                <w:bCs/>
                <w:color w:val="7030A0"/>
                <w:sz w:val="20"/>
                <w:szCs w:val="20"/>
              </w:rPr>
              <w:t>6.33%</w:t>
            </w:r>
          </w:p>
        </w:tc>
        <w:tc>
          <w:tcPr>
            <w:tcW w:w="1170" w:type="dxa"/>
          </w:tcPr>
          <w:p w:rsidR="000D2DE1" w:rsidP="00F368C2">
            <w:r>
              <w:rPr>
                <w:rFonts w:ascii="Calibri" w:hAnsi="Calibri"/>
                <w:b/>
                <w:bCs/>
                <w:color w:val="7030A0"/>
                <w:sz w:val="20"/>
                <w:szCs w:val="20"/>
              </w:rPr>
              <w:t>1.93%</w:t>
            </w:r>
          </w:p>
        </w:tc>
        <w:tc>
          <w:tcPr>
            <w:tcW w:w="1024" w:type="dxa"/>
            <w:gridSpan w:val="2"/>
          </w:tcPr>
          <w:p w:rsidR="000D2DE1" w:rsidP="008778A9">
            <w:r>
              <w:rPr>
                <w:rFonts w:ascii="Calibri" w:hAnsi="Calibri"/>
                <w:b/>
                <w:bCs/>
                <w:color w:val="7030A0"/>
                <w:sz w:val="20"/>
                <w:szCs w:val="20"/>
              </w:rPr>
              <w:t>12.52%</w:t>
            </w:r>
          </w:p>
        </w:tc>
        <w:tc>
          <w:tcPr>
            <w:tcW w:w="1046"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0%</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100%</w:t>
            </w:r>
          </w:p>
        </w:tc>
        <w:tc>
          <w:tcPr>
            <w:tcW w:w="81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NA</w:t>
            </w:r>
          </w:p>
        </w:tc>
        <w:tc>
          <w:tcPr>
            <w:tcW w:w="900" w:type="dxa"/>
            <w:gridSpan w:val="2"/>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15%</w:t>
            </w:r>
          </w:p>
        </w:tc>
      </w:tr>
      <w:tr w:rsidTr="00F368C2">
        <w:tblPrEx>
          <w:tblW w:w="9720" w:type="dxa"/>
          <w:tblInd w:w="108" w:type="dxa"/>
          <w:tblLayout w:type="fixed"/>
          <w:tblLook w:val="04A0"/>
        </w:tblPrEx>
        <w:trPr>
          <w:trHeight w:val="254"/>
        </w:trPr>
        <w:tc>
          <w:tcPr>
            <w:tcW w:w="1440" w:type="dxa"/>
          </w:tcPr>
          <w:p w:rsidR="000D2DE1" w:rsidP="0063320B">
            <w:r w:rsidRPr="00AA47FC">
              <w:rPr>
                <w:sz w:val="18"/>
                <w:szCs w:val="18"/>
              </w:rPr>
              <w:t>950 3rd Ave – Covered Parking</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93.67%</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6.33%</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1.93%</w:t>
            </w:r>
          </w:p>
        </w:tc>
        <w:tc>
          <w:tcPr>
            <w:tcW w:w="1024" w:type="dxa"/>
            <w:gridSpan w:val="2"/>
          </w:tcPr>
          <w:p w:rsidR="000D2DE1" w:rsidRPr="00524FC4" w:rsidP="0063320B">
            <w:pPr>
              <w:rPr>
                <w:rFonts w:ascii="Calibri" w:hAnsi="Calibri"/>
                <w:b/>
                <w:bCs/>
                <w:color w:val="7030A0"/>
                <w:sz w:val="20"/>
                <w:szCs w:val="20"/>
              </w:rPr>
            </w:pPr>
            <w:r>
              <w:rPr>
                <w:rFonts w:ascii="Calibri" w:hAnsi="Calibri"/>
                <w:b/>
                <w:bCs/>
                <w:color w:val="7030A0"/>
                <w:sz w:val="20"/>
                <w:szCs w:val="20"/>
              </w:rPr>
              <w:t>12.5</w:t>
            </w:r>
            <w:r w:rsidRPr="00524FC4">
              <w:rPr>
                <w:rFonts w:ascii="Calibri" w:hAnsi="Calibri"/>
                <w:b/>
                <w:bCs/>
                <w:color w:val="7030A0"/>
                <w:sz w:val="20"/>
                <w:szCs w:val="20"/>
              </w:rPr>
              <w:t>2%</w:t>
            </w:r>
          </w:p>
        </w:tc>
        <w:tc>
          <w:tcPr>
            <w:tcW w:w="1046" w:type="dxa"/>
          </w:tcPr>
          <w:p w:rsidR="000D2DE1" w:rsidRPr="00524FC4" w:rsidP="00F368C2">
            <w:pPr>
              <w:rPr>
                <w:rFonts w:ascii="Calibri" w:hAnsi="Calibri"/>
                <w:b/>
                <w:bCs/>
                <w:color w:val="7030A0"/>
                <w:sz w:val="20"/>
                <w:szCs w:val="20"/>
              </w:rPr>
            </w:pPr>
            <w:r>
              <w:rPr>
                <w:rFonts w:ascii="Calibri" w:hAnsi="Calibri"/>
                <w:b/>
                <w:bCs/>
                <w:color w:val="7030A0"/>
                <w:sz w:val="20"/>
                <w:szCs w:val="20"/>
              </w:rPr>
              <w:t>75.34</w:t>
            </w:r>
            <w:r w:rsidRPr="00524FC4">
              <w:rPr>
                <w:rFonts w:ascii="Calibri" w:hAnsi="Calibri"/>
                <w:b/>
                <w:bCs/>
                <w:color w:val="7030A0"/>
                <w:sz w:val="20"/>
                <w:szCs w:val="20"/>
              </w:rPr>
              <w:t xml:space="preserve">% </w:t>
            </w:r>
          </w:p>
        </w:tc>
        <w:tc>
          <w:tcPr>
            <w:tcW w:w="1080" w:type="dxa"/>
          </w:tcPr>
          <w:p w:rsidR="000D2DE1" w:rsidRPr="00524FC4" w:rsidP="00F368C2">
            <w:pPr>
              <w:rPr>
                <w:rFonts w:ascii="Calibri" w:hAnsi="Calibri"/>
                <w:b/>
                <w:bCs/>
                <w:color w:val="7030A0"/>
                <w:sz w:val="20"/>
                <w:szCs w:val="20"/>
              </w:rPr>
            </w:pPr>
            <w:r>
              <w:rPr>
                <w:rFonts w:ascii="Calibri" w:hAnsi="Calibri"/>
                <w:b/>
                <w:bCs/>
                <w:color w:val="7030A0"/>
                <w:sz w:val="20"/>
                <w:szCs w:val="20"/>
              </w:rPr>
              <w:t>24.66</w:t>
            </w:r>
            <w:r w:rsidRPr="00524FC4">
              <w:rPr>
                <w:rFonts w:ascii="Calibri" w:hAnsi="Calibri"/>
                <w:b/>
                <w:bCs/>
                <w:color w:val="7030A0"/>
                <w:sz w:val="20"/>
                <w:szCs w:val="20"/>
              </w:rPr>
              <w:t>%</w:t>
            </w:r>
          </w:p>
        </w:tc>
        <w:tc>
          <w:tcPr>
            <w:tcW w:w="810" w:type="dxa"/>
          </w:tcPr>
          <w:p w:rsidR="000D2DE1" w:rsidRPr="00524FC4" w:rsidP="0063320B">
            <w:pPr>
              <w:rPr>
                <w:rFonts w:ascii="Calibri" w:hAnsi="Calibri"/>
                <w:b/>
                <w:bCs/>
                <w:color w:val="7030A0"/>
                <w:sz w:val="20"/>
                <w:szCs w:val="20"/>
              </w:rPr>
            </w:pPr>
            <w:r>
              <w:rPr>
                <w:rFonts w:ascii="Calibri" w:hAnsi="Calibri"/>
                <w:b/>
                <w:bCs/>
                <w:color w:val="7030A0"/>
                <w:sz w:val="20"/>
                <w:szCs w:val="20"/>
              </w:rPr>
              <w:t>2.635</w:t>
            </w:r>
            <w:r w:rsidRPr="00524FC4">
              <w:rPr>
                <w:rFonts w:ascii="Calibri" w:hAnsi="Calibri"/>
                <w:b/>
                <w:bCs/>
                <w:color w:val="7030A0"/>
                <w:sz w:val="20"/>
                <w:szCs w:val="20"/>
              </w:rPr>
              <w:t>%</w:t>
            </w:r>
          </w:p>
        </w:tc>
        <w:tc>
          <w:tcPr>
            <w:tcW w:w="900" w:type="dxa"/>
            <w:gridSpan w:val="2"/>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15%</w:t>
            </w:r>
          </w:p>
        </w:tc>
      </w:tr>
      <w:tr w:rsidTr="00F368C2">
        <w:tblPrEx>
          <w:tblW w:w="9720" w:type="dxa"/>
          <w:tblInd w:w="108" w:type="dxa"/>
          <w:tblLayout w:type="fixed"/>
          <w:tblLook w:val="04A0"/>
        </w:tblPrEx>
        <w:trPr>
          <w:trHeight w:val="418"/>
        </w:trPr>
        <w:tc>
          <w:tcPr>
            <w:tcW w:w="1440" w:type="dxa"/>
          </w:tcPr>
          <w:p w:rsidR="000D2DE1" w:rsidRPr="00617AA8" w:rsidP="0063320B">
            <w:pPr>
              <w:rPr>
                <w:sz w:val="18"/>
                <w:szCs w:val="18"/>
              </w:rPr>
            </w:pPr>
            <w:r w:rsidRPr="00617AA8">
              <w:rPr>
                <w:sz w:val="18"/>
                <w:szCs w:val="18"/>
              </w:rPr>
              <w:t>1150 3</w:t>
            </w:r>
            <w:r w:rsidRPr="00617AA8">
              <w:rPr>
                <w:sz w:val="18"/>
                <w:szCs w:val="18"/>
                <w:vertAlign w:val="superscript"/>
              </w:rPr>
              <w:t>rd</w:t>
            </w:r>
            <w:r w:rsidRPr="00617AA8">
              <w:rPr>
                <w:sz w:val="18"/>
                <w:szCs w:val="18"/>
              </w:rPr>
              <w:t xml:space="preserve"> Ave-Outside parking</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93.67%</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6.33%</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1.93%</w:t>
            </w:r>
          </w:p>
        </w:tc>
        <w:tc>
          <w:tcPr>
            <w:tcW w:w="1024" w:type="dxa"/>
            <w:gridSpan w:val="2"/>
          </w:tcPr>
          <w:p w:rsidR="000D2DE1" w:rsidRPr="00524FC4" w:rsidP="0063320B">
            <w:pPr>
              <w:rPr>
                <w:rFonts w:ascii="Calibri" w:hAnsi="Calibri"/>
                <w:b/>
                <w:bCs/>
                <w:color w:val="7030A0"/>
                <w:sz w:val="20"/>
                <w:szCs w:val="20"/>
              </w:rPr>
            </w:pPr>
            <w:r>
              <w:rPr>
                <w:rFonts w:ascii="Calibri" w:hAnsi="Calibri"/>
                <w:b/>
                <w:bCs/>
                <w:color w:val="7030A0"/>
                <w:sz w:val="20"/>
                <w:szCs w:val="20"/>
              </w:rPr>
              <w:t>12.5</w:t>
            </w:r>
            <w:r w:rsidRPr="00524FC4">
              <w:rPr>
                <w:rFonts w:ascii="Calibri" w:hAnsi="Calibri"/>
                <w:b/>
                <w:bCs/>
                <w:color w:val="7030A0"/>
                <w:sz w:val="20"/>
                <w:szCs w:val="20"/>
              </w:rPr>
              <w:t>2%</w:t>
            </w:r>
          </w:p>
        </w:tc>
        <w:tc>
          <w:tcPr>
            <w:tcW w:w="1046"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0%</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100%</w:t>
            </w:r>
          </w:p>
        </w:tc>
        <w:tc>
          <w:tcPr>
            <w:tcW w:w="81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NA</w:t>
            </w:r>
          </w:p>
        </w:tc>
        <w:tc>
          <w:tcPr>
            <w:tcW w:w="900" w:type="dxa"/>
            <w:gridSpan w:val="2"/>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15%</w:t>
            </w:r>
          </w:p>
        </w:tc>
      </w:tr>
      <w:tr w:rsidTr="00F368C2">
        <w:tblPrEx>
          <w:tblW w:w="9720" w:type="dxa"/>
          <w:tblInd w:w="108" w:type="dxa"/>
          <w:tblLayout w:type="fixed"/>
          <w:tblLook w:val="04A0"/>
        </w:tblPrEx>
        <w:trPr>
          <w:trHeight w:val="413"/>
        </w:trPr>
        <w:tc>
          <w:tcPr>
            <w:tcW w:w="1440" w:type="dxa"/>
          </w:tcPr>
          <w:p w:rsidR="000D2DE1" w:rsidP="0063320B">
            <w:r w:rsidRPr="00524FC4">
              <w:rPr>
                <w:sz w:val="18"/>
                <w:szCs w:val="18"/>
              </w:rPr>
              <w:t>Warehouse</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53.80%</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46.20%</w:t>
            </w:r>
          </w:p>
        </w:tc>
        <w:tc>
          <w:tcPr>
            <w:tcW w:w="117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4.28%</w:t>
            </w:r>
          </w:p>
        </w:tc>
        <w:tc>
          <w:tcPr>
            <w:tcW w:w="1024" w:type="dxa"/>
            <w:gridSpan w:val="2"/>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13.1%</w:t>
            </w:r>
          </w:p>
        </w:tc>
        <w:tc>
          <w:tcPr>
            <w:tcW w:w="1046"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40.99%</w:t>
            </w:r>
          </w:p>
        </w:tc>
        <w:tc>
          <w:tcPr>
            <w:tcW w:w="108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59.01%</w:t>
            </w:r>
          </w:p>
        </w:tc>
        <w:tc>
          <w:tcPr>
            <w:tcW w:w="810" w:type="dxa"/>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5.27%</w:t>
            </w:r>
          </w:p>
        </w:tc>
        <w:tc>
          <w:tcPr>
            <w:tcW w:w="900" w:type="dxa"/>
            <w:gridSpan w:val="2"/>
          </w:tcPr>
          <w:p w:rsidR="000D2DE1" w:rsidRPr="00524FC4" w:rsidP="0063320B">
            <w:pPr>
              <w:rPr>
                <w:rFonts w:ascii="Calibri" w:hAnsi="Calibri"/>
                <w:b/>
                <w:bCs/>
                <w:color w:val="7030A0"/>
                <w:sz w:val="20"/>
                <w:szCs w:val="20"/>
              </w:rPr>
            </w:pPr>
            <w:r w:rsidRPr="00524FC4">
              <w:rPr>
                <w:rFonts w:ascii="Calibri" w:hAnsi="Calibri"/>
                <w:b/>
                <w:bCs/>
                <w:color w:val="7030A0"/>
                <w:sz w:val="20"/>
                <w:szCs w:val="20"/>
              </w:rPr>
              <w:t>15%</w:t>
            </w:r>
          </w:p>
        </w:tc>
      </w:tr>
      <w:tr w:rsidTr="00F368C2">
        <w:tblPrEx>
          <w:tblW w:w="9720" w:type="dxa"/>
          <w:tblInd w:w="108" w:type="dxa"/>
          <w:tblLayout w:type="fixed"/>
          <w:tblLook w:val="04A0"/>
        </w:tblPrEx>
        <w:trPr>
          <w:trHeight w:val="386"/>
        </w:trPr>
        <w:tc>
          <w:tcPr>
            <w:tcW w:w="1440" w:type="dxa"/>
          </w:tcPr>
          <w:p w:rsidR="000D2DE1" w:rsidP="0063320B">
            <w:r w:rsidRPr="00524FC4">
              <w:rPr>
                <w:sz w:val="18"/>
                <w:szCs w:val="18"/>
              </w:rPr>
              <w:t>4 parcels N. of MRF</w:t>
            </w:r>
          </w:p>
        </w:tc>
        <w:tc>
          <w:tcPr>
            <w:tcW w:w="108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93.67%</w:t>
            </w:r>
          </w:p>
        </w:tc>
        <w:tc>
          <w:tcPr>
            <w:tcW w:w="117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6.33%</w:t>
            </w:r>
          </w:p>
        </w:tc>
        <w:tc>
          <w:tcPr>
            <w:tcW w:w="117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1.93%</w:t>
            </w:r>
          </w:p>
        </w:tc>
        <w:tc>
          <w:tcPr>
            <w:tcW w:w="1024" w:type="dxa"/>
            <w:gridSpan w:val="2"/>
          </w:tcPr>
          <w:p w:rsidR="000D2DE1" w:rsidRPr="004F24D1" w:rsidP="0063320B">
            <w:pPr>
              <w:rPr>
                <w:rFonts w:ascii="Calibri" w:hAnsi="Calibri"/>
                <w:b/>
                <w:bCs/>
                <w:color w:val="7030A0"/>
                <w:sz w:val="20"/>
                <w:szCs w:val="20"/>
              </w:rPr>
            </w:pPr>
            <w:r>
              <w:rPr>
                <w:rFonts w:ascii="Calibri" w:hAnsi="Calibri"/>
                <w:b/>
                <w:bCs/>
                <w:color w:val="7030A0"/>
                <w:sz w:val="20"/>
                <w:szCs w:val="20"/>
              </w:rPr>
              <w:t>12.5</w:t>
            </w:r>
            <w:r w:rsidRPr="004F24D1">
              <w:rPr>
                <w:rFonts w:ascii="Calibri" w:hAnsi="Calibri"/>
                <w:b/>
                <w:bCs/>
                <w:color w:val="7030A0"/>
                <w:sz w:val="20"/>
                <w:szCs w:val="20"/>
              </w:rPr>
              <w:t>2%</w:t>
            </w:r>
          </w:p>
        </w:tc>
        <w:tc>
          <w:tcPr>
            <w:tcW w:w="1046"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0%</w:t>
            </w:r>
          </w:p>
        </w:tc>
        <w:tc>
          <w:tcPr>
            <w:tcW w:w="108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100%</w:t>
            </w:r>
          </w:p>
        </w:tc>
        <w:tc>
          <w:tcPr>
            <w:tcW w:w="81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NA</w:t>
            </w:r>
          </w:p>
        </w:tc>
        <w:tc>
          <w:tcPr>
            <w:tcW w:w="900" w:type="dxa"/>
            <w:gridSpan w:val="2"/>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15%</w:t>
            </w:r>
          </w:p>
        </w:tc>
      </w:tr>
      <w:tr w:rsidTr="00F368C2">
        <w:tblPrEx>
          <w:tblW w:w="9720" w:type="dxa"/>
          <w:tblInd w:w="108" w:type="dxa"/>
          <w:tblLayout w:type="fixed"/>
          <w:tblLook w:val="04A0"/>
        </w:tblPrEx>
        <w:trPr>
          <w:trHeight w:val="593"/>
        </w:trPr>
        <w:tc>
          <w:tcPr>
            <w:tcW w:w="1440" w:type="dxa"/>
          </w:tcPr>
          <w:p w:rsidR="000D2DE1" w:rsidP="0063320B">
            <w:r w:rsidRPr="00FC3832">
              <w:rPr>
                <w:sz w:val="18"/>
                <w:szCs w:val="18"/>
              </w:rPr>
              <w:t>657 W. Scott, Woodland</w:t>
            </w:r>
          </w:p>
        </w:tc>
        <w:tc>
          <w:tcPr>
            <w:tcW w:w="108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93.67%</w:t>
            </w:r>
          </w:p>
        </w:tc>
        <w:tc>
          <w:tcPr>
            <w:tcW w:w="117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6.33%</w:t>
            </w:r>
          </w:p>
        </w:tc>
        <w:tc>
          <w:tcPr>
            <w:tcW w:w="117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1.93%</w:t>
            </w:r>
          </w:p>
        </w:tc>
        <w:tc>
          <w:tcPr>
            <w:tcW w:w="1024" w:type="dxa"/>
            <w:gridSpan w:val="2"/>
          </w:tcPr>
          <w:p w:rsidR="000D2DE1" w:rsidRPr="004F24D1" w:rsidP="0063320B">
            <w:pPr>
              <w:rPr>
                <w:rFonts w:ascii="Calibri" w:hAnsi="Calibri"/>
                <w:b/>
                <w:bCs/>
                <w:color w:val="7030A0"/>
                <w:sz w:val="20"/>
                <w:szCs w:val="20"/>
              </w:rPr>
            </w:pPr>
            <w:r>
              <w:rPr>
                <w:rFonts w:ascii="Calibri" w:hAnsi="Calibri"/>
                <w:b/>
                <w:bCs/>
                <w:color w:val="7030A0"/>
                <w:sz w:val="20"/>
                <w:szCs w:val="20"/>
              </w:rPr>
              <w:t>12.5</w:t>
            </w:r>
            <w:r w:rsidRPr="004F24D1">
              <w:rPr>
                <w:rFonts w:ascii="Calibri" w:hAnsi="Calibri"/>
                <w:b/>
                <w:bCs/>
                <w:color w:val="7030A0"/>
                <w:sz w:val="20"/>
                <w:szCs w:val="20"/>
              </w:rPr>
              <w:t>2%</w:t>
            </w:r>
          </w:p>
        </w:tc>
        <w:tc>
          <w:tcPr>
            <w:tcW w:w="1046"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0%</w:t>
            </w:r>
          </w:p>
        </w:tc>
        <w:tc>
          <w:tcPr>
            <w:tcW w:w="108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100%</w:t>
            </w:r>
          </w:p>
        </w:tc>
        <w:tc>
          <w:tcPr>
            <w:tcW w:w="810" w:type="dxa"/>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NA</w:t>
            </w:r>
          </w:p>
        </w:tc>
        <w:tc>
          <w:tcPr>
            <w:tcW w:w="900" w:type="dxa"/>
            <w:gridSpan w:val="2"/>
          </w:tcPr>
          <w:p w:rsidR="000D2DE1" w:rsidRPr="004F24D1" w:rsidP="0063320B">
            <w:pPr>
              <w:rPr>
                <w:rFonts w:ascii="Calibri" w:hAnsi="Calibri"/>
                <w:b/>
                <w:bCs/>
                <w:color w:val="7030A0"/>
                <w:sz w:val="20"/>
                <w:szCs w:val="20"/>
              </w:rPr>
            </w:pPr>
            <w:r w:rsidRPr="004F24D1">
              <w:rPr>
                <w:rFonts w:ascii="Calibri" w:hAnsi="Calibri"/>
                <w:b/>
                <w:bCs/>
                <w:color w:val="7030A0"/>
                <w:sz w:val="20"/>
                <w:szCs w:val="20"/>
              </w:rPr>
              <w:t>15%</w:t>
            </w:r>
          </w:p>
        </w:tc>
      </w:tr>
    </w:tbl>
    <w:p w:rsidR="000D2DE1" w:rsidP="000D2DE1"/>
    <w:p w:rsidR="000D2DE1" w:rsidRPr="005A5BE4" w:rsidP="00F368C2">
      <w:pPr>
        <w:pStyle w:val="QUESTION"/>
        <w:numPr>
          <w:ilvl w:val="1"/>
          <w:numId w:val="3"/>
        </w:numPr>
        <w:tabs>
          <w:tab w:val="clear" w:pos="0"/>
        </w:tabs>
        <w:ind w:left="720" w:hanging="720"/>
        <w:rPr>
          <w:rFonts w:cs="Times New Roman"/>
          <w:szCs w:val="24"/>
        </w:rPr>
      </w:pPr>
      <w:bookmarkStart w:id="19" w:name="_Toc395778110"/>
      <w:r w:rsidRPr="005A5BE4">
        <w:rPr>
          <w:rFonts w:cs="Times New Roman"/>
          <w:szCs w:val="24"/>
        </w:rPr>
        <w:t>q.</w:t>
      </w:r>
      <w:r w:rsidRPr="005A5BE4">
        <w:rPr>
          <w:rFonts w:cs="Times New Roman"/>
          <w:szCs w:val="24"/>
        </w:rPr>
        <w:tab/>
        <w:t>and what were some of your threshold observations?</w:t>
      </w:r>
      <w:bookmarkEnd w:id="19"/>
    </w:p>
    <w:p w:rsidR="000D2DE1" w:rsidRPr="005A5BE4" w:rsidP="001B7A22">
      <w:pPr>
        <w:pStyle w:val="Style4"/>
        <w:numPr>
          <w:ilvl w:val="1"/>
          <w:numId w:val="3"/>
        </w:numPr>
        <w:tabs>
          <w:tab w:val="clear" w:pos="0"/>
        </w:tabs>
        <w:spacing w:line="480" w:lineRule="exact"/>
        <w:ind w:left="720" w:hanging="720"/>
        <w:rPr>
          <w:rFonts w:cs="Times New Roman"/>
          <w:szCs w:val="24"/>
        </w:rPr>
      </w:pPr>
      <w:bookmarkStart w:id="20" w:name="_Toc395778111"/>
      <w:r w:rsidRPr="005A5BE4">
        <w:rPr>
          <w:rFonts w:cs="Times New Roman"/>
          <w:szCs w:val="24"/>
        </w:rPr>
        <w:t>A.</w:t>
      </w:r>
      <w:r w:rsidRPr="005A5BE4">
        <w:rPr>
          <w:rFonts w:cs="Times New Roman"/>
          <w:szCs w:val="24"/>
        </w:rPr>
        <w:tab/>
        <w:t>As can graphically be seen from the above, Staff assumed that all properties except the warehouse properties were subject to the capital structure of HBI. The warehouse properties were assumed to be the same as the capital structure of HBII.</w:t>
      </w:r>
      <w:bookmarkEnd w:id="20"/>
      <w:r w:rsidRPr="005A5BE4">
        <w:rPr>
          <w:rFonts w:cs="Times New Roman"/>
          <w:szCs w:val="24"/>
        </w:rPr>
        <w:t xml:space="preserve"> </w:t>
      </w:r>
    </w:p>
    <w:p w:rsidR="000D2DE1" w:rsidRPr="005A5BE4" w:rsidP="00F368C2">
      <w:pPr>
        <w:pStyle w:val="QUESTION"/>
        <w:numPr>
          <w:ilvl w:val="1"/>
          <w:numId w:val="3"/>
        </w:numPr>
        <w:tabs>
          <w:tab w:val="clear" w:pos="0"/>
        </w:tabs>
        <w:ind w:left="720" w:hanging="720"/>
        <w:rPr>
          <w:rFonts w:cs="Times New Roman"/>
          <w:szCs w:val="24"/>
        </w:rPr>
      </w:pPr>
      <w:bookmarkStart w:id="21" w:name="_Toc395778112"/>
      <w:r w:rsidRPr="005A5BE4">
        <w:rPr>
          <w:rFonts w:cs="Times New Roman"/>
          <w:szCs w:val="24"/>
        </w:rPr>
        <w:t>q.</w:t>
      </w:r>
      <w:r w:rsidRPr="005A5BE4">
        <w:rPr>
          <w:rFonts w:cs="Times New Roman"/>
          <w:szCs w:val="24"/>
        </w:rPr>
        <w:tab/>
        <w:t>WHY IS THIS INCORRECT?</w:t>
      </w:r>
      <w:bookmarkEnd w:id="21"/>
      <w:r w:rsidRPr="005A5BE4">
        <w:rPr>
          <w:rFonts w:cs="Times New Roman"/>
          <w:szCs w:val="24"/>
        </w:rPr>
        <w:t xml:space="preserve"> </w:t>
      </w:r>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22" w:name="_Toc395778113"/>
      <w:r w:rsidRPr="005A5BE4">
        <w:rPr>
          <w:rFonts w:cs="Times New Roman"/>
          <w:szCs w:val="24"/>
        </w:rPr>
        <w:t>A.</w:t>
      </w:r>
      <w:r w:rsidRPr="005A5BE4">
        <w:rPr>
          <w:rFonts w:cs="Times New Roman"/>
          <w:szCs w:val="24"/>
        </w:rPr>
        <w:tab/>
        <w:t xml:space="preserve">Commission Staff’s assumption that any of the properties rented by WCI are subject to HBI and HBII capital structure is erroneous in that Staff is using the capital structure for entities that carry a large amount of debt for projects and investments that have no bearing on the actual properties being leased to WCI.  HBI financed the building of a transfer station and is heavily leveraged as a result as is normal for large capital projects.  </w:t>
      </w:r>
      <w:r w:rsidRPr="005A5BE4">
        <w:rPr>
          <w:rFonts w:cs="Times New Roman"/>
          <w:szCs w:val="24"/>
        </w:rPr>
        <w:t>It isn’t fair, just, reasonable, nor sufficient to penalize and seek to dilute the actual rents paid by WCI because of the affiliates’ debts on unrelated assets.</w:t>
      </w:r>
      <w:bookmarkEnd w:id="22"/>
      <w:r w:rsidRPr="005A5BE4">
        <w:rPr>
          <w:rFonts w:cs="Times New Roman"/>
          <w:szCs w:val="24"/>
        </w:rPr>
        <w:t xml:space="preserve">  </w:t>
      </w:r>
    </w:p>
    <w:p w:rsidR="000D2DE1" w:rsidRPr="005A5BE4" w:rsidP="00F368C2">
      <w:pPr>
        <w:pStyle w:val="QUESTION"/>
        <w:numPr>
          <w:ilvl w:val="1"/>
          <w:numId w:val="3"/>
        </w:numPr>
        <w:tabs>
          <w:tab w:val="clear" w:pos="0"/>
        </w:tabs>
        <w:ind w:left="720" w:hanging="720"/>
        <w:rPr>
          <w:rFonts w:cs="Times New Roman"/>
          <w:szCs w:val="24"/>
        </w:rPr>
      </w:pPr>
      <w:bookmarkStart w:id="23" w:name="_Toc395778114"/>
      <w:r w:rsidRPr="005A5BE4">
        <w:rPr>
          <w:rFonts w:cs="Times New Roman"/>
          <w:szCs w:val="24"/>
        </w:rPr>
        <w:t>q.</w:t>
      </w:r>
      <w:r w:rsidRPr="005A5BE4">
        <w:rPr>
          <w:rFonts w:cs="Times New Roman"/>
          <w:szCs w:val="24"/>
        </w:rPr>
        <w:tab/>
        <w:t>DID STAFF USE THE SAME LOGIC IN its COST OF DEBT ANALYSIS?</w:t>
      </w:r>
      <w:bookmarkEnd w:id="23"/>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24" w:name="_Toc395778115"/>
      <w:r w:rsidRPr="005A5BE4">
        <w:rPr>
          <w:rFonts w:cs="Times New Roman"/>
          <w:szCs w:val="24"/>
        </w:rPr>
        <w:t>A.</w:t>
      </w:r>
      <w:r w:rsidRPr="005A5BE4">
        <w:rPr>
          <w:rFonts w:cs="Times New Roman"/>
          <w:szCs w:val="24"/>
        </w:rPr>
        <w:tab/>
        <w:t>Yes.  Commission Staff has apparently erroneously attempted to employ a cost of debt based on the overall debt of HBI and HBII.  As shown in the table above, only two of the assets are actually carrying any debt.  As previously discussed, the cost of debt for these two assets should not be calculated based upon debt incurred by HBI and HBII for investments and projects that have no bearing on the operating assets rented to WCI.</w:t>
      </w:r>
      <w:bookmarkEnd w:id="24"/>
      <w:r w:rsidRPr="005A5BE4">
        <w:rPr>
          <w:rFonts w:cs="Times New Roman"/>
          <w:szCs w:val="24"/>
        </w:rPr>
        <w:t xml:space="preserve"> </w:t>
      </w:r>
    </w:p>
    <w:p w:rsidR="000D2DE1" w:rsidRPr="005A5BE4" w:rsidP="00F368C2">
      <w:pPr>
        <w:pStyle w:val="QUESTION"/>
        <w:keepLines/>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as an aside, do you have any view as to whether the staff should have performed in its cost of debt analysis a weighted cost of debt study in calculating the return on leased properties?</w:t>
      </w:r>
    </w:p>
    <w:p w:rsidR="000D2DE1" w:rsidRPr="005A5BE4" w:rsidP="00F368C2">
      <w:pPr>
        <w:pStyle w:val="ANS"/>
        <w:keepLines/>
        <w:numPr>
          <w:ilvl w:val="1"/>
          <w:numId w:val="3"/>
        </w:numPr>
        <w:tabs>
          <w:tab w:val="clear" w:pos="0"/>
        </w:tabs>
        <w:ind w:left="720" w:hanging="720"/>
        <w:rPr>
          <w:rFonts w:cs="Times New Roman"/>
          <w:szCs w:val="24"/>
        </w:rPr>
      </w:pPr>
      <w:r w:rsidRPr="005A5BE4">
        <w:rPr>
          <w:rFonts w:cs="Times New Roman"/>
          <w:szCs w:val="24"/>
        </w:rPr>
        <w:t>A.</w:t>
      </w:r>
      <w:r w:rsidRPr="005A5BE4">
        <w:rPr>
          <w:rFonts w:cs="Times New Roman"/>
          <w:szCs w:val="24"/>
        </w:rPr>
        <w:tab/>
        <w:t>Yes, and it appears that Staff did not do so.</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how and why do you typically perform AN ANALYSIS of the weighted cost of debt?</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Preparing a cost of debt study based on each separate debt instrument involved and the percentage of debt outstanding times the interest rate when added together calculates your weighted cost of debt.  This insures the accuracy of the applicable cost of debt analysis in any featured time interval.  A weighted debt analysis may or may not have had any material effect on the debt cost used in this case, but is simply one more standard analytical tool that should be employed for thoroughness.</w:t>
      </w:r>
    </w:p>
    <w:p w:rsidR="000D2DE1" w:rsidRPr="005A5BE4" w:rsidP="00F368C2">
      <w:pPr>
        <w:pStyle w:val="QUESTION"/>
        <w:numPr>
          <w:ilvl w:val="1"/>
          <w:numId w:val="3"/>
        </w:numPr>
        <w:tabs>
          <w:tab w:val="clear" w:pos="0"/>
        </w:tabs>
        <w:ind w:left="720" w:hanging="720"/>
        <w:rPr>
          <w:rFonts w:cs="Times New Roman"/>
          <w:szCs w:val="24"/>
        </w:rPr>
      </w:pPr>
      <w:bookmarkStart w:id="25" w:name="_Toc395778116"/>
      <w:r w:rsidRPr="005A5BE4">
        <w:rPr>
          <w:rFonts w:cs="Times New Roman"/>
          <w:szCs w:val="24"/>
        </w:rPr>
        <w:t>q.</w:t>
      </w:r>
      <w:r w:rsidRPr="005A5BE4">
        <w:rPr>
          <w:rFonts w:cs="Times New Roman"/>
          <w:szCs w:val="24"/>
        </w:rPr>
        <w:tab/>
        <w:t>HOW DID STAFF CALCULATE ITS RETURN ON EQUITY AND WHY IS IT INCORRECT?</w:t>
      </w:r>
      <w:bookmarkEnd w:id="25"/>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26" w:name="_Toc395778117"/>
      <w:r w:rsidRPr="005A5BE4">
        <w:rPr>
          <w:rFonts w:cs="Times New Roman"/>
          <w:szCs w:val="24"/>
        </w:rPr>
        <w:t>A.</w:t>
      </w:r>
      <w:r w:rsidRPr="005A5BE4">
        <w:rPr>
          <w:rFonts w:cs="Times New Roman"/>
          <w:szCs w:val="24"/>
        </w:rPr>
        <w:tab/>
        <w:t xml:space="preserve">Commission staff simply selected two publicly traded companies and attempted to argue that the results for these two companies apply to a small privately-held company.  Staff used a sample of a </w:t>
      </w:r>
      <w:r w:rsidR="008B4AC0">
        <w:rPr>
          <w:rFonts w:cs="Times New Roman"/>
          <w:szCs w:val="24"/>
        </w:rPr>
        <w:t>Real Estate Investment Trust</w:t>
      </w:r>
      <w:r w:rsidRPr="005A5BE4">
        <w:rPr>
          <w:rFonts w:cs="Times New Roman"/>
          <w:szCs w:val="24"/>
        </w:rPr>
        <w:t xml:space="preserve"> (Annaly Capital) and a truck leasing company, (Realty Income Corp.), from a Value Line DCF study of equity returns for certain publically-traded companies to determine what an appropriate return on equity should be.</w:t>
      </w:r>
      <w:bookmarkEnd w:id="26"/>
      <w:r w:rsidRPr="005A5BE4">
        <w:rPr>
          <w:rFonts w:cs="Times New Roman"/>
          <w:szCs w:val="24"/>
        </w:rPr>
        <w:t xml:space="preserve">  Please see the table below for illustration of this analysis.</w:t>
      </w:r>
    </w:p>
    <w:p w:rsidR="000D2DE1" w:rsidRPr="005A5BE4" w:rsidP="00F368C2">
      <w:pPr>
        <w:pStyle w:val="QUESTION"/>
        <w:numPr>
          <w:ilvl w:val="1"/>
          <w:numId w:val="3"/>
        </w:numPr>
        <w:tabs>
          <w:tab w:val="clear" w:pos="0"/>
        </w:tabs>
        <w:ind w:left="720" w:hanging="720"/>
        <w:rPr>
          <w:rFonts w:cs="Times New Roman"/>
          <w:szCs w:val="24"/>
        </w:rPr>
      </w:pPr>
      <w:bookmarkStart w:id="27" w:name="_Toc395778118"/>
      <w:r w:rsidRPr="005A5BE4">
        <w:rPr>
          <w:rFonts w:cs="Times New Roman"/>
          <w:szCs w:val="24"/>
        </w:rPr>
        <w:t>q.</w:t>
      </w:r>
      <w:r w:rsidRPr="005A5BE4">
        <w:rPr>
          <w:rFonts w:cs="Times New Roman"/>
          <w:szCs w:val="24"/>
        </w:rPr>
        <w:tab/>
        <w:t>did staff actually use a DISCOUNTED cash flow analysis method to calculate an appropriate cost of equity?</w:t>
      </w:r>
      <w:bookmarkEnd w:id="27"/>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28" w:name="_Toc395778119"/>
      <w:r w:rsidRPr="005A5BE4">
        <w:rPr>
          <w:rFonts w:cs="Times New Roman"/>
          <w:szCs w:val="24"/>
        </w:rPr>
        <w:t>A.</w:t>
      </w:r>
      <w:r w:rsidRPr="005A5BE4">
        <w:rPr>
          <w:rFonts w:cs="Times New Roman"/>
          <w:szCs w:val="24"/>
        </w:rPr>
        <w:tab/>
        <w:t>No.  Staff mentions using the DCF approach when, in fact, they actually used the results from the Value Line analysis verbatim and simply added the earnings growth and dividend yield as seen in the table below.  The sum of the two results is nothing remotely representative of what a small private company should earn on its equity.</w:t>
      </w:r>
      <w:bookmarkEnd w:id="28"/>
      <w:r w:rsidRPr="005A5BE4">
        <w:rPr>
          <w:rFonts w:cs="Times New Roman"/>
          <w:szCs w:val="24"/>
        </w:rPr>
        <w:t xml:space="preserve"> </w:t>
      </w:r>
    </w:p>
    <w:tbl>
      <w:tblPr>
        <w:tblStyle w:val="TableGrid"/>
        <w:tblW w:w="9468" w:type="dxa"/>
        <w:tblInd w:w="108" w:type="dxa"/>
        <w:tblLayout w:type="fixed"/>
        <w:tblLook w:val="04A0"/>
      </w:tblPr>
      <w:tblGrid>
        <w:gridCol w:w="9468"/>
      </w:tblGrid>
      <w:tr w:rsidTr="0063320B">
        <w:tblPrEx>
          <w:tblW w:w="9468" w:type="dxa"/>
          <w:tblInd w:w="108" w:type="dxa"/>
          <w:tblLayout w:type="fixed"/>
          <w:tblLook w:val="04A0"/>
        </w:tblPrEx>
        <w:tc>
          <w:tcPr>
            <w:tcW w:w="9468" w:type="dxa"/>
            <w:tcBorders>
              <w:top w:val="nil"/>
              <w:left w:val="nil"/>
              <w:bottom w:val="single" w:sz="4" w:space="0" w:color="auto"/>
              <w:right w:val="nil"/>
            </w:tcBorders>
          </w:tcPr>
          <w:tbl>
            <w:tblPr>
              <w:tblStyle w:val="TableGrid"/>
              <w:tblW w:w="0" w:type="auto"/>
              <w:tblInd w:w="72" w:type="dxa"/>
              <w:tblLayout w:type="fixed"/>
              <w:tblLook w:val="04A0"/>
            </w:tblPr>
            <w:tblGrid>
              <w:gridCol w:w="2016"/>
              <w:gridCol w:w="1980"/>
              <w:gridCol w:w="360"/>
              <w:gridCol w:w="2340"/>
              <w:gridCol w:w="360"/>
              <w:gridCol w:w="1944"/>
            </w:tblGrid>
            <w:tr w:rsidTr="0063320B">
              <w:tblPrEx>
                <w:tblW w:w="0" w:type="auto"/>
                <w:tblInd w:w="72" w:type="dxa"/>
                <w:tblLayout w:type="fixed"/>
                <w:tblLook w:val="04A0"/>
              </w:tblPrEx>
              <w:trPr>
                <w:trHeight w:val="288"/>
              </w:trPr>
              <w:tc>
                <w:tcPr>
                  <w:tcW w:w="9000" w:type="dxa"/>
                  <w:gridSpan w:val="6"/>
                  <w:tcBorders>
                    <w:top w:val="nil"/>
                    <w:left w:val="nil"/>
                    <w:bottom w:val="single" w:sz="4" w:space="0" w:color="auto"/>
                    <w:right w:val="nil"/>
                  </w:tcBorders>
                </w:tcPr>
                <w:p w:rsidR="000D2DE1" w:rsidP="0063320B">
                  <w:pPr>
                    <w:keepNext/>
                    <w:keepLines/>
                  </w:pPr>
                  <w:r>
                    <w:t>Demas Table No. 2</w:t>
                  </w:r>
                </w:p>
              </w:tc>
            </w:tr>
            <w:tr w:rsidTr="0063320B">
              <w:tblPrEx>
                <w:tblW w:w="0" w:type="auto"/>
                <w:tblInd w:w="72" w:type="dxa"/>
                <w:tblLayout w:type="fixed"/>
                <w:tblLook w:val="04A0"/>
              </w:tblPrEx>
              <w:trPr>
                <w:trHeight w:val="557"/>
              </w:trPr>
              <w:tc>
                <w:tcPr>
                  <w:tcW w:w="2016" w:type="dxa"/>
                  <w:tcBorders>
                    <w:top w:val="single" w:sz="4" w:space="0" w:color="auto"/>
                  </w:tcBorders>
                </w:tcPr>
                <w:p w:rsidR="000D2DE1" w:rsidP="0063320B">
                  <w:pPr>
                    <w:keepNext/>
                    <w:keepLines/>
                  </w:pPr>
                  <w:r>
                    <w:t>Company</w:t>
                  </w:r>
                </w:p>
              </w:tc>
              <w:tc>
                <w:tcPr>
                  <w:tcW w:w="1980" w:type="dxa"/>
                  <w:tcBorders>
                    <w:top w:val="single" w:sz="4" w:space="0" w:color="auto"/>
                  </w:tcBorders>
                </w:tcPr>
                <w:p w:rsidR="000D2DE1" w:rsidP="0063320B">
                  <w:pPr>
                    <w:keepNext/>
                    <w:keepLines/>
                  </w:pPr>
                  <w:r>
                    <w:t xml:space="preserve">Value Line earnings growth </w:t>
                  </w:r>
                </w:p>
              </w:tc>
              <w:tc>
                <w:tcPr>
                  <w:tcW w:w="360" w:type="dxa"/>
                  <w:tcBorders>
                    <w:top w:val="single" w:sz="4" w:space="0" w:color="auto"/>
                  </w:tcBorders>
                </w:tcPr>
                <w:p w:rsidR="000D2DE1" w:rsidP="0063320B">
                  <w:pPr>
                    <w:keepNext/>
                    <w:keepLines/>
                  </w:pPr>
                </w:p>
              </w:tc>
              <w:tc>
                <w:tcPr>
                  <w:tcW w:w="2340" w:type="dxa"/>
                  <w:tcBorders>
                    <w:top w:val="single" w:sz="4" w:space="0" w:color="auto"/>
                  </w:tcBorders>
                </w:tcPr>
                <w:p w:rsidR="000D2DE1" w:rsidP="0063320B">
                  <w:pPr>
                    <w:keepNext/>
                    <w:keepLines/>
                  </w:pPr>
                  <w:r>
                    <w:t>Value Line dividend yield</w:t>
                  </w:r>
                </w:p>
              </w:tc>
              <w:tc>
                <w:tcPr>
                  <w:tcW w:w="360" w:type="dxa"/>
                  <w:tcBorders>
                    <w:top w:val="single" w:sz="4" w:space="0" w:color="auto"/>
                  </w:tcBorders>
                </w:tcPr>
                <w:p w:rsidR="000D2DE1" w:rsidP="0063320B">
                  <w:pPr>
                    <w:keepNext/>
                    <w:keepLines/>
                  </w:pPr>
                </w:p>
              </w:tc>
              <w:tc>
                <w:tcPr>
                  <w:tcW w:w="1944" w:type="dxa"/>
                  <w:tcBorders>
                    <w:top w:val="single" w:sz="4" w:space="0" w:color="auto"/>
                  </w:tcBorders>
                </w:tcPr>
                <w:p w:rsidR="000D2DE1" w:rsidP="0063320B">
                  <w:pPr>
                    <w:keepNext/>
                    <w:keepLines/>
                  </w:pPr>
                  <w:r>
                    <w:t>Staff return on equity</w:t>
                  </w:r>
                </w:p>
              </w:tc>
            </w:tr>
            <w:tr w:rsidTr="0063320B">
              <w:tblPrEx>
                <w:tblW w:w="0" w:type="auto"/>
                <w:tblInd w:w="72" w:type="dxa"/>
                <w:tblLayout w:type="fixed"/>
                <w:tblLook w:val="04A0"/>
              </w:tblPrEx>
              <w:tc>
                <w:tcPr>
                  <w:tcW w:w="2016" w:type="dxa"/>
                </w:tcPr>
                <w:p w:rsidR="000D2DE1" w:rsidP="0063320B">
                  <w:pPr>
                    <w:keepNext/>
                    <w:keepLines/>
                  </w:pPr>
                  <w:r>
                    <w:t>Annaly Capital</w:t>
                  </w:r>
                </w:p>
              </w:tc>
              <w:tc>
                <w:tcPr>
                  <w:tcW w:w="1980" w:type="dxa"/>
                </w:tcPr>
                <w:p w:rsidR="000D2DE1" w:rsidP="0063320B">
                  <w:pPr>
                    <w:keepNext/>
                    <w:keepLines/>
                  </w:pPr>
                  <w:r>
                    <w:t>-.08%</w:t>
                  </w:r>
                </w:p>
              </w:tc>
              <w:tc>
                <w:tcPr>
                  <w:tcW w:w="360" w:type="dxa"/>
                </w:tcPr>
                <w:p w:rsidR="000D2DE1" w:rsidP="0063320B">
                  <w:pPr>
                    <w:keepNext/>
                    <w:keepLines/>
                  </w:pPr>
                  <w:r>
                    <w:t>+</w:t>
                  </w:r>
                </w:p>
              </w:tc>
              <w:tc>
                <w:tcPr>
                  <w:tcW w:w="2340" w:type="dxa"/>
                </w:tcPr>
                <w:p w:rsidR="000D2DE1" w:rsidP="0063320B">
                  <w:pPr>
                    <w:keepNext/>
                    <w:keepLines/>
                  </w:pPr>
                  <w:r>
                    <w:t>12.6%</w:t>
                  </w:r>
                </w:p>
              </w:tc>
              <w:tc>
                <w:tcPr>
                  <w:tcW w:w="360" w:type="dxa"/>
                </w:tcPr>
                <w:p w:rsidR="000D2DE1" w:rsidP="0063320B">
                  <w:pPr>
                    <w:keepNext/>
                    <w:keepLines/>
                  </w:pPr>
                  <w:r>
                    <w:t>=</w:t>
                  </w:r>
                </w:p>
              </w:tc>
              <w:tc>
                <w:tcPr>
                  <w:tcW w:w="1944" w:type="dxa"/>
                </w:tcPr>
                <w:p w:rsidR="000D2DE1" w:rsidP="0063320B">
                  <w:pPr>
                    <w:keepNext/>
                    <w:keepLines/>
                  </w:pPr>
                  <w:r>
                    <w:t>12.5%</w:t>
                  </w:r>
                </w:p>
              </w:tc>
            </w:tr>
            <w:tr w:rsidTr="0063320B">
              <w:tblPrEx>
                <w:tblW w:w="0" w:type="auto"/>
                <w:tblInd w:w="72" w:type="dxa"/>
                <w:tblLayout w:type="fixed"/>
                <w:tblLook w:val="04A0"/>
              </w:tblPrEx>
              <w:trPr>
                <w:trHeight w:val="557"/>
              </w:trPr>
              <w:tc>
                <w:tcPr>
                  <w:tcW w:w="2016" w:type="dxa"/>
                </w:tcPr>
                <w:p w:rsidR="000D2DE1" w:rsidP="0063320B">
                  <w:pPr>
                    <w:keepNext/>
                    <w:keepLines/>
                  </w:pPr>
                  <w:r>
                    <w:t>Realty Income Corp.</w:t>
                  </w:r>
                </w:p>
              </w:tc>
              <w:tc>
                <w:tcPr>
                  <w:tcW w:w="1980" w:type="dxa"/>
                </w:tcPr>
                <w:p w:rsidR="000D2DE1" w:rsidP="0063320B">
                  <w:pPr>
                    <w:keepNext/>
                    <w:keepLines/>
                  </w:pPr>
                  <w:r>
                    <w:t>8.65%</w:t>
                  </w:r>
                </w:p>
              </w:tc>
              <w:tc>
                <w:tcPr>
                  <w:tcW w:w="360" w:type="dxa"/>
                </w:tcPr>
                <w:p w:rsidR="000D2DE1" w:rsidP="0063320B">
                  <w:pPr>
                    <w:keepNext/>
                    <w:keepLines/>
                  </w:pPr>
                  <w:r>
                    <w:t>+</w:t>
                  </w:r>
                </w:p>
              </w:tc>
              <w:tc>
                <w:tcPr>
                  <w:tcW w:w="2340" w:type="dxa"/>
                </w:tcPr>
                <w:p w:rsidR="000D2DE1" w:rsidP="0063320B">
                  <w:pPr>
                    <w:keepNext/>
                    <w:keepLines/>
                  </w:pPr>
                  <w:r>
                    <w:t xml:space="preserve">  4.5%</w:t>
                  </w:r>
                </w:p>
              </w:tc>
              <w:tc>
                <w:tcPr>
                  <w:tcW w:w="360" w:type="dxa"/>
                </w:tcPr>
                <w:p w:rsidR="000D2DE1" w:rsidP="0063320B">
                  <w:pPr>
                    <w:keepNext/>
                    <w:keepLines/>
                  </w:pPr>
                  <w:r>
                    <w:t>=</w:t>
                  </w:r>
                </w:p>
              </w:tc>
              <w:tc>
                <w:tcPr>
                  <w:tcW w:w="1944" w:type="dxa"/>
                </w:tcPr>
                <w:p w:rsidR="000D2DE1" w:rsidP="0063320B">
                  <w:pPr>
                    <w:keepNext/>
                    <w:keepLines/>
                  </w:pPr>
                  <w:r>
                    <w:t>13.15%</w:t>
                  </w:r>
                </w:p>
              </w:tc>
            </w:tr>
          </w:tbl>
          <w:p w:rsidR="000D2DE1" w:rsidP="0063320B">
            <w:pPr>
              <w:keepNext/>
              <w:keepLines/>
            </w:pPr>
          </w:p>
        </w:tc>
      </w:tr>
    </w:tbl>
    <w:p w:rsidR="000D2DE1" w:rsidRPr="005A5BE4" w:rsidP="000D2DE1">
      <w:pPr>
        <w:rPr>
          <w:rFonts w:ascii="Times New Roman" w:hAnsi="Times New Roman" w:cs="Times New Roman"/>
          <w:sz w:val="24"/>
          <w:szCs w:val="24"/>
        </w:rPr>
      </w:pPr>
      <w:r w:rsidRPr="005A5BE4">
        <w:rPr>
          <w:rFonts w:ascii="Times New Roman" w:hAnsi="Times New Roman" w:cs="Times New Roman"/>
          <w:sz w:val="24"/>
          <w:szCs w:val="24"/>
        </w:rPr>
        <w:t>Source:  Staff Exhibit MC-6, in Tab Schedule 4, R-6E.</w:t>
      </w:r>
    </w:p>
    <w:p w:rsidR="000D2DE1" w:rsidRPr="005A5BE4" w:rsidP="00F368C2">
      <w:pPr>
        <w:pStyle w:val="QUESTION"/>
        <w:numPr>
          <w:ilvl w:val="1"/>
          <w:numId w:val="3"/>
        </w:numPr>
        <w:tabs>
          <w:tab w:val="clear" w:pos="0"/>
        </w:tabs>
        <w:ind w:left="720" w:hanging="720"/>
        <w:rPr>
          <w:rFonts w:cs="Times New Roman"/>
          <w:szCs w:val="24"/>
        </w:rPr>
      </w:pPr>
      <w:bookmarkStart w:id="29" w:name="_Toc395778120"/>
      <w:r w:rsidRPr="005A5BE4">
        <w:rPr>
          <w:rFonts w:cs="Times New Roman"/>
          <w:szCs w:val="24"/>
        </w:rPr>
        <w:t>q.</w:t>
      </w:r>
      <w:r w:rsidRPr="005A5BE4">
        <w:rPr>
          <w:rFonts w:cs="Times New Roman"/>
          <w:szCs w:val="24"/>
        </w:rPr>
        <w:tab/>
        <w:t>can you comment please on the 15% cost of equity factor v. the diminished value proposed by staff here?</w:t>
      </w:r>
      <w:bookmarkEnd w:id="29"/>
    </w:p>
    <w:p w:rsidR="00371FE2" w:rsidP="00371FE2">
      <w:pPr>
        <w:pStyle w:val="Style4"/>
        <w:numPr>
          <w:ilvl w:val="1"/>
          <w:numId w:val="3"/>
        </w:numPr>
        <w:tabs>
          <w:tab w:val="clear" w:pos="0"/>
        </w:tabs>
        <w:spacing w:after="0" w:line="480" w:lineRule="exact"/>
        <w:ind w:left="720" w:hanging="720"/>
        <w:rPr>
          <w:rFonts w:cs="Times New Roman"/>
          <w:szCs w:val="24"/>
        </w:rPr>
      </w:pPr>
      <w:bookmarkStart w:id="30" w:name="_Toc395778121"/>
      <w:r w:rsidRPr="005A5BE4">
        <w:rPr>
          <w:rFonts w:cs="Times New Roman"/>
          <w:szCs w:val="24"/>
        </w:rPr>
        <w:t>A.</w:t>
      </w:r>
      <w:r w:rsidRPr="005A5BE4">
        <w:rPr>
          <w:rFonts w:cs="Times New Roman"/>
          <w:szCs w:val="24"/>
        </w:rPr>
        <w:tab/>
        <w:t xml:space="preserve">The Commission has long used a 15% return on equity for affiliated transactions. Not because of any exhaustive quantitative analysis, but simply for the lack of a better thoroughly vetted number.  Dr. Lurito, in his testimony supporting the Lurito Gallagher Operating Ratio formula, </w:t>
      </w:r>
      <w:r w:rsidRPr="00E82BD9">
        <w:rPr>
          <w:rFonts w:cs="Times New Roman"/>
          <w:szCs w:val="24"/>
        </w:rPr>
        <w:t>justifies a much larger equity return</w:t>
      </w:r>
      <w:r w:rsidRPr="005A5BE4">
        <w:rPr>
          <w:rFonts w:cs="Times New Roman"/>
          <w:szCs w:val="24"/>
        </w:rPr>
        <w:t xml:space="preserve"> for solid waste companies as is readily observed in the formula itself.  He recognized the associated risks a smaller company faces in a regulated environment. The 15% ROE, by its relatively modest return, has obviously been a fair return by not allowing overearning and not being confiscatory, either.</w:t>
      </w:r>
      <w:bookmarkStart w:id="31" w:name="_Toc396305774"/>
      <w:bookmarkEnd w:id="30"/>
    </w:p>
    <w:p w:rsidR="000D2DE1" w:rsidRPr="00371FE2" w:rsidP="00371FE2">
      <w:pPr>
        <w:pStyle w:val="Style4"/>
        <w:numPr>
          <w:ilvl w:val="1"/>
          <w:numId w:val="3"/>
        </w:numPr>
        <w:tabs>
          <w:tab w:val="clear" w:pos="0"/>
        </w:tabs>
        <w:spacing w:after="0" w:line="480" w:lineRule="exact"/>
        <w:ind w:left="720" w:hanging="720"/>
        <w:rPr>
          <w:rFonts w:cs="Times New Roman"/>
          <w:b/>
          <w:szCs w:val="24"/>
        </w:rPr>
      </w:pPr>
      <w:bookmarkStart w:id="32" w:name="_GoBack"/>
      <w:r w:rsidRPr="00371FE2">
        <w:rPr>
          <w:rFonts w:cs="Times New Roman"/>
          <w:b/>
          <w:szCs w:val="24"/>
        </w:rPr>
        <w:t>2.</w:t>
      </w:r>
      <w:r w:rsidRPr="00371FE2">
        <w:rPr>
          <w:b/>
        </w:rPr>
        <w:t xml:space="preserve">  The Three-Factor Allocation Method</w:t>
      </w:r>
      <w:bookmarkEnd w:id="31"/>
    </w:p>
    <w:p w:rsidR="000D2DE1" w:rsidRPr="005A5BE4" w:rsidP="00F368C2">
      <w:pPr>
        <w:pStyle w:val="QUESTION"/>
        <w:numPr>
          <w:ilvl w:val="1"/>
          <w:numId w:val="3"/>
        </w:numPr>
        <w:tabs>
          <w:tab w:val="clear" w:pos="0"/>
        </w:tabs>
        <w:ind w:left="720" w:hanging="720"/>
        <w:rPr>
          <w:rFonts w:cs="Times New Roman"/>
          <w:szCs w:val="24"/>
        </w:rPr>
      </w:pPr>
      <w:bookmarkEnd w:id="32"/>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please review again how the commission STAFF proposes to allocate common costs between the regulated solid was</w:t>
      </w:r>
      <w:r w:rsidR="008B4AC0">
        <w:rPr>
          <w:rFonts w:cs="Times New Roman"/>
          <w:szCs w:val="24"/>
        </w:rPr>
        <w:t>te company, Waste control, inc.</w:t>
      </w:r>
      <w:r w:rsidRPr="005A5BE4">
        <w:rPr>
          <w:rFonts w:cs="Times New Roman"/>
          <w:szCs w:val="24"/>
        </w:rPr>
        <w:t xml:space="preserve"> and the other nonregulated affiliate companies in its testimony.</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In my opinion, the UTC Staff has here, for instance in MC-7, invented a novel set of allocation factors to allocate common costs between a regulated solid waste company and its affiliates.  The method is appropriately named the “Three-Factor Allocation Method.” The three factors, as noted in the Testimony of Melissa Cheesman, are:  revenues, number of employees and net book value of fixed assets. </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please describe the difference among these allocators and their validity in your view.</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While looking at Staff’s allocator </w:t>
      </w:r>
      <w:r w:rsidRPr="00E82BD9">
        <w:rPr>
          <w:rFonts w:cs="Times New Roman"/>
          <w:szCs w:val="24"/>
        </w:rPr>
        <w:t>revenue</w:t>
      </w:r>
      <w:r w:rsidRPr="005A5BE4">
        <w:rPr>
          <w:rFonts w:cs="Times New Roman"/>
          <w:szCs w:val="24"/>
        </w:rPr>
        <w:t xml:space="preserve">, it is easy at first glance to see why this allocator is not appropriate.  It is a classic “apples and oranges” comparison if you compare revenues of disparate companies to allocate common expenses.  Each company within Waste Control’s affiliate group is entirely different in its orientation and largely in its operations.  Different rates are charged to a different type of customer base.  The next Staff allocator, </w:t>
      </w:r>
      <w:r w:rsidRPr="00E82BD9">
        <w:rPr>
          <w:rFonts w:cs="Times New Roman"/>
          <w:szCs w:val="24"/>
        </w:rPr>
        <w:t xml:space="preserve">number of employees, </w:t>
      </w:r>
      <w:r w:rsidRPr="005A5BE4">
        <w:rPr>
          <w:rFonts w:cs="Times New Roman"/>
          <w:szCs w:val="24"/>
        </w:rPr>
        <w:t xml:space="preserve">does have some value in allocating certain fixed general and administrative overhead expense.  Finally, the third criteria </w:t>
      </w:r>
      <w:r w:rsidRPr="00E82BD9">
        <w:rPr>
          <w:rFonts w:cs="Times New Roman"/>
          <w:szCs w:val="24"/>
        </w:rPr>
        <w:t>net book value of fixed assets</w:t>
      </w:r>
      <w:r w:rsidRPr="005A5BE4">
        <w:rPr>
          <w:rFonts w:cs="Times New Roman"/>
          <w:szCs w:val="24"/>
        </w:rPr>
        <w:t xml:space="preserve"> is, for me, a real puzzler.  Net book values, again, are the depreciated net book value of the deployed assets.  With each affiliated company owning different types of equipment and properties with differing lives and various dates of entering service, there is nothing to uniformly measure that has anything to do with the separate entities’ paying their fair share of common costs as is the goal of most allocated expense categories.</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what is the best allocator factor to attribute COMMON costs between affiliated companies in your view?</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To allocate disparate entities, more static or fixed allocators are required, something all companies share as common cost.  The most likely scenario is with affiliated companies sharing office and parking space as Waste Control does here.  The question is how you fairly separate these fixed costs appropriately amongst all companies.  As noted, the second criterion, </w:t>
      </w:r>
      <w:r w:rsidRPr="00E82BD9">
        <w:rPr>
          <w:rFonts w:cs="Times New Roman"/>
          <w:szCs w:val="24"/>
        </w:rPr>
        <w:t>number of employees</w:t>
      </w:r>
      <w:r w:rsidRPr="005A5BE4">
        <w:rPr>
          <w:rFonts w:cs="Times New Roman"/>
          <w:szCs w:val="24"/>
        </w:rPr>
        <w:t xml:space="preserve"> does have some value in separating certain shared overhead costs.  Others may include but not be limited to, square footage of shared land </w:t>
      </w:r>
      <w:r w:rsidRPr="005A5BE4">
        <w:rPr>
          <w:rFonts w:cs="Times New Roman"/>
          <w:szCs w:val="24"/>
        </w:rPr>
        <w:t xml:space="preserve">and buildings, in addition to number of employees and previously assigned costs. The last method is a more simplistic approach that takes the percentage of regulated to non-regulated </w:t>
      </w:r>
      <w:r w:rsidRPr="00E82BD9">
        <w:rPr>
          <w:rFonts w:cs="Times New Roman"/>
          <w:szCs w:val="24"/>
        </w:rPr>
        <w:t>operating</w:t>
      </w:r>
      <w:r w:rsidRPr="005A5BE4">
        <w:rPr>
          <w:rFonts w:cs="Times New Roman"/>
          <w:szCs w:val="24"/>
        </w:rPr>
        <w:t xml:space="preserve"> expense and assigns this percentage to certain overhead accounts. The goal in this selection is to determine which common costs exist and find an equitable way of allocating those common costs.</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what is the result of using allocator methods?</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The goal of this exercise is to clarify any misconceptions as to what is a good allocator and why it qualifies as such.  Selection of allocators is not simply a preconceived exercise in attempting to defend an allocator after the fact that obviously skews results in favor of one adjustment or party.  Rather, the selection is an exercise in objectivity.  What is the fairest means of allocating common costs?  Ironically, the selection of other allocator criteria instead of the “Three-Factor” method used by Staff could very well result in fewer expenses being allocated to the regulated company and in that situation actually lowering revenue requirements.  Regardless of the outcome, the Commission and any other analyst should apprehend the correct methods of allocating costs and discern whether they are consistent and accurate rather than establishing criteria with no credible basis in practice.  In my view, the “Three-Factor Allocation” method used by Staff in its testimony is a rather contrived and self-serving approach to attributing shared operating expenses to achieve an intended outcome. </w:t>
      </w:r>
    </w:p>
    <w:p w:rsidR="000D2DE1" w:rsidRPr="006A4EE1" w:rsidP="00F368C2">
      <w:pPr>
        <w:pStyle w:val="Heading2"/>
        <w:widowControl/>
        <w:numPr>
          <w:ilvl w:val="1"/>
          <w:numId w:val="3"/>
        </w:numPr>
        <w:tabs>
          <w:tab w:val="clear" w:pos="0"/>
          <w:tab w:val="clear" w:pos="720"/>
        </w:tabs>
        <w:spacing w:before="200" w:after="0"/>
        <w:rPr>
          <w:rFonts w:ascii="Times New Roman" w:hAnsi="Times New Roman" w:cs="Times New Roman"/>
          <w:b/>
          <w:sz w:val="24"/>
          <w:szCs w:val="24"/>
          <w:u w:val="none"/>
        </w:rPr>
      </w:pPr>
      <w:bookmarkStart w:id="33" w:name="_Toc396305775"/>
      <w:r w:rsidRPr="006A4EE1">
        <w:rPr>
          <w:rFonts w:ascii="Times New Roman" w:hAnsi="Times New Roman" w:cs="Times New Roman"/>
          <w:b/>
          <w:sz w:val="24"/>
          <w:szCs w:val="24"/>
          <w:u w:val="none"/>
        </w:rPr>
        <w:t>3.  Kalama Operations</w:t>
      </w:r>
      <w:bookmarkEnd w:id="33"/>
      <w:r w:rsidRPr="006A4EE1">
        <w:rPr>
          <w:rFonts w:ascii="Times New Roman" w:hAnsi="Times New Roman" w:cs="Times New Roman"/>
          <w:b/>
          <w:sz w:val="24"/>
          <w:szCs w:val="24"/>
          <w:u w:val="none"/>
        </w:rPr>
        <w:t xml:space="preserve"> </w:t>
      </w:r>
    </w:p>
    <w:p w:rsidR="000D2DE1" w:rsidRPr="005A5BE4" w:rsidP="00F368C2">
      <w:pPr>
        <w:pStyle w:val="QUESTION"/>
        <w:numPr>
          <w:ilvl w:val="1"/>
          <w:numId w:val="3"/>
        </w:numPr>
        <w:tabs>
          <w:tab w:val="clear" w:pos="0"/>
        </w:tabs>
        <w:ind w:left="720" w:hanging="720"/>
        <w:rPr>
          <w:rFonts w:cs="Times New Roman"/>
          <w:szCs w:val="24"/>
        </w:rPr>
      </w:pPr>
    </w:p>
    <w:p w:rsidR="000D2DE1" w:rsidRPr="005A5BE4" w:rsidP="00F368C2">
      <w:pPr>
        <w:pStyle w:val="QUESTION"/>
        <w:numPr>
          <w:ilvl w:val="1"/>
          <w:numId w:val="3"/>
        </w:numPr>
        <w:tabs>
          <w:tab w:val="clear" w:pos="0"/>
        </w:tabs>
        <w:ind w:left="720" w:hanging="720"/>
        <w:rPr>
          <w:rFonts w:cs="Times New Roman"/>
          <w:szCs w:val="24"/>
        </w:rPr>
      </w:pPr>
      <w:bookmarkStart w:id="34" w:name="_Toc395778122"/>
      <w:r w:rsidRPr="005A5BE4">
        <w:rPr>
          <w:rFonts w:cs="Times New Roman"/>
          <w:szCs w:val="24"/>
        </w:rPr>
        <w:t>q.</w:t>
      </w:r>
      <w:r w:rsidRPr="005A5BE4">
        <w:rPr>
          <w:rFonts w:cs="Times New Roman"/>
          <w:szCs w:val="24"/>
        </w:rPr>
        <w:tab/>
        <w:t>based on your familiarity and understanding of the operations of waste control, inc.  how would you characterize the city of kalama with respect to those operations?</w:t>
      </w:r>
      <w:bookmarkEnd w:id="34"/>
    </w:p>
    <w:p w:rsidR="000D2DE1" w:rsidRPr="005A5BE4" w:rsidP="00F368C2">
      <w:pPr>
        <w:pStyle w:val="ANS"/>
        <w:numPr>
          <w:ilvl w:val="1"/>
          <w:numId w:val="3"/>
        </w:numPr>
        <w:tabs>
          <w:tab w:val="clear" w:pos="0"/>
        </w:tabs>
        <w:ind w:left="720" w:hanging="720"/>
        <w:rPr>
          <w:rFonts w:cs="Times New Roman"/>
          <w:szCs w:val="24"/>
        </w:rPr>
      </w:pPr>
      <w:bookmarkStart w:id="35" w:name="_Toc395778123"/>
      <w:r w:rsidRPr="005A5BE4">
        <w:rPr>
          <w:rFonts w:cs="Times New Roman"/>
          <w:szCs w:val="24"/>
        </w:rPr>
        <w:t>A.</w:t>
      </w:r>
      <w:r w:rsidRPr="005A5BE4">
        <w:rPr>
          <w:rFonts w:cs="Times New Roman"/>
          <w:szCs w:val="24"/>
        </w:rPr>
        <w:tab/>
        <w:t>Kalama is a small city contract within WCI’s larger regulated service territory within Cowlitz County.</w:t>
      </w:r>
      <w:bookmarkEnd w:id="35"/>
      <w:r w:rsidRPr="005A5BE4">
        <w:rPr>
          <w:rFonts w:cs="Times New Roman"/>
          <w:szCs w:val="24"/>
        </w:rPr>
        <w:t xml:space="preserve"> </w:t>
      </w:r>
    </w:p>
    <w:p w:rsidR="000D2DE1" w:rsidRPr="005A5BE4" w:rsidP="00F368C2">
      <w:pPr>
        <w:pStyle w:val="QUESTION"/>
        <w:keepLines/>
        <w:numPr>
          <w:ilvl w:val="1"/>
          <w:numId w:val="3"/>
        </w:numPr>
        <w:tabs>
          <w:tab w:val="clear" w:pos="0"/>
        </w:tabs>
        <w:ind w:left="720" w:hanging="720"/>
        <w:rPr>
          <w:rFonts w:cs="Times New Roman"/>
          <w:szCs w:val="24"/>
        </w:rPr>
      </w:pPr>
      <w:bookmarkStart w:id="36" w:name="_Toc395778124"/>
      <w:r w:rsidRPr="005A5BE4">
        <w:rPr>
          <w:rFonts w:cs="Times New Roman"/>
          <w:szCs w:val="24"/>
        </w:rPr>
        <w:t>q.</w:t>
      </w:r>
      <w:r w:rsidRPr="005A5BE4">
        <w:rPr>
          <w:rFonts w:cs="Times New Roman"/>
          <w:szCs w:val="24"/>
        </w:rPr>
        <w:tab/>
        <w:t>based also on your understanding of the general rate case workpaper rules, and specifically wac 480-07-520(4</w:t>
      </w:r>
      <w:r w:rsidRPr="005A5BE4">
        <w:rPr>
          <w:rFonts w:cs="Times New Roman"/>
          <w:caps w:val="0"/>
          <w:szCs w:val="24"/>
        </w:rPr>
        <w:t xml:space="preserve">)(d), </w:t>
      </w:r>
      <w:r w:rsidRPr="005A5BE4">
        <w:rPr>
          <w:rFonts w:cs="Times New Roman"/>
          <w:szCs w:val="24"/>
        </w:rPr>
        <w:t>DO YOU CONCUR WITH THE COMPANY’S ORIGINAL INCLUSION OF KALAMA OPERATIONS IN TOTAL COMPANY REVENUES?</w:t>
      </w:r>
      <w:bookmarkEnd w:id="36"/>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37" w:name="_Toc395778125"/>
      <w:r w:rsidRPr="005A5BE4">
        <w:rPr>
          <w:rFonts w:cs="Times New Roman"/>
          <w:szCs w:val="24"/>
        </w:rPr>
        <w:t>A.</w:t>
      </w:r>
      <w:r w:rsidRPr="005A5BE4">
        <w:rPr>
          <w:rFonts w:cs="Times New Roman"/>
          <w:szCs w:val="24"/>
        </w:rPr>
        <w:tab/>
        <w:t>Yes, I do, and I understand they combined those results of operations as consistent with rule and previous Staff advice.</w:t>
      </w:r>
      <w:bookmarkEnd w:id="37"/>
    </w:p>
    <w:p w:rsidR="000D2DE1" w:rsidRPr="005A5BE4" w:rsidP="00F368C2">
      <w:pPr>
        <w:pStyle w:val="QUESTION"/>
        <w:numPr>
          <w:ilvl w:val="1"/>
          <w:numId w:val="3"/>
        </w:numPr>
        <w:tabs>
          <w:tab w:val="clear" w:pos="0"/>
        </w:tabs>
        <w:ind w:left="720" w:hanging="720"/>
        <w:rPr>
          <w:rFonts w:cs="Times New Roman"/>
          <w:szCs w:val="24"/>
        </w:rPr>
      </w:pPr>
      <w:bookmarkStart w:id="38" w:name="_Toc395778126"/>
      <w:r w:rsidRPr="005A5BE4">
        <w:rPr>
          <w:rFonts w:cs="Times New Roman"/>
          <w:szCs w:val="24"/>
        </w:rPr>
        <w:t>q.</w:t>
      </w:r>
      <w:r w:rsidRPr="005A5BE4">
        <w:rPr>
          <w:rFonts w:cs="Times New Roman"/>
          <w:szCs w:val="24"/>
        </w:rPr>
        <w:tab/>
        <w:t>what is your view of the staff’s separation in this proceeding of kalama revenues?</w:t>
      </w:r>
      <w:bookmarkEnd w:id="38"/>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39" w:name="_Toc395778127"/>
      <w:r w:rsidRPr="005A5BE4">
        <w:rPr>
          <w:rFonts w:cs="Times New Roman"/>
          <w:szCs w:val="24"/>
        </w:rPr>
        <w:t>A.</w:t>
      </w:r>
      <w:r w:rsidRPr="005A5BE4">
        <w:rPr>
          <w:rFonts w:cs="Times New Roman"/>
          <w:szCs w:val="24"/>
        </w:rPr>
        <w:tab/>
        <w:t>I don’t think they were compelled to perform that separation nor do I think their resulting separation of Kalama revenues was logical or accurate.</w:t>
      </w:r>
      <w:bookmarkEnd w:id="39"/>
    </w:p>
    <w:p w:rsidR="000D2DE1" w:rsidRPr="005A5BE4" w:rsidP="00F368C2">
      <w:pPr>
        <w:pStyle w:val="QUESTION"/>
        <w:numPr>
          <w:ilvl w:val="1"/>
          <w:numId w:val="3"/>
        </w:numPr>
        <w:tabs>
          <w:tab w:val="clear" w:pos="0"/>
        </w:tabs>
        <w:ind w:left="720" w:hanging="720"/>
        <w:rPr>
          <w:rFonts w:cs="Times New Roman"/>
          <w:szCs w:val="24"/>
        </w:rPr>
      </w:pPr>
      <w:bookmarkStart w:id="40" w:name="_Toc395778128"/>
      <w:r w:rsidRPr="005A5BE4">
        <w:rPr>
          <w:rFonts w:cs="Times New Roman"/>
          <w:szCs w:val="24"/>
        </w:rPr>
        <w:t>q.</w:t>
      </w:r>
      <w:r w:rsidRPr="005A5BE4">
        <w:rPr>
          <w:rFonts w:cs="Times New Roman"/>
          <w:szCs w:val="24"/>
        </w:rPr>
        <w:tab/>
        <w:t>Can you elaborate on that?</w:t>
      </w:r>
      <w:bookmarkEnd w:id="40"/>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41" w:name="_Toc395778129"/>
      <w:r w:rsidRPr="005A5BE4">
        <w:rPr>
          <w:rFonts w:cs="Times New Roman"/>
          <w:szCs w:val="24"/>
        </w:rPr>
        <w:t>A.</w:t>
      </w:r>
      <w:r w:rsidRPr="005A5BE4">
        <w:rPr>
          <w:rFonts w:cs="Times New Roman"/>
          <w:szCs w:val="24"/>
        </w:rPr>
        <w:tab/>
        <w:t>Yes. As generally described above, I believe the Staff has used incorrect allocation factors to generate a 107% operating ratio in the test period.  In my years as an analyst of solid waste collection company filings, it would be highly unusual for any regulated solid waste collection company who negotiates a city contract to incur as significant a loss as that operating ratio reflects, particularly because the rates charged in Kalama are identical to those in the regulated territory.</w:t>
      </w:r>
      <w:bookmarkEnd w:id="41"/>
    </w:p>
    <w:p w:rsidR="000D2DE1" w:rsidRPr="005A5BE4" w:rsidP="00F368C2">
      <w:pPr>
        <w:pStyle w:val="QUESTION"/>
        <w:numPr>
          <w:ilvl w:val="1"/>
          <w:numId w:val="3"/>
        </w:numPr>
        <w:tabs>
          <w:tab w:val="clear" w:pos="0"/>
        </w:tabs>
        <w:ind w:left="720" w:hanging="720"/>
        <w:rPr>
          <w:rFonts w:cs="Times New Roman"/>
          <w:szCs w:val="24"/>
        </w:rPr>
      </w:pPr>
      <w:bookmarkStart w:id="42" w:name="_Toc395778130"/>
      <w:r w:rsidRPr="005A5BE4">
        <w:rPr>
          <w:rFonts w:cs="Times New Roman"/>
          <w:szCs w:val="24"/>
        </w:rPr>
        <w:t>q.</w:t>
      </w:r>
      <w:r w:rsidRPr="005A5BE4">
        <w:rPr>
          <w:rFonts w:cs="Times New Roman"/>
          <w:szCs w:val="24"/>
        </w:rPr>
        <w:tab/>
        <w:t>what allocation factors did staff use to allocate kalama results?</w:t>
      </w:r>
      <w:bookmarkEnd w:id="42"/>
    </w:p>
    <w:p w:rsidR="000D2DE1" w:rsidRPr="005A5BE4" w:rsidP="00F368C2">
      <w:pPr>
        <w:pStyle w:val="ANS"/>
        <w:numPr>
          <w:ilvl w:val="1"/>
          <w:numId w:val="3"/>
        </w:numPr>
        <w:tabs>
          <w:tab w:val="clear" w:pos="0"/>
        </w:tabs>
        <w:ind w:left="720" w:hanging="720"/>
        <w:rPr>
          <w:rFonts w:cs="Times New Roman"/>
          <w:szCs w:val="24"/>
        </w:rPr>
      </w:pPr>
      <w:bookmarkStart w:id="43" w:name="_Toc395778131"/>
      <w:r w:rsidRPr="005A5BE4">
        <w:rPr>
          <w:rFonts w:cs="Times New Roman"/>
          <w:szCs w:val="24"/>
        </w:rPr>
        <w:t>A.</w:t>
      </w:r>
      <w:r w:rsidRPr="005A5BE4">
        <w:rPr>
          <w:rFonts w:cs="Times New Roman"/>
          <w:szCs w:val="24"/>
        </w:rPr>
        <w:tab/>
        <w:t>Based on my review of their testimony in this proceeding, Commission Staff employed a customer count and customer pickup methodology for allocating almost all of the Company’s operating expenses again, resulting in a 107% operating ratio.  In any event, it is very difficult to achieve an accurate expense allocation for such a small “carve-out/niche” of the Company’s operations and the Staff-derived operating ratio in MC-6, p. 3 is, in my opinion, indicative of that problem</w:t>
      </w:r>
      <w:bookmarkStart w:id="44" w:name="_Toc395778132"/>
      <w:bookmarkEnd w:id="43"/>
      <w:r w:rsidRPr="005A5BE4">
        <w:rPr>
          <w:rFonts w:cs="Times New Roman"/>
          <w:szCs w:val="24"/>
        </w:rPr>
        <w:t>.</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with regard to the rationale for staff allocators in the city of kalama, what are your observations?</w:t>
      </w:r>
      <w:bookmarkEnd w:id="44"/>
    </w:p>
    <w:p w:rsidR="000D2DE1" w:rsidRPr="005A5BE4" w:rsidP="00F368C2">
      <w:pPr>
        <w:pStyle w:val="ANS"/>
        <w:numPr>
          <w:ilvl w:val="1"/>
          <w:numId w:val="3"/>
        </w:numPr>
        <w:tabs>
          <w:tab w:val="clear" w:pos="0"/>
        </w:tabs>
        <w:ind w:left="720" w:hanging="720"/>
        <w:rPr>
          <w:rFonts w:cs="Times New Roman"/>
          <w:szCs w:val="24"/>
        </w:rPr>
      </w:pPr>
      <w:bookmarkStart w:id="45" w:name="_Toc395778133"/>
      <w:r w:rsidRPr="005A5BE4">
        <w:rPr>
          <w:rFonts w:cs="Times New Roman"/>
          <w:szCs w:val="24"/>
        </w:rPr>
        <w:t>A.</w:t>
      </w:r>
      <w:r w:rsidRPr="005A5BE4">
        <w:rPr>
          <w:rFonts w:cs="Times New Roman"/>
          <w:szCs w:val="24"/>
        </w:rPr>
        <w:tab/>
        <w:t xml:space="preserve">The Staff concluded the Company route hours compilation was unreliable so they apparently went to the City of Kalama and obtained the number of WCI customers billed </w:t>
      </w:r>
      <w:r w:rsidRPr="005A5BE4">
        <w:rPr>
          <w:rFonts w:cs="Times New Roman"/>
          <w:szCs w:val="24"/>
        </w:rPr>
        <w:t>by the City.  Staff then decided to use the City of Kalama customer statistics to produce their allocation of operating expenses.</w:t>
      </w:r>
      <w:bookmarkEnd w:id="45"/>
      <w:r w:rsidRPr="005A5BE4">
        <w:rPr>
          <w:rFonts w:cs="Times New Roman"/>
          <w:szCs w:val="24"/>
        </w:rPr>
        <w:t xml:space="preserve">  “Number of customers” as an allocator can be useful for some limited overhead costs such as a customer service center which receives calls from both regulated and nonregulated customers.</w:t>
      </w:r>
    </w:p>
    <w:p w:rsidR="000D2DE1" w:rsidRPr="005A5BE4" w:rsidP="00F368C2">
      <w:pPr>
        <w:pStyle w:val="QUESTION"/>
        <w:keepLines/>
        <w:numPr>
          <w:ilvl w:val="1"/>
          <w:numId w:val="3"/>
        </w:numPr>
        <w:tabs>
          <w:tab w:val="clear" w:pos="0"/>
        </w:tabs>
        <w:ind w:left="720" w:hanging="720"/>
        <w:rPr>
          <w:rFonts w:cs="Times New Roman"/>
          <w:szCs w:val="24"/>
        </w:rPr>
      </w:pPr>
      <w:bookmarkStart w:id="46" w:name="_Toc395778134"/>
      <w:r w:rsidRPr="005A5BE4">
        <w:rPr>
          <w:rFonts w:cs="Times New Roman"/>
          <w:szCs w:val="24"/>
        </w:rPr>
        <w:t>q.</w:t>
      </w:r>
      <w:r w:rsidRPr="005A5BE4">
        <w:rPr>
          <w:rFonts w:cs="Times New Roman"/>
          <w:szCs w:val="24"/>
        </w:rPr>
        <w:tab/>
        <w:t>why in your view are the staff allocators used for kalama incorrect?</w:t>
      </w:r>
      <w:bookmarkEnd w:id="46"/>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47" w:name="_Toc395778135"/>
      <w:r w:rsidRPr="005A5BE4">
        <w:rPr>
          <w:rFonts w:cs="Times New Roman"/>
          <w:szCs w:val="24"/>
        </w:rPr>
        <w:t>A.</w:t>
      </w:r>
      <w:r w:rsidRPr="005A5BE4">
        <w:rPr>
          <w:rFonts w:cs="Times New Roman"/>
          <w:szCs w:val="24"/>
        </w:rPr>
        <w:tab/>
        <w:t>Largely because of a basic fact.  As noted, the municipal boundaries of Kalama sit in a largely rural area of Cowlitz County.  It takes more time and miles driven to pick up the same number of customers in rural Cowlitz County than it does in the more densely populated town of Kalama.  The costs to serve customers in the rural area and the City are entirely different, with the rural areas incurring much more cost, based on my experience.</w:t>
      </w:r>
      <w:bookmarkEnd w:id="47"/>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are there other infirmities you would note in using customer pickups and customer counts for allocators?</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Based on my experience and my recent review of privately-held garbage company solid waste filings, it was further confirmed that the allocators used to separate regulated from nonregulated operations are a measure of activity allocators versus static allocators.  Measuring hours (either truck or driver) to allocate regulated and nonregulated operational expenses is much more realistic than just using customer count data, for instance, which does not take into account the obvious differences in operating conditions of regulated and nonregulated territories previously touched upon. </w:t>
      </w:r>
    </w:p>
    <w:p w:rsidR="000D2DE1" w:rsidRPr="005A5BE4" w:rsidP="00F368C2">
      <w:pPr>
        <w:pStyle w:val="QUESTION"/>
        <w:keepLines/>
        <w:numPr>
          <w:ilvl w:val="1"/>
          <w:numId w:val="3"/>
        </w:numPr>
        <w:tabs>
          <w:tab w:val="clear" w:pos="0"/>
        </w:tabs>
        <w:ind w:left="720" w:hanging="720"/>
        <w:rPr>
          <w:rFonts w:cs="Times New Roman"/>
          <w:szCs w:val="24"/>
        </w:rPr>
      </w:pPr>
      <w:bookmarkStart w:id="48" w:name="_Toc395778136"/>
      <w:r w:rsidRPr="005A5BE4">
        <w:rPr>
          <w:rFonts w:cs="Times New Roman"/>
          <w:szCs w:val="24"/>
        </w:rPr>
        <w:t>q.</w:t>
      </w:r>
      <w:r w:rsidRPr="005A5BE4">
        <w:rPr>
          <w:rFonts w:cs="Times New Roman"/>
          <w:szCs w:val="24"/>
        </w:rPr>
        <w:tab/>
      </w:r>
      <w:bookmarkEnd w:id="48"/>
      <w:r w:rsidRPr="005A5BE4">
        <w:rPr>
          <w:rFonts w:cs="Times New Roman"/>
          <w:szCs w:val="24"/>
        </w:rPr>
        <w:t>what advantages do truck or route hours provide instead?</w:t>
      </w:r>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49" w:name="_Toc395778137"/>
      <w:r w:rsidRPr="005A5BE4">
        <w:rPr>
          <w:rFonts w:cs="Times New Roman"/>
          <w:szCs w:val="24"/>
        </w:rPr>
        <w:t>A.</w:t>
      </w:r>
      <w:r w:rsidRPr="005A5BE4">
        <w:rPr>
          <w:rFonts w:cs="Times New Roman"/>
          <w:szCs w:val="24"/>
        </w:rPr>
        <w:tab/>
        <w:t>Route hours, which can be either truck hours or driver hours, give a much more realistic allocation between regulated rural and contract city operations.  Since the rates assessed again are the same here for both regulated customers and Kalama residents, we definitely need to be able to differentiate between the cost to serve Kalama versus the higher cost to serve rural regulated customers.</w:t>
      </w:r>
      <w:bookmarkEnd w:id="49"/>
    </w:p>
    <w:p w:rsidR="000D2DE1" w:rsidRPr="005A5BE4" w:rsidP="00F368C2">
      <w:pPr>
        <w:pStyle w:val="QUESTION"/>
        <w:numPr>
          <w:ilvl w:val="1"/>
          <w:numId w:val="3"/>
        </w:numPr>
        <w:tabs>
          <w:tab w:val="clear" w:pos="0"/>
        </w:tabs>
        <w:ind w:left="720" w:hanging="720"/>
        <w:rPr>
          <w:rFonts w:cs="Times New Roman"/>
          <w:szCs w:val="24"/>
        </w:rPr>
      </w:pPr>
      <w:bookmarkStart w:id="50" w:name="_Toc395778138"/>
      <w:r w:rsidRPr="005A5BE4">
        <w:rPr>
          <w:rFonts w:cs="Times New Roman"/>
          <w:szCs w:val="24"/>
        </w:rPr>
        <w:t>q.</w:t>
      </w:r>
      <w:r w:rsidRPr="005A5BE4">
        <w:rPr>
          <w:rFonts w:cs="Times New Roman"/>
          <w:szCs w:val="24"/>
        </w:rPr>
        <w:tab/>
        <w:t>have you been able to IDENTIFY a more accurate route hour (truck or driver) statistical study for the city of kalama?</w:t>
      </w:r>
      <w:bookmarkEnd w:id="50"/>
    </w:p>
    <w:p w:rsidR="000D2DE1" w:rsidRPr="005A5BE4" w:rsidP="00F368C2">
      <w:pPr>
        <w:pStyle w:val="ANS"/>
        <w:numPr>
          <w:ilvl w:val="1"/>
          <w:numId w:val="3"/>
        </w:numPr>
        <w:tabs>
          <w:tab w:val="clear" w:pos="0"/>
        </w:tabs>
        <w:ind w:left="720" w:hanging="720"/>
        <w:rPr>
          <w:rFonts w:cs="Times New Roman"/>
          <w:szCs w:val="24"/>
        </w:rPr>
      </w:pPr>
      <w:bookmarkStart w:id="51" w:name="_Toc395778139"/>
      <w:r w:rsidRPr="005A5BE4">
        <w:rPr>
          <w:rFonts w:cs="Times New Roman"/>
          <w:szCs w:val="24"/>
        </w:rPr>
        <w:t>A.</w:t>
      </w:r>
      <w:r w:rsidRPr="005A5BE4">
        <w:rPr>
          <w:rFonts w:cs="Times New Roman"/>
          <w:szCs w:val="24"/>
        </w:rPr>
        <w:tab/>
        <w:t>Yes, in response to the Staff’s testimony and its critique of the paucity or inconsistency of data, the Company has prepared a more refined route analysis should the Commission somehow decide to continue to separate Kalama operations.  This study also allows for a more reasonable route hour-based allocation of operating expenses in my opinion as described by Ms. Davis’s rebuttal testimony.  By that revised calculation using route hours, the operating ratio for separated Kalama operations is now approximately 89%.</w:t>
      </w:r>
      <w:bookmarkEnd w:id="51"/>
      <w:r w:rsidRPr="005A5BE4">
        <w:rPr>
          <w:rFonts w:cs="Times New Roman"/>
          <w:szCs w:val="24"/>
        </w:rPr>
        <w:t xml:space="preserve">  </w:t>
      </w:r>
    </w:p>
    <w:p w:rsidR="000D2DE1" w:rsidRPr="005A5BE4" w:rsidP="00F368C2">
      <w:pPr>
        <w:pStyle w:val="QUESTION"/>
        <w:numPr>
          <w:ilvl w:val="1"/>
          <w:numId w:val="3"/>
        </w:numPr>
        <w:tabs>
          <w:tab w:val="clear" w:pos="0"/>
        </w:tabs>
        <w:ind w:left="720" w:hanging="720"/>
        <w:rPr>
          <w:rFonts w:cs="Times New Roman"/>
          <w:szCs w:val="24"/>
        </w:rPr>
      </w:pPr>
      <w:bookmarkStart w:id="52" w:name="_Toc395778140"/>
      <w:r w:rsidRPr="005A5BE4">
        <w:rPr>
          <w:rFonts w:cs="Times New Roman"/>
          <w:szCs w:val="24"/>
        </w:rPr>
        <w:t>q.</w:t>
      </w:r>
      <w:r w:rsidRPr="005A5BE4">
        <w:rPr>
          <w:rFonts w:cs="Times New Roman"/>
          <w:szCs w:val="24"/>
        </w:rPr>
        <w:tab/>
        <w:t>Assuming the Commission determines not to separate Kalama operations from Company-wide operations, what would be the effect if Kalama was commingled into the Company’s total results of operations?</w:t>
      </w:r>
      <w:bookmarkEnd w:id="52"/>
    </w:p>
    <w:p w:rsidR="000D2DE1" w:rsidRPr="005A5BE4" w:rsidP="00E82BD9">
      <w:pPr>
        <w:pStyle w:val="Style4"/>
        <w:numPr>
          <w:ilvl w:val="1"/>
          <w:numId w:val="3"/>
        </w:numPr>
        <w:tabs>
          <w:tab w:val="clear" w:pos="0"/>
        </w:tabs>
        <w:spacing w:after="0" w:line="480" w:lineRule="exact"/>
        <w:ind w:left="720" w:hanging="720"/>
        <w:rPr>
          <w:rFonts w:cs="Times New Roman"/>
          <w:szCs w:val="24"/>
        </w:rPr>
      </w:pPr>
      <w:bookmarkStart w:id="53" w:name="_Toc395778141"/>
      <w:r w:rsidRPr="005A5BE4">
        <w:rPr>
          <w:rFonts w:cs="Times New Roman"/>
          <w:szCs w:val="24"/>
        </w:rPr>
        <w:t>A.</w:t>
      </w:r>
      <w:r w:rsidRPr="005A5BE4">
        <w:rPr>
          <w:rFonts w:cs="Times New Roman"/>
          <w:szCs w:val="24"/>
        </w:rPr>
        <w:tab/>
        <w:t>Again, I would advocate against separating out Kalama operations.  The result would be that all of Kalama’s revenue and allocated expenses would revert back to WCI’s results of operations.  Depending on which separated results the Commission considered the most accurate,</w:t>
      </w:r>
      <w:r w:rsidR="008B4AC0">
        <w:rPr>
          <w:rFonts w:cs="Times New Roman"/>
          <w:szCs w:val="24"/>
        </w:rPr>
        <w:t xml:space="preserve"> either Staff’s 107% operating ratio or the Company’s 89%,</w:t>
      </w:r>
      <w:r w:rsidRPr="005A5BE4">
        <w:rPr>
          <w:rFonts w:cs="Times New Roman"/>
          <w:szCs w:val="24"/>
        </w:rPr>
        <w:t xml:space="preserve"> it could then either reduce or increase WCI’s revenue requirement.</w:t>
      </w:r>
      <w:bookmarkEnd w:id="53"/>
      <w:r w:rsidRPr="005A5BE4">
        <w:rPr>
          <w:rFonts w:cs="Times New Roman"/>
          <w:szCs w:val="24"/>
        </w:rPr>
        <w:t xml:space="preserve">  Using the Company’s separated Kalama results and </w:t>
      </w:r>
      <w:r w:rsidRPr="00E82BD9">
        <w:rPr>
          <w:rFonts w:cs="Times New Roman"/>
          <w:szCs w:val="24"/>
        </w:rPr>
        <w:t>combining</w:t>
      </w:r>
      <w:r w:rsidRPr="005A5BE4">
        <w:rPr>
          <w:rFonts w:cs="Times New Roman"/>
          <w:szCs w:val="24"/>
        </w:rPr>
        <w:t xml:space="preserve"> this result with WCI company-wide results would have the effect of lowering the overall revenue requirement which is a compromise the Company may be willing to make.</w:t>
      </w:r>
    </w:p>
    <w:p w:rsidR="000D2DE1" w:rsidRPr="005A5BE4" w:rsidP="000D2DE1">
      <w:pPr>
        <w:pStyle w:val="QUESTION"/>
        <w:numPr>
          <w:ilvl w:val="0"/>
          <w:numId w:val="0"/>
        </w:numPr>
        <w:ind w:left="720" w:hanging="720"/>
        <w:rPr>
          <w:rFonts w:cs="Times New Roman"/>
          <w:szCs w:val="24"/>
        </w:rPr>
      </w:pPr>
      <w:r w:rsidRPr="005A5BE4">
        <w:rPr>
          <w:rFonts w:cs="Times New Roman"/>
          <w:szCs w:val="24"/>
        </w:rPr>
        <w:t>Q.</w:t>
      </w:r>
      <w:r w:rsidRPr="005A5BE4">
        <w:rPr>
          <w:rFonts w:cs="Times New Roman"/>
          <w:szCs w:val="24"/>
        </w:rPr>
        <w:tab/>
        <w:t>is there any other outstanding issue that needs addressing with respect to staff’s kalama conclusions?</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Yes.  A brief comment on Staff’s disposal tonnage pro forma adjustment in P-5A.</w:t>
      </w:r>
    </w:p>
    <w:p w:rsidR="000D2DE1" w:rsidRPr="005A5BE4" w:rsidP="000D2DE1">
      <w:pPr>
        <w:pStyle w:val="QUESTION"/>
        <w:numPr>
          <w:ilvl w:val="0"/>
          <w:numId w:val="0"/>
        </w:numPr>
        <w:ind w:left="720" w:hanging="720"/>
        <w:rPr>
          <w:rFonts w:cs="Times New Roman"/>
          <w:szCs w:val="24"/>
        </w:rPr>
      </w:pPr>
      <w:r w:rsidRPr="005A5BE4">
        <w:rPr>
          <w:rFonts w:cs="Times New Roman"/>
          <w:szCs w:val="24"/>
        </w:rPr>
        <w:t>Q.</w:t>
      </w:r>
      <w:r w:rsidRPr="005A5BE4">
        <w:rPr>
          <w:rFonts w:cs="Times New Roman"/>
          <w:szCs w:val="24"/>
        </w:rPr>
        <w:tab/>
        <w:t>WHAT CONCERNS DO YOU HAVE WITH THAT PARTICULAR ADJUSTMENT?</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The Staff used Meeks weights to allocate disposal tons to Kalama on a per customer basis.  </w:t>
      </w:r>
    </w:p>
    <w:p w:rsidR="000D2DE1" w:rsidRPr="005A5BE4" w:rsidP="000D2DE1">
      <w:pPr>
        <w:pStyle w:val="QUESTION"/>
        <w:numPr>
          <w:ilvl w:val="0"/>
          <w:numId w:val="0"/>
        </w:numPr>
        <w:ind w:left="720" w:hanging="720"/>
        <w:rPr>
          <w:rFonts w:cs="Times New Roman"/>
          <w:szCs w:val="24"/>
        </w:rPr>
      </w:pPr>
      <w:r w:rsidRPr="005A5BE4">
        <w:rPr>
          <w:rFonts w:cs="Times New Roman"/>
          <w:szCs w:val="24"/>
        </w:rPr>
        <w:t>Q.</w:t>
      </w:r>
      <w:r w:rsidRPr="005A5BE4">
        <w:rPr>
          <w:rFonts w:cs="Times New Roman"/>
          <w:szCs w:val="24"/>
        </w:rPr>
        <w:tab/>
        <w:t>HOW WOULD THAT AFFECT THE ALLOCATION THEY PROPOSED?</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Meeks weights are a starting point for use in rate design.  The Commission’s Cost of Service model starts with Meeks’ per can rates.  In every case, the number of customers times the Meeks weights do not equal the disposal tons.  The Cost of Service model basically just reduces or increases the weights evenly throughout all service levels so the product of pickup times adjusted by weight equals the actual disposal tons.  </w:t>
      </w:r>
    </w:p>
    <w:p w:rsidR="000D2DE1" w:rsidRPr="005A5BE4" w:rsidP="000D2DE1">
      <w:pPr>
        <w:pStyle w:val="QUESTION"/>
        <w:numPr>
          <w:ilvl w:val="0"/>
          <w:numId w:val="0"/>
        </w:numPr>
        <w:ind w:left="720" w:hanging="720"/>
        <w:rPr>
          <w:rFonts w:cs="Times New Roman"/>
          <w:szCs w:val="24"/>
        </w:rPr>
      </w:pPr>
      <w:r w:rsidRPr="005A5BE4">
        <w:rPr>
          <w:rFonts w:cs="Times New Roman"/>
          <w:szCs w:val="24"/>
        </w:rPr>
        <w:t>Q.</w:t>
      </w:r>
      <w:r w:rsidRPr="005A5BE4">
        <w:rPr>
          <w:rFonts w:cs="Times New Roman"/>
          <w:szCs w:val="24"/>
        </w:rPr>
        <w:tab/>
        <w:t>HOW WOULD THAT AFFECT THE COMPANY HERE?</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The Staff allocation uses Meeks can weights times the number of pickups.  Recalling that its allocator in Kalama was based on customer counts or number of pickups, in this case, the Staff calculates more disposal tons allocated to Kalama that actually should remain in company-wide WCI operations.  The actual disposal tons and number of customer pickups are the constants.  Again, the can weights are the variable and are always changing.  </w:t>
      </w:r>
    </w:p>
    <w:p w:rsidR="000D2DE1" w:rsidRPr="005A5BE4" w:rsidP="000D2DE1">
      <w:pPr>
        <w:pStyle w:val="HEADINGCENTERED"/>
      </w:pPr>
      <w:bookmarkStart w:id="54" w:name="_Toc396305776"/>
      <w:r w:rsidRPr="005A5BE4">
        <w:t>v.  summary/conclusions</w:t>
      </w:r>
      <w:bookmarkEnd w:id="54"/>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could you briefly summarize what your concerns are in terms of the issues you have critiqued with respect to staff’s case?</w:t>
      </w:r>
    </w:p>
    <w:p w:rsidR="000D2DE1" w:rsidRPr="005A5BE4" w:rsidP="00E82BD9">
      <w:pPr>
        <w:pStyle w:val="Style4"/>
        <w:numPr>
          <w:ilvl w:val="1"/>
          <w:numId w:val="3"/>
        </w:numPr>
        <w:tabs>
          <w:tab w:val="clear" w:pos="0"/>
        </w:tabs>
        <w:spacing w:after="0" w:line="480" w:lineRule="exact"/>
        <w:ind w:left="720" w:hanging="720"/>
        <w:rPr>
          <w:rFonts w:cs="Times New Roman"/>
          <w:szCs w:val="24"/>
        </w:rPr>
      </w:pPr>
      <w:r w:rsidRPr="005A5BE4">
        <w:rPr>
          <w:rFonts w:cs="Times New Roman"/>
          <w:szCs w:val="24"/>
        </w:rPr>
        <w:t>A.</w:t>
      </w:r>
      <w:r w:rsidRPr="005A5BE4">
        <w:rPr>
          <w:rFonts w:cs="Times New Roman"/>
          <w:szCs w:val="24"/>
        </w:rPr>
        <w:tab/>
        <w:t xml:space="preserve">Obviously first, is the introduction by Staff of novel, untried and ultimately flawed criteria in establishing adjustments for affiliated land rents on the basis of three input components upon which their proposed return is derived.  Secondly, the Staff has introduced a new “Three-Factor Allocator” criteria in place of more established, consistent and accepted approaches using the allocators previously mentioned.  Third, the use of customer count data obviously has a significant effect in skewing calculations of regulated and nonregulated operation expenses in the City of Kalama.  In Kalama, the wholesale separation of Kalama revenue and expenses that relies upon customer counts and pickup numbers dramatically reconfigures the Company’s results of operations in a way that is indefensible to consistent ratemaking methodological calculations.  The impact of Staff attempting on its own to separate out Kalama results is ultimately a </w:t>
      </w:r>
      <w:r w:rsidRPr="005A5BE4">
        <w:rPr>
          <w:rFonts w:cs="Times New Roman"/>
          <w:szCs w:val="24"/>
        </w:rPr>
        <w:t>bootstrapping exercise designed to support quantitative results that have no basis in ratemaking reality in my opinion.</w:t>
      </w:r>
    </w:p>
    <w:p w:rsidR="000D2DE1" w:rsidRPr="005A5BE4" w:rsidP="00F368C2">
      <w:pPr>
        <w:pStyle w:val="QUESTION"/>
        <w:numPr>
          <w:ilvl w:val="1"/>
          <w:numId w:val="3"/>
        </w:numPr>
        <w:tabs>
          <w:tab w:val="clear" w:pos="0"/>
        </w:tabs>
        <w:ind w:left="720" w:hanging="720"/>
        <w:rPr>
          <w:rFonts w:cs="Times New Roman"/>
          <w:szCs w:val="24"/>
        </w:rPr>
      </w:pPr>
      <w:r w:rsidRPr="005A5BE4">
        <w:rPr>
          <w:rFonts w:cs="Times New Roman"/>
          <w:szCs w:val="24"/>
        </w:rPr>
        <w:t>q.</w:t>
      </w:r>
      <w:r w:rsidRPr="005A5BE4">
        <w:rPr>
          <w:rFonts w:cs="Times New Roman"/>
          <w:szCs w:val="24"/>
        </w:rPr>
        <w:tab/>
        <w:t>does that conclude your testimony here?</w:t>
      </w:r>
    </w:p>
    <w:p w:rsidR="000D2DE1" w:rsidRPr="005A5BE4" w:rsidP="00F368C2">
      <w:pPr>
        <w:pStyle w:val="ANS"/>
        <w:numPr>
          <w:ilvl w:val="1"/>
          <w:numId w:val="3"/>
        </w:numPr>
        <w:tabs>
          <w:tab w:val="clear" w:pos="0"/>
        </w:tabs>
        <w:ind w:left="720" w:hanging="720"/>
        <w:rPr>
          <w:rFonts w:cs="Times New Roman"/>
          <w:szCs w:val="24"/>
        </w:rPr>
      </w:pPr>
      <w:r w:rsidRPr="005A5BE4">
        <w:rPr>
          <w:rFonts w:cs="Times New Roman"/>
          <w:szCs w:val="24"/>
        </w:rPr>
        <w:t>A.</w:t>
      </w:r>
      <w:r w:rsidRPr="005A5BE4">
        <w:rPr>
          <w:rFonts w:cs="Times New Roman"/>
          <w:szCs w:val="24"/>
        </w:rPr>
        <w:tab/>
        <w:t>Yes it does.</w:t>
      </w:r>
    </w:p>
    <w:p w:rsidR="000D2DE1" w:rsidRPr="005A5BE4" w:rsidP="000D2DE1">
      <w:pPr>
        <w:pStyle w:val="Judge"/>
        <w:jc w:val="left"/>
        <w:rPr>
          <w:rFonts w:ascii="Times New Roman" w:hAnsi="Times New Roman" w:cs="Times New Roman"/>
          <w:sz w:val="24"/>
        </w:rPr>
      </w:pPr>
    </w:p>
    <w:sectPr w:rsidSect="0078516A">
      <w:headerReference w:type="default" r:id="rId16"/>
      <w:footerReference w:type="default" r:id="rId17"/>
      <w:pgSz w:w="12240" w:h="15840" w:code="1"/>
      <w:pgMar w:top="1440" w:right="1440" w:bottom="1440" w:left="1440" w:header="0" w:footer="141" w:gutter="0"/>
      <w:paperSrc w:first="261" w:other="261"/>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RPr="00797374" w:rsidP="00797374">
    <w:pPr>
      <w:pStyle w:val="NoSpacing"/>
      <w:rPr>
        <w:rFonts w:ascii="Times New Roman" w:hAnsi="Times New Roman" w:cs="Times New Roman"/>
        <w:sz w:val="20"/>
        <w:szCs w:val="20"/>
      </w:rPr>
    </w:pPr>
    <w:r w:rsidRPr="00797374">
      <w:rPr>
        <w:rFonts w:ascii="Times New Roman" w:hAnsi="Times New Roman" w:cs="Times New Roman"/>
        <w:sz w:val="20"/>
        <w:szCs w:val="20"/>
      </w:rPr>
      <w:t>REBUTTAL TESTIMONY OF LAYNE DEMAS</w:t>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t xml:space="preserve">Exhibit No. LD-1T </w:t>
    </w:r>
  </w:p>
  <w:p w:rsidR="000D2DE1" w:rsidRPr="00797374" w:rsidP="00797374">
    <w:pPr>
      <w:pStyle w:val="NoSpacing"/>
      <w:rPr>
        <w:rFonts w:ascii="Times New Roman" w:hAnsi="Times New Roman" w:cs="Times New Roman"/>
        <w:sz w:val="20"/>
        <w:szCs w:val="20"/>
      </w:rPr>
    </w:pP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t xml:space="preserve">Page i </w:t>
    </w:r>
  </w:p>
  <w:p w:rsidR="000D2DE1" w:rsidP="00796596">
    <w:pPr>
      <w:pStyle w:val="Footer"/>
    </w:pPr>
    <w:r>
      <w:rPr>
        <w:sz w:val="16"/>
      </w:rPr>
      <w:fldChar w:fldCharType="begin"/>
    </w:r>
    <w:r>
      <w:rPr>
        <w:sz w:val="16"/>
      </w:rPr>
      <w:instrText xml:space="preserve"> </w:instrText>
    </w:r>
    <w:r w:rsidRPr="00796596">
      <w:rPr>
        <w:sz w:val="16"/>
      </w:rPr>
      <w:instrText>IF "</w:instrText>
    </w:r>
    <w:r w:rsidRPr="00796596">
      <w:rPr>
        <w:sz w:val="16"/>
      </w:rPr>
      <w:instrText>1</w:instrText>
    </w:r>
    <w:r w:rsidRPr="00796596">
      <w:rPr>
        <w:sz w:val="16"/>
      </w:rPr>
      <w:instrText>" = "1" "</w:instrText>
    </w:r>
    <w:r w:rsidRPr="00796596">
      <w:rPr>
        <w:sz w:val="16"/>
      </w:rPr>
      <w:fldChar w:fldCharType="begin"/>
    </w:r>
    <w:r w:rsidRPr="00796596">
      <w:rPr>
        <w:sz w:val="16"/>
      </w:rPr>
      <w:instrText xml:space="preserve"> DOCPROPERTY "SWDocID" </w:instrText>
    </w:r>
    <w:r w:rsidRPr="00796596">
      <w:rPr>
        <w:sz w:val="16"/>
      </w:rPr>
      <w:fldChar w:fldCharType="separate"/>
    </w:r>
    <w:r w:rsidR="00A370EA">
      <w:rPr>
        <w:sz w:val="16"/>
      </w:rPr>
      <w:instrText xml:space="preserve"> 5101271.1</w:instrText>
    </w:r>
    <w:r w:rsidRPr="00796596">
      <w:rPr>
        <w:sz w:val="16"/>
      </w:rPr>
      <w:fldChar w:fldCharType="end"/>
    </w:r>
    <w:r w:rsidRPr="00796596">
      <w:rPr>
        <w:sz w:val="16"/>
      </w:rPr>
      <w:instrText>" ""</w:instrText>
    </w:r>
    <w:r>
      <w:rPr>
        <w:sz w:val="16"/>
      </w:rPr>
      <w:instrText xml:space="preserve"> </w:instrText>
    </w:r>
    <w:r>
      <w:rPr>
        <w:sz w:val="16"/>
      </w:rPr>
      <w:fldChar w:fldCharType="separate"/>
    </w:r>
    <w:r w:rsidR="00A370EA">
      <w:rPr>
        <w:noProof/>
        <w:sz w:val="16"/>
      </w:rPr>
      <w:t xml:space="preserve"> 5101271.1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P="0017056D">
    <w:pPr>
      <w:pStyle w:val="Footer"/>
    </w:pPr>
    <w:r>
      <w:rPr>
        <w:sz w:val="16"/>
      </w:rPr>
      <w:fldChar w:fldCharType="begin"/>
    </w:r>
    <w:r>
      <w:rPr>
        <w:sz w:val="16"/>
      </w:rPr>
      <w:instrText xml:space="preserve"> </w:instrText>
    </w:r>
    <w:r w:rsidRPr="00796596">
      <w:rPr>
        <w:sz w:val="16"/>
      </w:rPr>
      <w:instrText>IF "</w:instrText>
    </w:r>
    <w:r w:rsidRPr="00796596">
      <w:rPr>
        <w:sz w:val="16"/>
      </w:rPr>
      <w:instrText>1</w:instrText>
    </w:r>
    <w:r w:rsidRPr="00796596">
      <w:rPr>
        <w:sz w:val="16"/>
      </w:rPr>
      <w:instrText>" = "1" "</w:instrText>
    </w:r>
    <w:r w:rsidRPr="00796596">
      <w:rPr>
        <w:sz w:val="16"/>
      </w:rPr>
      <w:fldChar w:fldCharType="begin"/>
    </w:r>
    <w:r w:rsidRPr="00796596">
      <w:rPr>
        <w:sz w:val="16"/>
      </w:rPr>
      <w:instrText xml:space="preserve"> DOCPROPERTY "SWDocID" </w:instrText>
    </w:r>
    <w:r w:rsidRPr="00796596">
      <w:rPr>
        <w:sz w:val="16"/>
      </w:rPr>
      <w:fldChar w:fldCharType="separate"/>
    </w:r>
    <w:r w:rsidR="00A370EA">
      <w:rPr>
        <w:sz w:val="16"/>
      </w:rPr>
      <w:instrText xml:space="preserve"> 5101271.1</w:instrText>
    </w:r>
    <w:r w:rsidRPr="00796596">
      <w:rPr>
        <w:sz w:val="16"/>
      </w:rPr>
      <w:fldChar w:fldCharType="end"/>
    </w:r>
    <w:r w:rsidRPr="00796596">
      <w:rPr>
        <w:sz w:val="16"/>
      </w:rPr>
      <w:instrText>" ""</w:instrText>
    </w:r>
    <w:r>
      <w:rPr>
        <w:sz w:val="16"/>
      </w:rPr>
      <w:instrText xml:space="preserve"> </w:instrText>
    </w:r>
    <w:r>
      <w:rPr>
        <w:sz w:val="16"/>
      </w:rPr>
      <w:fldChar w:fldCharType="separate"/>
    </w:r>
    <w:r w:rsidR="00A370EA">
      <w:rPr>
        <w:noProof/>
        <w:sz w:val="16"/>
      </w:rPr>
      <w:t xml:space="preserve"> 5101271.1</w:t>
    </w:r>
    <w:r>
      <w:rPr>
        <w:sz w:val="16"/>
      </w:rPr>
      <w:fldChar w:fldCharType="end"/>
    </w:r>
  </w:p>
  <w:p w:rsidR="000D2DE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RPr="00797374" w:rsidP="000D2DE1">
    <w:pPr>
      <w:pStyle w:val="NoSpacing"/>
      <w:rPr>
        <w:rFonts w:ascii="Times New Roman" w:hAnsi="Times New Roman" w:cs="Times New Roman"/>
        <w:sz w:val="20"/>
        <w:szCs w:val="20"/>
      </w:rPr>
    </w:pPr>
    <w:r w:rsidRPr="00797374">
      <w:rPr>
        <w:rFonts w:ascii="Times New Roman" w:hAnsi="Times New Roman" w:cs="Times New Roman"/>
        <w:sz w:val="20"/>
        <w:szCs w:val="20"/>
      </w:rPr>
      <w:t>REBUTTAL TESTIMONY OF LAYNE DEMAS</w:t>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t xml:space="preserve">Exhibit No. LD-1T </w:t>
    </w:r>
  </w:p>
  <w:p w:rsidR="000D2DE1" w:rsidRPr="00797374" w:rsidP="000D2DE1">
    <w:pPr>
      <w:pStyle w:val="NoSpacing"/>
      <w:rPr>
        <w:rFonts w:ascii="Times New Roman" w:hAnsi="Times New Roman" w:cs="Times New Roman"/>
        <w:sz w:val="20"/>
        <w:szCs w:val="20"/>
      </w:rPr>
    </w:pP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t xml:space="preserve">Page i </w:t>
    </w:r>
  </w:p>
  <w:p w:rsidR="002A724F" w:rsidP="000D2DE1">
    <w:pPr>
      <w:pStyle w:val="Footer"/>
    </w:pPr>
  </w:p>
  <w:p w:rsidR="00FC5E7F" w:rsidRPr="000D2DE1" w:rsidP="002A724F">
    <w:pPr>
      <w:pStyle w:val="Footer"/>
    </w:pPr>
    <w:r>
      <w:rPr>
        <w:sz w:val="16"/>
      </w:rPr>
      <w:fldChar w:fldCharType="begin"/>
    </w:r>
    <w:r>
      <w:rPr>
        <w:sz w:val="16"/>
      </w:rPr>
      <w:instrText xml:space="preserve"> </w:instrText>
    </w:r>
    <w:r w:rsidRPr="002A724F">
      <w:rPr>
        <w:sz w:val="16"/>
      </w:rPr>
      <w:instrText>IF "</w:instrText>
    </w:r>
    <w:r w:rsidRPr="002A724F">
      <w:rPr>
        <w:sz w:val="16"/>
      </w:rPr>
      <w:instrText>1</w:instrText>
    </w:r>
    <w:r w:rsidRPr="002A724F">
      <w:rPr>
        <w:sz w:val="16"/>
      </w:rPr>
      <w:instrText>" = "1" "</w:instrText>
    </w:r>
    <w:r w:rsidRPr="002A724F">
      <w:rPr>
        <w:sz w:val="16"/>
      </w:rPr>
      <w:fldChar w:fldCharType="begin"/>
    </w:r>
    <w:r w:rsidRPr="002A724F">
      <w:rPr>
        <w:sz w:val="16"/>
      </w:rPr>
      <w:instrText xml:space="preserve"> DOCPROPERTY "SWDocID" </w:instrText>
    </w:r>
    <w:r w:rsidRPr="002A724F">
      <w:rPr>
        <w:sz w:val="16"/>
      </w:rPr>
      <w:fldChar w:fldCharType="separate"/>
    </w:r>
    <w:r w:rsidR="00A370EA">
      <w:rPr>
        <w:sz w:val="16"/>
      </w:rPr>
      <w:instrText xml:space="preserve"> 5101271.1</w:instrText>
    </w:r>
    <w:r w:rsidRPr="002A724F">
      <w:rPr>
        <w:sz w:val="16"/>
      </w:rPr>
      <w:fldChar w:fldCharType="end"/>
    </w:r>
    <w:r w:rsidRPr="002A724F">
      <w:rPr>
        <w:sz w:val="16"/>
      </w:rPr>
      <w:instrText>" ""</w:instrText>
    </w:r>
    <w:r>
      <w:rPr>
        <w:sz w:val="16"/>
      </w:rPr>
      <w:instrText xml:space="preserve"> </w:instrText>
    </w:r>
    <w:r>
      <w:rPr>
        <w:sz w:val="16"/>
      </w:rPr>
      <w:fldChar w:fldCharType="separate"/>
    </w:r>
    <w:r w:rsidR="00A370EA">
      <w:rPr>
        <w:noProof/>
        <w:sz w:val="16"/>
      </w:rPr>
      <w:t xml:space="preserve"> 5101271.1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RPr="00797374" w:rsidP="000D2DE1">
    <w:pPr>
      <w:pStyle w:val="NoSpacing"/>
      <w:rPr>
        <w:rFonts w:ascii="Times New Roman" w:hAnsi="Times New Roman" w:cs="Times New Roman"/>
        <w:sz w:val="20"/>
        <w:szCs w:val="20"/>
      </w:rPr>
    </w:pPr>
    <w:r w:rsidRPr="00797374">
      <w:rPr>
        <w:rFonts w:ascii="Times New Roman" w:hAnsi="Times New Roman" w:cs="Times New Roman"/>
        <w:sz w:val="20"/>
        <w:szCs w:val="20"/>
      </w:rPr>
      <w:t>REBUTTAL TESTIMONY OF LAYNE DEMAS</w:t>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t xml:space="preserve">Exhibit No. LD-1T </w:t>
    </w:r>
  </w:p>
  <w:p w:rsidR="002A724F" w:rsidRPr="0078516A" w:rsidP="0078516A">
    <w:pPr>
      <w:pStyle w:val="NoSpacing"/>
      <w:rPr>
        <w:sz w:val="10"/>
      </w:rPr>
    </w:pP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797374">
      <w:rPr>
        <w:rFonts w:ascii="Times New Roman" w:hAnsi="Times New Roman" w:cs="Times New Roman"/>
        <w:sz w:val="20"/>
        <w:szCs w:val="20"/>
      </w:rPr>
      <w:tab/>
    </w:r>
    <w:r w:rsidRPr="008778A9" w:rsidR="008778A9">
      <w:rPr>
        <w:rFonts w:ascii="Times New Roman" w:hAnsi="Times New Roman" w:cs="Times New Roman"/>
      </w:rPr>
      <w:t xml:space="preserve">Page </w:t>
    </w:r>
    <w:r w:rsidRPr="008778A9" w:rsidR="008778A9">
      <w:rPr>
        <w:rStyle w:val="PageNumber"/>
        <w:rFonts w:ascii="Times New Roman" w:hAnsi="Times New Roman" w:cs="Times New Roman"/>
      </w:rPr>
      <w:fldChar w:fldCharType="begin"/>
    </w:r>
    <w:r w:rsidRPr="008778A9" w:rsidR="008778A9">
      <w:rPr>
        <w:rStyle w:val="PageNumber"/>
        <w:rFonts w:ascii="Times New Roman" w:hAnsi="Times New Roman" w:cs="Times New Roman"/>
      </w:rPr>
      <w:instrText xml:space="preserve"> PAGE </w:instrText>
    </w:r>
    <w:r w:rsidRPr="008778A9" w:rsidR="008778A9">
      <w:rPr>
        <w:rStyle w:val="PageNumber"/>
        <w:rFonts w:ascii="Times New Roman" w:hAnsi="Times New Roman" w:cs="Times New Roman"/>
      </w:rPr>
      <w:fldChar w:fldCharType="separate"/>
    </w:r>
    <w:r w:rsidR="00A370EA">
      <w:rPr>
        <w:rStyle w:val="PageNumber"/>
        <w:rFonts w:ascii="Times New Roman" w:hAnsi="Times New Roman" w:cs="Times New Roman"/>
        <w:noProof/>
      </w:rPr>
      <w:t>6</w:t>
    </w:r>
    <w:r w:rsidRPr="008778A9" w:rsidR="008778A9">
      <w:rPr>
        <w:rStyle w:val="PageNumber"/>
        <w:rFonts w:ascii="Times New Roman" w:hAnsi="Times New Roman" w:cs="Times New Roman"/>
      </w:rPr>
      <w:fldChar w:fldCharType="end"/>
    </w:r>
    <w:r w:rsidR="0078516A">
      <w:rPr>
        <w:rFonts w:ascii="Times New Roman" w:hAnsi="Times New Roman" w:cs="Times New Roman"/>
        <w:sz w:val="20"/>
        <w:szCs w:val="20"/>
      </w:rPr>
      <w:br/>
    </w:r>
  </w:p>
  <w:p w:rsidR="000D2DE1" w:rsidRPr="000D2DE1" w:rsidP="002A724F">
    <w:pPr>
      <w:pStyle w:val="Footer"/>
    </w:pPr>
    <w:r>
      <w:rPr>
        <w:sz w:val="16"/>
      </w:rPr>
      <w:fldChar w:fldCharType="begin"/>
    </w:r>
    <w:r>
      <w:rPr>
        <w:sz w:val="16"/>
      </w:rPr>
      <w:instrText xml:space="preserve"> </w:instrText>
    </w:r>
    <w:r w:rsidRPr="002A724F">
      <w:rPr>
        <w:sz w:val="16"/>
      </w:rPr>
      <w:instrText>IF "</w:instrText>
    </w:r>
    <w:r w:rsidRPr="002A724F">
      <w:rPr>
        <w:sz w:val="16"/>
      </w:rPr>
      <w:instrText>1</w:instrText>
    </w:r>
    <w:r w:rsidRPr="002A724F">
      <w:rPr>
        <w:sz w:val="16"/>
      </w:rPr>
      <w:instrText>" = "1" "</w:instrText>
    </w:r>
    <w:r w:rsidRPr="002A724F">
      <w:rPr>
        <w:sz w:val="16"/>
      </w:rPr>
      <w:fldChar w:fldCharType="begin"/>
    </w:r>
    <w:r w:rsidRPr="002A724F">
      <w:rPr>
        <w:sz w:val="16"/>
      </w:rPr>
      <w:instrText xml:space="preserve"> DOCPROPERTY "SWDocID" </w:instrText>
    </w:r>
    <w:r w:rsidRPr="002A724F">
      <w:rPr>
        <w:sz w:val="16"/>
      </w:rPr>
      <w:fldChar w:fldCharType="separate"/>
    </w:r>
    <w:r w:rsidR="00A370EA">
      <w:rPr>
        <w:sz w:val="16"/>
      </w:rPr>
      <w:instrText xml:space="preserve"> 5101271.1</w:instrText>
    </w:r>
    <w:r w:rsidRPr="002A724F">
      <w:rPr>
        <w:sz w:val="16"/>
      </w:rPr>
      <w:fldChar w:fldCharType="end"/>
    </w:r>
    <w:r w:rsidRPr="002A724F">
      <w:rPr>
        <w:sz w:val="16"/>
      </w:rPr>
      <w:instrText>" ""</w:instrText>
    </w:r>
    <w:r>
      <w:rPr>
        <w:sz w:val="16"/>
      </w:rPr>
      <w:instrText xml:space="preserve"> </w:instrText>
    </w:r>
    <w:r>
      <w:rPr>
        <w:sz w:val="16"/>
      </w:rPr>
      <w:fldChar w:fldCharType="separate"/>
    </w:r>
    <w:r w:rsidR="00A370EA">
      <w:rPr>
        <w:noProof/>
        <w:sz w:val="16"/>
      </w:rPr>
      <w:t xml:space="preserve"> 5101271.1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RPr="006578E3" w:rsidP="006578E3">
    <w:pPr>
      <w:pStyle w:val="NoSpacing"/>
      <w:jc w:val="right"/>
      <w:rPr>
        <w:rFonts w:ascii="Times New Roman" w:hAnsi="Times New Roman" w:cs="Times New Roman"/>
        <w:sz w:val="20"/>
        <w:szCs w:val="20"/>
      </w:rPr>
    </w:pPr>
  </w:p>
  <w:p w:rsidR="000D2DE1" w:rsidRPr="00EF00AF" w:rsidP="00EF0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rsidRPr="006578E3" w:rsidP="006578E3">
    <w:pPr>
      <w:pStyle w:val="NoSpacing"/>
      <w:jc w:val="right"/>
      <w:rPr>
        <w:rFonts w:ascii="Times New Roman" w:hAnsi="Times New Roman" w:cs="Times New Roman"/>
        <w:sz w:val="20"/>
        <w:szCs w:val="20"/>
      </w:rPr>
    </w:pPr>
    <w:r w:rsidRPr="006578E3">
      <w:rPr>
        <w:rFonts w:ascii="Times New Roman" w:hAnsi="Times New Roman" w:cs="Times New Roman"/>
        <w:sz w:val="20"/>
        <w:szCs w:val="20"/>
      </w:rPr>
      <w:t>Docket No. TG-140560</w:t>
    </w:r>
  </w:p>
  <w:p w:rsidR="000D2DE1" w:rsidRPr="006578E3" w:rsidP="006578E3">
    <w:pPr>
      <w:pStyle w:val="NoSpacing"/>
      <w:jc w:val="right"/>
      <w:rPr>
        <w:rFonts w:ascii="Times New Roman" w:hAnsi="Times New Roman" w:cs="Times New Roman"/>
        <w:sz w:val="20"/>
        <w:szCs w:val="20"/>
      </w:rPr>
    </w:pPr>
    <w:r w:rsidRPr="006578E3">
      <w:rPr>
        <w:rFonts w:ascii="Times New Roman" w:hAnsi="Times New Roman" w:cs="Times New Roman"/>
        <w:sz w:val="20"/>
        <w:szCs w:val="20"/>
      </w:rPr>
      <w:t>Rebuttal Testimony of Layne Demas</w:t>
    </w:r>
  </w:p>
  <w:p w:rsidR="000D2DE1" w:rsidRPr="006578E3" w:rsidP="006578E3">
    <w:pPr>
      <w:pStyle w:val="NoSpacing"/>
      <w:jc w:val="right"/>
      <w:rPr>
        <w:rFonts w:ascii="Times New Roman" w:hAnsi="Times New Roman" w:cs="Times New Roman"/>
        <w:sz w:val="20"/>
        <w:szCs w:val="20"/>
      </w:rPr>
    </w:pPr>
    <w:r w:rsidRPr="006578E3">
      <w:rPr>
        <w:rFonts w:ascii="Times New Roman" w:hAnsi="Times New Roman" w:cs="Times New Roman"/>
        <w:sz w:val="20"/>
        <w:szCs w:val="20"/>
      </w:rPr>
      <w:t>Exhibit No.___ (LD-1T)</w:t>
    </w:r>
  </w:p>
  <w:p w:rsidR="000D2DE1" w:rsidRPr="006578E3" w:rsidP="006578E3">
    <w:pPr>
      <w:pStyle w:val="NoSpacing"/>
      <w:jc w:val="right"/>
      <w:rPr>
        <w:rFonts w:ascii="Times New Roman" w:hAnsi="Times New Roman" w:cs="Times New Roman"/>
        <w:sz w:val="20"/>
        <w:szCs w:val="20"/>
      </w:rPr>
    </w:pPr>
    <w:r w:rsidRPr="006578E3">
      <w:rPr>
        <w:rFonts w:ascii="Times New Roman" w:hAnsi="Times New Roman" w:cs="Times New Roman"/>
        <w:sz w:val="20"/>
        <w:szCs w:val="20"/>
      </w:rPr>
      <w:t>August 20,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E7F">
    <w:pPr>
      <w:pStyle w:val="Header"/>
    </w:pPr>
    <w:r>
      <w:rPr>
        <w:noProof/>
      </w:rPr>
      <w:pict>
        <v:shapetype id="_x0000_t202" coordsize="21600,21600" o:spt="202" path="m,l,21600r21600,l21600,xe">
          <v:stroke joinstyle="miter"/>
          <v:path gradientshapeok="t" o:connecttype="rect"/>
        </v:shapetype>
        <v:shape id="LineNumbers" o:spid="_x0000_s2049" type="#_x0000_t202" alt="Text Box: 1&#10;2&#10;3&#10;4&#10;5&#10;6&#10;7&#10;8&#10;9&#10;10&#10;11&#10;12&#10;13&#10;14&#10;15&#10;16&#10;17&#10;18&#10;19&#10;20&#10;21&#10;22&#10;23&#10;24&#10;25&#10;26&#10;" style="height:611.5pt;margin-left:-50.4pt;margin-top:0.7pt;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8240" o:allowincell="f" stroked="f">
          <v:textbox inset="0,0,0,0">
            <w:txbxContent>
              <w:p w:rsidR="00FC5E7F">
                <w:pPr>
                  <w:spacing w:line="480" w:lineRule="atLeast"/>
                  <w:jc w:val="right"/>
                </w:pPr>
              </w:p>
            </w:txbxContent>
          </v:textbox>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D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9A2">
    <w:pPr>
      <w:pStyle w:val="Header"/>
    </w:pPr>
    <w:r>
      <w:rPr>
        <w:noProof/>
      </w:rPr>
      <w:pict>
        <v:shapetype id="_x0000_t202" coordsize="21600,21600" o:spt="202" path="m,l,21600r21600,l21600,xe">
          <v:stroke joinstyle="miter"/>
          <v:path gradientshapeok="t" o:connecttype="rect"/>
        </v:shapetype>
        <v:shape id="_x0000_s2050" type="#_x0000_t202" alt="Text Box: 1&#10;2&#10;3&#10;4&#10;5&#10;6&#10;7&#10;8&#10;9&#10;10&#10;11&#10;12&#10;13&#10;14&#10;15&#10;16&#10;17&#10;18&#10;19&#10;20&#10;21&#10;22&#10;23&#10;24&#10;25&#10;26&#10;" style="height:609.2pt;margin-left:-51.8pt;margin-top:-0.05pt;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9264" o:allowincell="f" stroked="f">
          <v:textbox inset="0,0,0,0">
            <w:txbxContent>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3</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4</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5</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6</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7</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8</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9</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10</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11</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12</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13</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14</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15</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16</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17</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18</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19</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20</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21</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22</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23</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24</w:t>
                </w:r>
              </w:p>
              <w:p w:rsidR="00E869A2" w:rsidRPr="00E869A2" w:rsidP="00E82BD9">
                <w:pPr>
                  <w:spacing w:after="0" w:line="480" w:lineRule="exact"/>
                  <w:jc w:val="right"/>
                  <w:rPr>
                    <w:rFonts w:ascii="Times New Roman" w:hAnsi="Times New Roman" w:cs="Times New Roman"/>
                    <w:sz w:val="24"/>
                    <w:szCs w:val="24"/>
                  </w:rPr>
                </w:pPr>
                <w:r w:rsidRPr="00E869A2">
                  <w:rPr>
                    <w:rFonts w:ascii="Times New Roman" w:hAnsi="Times New Roman" w:cs="Times New Roman"/>
                    <w:sz w:val="24"/>
                    <w:szCs w:val="24"/>
                  </w:rPr>
                  <w:t>25</w:t>
                </w:r>
              </w:p>
              <w:p w:rsidR="00E869A2" w:rsidRPr="00E869A2" w:rsidP="00E82BD9">
                <w:pPr>
                  <w:spacing w:after="0" w:line="480" w:lineRule="exact"/>
                  <w:jc w:val="right"/>
                  <w:rPr>
                    <w:rFonts w:ascii="Times New Roman" w:hAnsi="Times New Roman" w:cs="Times New Roman"/>
                    <w:sz w:val="24"/>
                    <w:szCs w:val="24"/>
                  </w:rPr>
                </w:pPr>
              </w:p>
              <w:p w:rsidR="00E869A2" w:rsidRPr="00E869A2" w:rsidP="00E82BD9">
                <w:pPr>
                  <w:spacing w:after="0" w:line="480" w:lineRule="exact"/>
                  <w:jc w:val="right"/>
                  <w:rPr>
                    <w:rFonts w:ascii="Times New Roman" w:hAnsi="Times New Roman" w:cs="Times New Roman"/>
                    <w:sz w:val="24"/>
                    <w:szCs w:val="24"/>
                  </w:rPr>
                </w:pPr>
              </w:p>
              <w:p w:rsidR="00E869A2" w:rsidRPr="00E869A2" w:rsidP="00E82BD9">
                <w:pPr>
                  <w:spacing w:after="0" w:line="480" w:lineRule="exact"/>
                  <w:jc w:val="right"/>
                  <w:rPr>
                    <w:rFonts w:ascii="Times New Roman" w:hAnsi="Times New Roman" w:cs="Times New Roman"/>
                    <w:sz w:val="24"/>
                    <w:szCs w:val="24"/>
                  </w:rPr>
                </w:pP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pStyle w:val="Styl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6479487F"/>
    <w:multiLevelType w:val="multilevel"/>
    <w:tmpl w:val="981015F2"/>
    <w:lvl w:ilvl="0">
      <w:start w:val="1"/>
      <w:numFmt w:val="upperRoman"/>
      <w:pStyle w:val="Heading1"/>
      <w:suff w:val="nothing"/>
      <w:lvlText w:val="%1.  "/>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mallCaps w:val="0"/>
        <w:strike w:val="0"/>
        <w:dstrike w:val="0"/>
        <w:vanish w:val="0"/>
        <w:color w:val="auto"/>
        <w:spacing w:val="0"/>
        <w:w w:val="100"/>
        <w:kern w:val="0"/>
        <w:position w:val="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2">
    <w:nsid w:val="654F5634"/>
    <w:multiLevelType w:val="multilevel"/>
    <w:tmpl w:val="3530E350"/>
    <w:lvl w:ilvl="0">
      <w:start w:val="1"/>
      <w:numFmt w:val="upperRoman"/>
      <w:suff w:val="nothing"/>
      <w:lvlText w:val="%1.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sz w:val="24"/>
        <w:szCs w:val="24"/>
        <w:u w:val="none"/>
        <w:effect w:val="none"/>
        <w:vertAlign w:val="baseline"/>
      </w:rPr>
    </w:lvl>
    <w:lvl w:ilvl="1">
      <w:start w:val="1"/>
      <w:numFmt w:val="none"/>
      <w:suff w:val="nothing"/>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sz w:val="22"/>
        <w:u w:val="none"/>
        <w:effect w:val="none"/>
        <w:vertAlign w:val="baseline"/>
      </w:rPr>
    </w:lvl>
    <w:lvl w:ilvl="2">
      <w:start w:val="1"/>
      <w:numFmt w:val="none"/>
      <w:suff w:val="nothing"/>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sz w:val="22"/>
        <w:u w:val="none"/>
        <w:effect w:val="none"/>
        <w:vertAlign w:val="baseline"/>
      </w:rPr>
    </w:lvl>
    <w:lvl w:ilvl="3">
      <w:start w:val="1"/>
      <w:numFmt w:val="none"/>
      <w:suff w:val="nothing"/>
      <w:lvlJc w:val="left"/>
      <w:pPr>
        <w:tabs>
          <w:tab w:val="num" w:pos="0"/>
        </w:tabs>
        <w:ind w:left="0" w:firstLine="0"/>
      </w:pPr>
      <w:rPr>
        <w:rFonts w:ascii="Times New Roman" w:hAnsi="Times New Roman" w:cs="Times New Roman"/>
        <w:b/>
        <w:i/>
        <w:caps w:val="0"/>
        <w:strike w:val="0"/>
        <w:dstrike w:val="0"/>
        <w:outline w:val="0"/>
        <w:shadow w:val="0"/>
        <w:emboss w:val="0"/>
        <w:imprint w:val="0"/>
        <w:vanish w:val="0"/>
        <w:color w:val="000000"/>
        <w:sz w:val="22"/>
        <w:u w:val="none"/>
        <w:effect w:val="none"/>
        <w:vertAlign w:val="baseline"/>
      </w:rPr>
    </w:lvl>
    <w:lvl w:ilvl="4">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2"/>
        <w:u w:val="none"/>
        <w:effect w:val="none"/>
        <w:vertAlign w:val="baseline"/>
      </w:rPr>
    </w:lvl>
    <w:lvl w:ilvl="5">
      <w:start w:val="1"/>
      <w:numFmt w:val="none"/>
      <w:suff w:val="nothing"/>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2"/>
        <w:u w:val="none"/>
        <w:effect w:val="none"/>
        <w:vertAlign w:val="baseline"/>
      </w:rPr>
    </w:lvl>
    <w:lvl w:ilvl="6">
      <w:start w:val="1"/>
      <w:numFmt w:val="none"/>
      <w:suff w:val="nothing"/>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2"/>
        <w:u w:val="none"/>
        <w:effect w:val="none"/>
        <w:vertAlign w:val="baseline"/>
      </w:rPr>
    </w:lvl>
    <w:lvl w:ilvl="7">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2"/>
        <w:u w:val="none"/>
        <w:effect w:val="none"/>
        <w:vertAlign w:val="baseline"/>
      </w:rPr>
    </w:lvl>
    <w:lvl w:ilvl="8">
      <w:start w:val="1"/>
      <w:numFmt w:val="none"/>
      <w:suff w:val="nothing"/>
      <w:lvlJc w:val="left"/>
      <w:pPr>
        <w:tabs>
          <w:tab w:val="num" w:pos="0"/>
        </w:tabs>
        <w:ind w:left="0" w:firstLine="0"/>
      </w:pPr>
      <w:rPr>
        <w:rFonts w:ascii="Times New Roman" w:hAnsi="Times New Roman" w:cs="Times New Roman"/>
        <w:b w:val="0"/>
        <w:i/>
        <w:caps w:val="0"/>
        <w:strike w:val="0"/>
        <w:dstrike w:val="0"/>
        <w:outline w:val="0"/>
        <w:shadow w:val="0"/>
        <w:emboss w:val="0"/>
        <w:imprint w:val="0"/>
        <w:vanish w:val="0"/>
        <w:color w:val="000000"/>
        <w:sz w:val="22"/>
        <w:u w:val="none"/>
        <w:effect w:val="none"/>
        <w:vertAlign w:val="baseline"/>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4804" w:allStyles="0" w:alternateStyleNames="0" w:clearFormatting="0" w:customStyles="0" w:directFormattingOnNumbering="0" w:directFormattingOnParagraphs="0" w:directFormattingOnRuns="0" w:directFormattingOnTables="1"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Normal Indent" w:semiHidden="1"/>
    <w:lsdException w:name="footnote text" w:qFormat="1"/>
    <w:lsdException w:name="annotation text" w:semiHidden="1" w:unhideWhenUsed="1"/>
    <w:lsdException w:name="header" w:uiPriority="99"/>
    <w:lsdException w:name="footer" w:uiPriority="99"/>
    <w:lsdException w:name="index heading" w:semiHidden="1"/>
    <w:lsdException w:name="table of figure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Body Tex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2" w:uiPriority="99" w:qFormat="1"/>
    <w:lsdException w:name="Body Text Indent 2" w:semiHidden="1"/>
    <w:lsdException w:name="Body Text Indent 3" w:semiHidden="1"/>
    <w:lsdException w:name="Hyperlink" w:semiHidden="1" w:uiPriority="99" w:unhideWhenUsed="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0D2DE1"/>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2"/>
    <w:uiPriority w:val="9"/>
    <w:qFormat/>
    <w:pPr>
      <w:keepNext/>
      <w:keepLines/>
      <w:widowControl w:val="0"/>
      <w:numPr>
        <w:numId w:val="1"/>
      </w:numPr>
      <w:spacing w:after="240"/>
      <w:jc w:val="center"/>
      <w:outlineLvl w:val="0"/>
    </w:pPr>
    <w:rPr>
      <w:caps/>
      <w:snapToGrid w:val="0"/>
      <w:kern w:val="28"/>
      <w:u w:val="single"/>
    </w:rPr>
  </w:style>
  <w:style w:type="paragraph" w:styleId="Heading2">
    <w:name w:val="heading 2"/>
    <w:basedOn w:val="Normal"/>
    <w:next w:val="BodyText2"/>
    <w:link w:val="Heading2Char"/>
    <w:uiPriority w:val="9"/>
    <w:qFormat/>
    <w:pPr>
      <w:keepNext/>
      <w:keepLines/>
      <w:widowControl w:val="0"/>
      <w:numPr>
        <w:ilvl w:val="1"/>
        <w:numId w:val="1"/>
      </w:numPr>
      <w:tabs>
        <w:tab w:val="left" w:pos="720"/>
      </w:tabs>
      <w:spacing w:after="240"/>
      <w:outlineLvl w:val="1"/>
    </w:pPr>
    <w:rPr>
      <w:snapToGrid w:val="0"/>
      <w:u w:val="single"/>
    </w:rPr>
  </w:style>
  <w:style w:type="paragraph" w:styleId="Heading3">
    <w:name w:val="heading 3"/>
    <w:basedOn w:val="Normal"/>
    <w:next w:val="BodyText2"/>
    <w:uiPriority w:val="9"/>
    <w:qFormat/>
    <w:pPr>
      <w:keepNext/>
      <w:keepLines/>
      <w:widowControl w:val="0"/>
      <w:numPr>
        <w:ilvl w:val="2"/>
        <w:numId w:val="1"/>
      </w:numPr>
      <w:spacing w:after="240"/>
      <w:outlineLvl w:val="2"/>
    </w:pPr>
    <w:rPr>
      <w:snapToGrid w:val="0"/>
      <w:u w:val="single"/>
    </w:rPr>
  </w:style>
  <w:style w:type="paragraph" w:styleId="Heading4">
    <w:name w:val="heading 4"/>
    <w:basedOn w:val="Normal"/>
    <w:next w:val="BodyText2"/>
    <w:uiPriority w:val="9"/>
    <w:unhideWhenUsed/>
    <w:qFormat/>
    <w:pPr>
      <w:keepNext/>
      <w:keepLines/>
      <w:widowControl w:val="0"/>
      <w:numPr>
        <w:ilvl w:val="3"/>
        <w:numId w:val="1"/>
      </w:numPr>
      <w:spacing w:after="240"/>
      <w:outlineLvl w:val="3"/>
    </w:pPr>
    <w:rPr>
      <w:snapToGrid w:val="0"/>
      <w:u w:val="single"/>
    </w:rPr>
  </w:style>
  <w:style w:type="paragraph" w:styleId="Heading5">
    <w:name w:val="heading 5"/>
    <w:basedOn w:val="Normal"/>
    <w:next w:val="BodyText2"/>
    <w:uiPriority w:val="9"/>
    <w:unhideWhenUsed/>
    <w:qFormat/>
    <w:pPr>
      <w:keepNext/>
      <w:keepLines/>
      <w:widowControl w:val="0"/>
      <w:numPr>
        <w:ilvl w:val="4"/>
        <w:numId w:val="1"/>
      </w:numPr>
      <w:spacing w:after="240"/>
      <w:outlineLvl w:val="4"/>
    </w:pPr>
    <w:rPr>
      <w:snapToGrid w:val="0"/>
      <w:u w:val="single"/>
    </w:rPr>
  </w:style>
  <w:style w:type="paragraph" w:styleId="Heading6">
    <w:name w:val="heading 6"/>
    <w:basedOn w:val="Normal"/>
    <w:next w:val="BodyText2"/>
    <w:uiPriority w:val="9"/>
    <w:unhideWhenUsed/>
    <w:qFormat/>
    <w:pPr>
      <w:keepNext/>
      <w:keepLines/>
      <w:widowControl w:val="0"/>
      <w:numPr>
        <w:ilvl w:val="5"/>
        <w:numId w:val="1"/>
      </w:numPr>
      <w:spacing w:after="240"/>
      <w:outlineLvl w:val="5"/>
    </w:pPr>
    <w:rPr>
      <w:snapToGrid w:val="0"/>
      <w:u w:val="single"/>
    </w:rPr>
  </w:style>
  <w:style w:type="paragraph" w:styleId="Heading7">
    <w:name w:val="heading 7"/>
    <w:basedOn w:val="Normal"/>
    <w:next w:val="BodyText2"/>
    <w:uiPriority w:val="9"/>
    <w:unhideWhenUsed/>
    <w:qFormat/>
    <w:pPr>
      <w:keepNext/>
      <w:keepLines/>
      <w:widowControl w:val="0"/>
      <w:numPr>
        <w:ilvl w:val="6"/>
        <w:numId w:val="1"/>
      </w:numPr>
      <w:spacing w:after="240"/>
      <w:outlineLvl w:val="6"/>
    </w:pPr>
    <w:rPr>
      <w:snapToGrid w:val="0"/>
      <w:u w:val="single"/>
    </w:rPr>
  </w:style>
  <w:style w:type="paragraph" w:styleId="Heading8">
    <w:name w:val="heading 8"/>
    <w:basedOn w:val="Normal"/>
    <w:next w:val="BodyText2"/>
    <w:uiPriority w:val="9"/>
    <w:unhideWhenUsed/>
    <w:qFormat/>
    <w:pPr>
      <w:keepNext/>
      <w:keepLines/>
      <w:widowControl w:val="0"/>
      <w:numPr>
        <w:ilvl w:val="7"/>
        <w:numId w:val="1"/>
      </w:numPr>
      <w:spacing w:after="240"/>
      <w:outlineLvl w:val="7"/>
    </w:pPr>
    <w:rPr>
      <w:snapToGrid w:val="0"/>
      <w:u w:val="single"/>
    </w:rPr>
  </w:style>
  <w:style w:type="paragraph" w:styleId="Heading9">
    <w:name w:val="heading 9"/>
    <w:basedOn w:val="Normal"/>
    <w:next w:val="BodyText2"/>
    <w:uiPriority w:val="9"/>
    <w:unhideWhenUsed/>
    <w:qFormat/>
    <w:pPr>
      <w:keepNext/>
      <w:keepLines/>
      <w:widowControl w:val="0"/>
      <w:numPr>
        <w:ilvl w:val="8"/>
        <w:numId w:val="1"/>
      </w:numPr>
      <w:spacing w:after="24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spacing w:line="240" w:lineRule="auto"/>
    </w:pPr>
    <w:rPr>
      <w:sz w:val="16"/>
    </w:rPr>
  </w:style>
  <w:style w:type="paragraph" w:styleId="TOC1">
    <w:name w:val="toc 1"/>
    <w:basedOn w:val="Normal"/>
    <w:next w:val="Normal"/>
    <w:autoRedefine/>
    <w:uiPriority w:val="39"/>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rPr>
      <w:noProof w:val="0"/>
      <w:lang w:val="en-US"/>
    </w:rPr>
  </w:style>
  <w:style w:type="paragraph" w:styleId="Title">
    <w:name w:val="Title"/>
    <w:basedOn w:val="Normal"/>
    <w:next w:val="TextAfterTitle"/>
    <w:qFormat/>
    <w:pPr>
      <w:widowControl w:val="0"/>
      <w:spacing w:after="240"/>
      <w:ind w:left="187"/>
    </w:pPr>
    <w:rPr>
      <w:b/>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pPr>
      <w:spacing w:after="240"/>
      <w:ind w:firstLine="720"/>
    </w:pPr>
  </w:style>
  <w:style w:type="paragraph" w:styleId="BodyText2">
    <w:name w:val="Body Text 2"/>
    <w:basedOn w:val="Normal"/>
    <w:link w:val="BodyText2Char"/>
    <w:uiPriority w:val="99"/>
    <w:qFormat/>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ind w:left="720" w:right="720"/>
    </w:pPr>
  </w:style>
  <w:style w:type="paragraph" w:styleId="FootnoteText">
    <w:name w:val="footnote text"/>
    <w:basedOn w:val="Normal"/>
    <w:unhideWhenUsed/>
    <w:qFormat/>
    <w:pPr>
      <w:spacing w:after="120"/>
    </w:pPr>
    <w:rPr>
      <w:sz w:val="20"/>
    </w:rPr>
  </w:style>
  <w:style w:type="paragraph" w:styleId="TOC2">
    <w:name w:val="toc 2"/>
    <w:basedOn w:val="Normal"/>
    <w:next w:val="Normal"/>
    <w:autoRedefine/>
    <w:uiPriority w:val="39"/>
    <w:rsid w:val="000D2DE1"/>
    <w:pPr>
      <w:ind w:left="240" w:firstLine="48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styleId="Caption">
    <w:name w:val="caption"/>
    <w:basedOn w:val="Normal"/>
    <w:next w:val="Normal"/>
    <w:semiHidden/>
    <w:pPr>
      <w:spacing w:line="240" w:lineRule="auto"/>
    </w:pPr>
    <w:rPr>
      <w:bCs/>
    </w:rPr>
  </w:style>
  <w:style w:type="paragraph" w:styleId="Quote">
    <w:name w:val="Quote"/>
    <w:basedOn w:val="Normal"/>
    <w:next w:val="TextAfterQuote"/>
    <w:qFormat/>
    <w:pPr>
      <w:spacing w:after="240"/>
      <w:ind w:left="720" w:right="720"/>
    </w:pPr>
  </w:style>
  <w:style w:type="paragraph" w:customStyle="1" w:styleId="TextAfterQuote">
    <w:name w:val="TextAfterQuote"/>
    <w:basedOn w:val="Normal"/>
    <w:next w:val="BodyText2"/>
    <w:qFormat/>
    <w:pPr>
      <w:spacing w:line="480" w:lineRule="exact"/>
    </w:pPr>
  </w:style>
  <w:style w:type="paragraph" w:customStyle="1" w:styleId="QuoteDbl">
    <w:name w:val="QuoteDbl"/>
    <w:basedOn w:val="Normal"/>
    <w:next w:val="TextAfterQuote"/>
    <w:qFormat/>
    <w:pPr>
      <w:spacing w:after="240"/>
      <w:ind w:left="1440" w:right="1440"/>
    </w:pPr>
  </w:style>
  <w:style w:type="paragraph" w:customStyle="1" w:styleId="TextAfterTitle">
    <w:name w:val="TextAfterTitle"/>
    <w:basedOn w:val="Normal"/>
    <w:qFormat/>
    <w:pPr>
      <w:ind w:left="187"/>
    </w:pPr>
  </w:style>
  <w:style w:type="paragraph" w:customStyle="1" w:styleId="PartyName">
    <w:name w:val="Party Name"/>
    <w:basedOn w:val="Normal"/>
    <w:semiHidden/>
    <w:pPr>
      <w:spacing w:line="240" w:lineRule="auto"/>
      <w:ind w:left="1440"/>
    </w:p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link w:val="JudgeChar"/>
    <w:semiHidden/>
    <w:pPr>
      <w:jc w:val="right"/>
    </w:pPr>
    <w:rPr>
      <w:caps/>
      <w:szCs w:val="24"/>
    </w:rPr>
  </w:style>
  <w:style w:type="paragraph" w:customStyle="1" w:styleId="Venue">
    <w:name w:val="Venue"/>
    <w:basedOn w:val="Normal"/>
    <w:semiHidden/>
    <w:pPr>
      <w:spacing w:after="240" w:line="480" w:lineRule="exact"/>
      <w:jc w:val="center"/>
    </w:pPr>
    <w:rPr>
      <w:caps/>
      <w:szCs w:val="24"/>
    </w:rPr>
  </w:style>
  <w:style w:type="paragraph" w:customStyle="1" w:styleId="QAQuote">
    <w:name w:val="Q&amp;A Quote"/>
    <w:basedOn w:val="Normal"/>
    <w:qFormat/>
    <w:pPr>
      <w:spacing w:after="240"/>
      <w:ind w:left="1440" w:hanging="720"/>
    </w:pPr>
  </w:style>
  <w:style w:type="paragraph" w:styleId="EnvelopeAddress">
    <w:name w:val="envelope address"/>
    <w:basedOn w:val="Normal"/>
    <w:unhideWhenUsed/>
    <w:pPr>
      <w:framePr w:w="7920" w:h="1980" w:hRule="exact" w:hSpace="180" w:wrap="auto" w:hAnchor="page" w:xAlign="center" w:yAlign="bottom"/>
      <w:spacing w:line="240" w:lineRule="auto"/>
      <w:ind w:left="2880"/>
    </w:pPr>
    <w:rPr>
      <w:rFonts w:ascii="Palatino Linotype" w:hAnsi="Palatino Linotype" w:cs="Arial"/>
      <w:szCs w:val="24"/>
    </w:rPr>
  </w:style>
  <w:style w:type="paragraph" w:customStyle="1" w:styleId="CaptionFooter">
    <w:name w:val="Caption Footer"/>
    <w:basedOn w:val="Normal"/>
    <w:semiHidden/>
    <w:pPr>
      <w:spacing w:before="100"/>
      <w:ind w:left="-72"/>
    </w:pPr>
    <w:rPr>
      <w:sz w:val="20"/>
    </w:rPr>
  </w:style>
  <w:style w:type="character" w:styleId="PlaceholderText">
    <w:name w:val="Placeholder Text"/>
    <w:basedOn w:val="DefaultParagraphFont"/>
    <w:uiPriority w:val="99"/>
    <w:semiHidden/>
    <w:rsid w:val="000D2DE1"/>
    <w:rPr>
      <w:color w:val="808080"/>
    </w:rPr>
  </w:style>
  <w:style w:type="numbering" w:styleId="111111">
    <w:name w:val="Outline List 2"/>
    <w:basedOn w:val="NoList"/>
    <w:rsid w:val="000D2DE1"/>
    <w:pPr>
      <w:numPr>
        <w:numId w:val="2"/>
      </w:numPr>
    </w:pPr>
  </w:style>
  <w:style w:type="table" w:styleId="TableGrid">
    <w:name w:val="Table Grid"/>
    <w:basedOn w:val="TableNormal"/>
    <w:uiPriority w:val="59"/>
    <w:rsid w:val="000D2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Heading2"/>
    <w:next w:val="ANS"/>
    <w:link w:val="QUESTIONChar"/>
    <w:qFormat/>
    <w:rsid w:val="004A02E5"/>
    <w:pPr>
      <w:keepNext w:val="0"/>
      <w:keepLines w:val="0"/>
      <w:widowControl/>
      <w:tabs>
        <w:tab w:val="clear" w:pos="720"/>
      </w:tabs>
      <w:spacing w:line="240" w:lineRule="exact"/>
    </w:pPr>
    <w:rPr>
      <w:rFonts w:ascii="Times New Roman" w:hAnsi="Times New Roman" w:cs="Arial"/>
      <w:b/>
      <w:bCs/>
      <w:iCs/>
      <w:caps/>
      <w:snapToGrid/>
      <w:sz w:val="24"/>
      <w:szCs w:val="28"/>
      <w:u w:val="none"/>
    </w:rPr>
  </w:style>
  <w:style w:type="character" w:customStyle="1" w:styleId="QUESTIONChar">
    <w:name w:val="QUESTION Char"/>
    <w:basedOn w:val="DefaultParagraphFont"/>
    <w:link w:val="QUESTION"/>
    <w:rsid w:val="004A02E5"/>
    <w:rPr>
      <w:rFonts w:eastAsiaTheme="minorHAnsi" w:cs="Arial"/>
      <w:b/>
      <w:bCs/>
      <w:iCs/>
      <w:caps/>
      <w:sz w:val="24"/>
      <w:szCs w:val="28"/>
    </w:rPr>
  </w:style>
  <w:style w:type="character" w:customStyle="1" w:styleId="Heading2Char">
    <w:name w:val="Heading 2 Char"/>
    <w:basedOn w:val="DefaultParagraphFont"/>
    <w:link w:val="Heading2"/>
    <w:uiPriority w:val="9"/>
    <w:rsid w:val="000D2DE1"/>
    <w:rPr>
      <w:rFonts w:asciiTheme="minorHAnsi" w:eastAsiaTheme="minorHAnsi" w:hAnsiTheme="minorHAnsi" w:cstheme="minorBidi"/>
      <w:snapToGrid w:val="0"/>
      <w:sz w:val="22"/>
      <w:szCs w:val="22"/>
      <w:u w:val="single"/>
    </w:rPr>
  </w:style>
  <w:style w:type="paragraph" w:customStyle="1" w:styleId="HEADINGCENTERED">
    <w:name w:val="HEADING CENTERED"/>
    <w:basedOn w:val="Normal"/>
    <w:next w:val="QUESTION"/>
    <w:link w:val="HEADINGCENTEREDChar"/>
    <w:qFormat/>
    <w:rsid w:val="000D2DE1"/>
    <w:pPr>
      <w:spacing w:line="240" w:lineRule="auto"/>
      <w:jc w:val="center"/>
    </w:pPr>
    <w:rPr>
      <w:rFonts w:ascii="Times New Roman" w:hAnsi="Times New Roman" w:cs="Times New Roman"/>
      <w:b/>
      <w:caps/>
      <w:sz w:val="24"/>
      <w:szCs w:val="24"/>
    </w:rPr>
  </w:style>
  <w:style w:type="character" w:customStyle="1" w:styleId="HEADINGCENTEREDChar">
    <w:name w:val="HEADING CENTERED Char"/>
    <w:basedOn w:val="DefaultParagraphFont"/>
    <w:link w:val="HEADINGCENTERED"/>
    <w:rsid w:val="000D2DE1"/>
    <w:rPr>
      <w:rFonts w:eastAsiaTheme="minorHAnsi"/>
      <w:b/>
      <w:caps/>
      <w:sz w:val="24"/>
      <w:szCs w:val="24"/>
    </w:rPr>
  </w:style>
  <w:style w:type="paragraph" w:customStyle="1" w:styleId="Style2">
    <w:name w:val="Style2"/>
    <w:basedOn w:val="Normal"/>
    <w:qFormat/>
    <w:rsid w:val="000D2DE1"/>
    <w:pPr>
      <w:keepNext/>
      <w:numPr>
        <w:ilvl w:val="1"/>
        <w:numId w:val="2"/>
      </w:numPr>
      <w:spacing w:after="240" w:line="240" w:lineRule="auto"/>
      <w:ind w:left="720" w:hanging="720"/>
      <w:outlineLvl w:val="1"/>
    </w:pPr>
    <w:rPr>
      <w:rFonts w:ascii="Times New Roman" w:eastAsia="Times New Roman" w:hAnsi="Times New Roman" w:cs="Arial"/>
      <w:b/>
      <w:bCs/>
      <w:iCs/>
      <w:sz w:val="24"/>
      <w:szCs w:val="28"/>
    </w:rPr>
  </w:style>
  <w:style w:type="paragraph" w:customStyle="1" w:styleId="answerLD">
    <w:name w:val="answerLD"/>
    <w:basedOn w:val="Normal"/>
    <w:next w:val="QUESTION"/>
    <w:qFormat/>
    <w:rsid w:val="00E82BD9"/>
    <w:pPr>
      <w:widowControl w:val="0"/>
      <w:spacing w:after="0" w:line="480" w:lineRule="exact"/>
      <w:ind w:left="720" w:hanging="720"/>
    </w:pPr>
    <w:rPr>
      <w:rFonts w:ascii="Times New Roman" w:hAnsi="Times New Roman" w:cs="Times New Roman"/>
      <w:sz w:val="24"/>
      <w:szCs w:val="24"/>
    </w:rPr>
  </w:style>
  <w:style w:type="paragraph" w:customStyle="1" w:styleId="Style4">
    <w:name w:val="Style4"/>
    <w:basedOn w:val="QUESTION"/>
    <w:qFormat/>
    <w:rsid w:val="000D2DE1"/>
    <w:rPr>
      <w:b w:val="0"/>
      <w:caps w:val="0"/>
    </w:rPr>
  </w:style>
  <w:style w:type="paragraph" w:customStyle="1" w:styleId="ANS">
    <w:name w:val="ANS"/>
    <w:basedOn w:val="QUESTION"/>
    <w:next w:val="QUESTION"/>
    <w:link w:val="ANSChar"/>
    <w:qFormat/>
    <w:rsid w:val="001B7A22"/>
    <w:pPr>
      <w:spacing w:line="480" w:lineRule="exact"/>
    </w:pPr>
    <w:rPr>
      <w:b w:val="0"/>
      <w:caps w:val="0"/>
    </w:rPr>
  </w:style>
  <w:style w:type="character" w:customStyle="1" w:styleId="ANSChar">
    <w:name w:val="ANS Char"/>
    <w:basedOn w:val="QUESTIONChar"/>
    <w:link w:val="ANS"/>
    <w:rsid w:val="001B7A22"/>
    <w:rPr>
      <w:rFonts w:asciiTheme="minorHAnsi" w:eastAsiaTheme="minorHAnsi" w:hAnsiTheme="minorHAnsi" w:cs="Arial"/>
      <w:b w:val="0"/>
      <w:bCs/>
      <w:iCs/>
      <w:caps w:val="0"/>
      <w:sz w:val="24"/>
      <w:szCs w:val="28"/>
    </w:rPr>
  </w:style>
  <w:style w:type="character" w:customStyle="1" w:styleId="BodyText2Char">
    <w:name w:val="Body Text 2 Char"/>
    <w:basedOn w:val="DefaultParagraphFont"/>
    <w:link w:val="BodyText2"/>
    <w:uiPriority w:val="99"/>
    <w:rsid w:val="000D2DE1"/>
    <w:rPr>
      <w:sz w:val="24"/>
    </w:rPr>
  </w:style>
  <w:style w:type="character" w:customStyle="1" w:styleId="JudgeChar">
    <w:name w:val="Judge Char"/>
    <w:basedOn w:val="DefaultParagraphFont"/>
    <w:link w:val="Judge"/>
    <w:semiHidden/>
    <w:rsid w:val="000D2DE1"/>
    <w:rPr>
      <w:rFonts w:asciiTheme="minorHAnsi" w:eastAsiaTheme="minorHAnsi" w:hAnsiTheme="minorHAnsi" w:cstheme="minorBidi"/>
      <w:caps/>
      <w:sz w:val="22"/>
      <w:szCs w:val="24"/>
    </w:rPr>
  </w:style>
  <w:style w:type="paragraph" w:styleId="NoSpacing">
    <w:name w:val="No Spacing"/>
    <w:uiPriority w:val="1"/>
    <w:qFormat/>
    <w:rsid w:val="000D2DE1"/>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0D2DE1"/>
    <w:pPr>
      <w:widowControl/>
      <w:numPr>
        <w:numId w:val="0"/>
      </w:numPr>
      <w:spacing w:before="480" w:after="0"/>
      <w:jc w:val="left"/>
      <w:outlineLvl w:val="9"/>
    </w:pPr>
    <w:rPr>
      <w:rFonts w:asciiTheme="majorHAnsi" w:eastAsiaTheme="majorEastAsia" w:hAnsiTheme="majorHAnsi" w:cstheme="majorBidi"/>
      <w:b/>
      <w:bCs/>
      <w:caps w:val="0"/>
      <w:snapToGrid/>
      <w:color w:val="365F91" w:themeColor="accent1" w:themeShade="BF"/>
      <w:kern w:val="0"/>
      <w:sz w:val="28"/>
      <w:szCs w:val="28"/>
      <w:u w:val="none"/>
    </w:rPr>
  </w:style>
  <w:style w:type="character" w:styleId="Hyperlink">
    <w:name w:val="Hyperlink"/>
    <w:basedOn w:val="DefaultParagraphFont"/>
    <w:uiPriority w:val="99"/>
    <w:rsid w:val="000D2DE1"/>
    <w:rPr>
      <w:color w:val="0000FF"/>
      <w:u w:val="single"/>
    </w:rPr>
  </w:style>
  <w:style w:type="character" w:customStyle="1" w:styleId="HeaderChar">
    <w:name w:val="Header Char"/>
    <w:basedOn w:val="DefaultParagraphFont"/>
    <w:link w:val="Header"/>
    <w:uiPriority w:val="99"/>
    <w:rsid w:val="000D2DE1"/>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2DE1"/>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D2DE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fontTable" Target="fontTable.xml"/><Relationship Id="rId21" Type="http://schemas.openxmlformats.org/officeDocument/2006/relationships/customXml" Target="../customXml/item1.xml"/><Relationship Id="rId12" Type="http://schemas.openxmlformats.org/officeDocument/2006/relationships/footer" Target="footer4.xml"/><Relationship Id="rId17" Type="http://schemas.openxmlformats.org/officeDocument/2006/relationships/footer" Target="footer7.xml"/><Relationship Id="rId7" Type="http://schemas.openxmlformats.org/officeDocument/2006/relationships/footer" Target="footer2.xml"/><Relationship Id="rId16" Type="http://schemas.openxmlformats.org/officeDocument/2006/relationships/header" Target="header7.xml"/><Relationship Id="rId2" Type="http://schemas.openxmlformats.org/officeDocument/2006/relationships/webSettings" Target="webSettings.xml"/><Relationship Id="rId20" Type="http://schemas.openxmlformats.org/officeDocument/2006/relationships/styles" Target="styles.xml"/><Relationship Id="rId1" Type="http://schemas.openxmlformats.org/officeDocument/2006/relationships/settings" Target="settings.xml"/><Relationship Id="rId11" Type="http://schemas.openxmlformats.org/officeDocument/2006/relationships/header" Target="header5.xml"/><Relationship Id="rId6" Type="http://schemas.openxmlformats.org/officeDocument/2006/relationships/footer" Target="footer1.xml"/><Relationship Id="rId24" Type="http://schemas.openxmlformats.org/officeDocument/2006/relationships/customXml" Target="../customXml/item4.xml"/><Relationship Id="rId15" Type="http://schemas.openxmlformats.org/officeDocument/2006/relationships/footer" Target="footer6.xml"/><Relationship Id="rId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eader" Target="header4.xml"/><Relationship Id="rId19" Type="http://schemas.openxmlformats.org/officeDocument/2006/relationships/numbering" Target="numbering.xml"/><Relationship Id="rId14" Type="http://schemas.openxmlformats.org/officeDocument/2006/relationships/header" Target="header6.xml"/><Relationship Id="rId4" Type="http://schemas.openxmlformats.org/officeDocument/2006/relationships/header" Target="header1.xml"/><Relationship Id="rId9"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00F48-01E9-49C0-B1A3-825F55095D5C}"/>
</file>

<file path=customXml/itemProps2.xml><?xml version="1.0" encoding="utf-8"?>
<ds:datastoreItem xmlns:ds="http://schemas.openxmlformats.org/officeDocument/2006/customXml" ds:itemID="{11E79C0B-60FA-4503-ADD0-AD0024B4B16A}"/>
</file>

<file path=customXml/itemProps3.xml><?xml version="1.0" encoding="utf-8"?>
<ds:datastoreItem xmlns:ds="http://schemas.openxmlformats.org/officeDocument/2006/customXml" ds:itemID="{056F0A09-B8AC-4758-BA0D-F4A0F56B975B}"/>
</file>

<file path=customXml/itemProps4.xml><?xml version="1.0" encoding="utf-8"?>
<ds:datastoreItem xmlns:ds="http://schemas.openxmlformats.org/officeDocument/2006/customXml" ds:itemID="{1BE1E05B-30C9-4970-B6D2-A8BC5BC060EA}"/>
</file>

<file path=docProps/app.xml><?xml version="1.0" encoding="utf-8"?>
<Properties xmlns="http://schemas.openxmlformats.org/officeDocument/2006/extended-properties" xmlns:vt="http://schemas.openxmlformats.org/officeDocument/2006/docPropsVTypes">
  <Template>wkg-Or Cir.dotx</Template>
  <TotalTime>0</TotalTime>
  <Pages>15</Pages>
  <Words>3667</Words>
  <Characters>19010</Characters>
  <Application>Microsoft Office Word</Application>
  <DocSecurity>0</DocSecurity>
  <Lines>459</Lines>
  <Paragraphs>189</Paragraphs>
  <ScaleCrop>false</ScaleCrop>
  <HeadingPairs>
    <vt:vector size="2" baseType="variant">
      <vt:variant>
        <vt:lpstr>Title</vt:lpstr>
      </vt:variant>
      <vt:variant>
        <vt:i4>1</vt:i4>
      </vt:variant>
    </vt:vector>
  </HeadingPairs>
  <TitlesOfParts>
    <vt:vector size="1" baseType="lpstr">
      <vt:lpstr>Pleading</vt:lpstr>
    </vt:vector>
  </TitlesOfParts>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2014-08-20T21:56:08Z</dcterms:created>
  <dcterms:modified xsi:type="dcterms:W3CDTF">2014-08-20T21:56:08Z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5101271.1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