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1F687" w14:textId="77777777" w:rsidR="00807F9C" w:rsidRDefault="00807F9C" w:rsidP="00807F9C">
      <w:pPr>
        <w:rPr>
          <w:rFonts w:ascii="Times New Roman" w:hAnsi="Times New Roman"/>
        </w:rPr>
      </w:pPr>
      <w:bookmarkStart w:id="0" w:name="_GoBack"/>
      <w:bookmarkEnd w:id="0"/>
      <w:r>
        <w:rPr>
          <w:rFonts w:ascii="Times New Roman" w:hAnsi="Times New Roman"/>
        </w:rPr>
        <w:t>Agenda Date:</w:t>
      </w:r>
      <w:r>
        <w:rPr>
          <w:rFonts w:ascii="Times New Roman" w:hAnsi="Times New Roman"/>
        </w:rPr>
        <w:tab/>
      </w:r>
      <w:r>
        <w:rPr>
          <w:rFonts w:ascii="Times New Roman" w:hAnsi="Times New Roman"/>
        </w:rPr>
        <w:tab/>
        <w:t>June 23, 2016</w:t>
      </w:r>
    </w:p>
    <w:p w14:paraId="18E1F688" w14:textId="433479AD" w:rsidR="00807F9C" w:rsidRDefault="00514E51" w:rsidP="00807F9C">
      <w:pPr>
        <w:ind w:left="2160" w:hanging="2160"/>
        <w:rPr>
          <w:rFonts w:ascii="Times New Roman" w:hAnsi="Times New Roman"/>
        </w:rPr>
      </w:pPr>
      <w:r>
        <w:rPr>
          <w:rFonts w:ascii="Times New Roman" w:hAnsi="Times New Roman"/>
        </w:rPr>
        <w:t>Item Number:</w:t>
      </w:r>
      <w:r>
        <w:rPr>
          <w:rFonts w:ascii="Times New Roman" w:hAnsi="Times New Roman"/>
        </w:rPr>
        <w:tab/>
        <w:t>A3</w:t>
      </w:r>
    </w:p>
    <w:p w14:paraId="18E1F689" w14:textId="77777777" w:rsidR="00807F9C" w:rsidRDefault="00807F9C" w:rsidP="00807F9C">
      <w:pPr>
        <w:rPr>
          <w:rFonts w:ascii="Times New Roman" w:hAnsi="Times New Roman"/>
        </w:rPr>
      </w:pPr>
    </w:p>
    <w:p w14:paraId="18E1F68A" w14:textId="77777777" w:rsidR="00807F9C" w:rsidRDefault="00807F9C" w:rsidP="00807F9C">
      <w:pPr>
        <w:rPr>
          <w:rFonts w:ascii="Times New Roman" w:hAnsi="Times New Roman"/>
          <w:b/>
          <w:bCs/>
        </w:rPr>
      </w:pPr>
      <w:r>
        <w:rPr>
          <w:rFonts w:ascii="Times New Roman" w:hAnsi="Times New Roman"/>
          <w:b/>
          <w:bCs/>
        </w:rPr>
        <w:t>Docket:</w:t>
      </w:r>
      <w:r>
        <w:rPr>
          <w:rFonts w:ascii="Times New Roman" w:hAnsi="Times New Roman"/>
          <w:b/>
          <w:bCs/>
        </w:rPr>
        <w:tab/>
      </w:r>
      <w:r>
        <w:rPr>
          <w:rFonts w:ascii="Times New Roman" w:hAnsi="Times New Roman"/>
          <w:b/>
          <w:bCs/>
        </w:rPr>
        <w:tab/>
        <w:t>UE-140802</w:t>
      </w:r>
    </w:p>
    <w:p w14:paraId="18E1F68B" w14:textId="77777777" w:rsidR="00807F9C" w:rsidRDefault="00807F9C" w:rsidP="00807F9C">
      <w:pPr>
        <w:rPr>
          <w:rFonts w:ascii="Times New Roman" w:hAnsi="Times New Roman"/>
        </w:rPr>
      </w:pPr>
      <w:r>
        <w:rPr>
          <w:rFonts w:ascii="Times New Roman" w:hAnsi="Times New Roman"/>
        </w:rPr>
        <w:t>Company:</w:t>
      </w:r>
      <w:r>
        <w:rPr>
          <w:rFonts w:ascii="Times New Roman" w:hAnsi="Times New Roman"/>
        </w:rPr>
        <w:tab/>
      </w:r>
      <w:r>
        <w:rPr>
          <w:rFonts w:ascii="Times New Roman" w:hAnsi="Times New Roman"/>
        </w:rPr>
        <w:tab/>
        <w:t>Pacific Power &amp; Light Company</w:t>
      </w:r>
    </w:p>
    <w:p w14:paraId="18E1F68C" w14:textId="77777777" w:rsidR="00807F9C" w:rsidRDefault="00807F9C" w:rsidP="00807F9C">
      <w:pPr>
        <w:rPr>
          <w:rFonts w:ascii="Times New Roman" w:hAnsi="Times New Roman"/>
        </w:rPr>
      </w:pPr>
    </w:p>
    <w:p w14:paraId="18E1F68D" w14:textId="77777777" w:rsidR="00807F9C" w:rsidRDefault="00807F9C" w:rsidP="00807F9C">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Jeremy Twitchell, Regulatory Analyst</w:t>
      </w:r>
    </w:p>
    <w:p w14:paraId="18E1F68E" w14:textId="77777777" w:rsidR="00807F9C" w:rsidRDefault="00807F9C" w:rsidP="00807F9C">
      <w:pPr>
        <w:rPr>
          <w:rFonts w:ascii="Times New Roman" w:hAnsi="Times New Roman"/>
        </w:rPr>
      </w:pPr>
    </w:p>
    <w:p w14:paraId="18E1F68F" w14:textId="77777777" w:rsidR="00807F9C" w:rsidRDefault="00807F9C" w:rsidP="00807F9C">
      <w:pPr>
        <w:rPr>
          <w:rFonts w:ascii="Times New Roman" w:hAnsi="Times New Roman"/>
          <w:b/>
          <w:bCs/>
          <w:u w:val="single"/>
        </w:rPr>
      </w:pPr>
      <w:r>
        <w:rPr>
          <w:rFonts w:ascii="Times New Roman" w:hAnsi="Times New Roman"/>
          <w:b/>
          <w:bCs/>
          <w:u w:val="single"/>
        </w:rPr>
        <w:t>Recommendation</w:t>
      </w:r>
    </w:p>
    <w:p w14:paraId="18E1F690" w14:textId="77777777" w:rsidR="00807F9C" w:rsidRDefault="00807F9C" w:rsidP="00807F9C">
      <w:pPr>
        <w:rPr>
          <w:rFonts w:ascii="Times New Roman" w:hAnsi="Times New Roman"/>
        </w:rPr>
      </w:pPr>
    </w:p>
    <w:p w14:paraId="18E1F691" w14:textId="77777777" w:rsidR="00807F9C" w:rsidRDefault="00807F9C" w:rsidP="00807F9C">
      <w:pPr>
        <w:rPr>
          <w:rFonts w:ascii="Times New Roman" w:hAnsi="Times New Roman"/>
        </w:rPr>
      </w:pPr>
      <w:r>
        <w:rPr>
          <w:rFonts w:ascii="Times New Roman" w:hAnsi="Times New Roman"/>
        </w:rPr>
        <w:t>Issue an Order in Docket UE-140802 finding that:</w:t>
      </w:r>
    </w:p>
    <w:p w14:paraId="18E1F692" w14:textId="77777777" w:rsidR="00807F9C" w:rsidRDefault="00807F9C" w:rsidP="00807F9C">
      <w:pPr>
        <w:rPr>
          <w:rFonts w:ascii="Times New Roman" w:hAnsi="Times New Roman"/>
        </w:rPr>
      </w:pPr>
    </w:p>
    <w:p w14:paraId="18E1F693" w14:textId="77777777" w:rsidR="00807F9C" w:rsidRDefault="00807F9C" w:rsidP="00807F9C">
      <w:pPr>
        <w:ind w:left="720" w:hanging="720"/>
        <w:rPr>
          <w:rFonts w:ascii="Times New Roman" w:hAnsi="Times New Roman"/>
        </w:rPr>
      </w:pPr>
      <w:r>
        <w:rPr>
          <w:rFonts w:ascii="Times New Roman" w:hAnsi="Times New Roman"/>
        </w:rPr>
        <w:t>(1)</w:t>
      </w:r>
      <w:r>
        <w:rPr>
          <w:rFonts w:ascii="Times New Roman" w:hAnsi="Times New Roman"/>
        </w:rPr>
        <w:tab/>
        <w:t>Pacific Power &amp; Light Company complied with the final renewable portfolio standard reporting requirements in WAC 480-109-210(6).</w:t>
      </w:r>
    </w:p>
    <w:p w14:paraId="18E1F694" w14:textId="77777777" w:rsidR="00807F9C" w:rsidRDefault="00807F9C" w:rsidP="00807F9C">
      <w:pPr>
        <w:ind w:left="720" w:hanging="720"/>
        <w:rPr>
          <w:rFonts w:ascii="Times New Roman" w:hAnsi="Times New Roman"/>
        </w:rPr>
      </w:pPr>
      <w:r>
        <w:rPr>
          <w:rFonts w:ascii="Times New Roman" w:hAnsi="Times New Roman"/>
        </w:rPr>
        <w:t>(2)</w:t>
      </w:r>
      <w:r>
        <w:rPr>
          <w:rFonts w:ascii="Times New Roman" w:hAnsi="Times New Roman"/>
        </w:rPr>
        <w:tab/>
        <w:t>Pacific Power &amp; Light Company has met its 2014 renewable portfolio standard target of 122,019 megawatt-hours and retired corresponding certificates in the Western Renewable Energy Generation Information System.</w:t>
      </w:r>
    </w:p>
    <w:p w14:paraId="18E1F695" w14:textId="77777777" w:rsidR="00807F9C" w:rsidRDefault="00807F9C" w:rsidP="00807F9C">
      <w:pPr>
        <w:ind w:left="720" w:hanging="720"/>
        <w:rPr>
          <w:rFonts w:ascii="Times New Roman" w:hAnsi="Times New Roman"/>
        </w:rPr>
      </w:pPr>
    </w:p>
    <w:p w14:paraId="18E1F696" w14:textId="77777777" w:rsidR="00807F9C" w:rsidRDefault="00807F9C" w:rsidP="00807F9C">
      <w:pPr>
        <w:rPr>
          <w:rFonts w:ascii="Times New Roman" w:hAnsi="Times New Roman"/>
          <w:b/>
          <w:u w:val="single"/>
        </w:rPr>
      </w:pPr>
      <w:r>
        <w:rPr>
          <w:rFonts w:ascii="Times New Roman" w:hAnsi="Times New Roman"/>
          <w:b/>
          <w:u w:val="single"/>
        </w:rPr>
        <w:t>Background</w:t>
      </w:r>
    </w:p>
    <w:p w14:paraId="18E1F697" w14:textId="77777777" w:rsidR="00807F9C" w:rsidRDefault="00807F9C" w:rsidP="00807F9C">
      <w:pPr>
        <w:rPr>
          <w:rFonts w:ascii="Times New Roman" w:hAnsi="Times New Roman"/>
        </w:rPr>
      </w:pPr>
    </w:p>
    <w:p w14:paraId="18E1F698" w14:textId="77777777" w:rsidR="00807F9C" w:rsidRDefault="00807F9C" w:rsidP="00807F9C">
      <w:pPr>
        <w:rPr>
          <w:rFonts w:ascii="Times New Roman" w:hAnsi="Times New Roman"/>
        </w:rPr>
      </w:pPr>
      <w:r>
        <w:rPr>
          <w:rFonts w:ascii="Times New Roman" w:hAnsi="Times New Roman"/>
        </w:rPr>
        <w:t xml:space="preserve">WAC 480-109-210 describes the two-step process by which the Washington Utilities and Transportation Commission (commission) determines whether a utility has complied with the renewable portfolio standard (RPS). WAC 480-109-210(1) requires a utility to file an initial report each year in which it documents the resources that it acquired or contracted to acquire to meet that year’s RPS target. </w:t>
      </w:r>
    </w:p>
    <w:p w14:paraId="18E1F699" w14:textId="77777777" w:rsidR="00807F9C" w:rsidRDefault="00807F9C" w:rsidP="00807F9C">
      <w:pPr>
        <w:rPr>
          <w:rFonts w:ascii="Times New Roman" w:hAnsi="Times New Roman"/>
        </w:rPr>
      </w:pPr>
    </w:p>
    <w:p w14:paraId="18E1F69A" w14:textId="77777777" w:rsidR="00807F9C" w:rsidRDefault="00807F9C" w:rsidP="00807F9C">
      <w:pPr>
        <w:rPr>
          <w:rFonts w:ascii="Times New Roman" w:hAnsi="Times New Roman"/>
        </w:rPr>
      </w:pPr>
      <w:r>
        <w:rPr>
          <w:rFonts w:ascii="Times New Roman" w:hAnsi="Times New Roman"/>
        </w:rPr>
        <w:t>WAC 480-109-210(6) then requires a utility to file a final compliance report within the next two years that identifies the specific resources that the utility used to meet the target and documents that the utility retired corresponding certificates in the Western Renewable Energy Generation Information System (WREGIS).</w:t>
      </w:r>
    </w:p>
    <w:p w14:paraId="18E1F69B" w14:textId="77777777" w:rsidR="00807F9C" w:rsidRDefault="00807F9C" w:rsidP="00807F9C">
      <w:pPr>
        <w:rPr>
          <w:rFonts w:ascii="Times New Roman" w:hAnsi="Times New Roman"/>
        </w:rPr>
      </w:pPr>
    </w:p>
    <w:p w14:paraId="18E1F69C" w14:textId="77777777" w:rsidR="00807F9C" w:rsidRDefault="00807F9C" w:rsidP="00807F9C">
      <w:pPr>
        <w:rPr>
          <w:rFonts w:ascii="Times New Roman" w:hAnsi="Times New Roman"/>
        </w:rPr>
      </w:pPr>
      <w:r>
        <w:rPr>
          <w:rFonts w:ascii="Times New Roman" w:hAnsi="Times New Roman"/>
        </w:rPr>
        <w:t xml:space="preserve">The commission issued Order 01 in this docket on July 31, 2014, which approved Pacific Power’s calculation of its 2014 renewable energy target as 122,019 megawatt-hours (MWh). </w:t>
      </w:r>
    </w:p>
    <w:p w14:paraId="18E1F69D" w14:textId="77777777" w:rsidR="00807F9C" w:rsidRDefault="00807F9C" w:rsidP="00807F9C">
      <w:pPr>
        <w:rPr>
          <w:rFonts w:ascii="Times New Roman" w:hAnsi="Times New Roman"/>
        </w:rPr>
      </w:pPr>
    </w:p>
    <w:p w14:paraId="18E1F69E" w14:textId="77777777" w:rsidR="00807F9C" w:rsidRDefault="00807F9C" w:rsidP="00807F9C">
      <w:pPr>
        <w:rPr>
          <w:rFonts w:ascii="Times New Roman" w:hAnsi="Times New Roman"/>
        </w:rPr>
      </w:pPr>
      <w:r>
        <w:rPr>
          <w:rFonts w:ascii="Times New Roman" w:hAnsi="Times New Roman"/>
          <w:b/>
          <w:u w:val="single"/>
        </w:rPr>
        <w:t>Discussion</w:t>
      </w:r>
    </w:p>
    <w:p w14:paraId="18E1F69F" w14:textId="77777777" w:rsidR="00807F9C" w:rsidRDefault="00807F9C" w:rsidP="00807F9C">
      <w:pPr>
        <w:rPr>
          <w:rFonts w:ascii="Times New Roman" w:hAnsi="Times New Roman"/>
        </w:rPr>
      </w:pPr>
    </w:p>
    <w:p w14:paraId="18E1F6A0" w14:textId="77777777" w:rsidR="00807F9C" w:rsidRDefault="00807F9C" w:rsidP="00807F9C">
      <w:pPr>
        <w:rPr>
          <w:rFonts w:ascii="Times New Roman" w:hAnsi="Times New Roman"/>
        </w:rPr>
      </w:pPr>
      <w:r>
        <w:rPr>
          <w:rFonts w:ascii="Times New Roman" w:hAnsi="Times New Roman"/>
        </w:rPr>
        <w:t xml:space="preserve">Pacific Power submitted its final 2014 RPS compliance report on June 1, 2016. The report indicates that the company met its 2014 RPS target of 122,019 MWh using a mix of </w:t>
      </w:r>
      <w:r w:rsidR="00E4660E">
        <w:rPr>
          <w:rFonts w:ascii="Times New Roman" w:hAnsi="Times New Roman"/>
        </w:rPr>
        <w:t xml:space="preserve">company-owned </w:t>
      </w:r>
      <w:r>
        <w:rPr>
          <w:rFonts w:ascii="Times New Roman" w:hAnsi="Times New Roman"/>
        </w:rPr>
        <w:t>wind and incremental hydro resources</w:t>
      </w:r>
      <w:r w:rsidR="00E4660E">
        <w:rPr>
          <w:rFonts w:ascii="Times New Roman" w:hAnsi="Times New Roman"/>
        </w:rPr>
        <w:t xml:space="preserve"> as well as unbundled renewable energy credit (REC) purchases</w:t>
      </w:r>
      <w:r>
        <w:rPr>
          <w:rFonts w:ascii="Times New Roman" w:hAnsi="Times New Roman"/>
        </w:rPr>
        <w:t>. Pacific Power used Method 2 for calculating its incremental hydro production, as defined in WAC 480-109-200(7)(c).</w:t>
      </w:r>
    </w:p>
    <w:p w14:paraId="18E1F6A1" w14:textId="77777777" w:rsidR="00807F9C" w:rsidRDefault="00807F9C" w:rsidP="00807F9C">
      <w:pPr>
        <w:rPr>
          <w:rFonts w:ascii="Times New Roman" w:hAnsi="Times New Roman"/>
        </w:rPr>
      </w:pPr>
    </w:p>
    <w:p w14:paraId="18E1F6A2" w14:textId="77777777" w:rsidR="00807F9C" w:rsidRDefault="00807F9C" w:rsidP="00807F9C">
      <w:pPr>
        <w:rPr>
          <w:rFonts w:ascii="Times New Roman" w:hAnsi="Times New Roman"/>
        </w:rPr>
      </w:pPr>
      <w:r w:rsidRPr="00D05F3D">
        <w:rPr>
          <w:rFonts w:ascii="Times New Roman" w:hAnsi="Times New Roman"/>
        </w:rPr>
        <w:t xml:space="preserve">The following table summarizes the resources that </w:t>
      </w:r>
      <w:r>
        <w:rPr>
          <w:rFonts w:ascii="Times New Roman" w:hAnsi="Times New Roman"/>
        </w:rPr>
        <w:t>Pacific Power</w:t>
      </w:r>
      <w:r w:rsidR="00E4660E">
        <w:rPr>
          <w:rFonts w:ascii="Times New Roman" w:hAnsi="Times New Roman"/>
        </w:rPr>
        <w:t xml:space="preserve"> used for 2014</w:t>
      </w:r>
      <w:r w:rsidRPr="00D05F3D">
        <w:rPr>
          <w:rFonts w:ascii="Times New Roman" w:hAnsi="Times New Roman"/>
        </w:rPr>
        <w:t xml:space="preserve"> RPS compliance:</w:t>
      </w:r>
    </w:p>
    <w:p w14:paraId="18E1F6A3" w14:textId="77777777" w:rsidR="00E4660E" w:rsidRPr="00D05F3D" w:rsidRDefault="00E4660E" w:rsidP="00807F9C">
      <w:pPr>
        <w:rPr>
          <w:rFonts w:ascii="Times New Roman" w:hAnsi="Times New Roman"/>
        </w:rPr>
      </w:pPr>
    </w:p>
    <w:p w14:paraId="18E1F6A4" w14:textId="77777777" w:rsidR="00807F9C" w:rsidRPr="00D05F3D" w:rsidRDefault="00807F9C" w:rsidP="00807F9C">
      <w:pPr>
        <w:rPr>
          <w:rFonts w:ascii="Times New Roman" w:hAnsi="Times New Roman"/>
        </w:rPr>
      </w:pPr>
      <w:r w:rsidRPr="00D05F3D">
        <w:rPr>
          <w:rFonts w:ascii="Times New Roman" w:hAnsi="Times New Roman"/>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688"/>
        <w:gridCol w:w="1296"/>
        <w:gridCol w:w="1173"/>
        <w:gridCol w:w="1389"/>
        <w:gridCol w:w="1586"/>
      </w:tblGrid>
      <w:tr w:rsidR="00807F9C" w:rsidRPr="00072CAF" w14:paraId="18E1F6AC" w14:textId="77777777" w:rsidTr="00807F9C">
        <w:trPr>
          <w:trHeight w:val="978"/>
        </w:trPr>
        <w:tc>
          <w:tcPr>
            <w:tcW w:w="2088" w:type="dxa"/>
            <w:shd w:val="clear" w:color="auto" w:fill="F2F2F2"/>
            <w:vAlign w:val="bottom"/>
          </w:tcPr>
          <w:p w14:paraId="18E1F6A5" w14:textId="77777777" w:rsidR="00807F9C" w:rsidRPr="00516EB6" w:rsidRDefault="00807F9C" w:rsidP="002B1F47">
            <w:pPr>
              <w:jc w:val="center"/>
              <w:rPr>
                <w:rFonts w:ascii="Times New Roman" w:hAnsi="Times New Roman"/>
                <w:b/>
              </w:rPr>
            </w:pPr>
            <w:r w:rsidRPr="00516EB6">
              <w:rPr>
                <w:rFonts w:ascii="Times New Roman" w:hAnsi="Times New Roman"/>
                <w:b/>
              </w:rPr>
              <w:lastRenderedPageBreak/>
              <w:t>Facility Name (Location)</w:t>
            </w:r>
          </w:p>
        </w:tc>
        <w:tc>
          <w:tcPr>
            <w:tcW w:w="1695" w:type="dxa"/>
            <w:shd w:val="clear" w:color="auto" w:fill="F2F2F2"/>
            <w:vAlign w:val="bottom"/>
          </w:tcPr>
          <w:p w14:paraId="18E1F6A6" w14:textId="77777777" w:rsidR="00807F9C" w:rsidRPr="00516EB6" w:rsidRDefault="00807F9C" w:rsidP="002B1F47">
            <w:pPr>
              <w:jc w:val="center"/>
              <w:rPr>
                <w:rFonts w:ascii="Times New Roman" w:hAnsi="Times New Roman"/>
                <w:b/>
              </w:rPr>
            </w:pPr>
            <w:r w:rsidRPr="00516EB6">
              <w:rPr>
                <w:rFonts w:ascii="Times New Roman" w:hAnsi="Times New Roman"/>
                <w:b/>
              </w:rPr>
              <w:t>Resource Type</w:t>
            </w:r>
          </w:p>
        </w:tc>
        <w:tc>
          <w:tcPr>
            <w:tcW w:w="1302" w:type="dxa"/>
            <w:shd w:val="clear" w:color="auto" w:fill="F2F2F2"/>
            <w:vAlign w:val="bottom"/>
          </w:tcPr>
          <w:p w14:paraId="18E1F6A7" w14:textId="77777777" w:rsidR="00807F9C" w:rsidRPr="00516EB6" w:rsidRDefault="00807F9C" w:rsidP="002B1F47">
            <w:pPr>
              <w:jc w:val="center"/>
              <w:rPr>
                <w:rFonts w:ascii="Times New Roman" w:hAnsi="Times New Roman"/>
                <w:b/>
              </w:rPr>
            </w:pPr>
            <w:r w:rsidRPr="00516EB6">
              <w:rPr>
                <w:rFonts w:ascii="Times New Roman" w:hAnsi="Times New Roman"/>
                <w:b/>
              </w:rPr>
              <w:t>Vintage</w:t>
            </w:r>
          </w:p>
        </w:tc>
        <w:tc>
          <w:tcPr>
            <w:tcW w:w="1176" w:type="dxa"/>
            <w:shd w:val="clear" w:color="auto" w:fill="F2F2F2"/>
            <w:vAlign w:val="bottom"/>
          </w:tcPr>
          <w:p w14:paraId="18E1F6A8" w14:textId="77777777" w:rsidR="00807F9C" w:rsidRPr="00516EB6" w:rsidRDefault="00807F9C" w:rsidP="002B1F47">
            <w:pPr>
              <w:jc w:val="center"/>
              <w:rPr>
                <w:rFonts w:ascii="Times New Roman" w:hAnsi="Times New Roman"/>
                <w:b/>
              </w:rPr>
            </w:pPr>
            <w:r w:rsidRPr="00516EB6">
              <w:rPr>
                <w:rFonts w:ascii="Times New Roman" w:hAnsi="Times New Roman"/>
                <w:b/>
              </w:rPr>
              <w:t>Amount</w:t>
            </w:r>
          </w:p>
          <w:p w14:paraId="18E1F6A9" w14:textId="77777777" w:rsidR="00807F9C" w:rsidRPr="00516EB6" w:rsidRDefault="00807F9C" w:rsidP="002B1F47">
            <w:pPr>
              <w:jc w:val="center"/>
              <w:rPr>
                <w:rFonts w:ascii="Times New Roman" w:hAnsi="Times New Roman"/>
                <w:b/>
              </w:rPr>
            </w:pPr>
            <w:r w:rsidRPr="00516EB6">
              <w:rPr>
                <w:rFonts w:ascii="Times New Roman" w:hAnsi="Times New Roman"/>
                <w:b/>
              </w:rPr>
              <w:t>(MWh)</w:t>
            </w:r>
          </w:p>
        </w:tc>
        <w:tc>
          <w:tcPr>
            <w:tcW w:w="1392" w:type="dxa"/>
            <w:shd w:val="clear" w:color="auto" w:fill="F2F2F2"/>
            <w:vAlign w:val="bottom"/>
          </w:tcPr>
          <w:p w14:paraId="18E1F6AA" w14:textId="77777777" w:rsidR="00807F9C" w:rsidRPr="00516EB6" w:rsidRDefault="00807F9C" w:rsidP="002B1F47">
            <w:pPr>
              <w:jc w:val="center"/>
              <w:rPr>
                <w:rFonts w:ascii="Times New Roman" w:hAnsi="Times New Roman"/>
                <w:b/>
              </w:rPr>
            </w:pPr>
            <w:r>
              <w:rPr>
                <w:rFonts w:ascii="Times New Roman" w:hAnsi="Times New Roman"/>
                <w:b/>
              </w:rPr>
              <w:t>Multiplier</w:t>
            </w:r>
          </w:p>
        </w:tc>
        <w:tc>
          <w:tcPr>
            <w:tcW w:w="1600" w:type="dxa"/>
            <w:shd w:val="clear" w:color="auto" w:fill="F2F2F2"/>
            <w:vAlign w:val="bottom"/>
          </w:tcPr>
          <w:p w14:paraId="18E1F6AB" w14:textId="77777777" w:rsidR="00807F9C" w:rsidRPr="00516EB6" w:rsidRDefault="00807F9C" w:rsidP="002B1F47">
            <w:pPr>
              <w:jc w:val="center"/>
              <w:rPr>
                <w:rFonts w:ascii="Times New Roman" w:hAnsi="Times New Roman"/>
                <w:b/>
              </w:rPr>
            </w:pPr>
            <w:r>
              <w:rPr>
                <w:rFonts w:ascii="Times New Roman" w:hAnsi="Times New Roman"/>
                <w:b/>
              </w:rPr>
              <w:t>Total</w:t>
            </w:r>
          </w:p>
        </w:tc>
      </w:tr>
      <w:tr w:rsidR="00807F9C" w:rsidRPr="00072CAF" w14:paraId="18E1F6B4" w14:textId="77777777" w:rsidTr="00807F9C">
        <w:trPr>
          <w:trHeight w:val="827"/>
        </w:trPr>
        <w:tc>
          <w:tcPr>
            <w:tcW w:w="2088" w:type="dxa"/>
            <w:shd w:val="clear" w:color="auto" w:fill="auto"/>
            <w:vAlign w:val="bottom"/>
          </w:tcPr>
          <w:p w14:paraId="18E1F6AD" w14:textId="77777777" w:rsidR="00807F9C" w:rsidRPr="00516EB6" w:rsidRDefault="00807F9C" w:rsidP="002B1F47">
            <w:pPr>
              <w:pStyle w:val="NoSpacing"/>
              <w:jc w:val="center"/>
            </w:pPr>
            <w:r w:rsidRPr="00516EB6">
              <w:t>Goodnoe Hills</w:t>
            </w:r>
          </w:p>
          <w:p w14:paraId="18E1F6AE" w14:textId="77777777" w:rsidR="00807F9C" w:rsidRPr="00516EB6" w:rsidRDefault="00807F9C" w:rsidP="002B1F47">
            <w:pPr>
              <w:pStyle w:val="NoSpacing"/>
              <w:jc w:val="center"/>
            </w:pPr>
            <w:r w:rsidRPr="00516EB6">
              <w:t>(Goldendale, WA)</w:t>
            </w:r>
          </w:p>
        </w:tc>
        <w:tc>
          <w:tcPr>
            <w:tcW w:w="1695" w:type="dxa"/>
            <w:shd w:val="clear" w:color="auto" w:fill="auto"/>
            <w:vAlign w:val="bottom"/>
          </w:tcPr>
          <w:p w14:paraId="18E1F6AF" w14:textId="77777777" w:rsidR="00807F9C" w:rsidRPr="00516EB6" w:rsidRDefault="00807F9C" w:rsidP="002B1F47">
            <w:pPr>
              <w:pStyle w:val="NoSpacing"/>
              <w:jc w:val="center"/>
            </w:pPr>
            <w:r w:rsidRPr="00516EB6">
              <w:t>Wind</w:t>
            </w:r>
          </w:p>
        </w:tc>
        <w:tc>
          <w:tcPr>
            <w:tcW w:w="1302" w:type="dxa"/>
            <w:vAlign w:val="bottom"/>
          </w:tcPr>
          <w:p w14:paraId="18E1F6B0" w14:textId="77777777" w:rsidR="00807F9C" w:rsidRPr="00516EB6" w:rsidRDefault="00807F9C" w:rsidP="002B1F47">
            <w:pPr>
              <w:pStyle w:val="NoSpacing"/>
              <w:jc w:val="center"/>
            </w:pPr>
            <w:r>
              <w:t>2013</w:t>
            </w:r>
          </w:p>
        </w:tc>
        <w:tc>
          <w:tcPr>
            <w:tcW w:w="1176" w:type="dxa"/>
            <w:vAlign w:val="bottom"/>
          </w:tcPr>
          <w:p w14:paraId="18E1F6B1" w14:textId="77777777" w:rsidR="00807F9C" w:rsidRPr="00516EB6" w:rsidRDefault="00807F9C" w:rsidP="00DA7BA9">
            <w:pPr>
              <w:pStyle w:val="NoSpacing"/>
              <w:tabs>
                <w:tab w:val="decimal" w:pos="624"/>
              </w:tabs>
              <w:jc w:val="center"/>
            </w:pPr>
            <w:r>
              <w:t>17,896</w:t>
            </w:r>
          </w:p>
        </w:tc>
        <w:tc>
          <w:tcPr>
            <w:tcW w:w="1392" w:type="dxa"/>
            <w:shd w:val="clear" w:color="auto" w:fill="auto"/>
            <w:vAlign w:val="bottom"/>
          </w:tcPr>
          <w:p w14:paraId="18E1F6B2" w14:textId="77777777" w:rsidR="00807F9C" w:rsidRPr="00516EB6" w:rsidRDefault="00807F9C" w:rsidP="002B1F47">
            <w:pPr>
              <w:pStyle w:val="NoSpacing"/>
              <w:jc w:val="center"/>
            </w:pPr>
            <w:r>
              <w:t>N/A</w:t>
            </w:r>
          </w:p>
        </w:tc>
        <w:tc>
          <w:tcPr>
            <w:tcW w:w="1600" w:type="dxa"/>
            <w:shd w:val="clear" w:color="auto" w:fill="auto"/>
            <w:vAlign w:val="bottom"/>
          </w:tcPr>
          <w:p w14:paraId="18E1F6B3" w14:textId="77777777" w:rsidR="00807F9C" w:rsidRPr="00516EB6" w:rsidRDefault="00807F9C" w:rsidP="00DA7BA9">
            <w:pPr>
              <w:pStyle w:val="NoSpacing"/>
              <w:tabs>
                <w:tab w:val="decimal" w:pos="766"/>
              </w:tabs>
              <w:jc w:val="center"/>
            </w:pPr>
            <w:r>
              <w:t>17,896</w:t>
            </w:r>
          </w:p>
        </w:tc>
      </w:tr>
      <w:tr w:rsidR="00807F9C" w:rsidRPr="00072CAF" w14:paraId="18E1F6BC" w14:textId="77777777" w:rsidTr="00807F9C">
        <w:trPr>
          <w:trHeight w:val="541"/>
        </w:trPr>
        <w:tc>
          <w:tcPr>
            <w:tcW w:w="2088" w:type="dxa"/>
            <w:shd w:val="clear" w:color="auto" w:fill="auto"/>
            <w:vAlign w:val="bottom"/>
          </w:tcPr>
          <w:p w14:paraId="18E1F6B5" w14:textId="77777777" w:rsidR="00807F9C" w:rsidRPr="00516EB6" w:rsidRDefault="00807F9C" w:rsidP="00807F9C">
            <w:pPr>
              <w:pStyle w:val="NoSpacing"/>
              <w:jc w:val="center"/>
            </w:pPr>
            <w:r w:rsidRPr="00516EB6">
              <w:t>Goodnoe Hills</w:t>
            </w:r>
          </w:p>
          <w:p w14:paraId="18E1F6B6" w14:textId="77777777" w:rsidR="00807F9C" w:rsidRPr="00516EB6" w:rsidRDefault="00807F9C" w:rsidP="00807F9C">
            <w:pPr>
              <w:pStyle w:val="NoSpacing"/>
              <w:jc w:val="center"/>
            </w:pPr>
            <w:r w:rsidRPr="00516EB6">
              <w:t>(Goldendale, WA)</w:t>
            </w:r>
          </w:p>
        </w:tc>
        <w:tc>
          <w:tcPr>
            <w:tcW w:w="1695" w:type="dxa"/>
            <w:shd w:val="clear" w:color="auto" w:fill="auto"/>
            <w:vAlign w:val="bottom"/>
          </w:tcPr>
          <w:p w14:paraId="18E1F6B7" w14:textId="77777777" w:rsidR="00807F9C" w:rsidRPr="00516EB6" w:rsidRDefault="00807F9C" w:rsidP="00807F9C">
            <w:pPr>
              <w:pStyle w:val="NoSpacing"/>
              <w:jc w:val="center"/>
            </w:pPr>
            <w:r w:rsidRPr="00516EB6">
              <w:t>Wind</w:t>
            </w:r>
          </w:p>
        </w:tc>
        <w:tc>
          <w:tcPr>
            <w:tcW w:w="1302" w:type="dxa"/>
            <w:vAlign w:val="bottom"/>
          </w:tcPr>
          <w:p w14:paraId="18E1F6B8" w14:textId="77777777" w:rsidR="00807F9C" w:rsidRDefault="00807F9C" w:rsidP="00807F9C">
            <w:pPr>
              <w:pStyle w:val="NoSpacing"/>
              <w:jc w:val="center"/>
            </w:pPr>
            <w:r>
              <w:t>2014</w:t>
            </w:r>
          </w:p>
        </w:tc>
        <w:tc>
          <w:tcPr>
            <w:tcW w:w="1176" w:type="dxa"/>
            <w:vAlign w:val="bottom"/>
          </w:tcPr>
          <w:p w14:paraId="18E1F6B9" w14:textId="77777777" w:rsidR="00807F9C" w:rsidRPr="00516EB6" w:rsidRDefault="00807F9C" w:rsidP="00DA7BA9">
            <w:pPr>
              <w:pStyle w:val="NoSpacing"/>
              <w:tabs>
                <w:tab w:val="decimal" w:pos="624"/>
              </w:tabs>
              <w:jc w:val="center"/>
            </w:pPr>
            <w:r>
              <w:t>6,158</w:t>
            </w:r>
          </w:p>
        </w:tc>
        <w:tc>
          <w:tcPr>
            <w:tcW w:w="1392" w:type="dxa"/>
            <w:shd w:val="clear" w:color="auto" w:fill="auto"/>
            <w:vAlign w:val="bottom"/>
          </w:tcPr>
          <w:p w14:paraId="18E1F6BA" w14:textId="77777777" w:rsidR="00807F9C" w:rsidRPr="00516EB6" w:rsidRDefault="00807F9C" w:rsidP="00807F9C">
            <w:pPr>
              <w:pStyle w:val="NoSpacing"/>
              <w:jc w:val="center"/>
            </w:pPr>
            <w:r>
              <w:t>N/A</w:t>
            </w:r>
          </w:p>
        </w:tc>
        <w:tc>
          <w:tcPr>
            <w:tcW w:w="1600" w:type="dxa"/>
            <w:shd w:val="clear" w:color="auto" w:fill="auto"/>
            <w:vAlign w:val="bottom"/>
          </w:tcPr>
          <w:p w14:paraId="18E1F6BB" w14:textId="77777777" w:rsidR="00807F9C" w:rsidRPr="00516EB6" w:rsidRDefault="00807F9C" w:rsidP="00DA7BA9">
            <w:pPr>
              <w:pStyle w:val="NoSpacing"/>
              <w:tabs>
                <w:tab w:val="decimal" w:pos="766"/>
              </w:tabs>
              <w:jc w:val="center"/>
            </w:pPr>
            <w:r>
              <w:t>6,158</w:t>
            </w:r>
          </w:p>
        </w:tc>
      </w:tr>
      <w:tr w:rsidR="00807F9C" w:rsidRPr="00072CAF" w14:paraId="18E1F6C4" w14:textId="77777777" w:rsidTr="00807F9C">
        <w:trPr>
          <w:trHeight w:val="541"/>
        </w:trPr>
        <w:tc>
          <w:tcPr>
            <w:tcW w:w="2088" w:type="dxa"/>
            <w:shd w:val="clear" w:color="auto" w:fill="auto"/>
            <w:vAlign w:val="bottom"/>
          </w:tcPr>
          <w:p w14:paraId="18E1F6BD" w14:textId="77777777" w:rsidR="00807F9C" w:rsidRPr="00516EB6" w:rsidRDefault="00807F9C" w:rsidP="00807F9C">
            <w:pPr>
              <w:pStyle w:val="NoSpacing"/>
              <w:jc w:val="center"/>
            </w:pPr>
            <w:r w:rsidRPr="00516EB6">
              <w:t>Leaning Juniper</w:t>
            </w:r>
          </w:p>
          <w:p w14:paraId="18E1F6BE" w14:textId="77777777" w:rsidR="00807F9C" w:rsidRPr="00516EB6" w:rsidRDefault="00807F9C" w:rsidP="00807F9C">
            <w:pPr>
              <w:pStyle w:val="NoSpacing"/>
              <w:jc w:val="center"/>
            </w:pPr>
            <w:r w:rsidRPr="00516EB6">
              <w:t>(Arlington, OR)</w:t>
            </w:r>
          </w:p>
        </w:tc>
        <w:tc>
          <w:tcPr>
            <w:tcW w:w="1695" w:type="dxa"/>
            <w:shd w:val="clear" w:color="auto" w:fill="auto"/>
            <w:vAlign w:val="bottom"/>
          </w:tcPr>
          <w:p w14:paraId="18E1F6BF" w14:textId="77777777" w:rsidR="00807F9C" w:rsidRPr="00516EB6" w:rsidRDefault="00807F9C" w:rsidP="00807F9C">
            <w:pPr>
              <w:pStyle w:val="NoSpacing"/>
              <w:jc w:val="center"/>
            </w:pPr>
            <w:r w:rsidRPr="00516EB6">
              <w:t>Wind</w:t>
            </w:r>
          </w:p>
        </w:tc>
        <w:tc>
          <w:tcPr>
            <w:tcW w:w="1302" w:type="dxa"/>
            <w:vAlign w:val="bottom"/>
          </w:tcPr>
          <w:p w14:paraId="18E1F6C0" w14:textId="77777777" w:rsidR="00807F9C" w:rsidRPr="00516EB6" w:rsidRDefault="00807F9C" w:rsidP="00807F9C">
            <w:pPr>
              <w:pStyle w:val="NoSpacing"/>
              <w:jc w:val="center"/>
            </w:pPr>
            <w:r>
              <w:t>2013</w:t>
            </w:r>
          </w:p>
        </w:tc>
        <w:tc>
          <w:tcPr>
            <w:tcW w:w="1176" w:type="dxa"/>
            <w:vAlign w:val="bottom"/>
          </w:tcPr>
          <w:p w14:paraId="18E1F6C1" w14:textId="77777777" w:rsidR="00807F9C" w:rsidRPr="00516EB6" w:rsidRDefault="00807F9C" w:rsidP="00DA7BA9">
            <w:pPr>
              <w:pStyle w:val="NoSpacing"/>
              <w:tabs>
                <w:tab w:val="decimal" w:pos="624"/>
              </w:tabs>
              <w:jc w:val="center"/>
            </w:pPr>
            <w:r>
              <w:t>16,235</w:t>
            </w:r>
          </w:p>
        </w:tc>
        <w:tc>
          <w:tcPr>
            <w:tcW w:w="1392" w:type="dxa"/>
            <w:shd w:val="clear" w:color="auto" w:fill="auto"/>
            <w:vAlign w:val="bottom"/>
          </w:tcPr>
          <w:p w14:paraId="18E1F6C2" w14:textId="77777777" w:rsidR="00807F9C" w:rsidRPr="00516EB6" w:rsidRDefault="00807F9C" w:rsidP="00807F9C">
            <w:pPr>
              <w:pStyle w:val="NoSpacing"/>
              <w:jc w:val="center"/>
            </w:pPr>
            <w:r>
              <w:t>N/A</w:t>
            </w:r>
          </w:p>
        </w:tc>
        <w:tc>
          <w:tcPr>
            <w:tcW w:w="1600" w:type="dxa"/>
            <w:shd w:val="clear" w:color="auto" w:fill="auto"/>
            <w:vAlign w:val="bottom"/>
          </w:tcPr>
          <w:p w14:paraId="18E1F6C3" w14:textId="77777777" w:rsidR="00807F9C" w:rsidRPr="00516EB6" w:rsidRDefault="00807F9C" w:rsidP="00DA7BA9">
            <w:pPr>
              <w:pStyle w:val="NoSpacing"/>
              <w:tabs>
                <w:tab w:val="decimal" w:pos="766"/>
              </w:tabs>
              <w:jc w:val="center"/>
            </w:pPr>
            <w:r>
              <w:t>16,235</w:t>
            </w:r>
          </w:p>
        </w:tc>
      </w:tr>
      <w:tr w:rsidR="00807F9C" w:rsidRPr="00072CAF" w14:paraId="18E1F6CC" w14:textId="77777777" w:rsidTr="00807F9C">
        <w:trPr>
          <w:trHeight w:val="556"/>
        </w:trPr>
        <w:tc>
          <w:tcPr>
            <w:tcW w:w="2088" w:type="dxa"/>
            <w:shd w:val="clear" w:color="auto" w:fill="auto"/>
            <w:vAlign w:val="bottom"/>
          </w:tcPr>
          <w:p w14:paraId="18E1F6C5" w14:textId="77777777" w:rsidR="00807F9C" w:rsidRPr="00516EB6" w:rsidRDefault="00807F9C" w:rsidP="00807F9C">
            <w:pPr>
              <w:pStyle w:val="NoSpacing"/>
              <w:jc w:val="center"/>
            </w:pPr>
            <w:r w:rsidRPr="00516EB6">
              <w:t>Marengo I</w:t>
            </w:r>
          </w:p>
          <w:p w14:paraId="18E1F6C6" w14:textId="77777777" w:rsidR="00807F9C" w:rsidRPr="00516EB6" w:rsidRDefault="00807F9C" w:rsidP="00807F9C">
            <w:pPr>
              <w:pStyle w:val="NoSpacing"/>
              <w:jc w:val="center"/>
            </w:pPr>
            <w:r w:rsidRPr="00516EB6">
              <w:t>(Dayton, WA)</w:t>
            </w:r>
          </w:p>
        </w:tc>
        <w:tc>
          <w:tcPr>
            <w:tcW w:w="1695" w:type="dxa"/>
            <w:shd w:val="clear" w:color="auto" w:fill="auto"/>
            <w:vAlign w:val="bottom"/>
          </w:tcPr>
          <w:p w14:paraId="18E1F6C7" w14:textId="77777777" w:rsidR="00807F9C" w:rsidRPr="00516EB6" w:rsidRDefault="00807F9C" w:rsidP="00807F9C">
            <w:pPr>
              <w:pStyle w:val="NoSpacing"/>
              <w:jc w:val="center"/>
            </w:pPr>
            <w:r w:rsidRPr="00516EB6">
              <w:t>Wind</w:t>
            </w:r>
          </w:p>
        </w:tc>
        <w:tc>
          <w:tcPr>
            <w:tcW w:w="1302" w:type="dxa"/>
            <w:vAlign w:val="bottom"/>
          </w:tcPr>
          <w:p w14:paraId="18E1F6C8" w14:textId="77777777" w:rsidR="00807F9C" w:rsidRPr="00516EB6" w:rsidRDefault="00807F9C" w:rsidP="00807F9C">
            <w:pPr>
              <w:pStyle w:val="NoSpacing"/>
              <w:jc w:val="center"/>
            </w:pPr>
            <w:r>
              <w:t>2013</w:t>
            </w:r>
          </w:p>
        </w:tc>
        <w:tc>
          <w:tcPr>
            <w:tcW w:w="1176" w:type="dxa"/>
            <w:vAlign w:val="bottom"/>
          </w:tcPr>
          <w:p w14:paraId="18E1F6C9" w14:textId="77777777" w:rsidR="00807F9C" w:rsidRPr="00516EB6" w:rsidRDefault="00807F9C" w:rsidP="00DA7BA9">
            <w:pPr>
              <w:pStyle w:val="NoSpacing"/>
              <w:tabs>
                <w:tab w:val="decimal" w:pos="624"/>
              </w:tabs>
              <w:jc w:val="center"/>
            </w:pPr>
            <w:r>
              <w:t>26,084</w:t>
            </w:r>
          </w:p>
        </w:tc>
        <w:tc>
          <w:tcPr>
            <w:tcW w:w="1392" w:type="dxa"/>
            <w:shd w:val="clear" w:color="auto" w:fill="auto"/>
            <w:vAlign w:val="bottom"/>
          </w:tcPr>
          <w:p w14:paraId="18E1F6CA" w14:textId="77777777" w:rsidR="00807F9C" w:rsidRPr="00516EB6" w:rsidRDefault="00807F9C" w:rsidP="00807F9C">
            <w:pPr>
              <w:pStyle w:val="NoSpacing"/>
              <w:jc w:val="center"/>
            </w:pPr>
            <w:r>
              <w:t>N/A</w:t>
            </w:r>
          </w:p>
        </w:tc>
        <w:tc>
          <w:tcPr>
            <w:tcW w:w="1600" w:type="dxa"/>
            <w:shd w:val="clear" w:color="auto" w:fill="auto"/>
            <w:vAlign w:val="bottom"/>
          </w:tcPr>
          <w:p w14:paraId="18E1F6CB" w14:textId="77777777" w:rsidR="00807F9C" w:rsidRPr="00516EB6" w:rsidRDefault="00807F9C" w:rsidP="00DA7BA9">
            <w:pPr>
              <w:pStyle w:val="NoSpacing"/>
              <w:tabs>
                <w:tab w:val="decimal" w:pos="766"/>
              </w:tabs>
              <w:jc w:val="center"/>
            </w:pPr>
            <w:r>
              <w:t>26,084</w:t>
            </w:r>
          </w:p>
        </w:tc>
      </w:tr>
      <w:tr w:rsidR="00807F9C" w:rsidRPr="00072CAF" w14:paraId="18E1F6D4" w14:textId="77777777" w:rsidTr="00807F9C">
        <w:trPr>
          <w:trHeight w:val="541"/>
        </w:trPr>
        <w:tc>
          <w:tcPr>
            <w:tcW w:w="2088" w:type="dxa"/>
            <w:shd w:val="clear" w:color="auto" w:fill="auto"/>
            <w:vAlign w:val="bottom"/>
          </w:tcPr>
          <w:p w14:paraId="18E1F6CD" w14:textId="77777777" w:rsidR="00807F9C" w:rsidRPr="00516EB6" w:rsidRDefault="00807F9C" w:rsidP="00807F9C">
            <w:pPr>
              <w:pStyle w:val="NoSpacing"/>
              <w:jc w:val="center"/>
            </w:pPr>
            <w:r w:rsidRPr="00516EB6">
              <w:t>Marengo II</w:t>
            </w:r>
          </w:p>
          <w:p w14:paraId="18E1F6CE" w14:textId="77777777" w:rsidR="00807F9C" w:rsidRPr="00516EB6" w:rsidRDefault="00807F9C" w:rsidP="00807F9C">
            <w:pPr>
              <w:pStyle w:val="NoSpacing"/>
              <w:jc w:val="center"/>
            </w:pPr>
            <w:r w:rsidRPr="00516EB6">
              <w:t>(Dayton, WA)</w:t>
            </w:r>
          </w:p>
        </w:tc>
        <w:tc>
          <w:tcPr>
            <w:tcW w:w="1695" w:type="dxa"/>
            <w:shd w:val="clear" w:color="auto" w:fill="auto"/>
            <w:vAlign w:val="bottom"/>
          </w:tcPr>
          <w:p w14:paraId="18E1F6CF" w14:textId="77777777" w:rsidR="00807F9C" w:rsidRPr="00516EB6" w:rsidRDefault="00807F9C" w:rsidP="00807F9C">
            <w:pPr>
              <w:pStyle w:val="NoSpacing"/>
              <w:jc w:val="center"/>
            </w:pPr>
            <w:r w:rsidRPr="00516EB6">
              <w:t>Wind</w:t>
            </w:r>
          </w:p>
        </w:tc>
        <w:tc>
          <w:tcPr>
            <w:tcW w:w="1302" w:type="dxa"/>
            <w:vAlign w:val="bottom"/>
          </w:tcPr>
          <w:p w14:paraId="18E1F6D0" w14:textId="77777777" w:rsidR="00807F9C" w:rsidRPr="00516EB6" w:rsidRDefault="00807F9C" w:rsidP="00807F9C">
            <w:pPr>
              <w:pStyle w:val="NoSpacing"/>
              <w:jc w:val="center"/>
            </w:pPr>
            <w:r>
              <w:t>2013</w:t>
            </w:r>
          </w:p>
        </w:tc>
        <w:tc>
          <w:tcPr>
            <w:tcW w:w="1176" w:type="dxa"/>
            <w:vAlign w:val="bottom"/>
          </w:tcPr>
          <w:p w14:paraId="18E1F6D1" w14:textId="77777777" w:rsidR="00807F9C" w:rsidRPr="00516EB6" w:rsidRDefault="00807F9C" w:rsidP="00DA7BA9">
            <w:pPr>
              <w:pStyle w:val="NoSpacing"/>
              <w:tabs>
                <w:tab w:val="decimal" w:pos="624"/>
              </w:tabs>
              <w:jc w:val="center"/>
            </w:pPr>
            <w:r>
              <w:t>12,175</w:t>
            </w:r>
          </w:p>
        </w:tc>
        <w:tc>
          <w:tcPr>
            <w:tcW w:w="1392" w:type="dxa"/>
            <w:shd w:val="clear" w:color="auto" w:fill="auto"/>
            <w:vAlign w:val="bottom"/>
          </w:tcPr>
          <w:p w14:paraId="18E1F6D2" w14:textId="77777777" w:rsidR="00807F9C" w:rsidRPr="00516EB6" w:rsidRDefault="00807F9C" w:rsidP="00807F9C">
            <w:pPr>
              <w:pStyle w:val="NoSpacing"/>
              <w:jc w:val="center"/>
            </w:pPr>
            <w:r>
              <w:t>N/A</w:t>
            </w:r>
          </w:p>
        </w:tc>
        <w:tc>
          <w:tcPr>
            <w:tcW w:w="1600" w:type="dxa"/>
            <w:shd w:val="clear" w:color="auto" w:fill="auto"/>
            <w:vAlign w:val="bottom"/>
          </w:tcPr>
          <w:p w14:paraId="18E1F6D3" w14:textId="77777777" w:rsidR="00807F9C" w:rsidRPr="00516EB6" w:rsidRDefault="00807F9C" w:rsidP="00DA7BA9">
            <w:pPr>
              <w:pStyle w:val="NoSpacing"/>
              <w:tabs>
                <w:tab w:val="decimal" w:pos="766"/>
              </w:tabs>
              <w:jc w:val="center"/>
            </w:pPr>
            <w:r>
              <w:t>12,175</w:t>
            </w:r>
          </w:p>
        </w:tc>
      </w:tr>
      <w:tr w:rsidR="00807F9C" w:rsidRPr="00072CAF" w14:paraId="18E1F6DC" w14:textId="77777777" w:rsidTr="00807F9C">
        <w:trPr>
          <w:trHeight w:val="827"/>
        </w:trPr>
        <w:tc>
          <w:tcPr>
            <w:tcW w:w="2088" w:type="dxa"/>
            <w:shd w:val="clear" w:color="auto" w:fill="auto"/>
            <w:vAlign w:val="bottom"/>
          </w:tcPr>
          <w:p w14:paraId="18E1F6D5" w14:textId="77777777" w:rsidR="00807F9C" w:rsidRPr="00516EB6" w:rsidRDefault="00807F9C" w:rsidP="00807F9C">
            <w:pPr>
              <w:pStyle w:val="NoSpacing"/>
              <w:jc w:val="center"/>
            </w:pPr>
            <w:r w:rsidRPr="00516EB6">
              <w:t>Tuana Springs</w:t>
            </w:r>
          </w:p>
          <w:p w14:paraId="18E1F6D6" w14:textId="77777777" w:rsidR="00807F9C" w:rsidRPr="00516EB6" w:rsidRDefault="00807F9C" w:rsidP="00807F9C">
            <w:pPr>
              <w:pStyle w:val="NoSpacing"/>
              <w:jc w:val="center"/>
            </w:pPr>
            <w:r w:rsidRPr="00516EB6">
              <w:t>(Twin Falls Cnty, ID)</w:t>
            </w:r>
          </w:p>
        </w:tc>
        <w:tc>
          <w:tcPr>
            <w:tcW w:w="1695" w:type="dxa"/>
            <w:shd w:val="clear" w:color="auto" w:fill="auto"/>
            <w:vAlign w:val="bottom"/>
          </w:tcPr>
          <w:p w14:paraId="18E1F6D7" w14:textId="77777777" w:rsidR="00807F9C" w:rsidRPr="00516EB6" w:rsidRDefault="00807F9C" w:rsidP="00807F9C">
            <w:pPr>
              <w:pStyle w:val="NoSpacing"/>
              <w:jc w:val="center"/>
            </w:pPr>
            <w:r w:rsidRPr="00516EB6">
              <w:t>Wind</w:t>
            </w:r>
            <w:r>
              <w:t xml:space="preserve"> (Unbundled REC purchase)</w:t>
            </w:r>
          </w:p>
        </w:tc>
        <w:tc>
          <w:tcPr>
            <w:tcW w:w="1302" w:type="dxa"/>
            <w:vAlign w:val="bottom"/>
          </w:tcPr>
          <w:p w14:paraId="18E1F6D8" w14:textId="77777777" w:rsidR="00807F9C" w:rsidRPr="00516EB6" w:rsidRDefault="00807F9C" w:rsidP="00807F9C">
            <w:pPr>
              <w:pStyle w:val="NoSpacing"/>
              <w:jc w:val="center"/>
            </w:pPr>
            <w:r>
              <w:t>2013</w:t>
            </w:r>
          </w:p>
        </w:tc>
        <w:tc>
          <w:tcPr>
            <w:tcW w:w="1176" w:type="dxa"/>
            <w:vAlign w:val="bottom"/>
          </w:tcPr>
          <w:p w14:paraId="18E1F6D9" w14:textId="77777777" w:rsidR="00807F9C" w:rsidRPr="00516EB6" w:rsidRDefault="00807F9C" w:rsidP="00DA7BA9">
            <w:pPr>
              <w:pStyle w:val="NoSpacing"/>
              <w:tabs>
                <w:tab w:val="decimal" w:pos="624"/>
              </w:tabs>
              <w:jc w:val="center"/>
            </w:pPr>
            <w:r>
              <w:t>6,731</w:t>
            </w:r>
          </w:p>
        </w:tc>
        <w:tc>
          <w:tcPr>
            <w:tcW w:w="1392" w:type="dxa"/>
            <w:shd w:val="clear" w:color="auto" w:fill="auto"/>
            <w:vAlign w:val="bottom"/>
          </w:tcPr>
          <w:p w14:paraId="18E1F6DA" w14:textId="77777777" w:rsidR="00807F9C" w:rsidRPr="00516EB6" w:rsidRDefault="00807F9C" w:rsidP="00807F9C">
            <w:pPr>
              <w:pStyle w:val="NoSpacing"/>
              <w:jc w:val="center"/>
            </w:pPr>
            <w:r>
              <w:t>N/A</w:t>
            </w:r>
          </w:p>
        </w:tc>
        <w:tc>
          <w:tcPr>
            <w:tcW w:w="1600" w:type="dxa"/>
            <w:shd w:val="clear" w:color="auto" w:fill="auto"/>
            <w:vAlign w:val="bottom"/>
          </w:tcPr>
          <w:p w14:paraId="18E1F6DB" w14:textId="77777777" w:rsidR="00807F9C" w:rsidRPr="00516EB6" w:rsidRDefault="00807F9C" w:rsidP="00DA7BA9">
            <w:pPr>
              <w:pStyle w:val="NoSpacing"/>
              <w:tabs>
                <w:tab w:val="decimal" w:pos="766"/>
              </w:tabs>
              <w:jc w:val="center"/>
            </w:pPr>
            <w:r>
              <w:t>6,731</w:t>
            </w:r>
          </w:p>
        </w:tc>
      </w:tr>
      <w:tr w:rsidR="00807F9C" w:rsidRPr="00072CAF" w14:paraId="18E1F6E4" w14:textId="77777777" w:rsidTr="00807F9C">
        <w:trPr>
          <w:trHeight w:val="827"/>
        </w:trPr>
        <w:tc>
          <w:tcPr>
            <w:tcW w:w="2088" w:type="dxa"/>
            <w:shd w:val="clear" w:color="auto" w:fill="auto"/>
            <w:vAlign w:val="bottom"/>
          </w:tcPr>
          <w:p w14:paraId="18E1F6DD" w14:textId="77777777" w:rsidR="00807F9C" w:rsidRPr="00516EB6" w:rsidRDefault="00807F9C" w:rsidP="00807F9C">
            <w:pPr>
              <w:pStyle w:val="NoSpacing"/>
              <w:jc w:val="center"/>
            </w:pPr>
            <w:r w:rsidRPr="00516EB6">
              <w:t>Tuana Springs</w:t>
            </w:r>
          </w:p>
          <w:p w14:paraId="18E1F6DE" w14:textId="77777777" w:rsidR="00807F9C" w:rsidRPr="00516EB6" w:rsidRDefault="00807F9C" w:rsidP="00807F9C">
            <w:pPr>
              <w:pStyle w:val="NoSpacing"/>
              <w:jc w:val="center"/>
            </w:pPr>
            <w:r w:rsidRPr="00516EB6">
              <w:t>(Twin Falls Cnty, ID)</w:t>
            </w:r>
          </w:p>
        </w:tc>
        <w:tc>
          <w:tcPr>
            <w:tcW w:w="1695" w:type="dxa"/>
            <w:shd w:val="clear" w:color="auto" w:fill="auto"/>
            <w:vAlign w:val="bottom"/>
          </w:tcPr>
          <w:p w14:paraId="18E1F6DF" w14:textId="77777777" w:rsidR="00807F9C" w:rsidRPr="00516EB6" w:rsidRDefault="00807F9C" w:rsidP="00807F9C">
            <w:pPr>
              <w:pStyle w:val="NoSpacing"/>
              <w:jc w:val="center"/>
            </w:pPr>
            <w:r w:rsidRPr="00516EB6">
              <w:t>Wind</w:t>
            </w:r>
            <w:r>
              <w:t xml:space="preserve"> (Unbundled REC purchase)</w:t>
            </w:r>
          </w:p>
        </w:tc>
        <w:tc>
          <w:tcPr>
            <w:tcW w:w="1302" w:type="dxa"/>
            <w:vAlign w:val="bottom"/>
          </w:tcPr>
          <w:p w14:paraId="18E1F6E0" w14:textId="77777777" w:rsidR="00807F9C" w:rsidRPr="00516EB6" w:rsidRDefault="00807F9C" w:rsidP="00807F9C">
            <w:pPr>
              <w:pStyle w:val="NoSpacing"/>
              <w:jc w:val="center"/>
            </w:pPr>
            <w:r>
              <w:t>2014</w:t>
            </w:r>
          </w:p>
        </w:tc>
        <w:tc>
          <w:tcPr>
            <w:tcW w:w="1176" w:type="dxa"/>
            <w:vAlign w:val="bottom"/>
          </w:tcPr>
          <w:p w14:paraId="18E1F6E1" w14:textId="77777777" w:rsidR="00807F9C" w:rsidRPr="00516EB6" w:rsidRDefault="00807F9C" w:rsidP="00DA7BA9">
            <w:pPr>
              <w:pStyle w:val="NoSpacing"/>
              <w:tabs>
                <w:tab w:val="decimal" w:pos="624"/>
              </w:tabs>
              <w:jc w:val="center"/>
            </w:pPr>
            <w:r>
              <w:t>33,958</w:t>
            </w:r>
          </w:p>
        </w:tc>
        <w:tc>
          <w:tcPr>
            <w:tcW w:w="1392" w:type="dxa"/>
            <w:shd w:val="clear" w:color="auto" w:fill="auto"/>
            <w:vAlign w:val="bottom"/>
          </w:tcPr>
          <w:p w14:paraId="18E1F6E2" w14:textId="77777777" w:rsidR="00807F9C" w:rsidRPr="00516EB6" w:rsidRDefault="00807F9C" w:rsidP="00807F9C">
            <w:pPr>
              <w:pStyle w:val="NoSpacing"/>
              <w:jc w:val="center"/>
            </w:pPr>
            <w:r>
              <w:t>N/A</w:t>
            </w:r>
          </w:p>
        </w:tc>
        <w:tc>
          <w:tcPr>
            <w:tcW w:w="1600" w:type="dxa"/>
            <w:shd w:val="clear" w:color="auto" w:fill="auto"/>
            <w:vAlign w:val="bottom"/>
          </w:tcPr>
          <w:p w14:paraId="18E1F6E3" w14:textId="77777777" w:rsidR="00807F9C" w:rsidRPr="00516EB6" w:rsidRDefault="00807F9C" w:rsidP="00DA7BA9">
            <w:pPr>
              <w:pStyle w:val="NoSpacing"/>
              <w:tabs>
                <w:tab w:val="decimal" w:pos="766"/>
              </w:tabs>
              <w:jc w:val="center"/>
            </w:pPr>
            <w:r>
              <w:t>33,958</w:t>
            </w:r>
          </w:p>
        </w:tc>
      </w:tr>
      <w:tr w:rsidR="00807F9C" w:rsidRPr="00072CAF" w14:paraId="18E1F6EB" w14:textId="77777777" w:rsidTr="00807F9C">
        <w:trPr>
          <w:trHeight w:val="827"/>
        </w:trPr>
        <w:tc>
          <w:tcPr>
            <w:tcW w:w="2088" w:type="dxa"/>
            <w:shd w:val="clear" w:color="auto" w:fill="auto"/>
            <w:vAlign w:val="bottom"/>
          </w:tcPr>
          <w:p w14:paraId="18E1F6E5" w14:textId="77777777" w:rsidR="00807F9C" w:rsidRPr="00516EB6" w:rsidRDefault="00807F9C" w:rsidP="00807F9C">
            <w:pPr>
              <w:pStyle w:val="NoSpacing"/>
              <w:jc w:val="center"/>
            </w:pPr>
            <w:r>
              <w:t>Power County Wind Park South (Idaho)</w:t>
            </w:r>
          </w:p>
        </w:tc>
        <w:tc>
          <w:tcPr>
            <w:tcW w:w="1695" w:type="dxa"/>
            <w:shd w:val="clear" w:color="auto" w:fill="auto"/>
            <w:vAlign w:val="bottom"/>
          </w:tcPr>
          <w:p w14:paraId="18E1F6E6" w14:textId="77777777" w:rsidR="00807F9C" w:rsidRPr="00516EB6" w:rsidRDefault="00807F9C" w:rsidP="00807F9C">
            <w:pPr>
              <w:pStyle w:val="NoSpacing"/>
              <w:jc w:val="center"/>
            </w:pPr>
            <w:r w:rsidRPr="00516EB6">
              <w:t>Wind</w:t>
            </w:r>
            <w:r>
              <w:t xml:space="preserve"> (Unbundled REC purchase)</w:t>
            </w:r>
          </w:p>
        </w:tc>
        <w:tc>
          <w:tcPr>
            <w:tcW w:w="1302" w:type="dxa"/>
            <w:vAlign w:val="bottom"/>
          </w:tcPr>
          <w:p w14:paraId="18E1F6E7" w14:textId="77777777" w:rsidR="00807F9C" w:rsidRPr="00516EB6" w:rsidRDefault="00807F9C" w:rsidP="00807F9C">
            <w:pPr>
              <w:pStyle w:val="NoSpacing"/>
              <w:jc w:val="center"/>
            </w:pPr>
            <w:r>
              <w:t>2014</w:t>
            </w:r>
          </w:p>
        </w:tc>
        <w:tc>
          <w:tcPr>
            <w:tcW w:w="1176" w:type="dxa"/>
            <w:vAlign w:val="bottom"/>
          </w:tcPr>
          <w:p w14:paraId="18E1F6E8" w14:textId="77777777" w:rsidR="00807F9C" w:rsidRPr="00516EB6" w:rsidRDefault="00807F9C" w:rsidP="00DA7BA9">
            <w:pPr>
              <w:pStyle w:val="NoSpacing"/>
              <w:tabs>
                <w:tab w:val="decimal" w:pos="624"/>
              </w:tabs>
              <w:jc w:val="center"/>
            </w:pPr>
            <w:r>
              <w:t>1,063</w:t>
            </w:r>
          </w:p>
        </w:tc>
        <w:tc>
          <w:tcPr>
            <w:tcW w:w="1392" w:type="dxa"/>
            <w:shd w:val="clear" w:color="auto" w:fill="auto"/>
            <w:vAlign w:val="bottom"/>
          </w:tcPr>
          <w:p w14:paraId="18E1F6E9" w14:textId="77777777" w:rsidR="00807F9C" w:rsidRPr="00516EB6" w:rsidRDefault="00807F9C" w:rsidP="00807F9C">
            <w:pPr>
              <w:pStyle w:val="NoSpacing"/>
              <w:jc w:val="center"/>
            </w:pPr>
            <w:r>
              <w:t>N/A</w:t>
            </w:r>
          </w:p>
        </w:tc>
        <w:tc>
          <w:tcPr>
            <w:tcW w:w="1600" w:type="dxa"/>
            <w:shd w:val="clear" w:color="auto" w:fill="auto"/>
            <w:vAlign w:val="bottom"/>
          </w:tcPr>
          <w:p w14:paraId="18E1F6EA" w14:textId="77777777" w:rsidR="00807F9C" w:rsidRPr="00516EB6" w:rsidRDefault="00807F9C" w:rsidP="00DA7BA9">
            <w:pPr>
              <w:pStyle w:val="NoSpacing"/>
              <w:tabs>
                <w:tab w:val="decimal" w:pos="766"/>
              </w:tabs>
              <w:jc w:val="center"/>
            </w:pPr>
            <w:r>
              <w:t>1,063</w:t>
            </w:r>
          </w:p>
        </w:tc>
      </w:tr>
      <w:tr w:rsidR="00807F9C" w:rsidRPr="00072CAF" w14:paraId="18E1F6F3" w14:textId="77777777" w:rsidTr="00807F9C">
        <w:trPr>
          <w:trHeight w:val="827"/>
        </w:trPr>
        <w:tc>
          <w:tcPr>
            <w:tcW w:w="2088" w:type="dxa"/>
            <w:shd w:val="clear" w:color="auto" w:fill="auto"/>
            <w:vAlign w:val="bottom"/>
          </w:tcPr>
          <w:p w14:paraId="18E1F6EC" w14:textId="77777777" w:rsidR="00807F9C" w:rsidRPr="00516EB6" w:rsidRDefault="00807F9C" w:rsidP="00807F9C">
            <w:pPr>
              <w:pStyle w:val="NoSpacing"/>
              <w:jc w:val="center"/>
            </w:pPr>
            <w:r w:rsidRPr="00516EB6">
              <w:t>Prospect 2</w:t>
            </w:r>
          </w:p>
          <w:p w14:paraId="18E1F6ED" w14:textId="77777777" w:rsidR="00807F9C" w:rsidRPr="00516EB6" w:rsidRDefault="00807F9C" w:rsidP="00807F9C">
            <w:pPr>
              <w:pStyle w:val="NoSpacing"/>
              <w:jc w:val="center"/>
            </w:pPr>
            <w:r w:rsidRPr="00516EB6">
              <w:t>(Rogue River, OR)</w:t>
            </w:r>
          </w:p>
        </w:tc>
        <w:tc>
          <w:tcPr>
            <w:tcW w:w="1695" w:type="dxa"/>
            <w:shd w:val="clear" w:color="auto" w:fill="auto"/>
            <w:vAlign w:val="bottom"/>
          </w:tcPr>
          <w:p w14:paraId="18E1F6EE" w14:textId="77777777" w:rsidR="00807F9C" w:rsidRPr="00516EB6" w:rsidRDefault="00807F9C" w:rsidP="00807F9C">
            <w:pPr>
              <w:pStyle w:val="NoSpacing"/>
              <w:jc w:val="center"/>
            </w:pPr>
            <w:r>
              <w:t>Incremental Hydro</w:t>
            </w:r>
          </w:p>
        </w:tc>
        <w:tc>
          <w:tcPr>
            <w:tcW w:w="1302" w:type="dxa"/>
            <w:vAlign w:val="bottom"/>
          </w:tcPr>
          <w:p w14:paraId="18E1F6EF" w14:textId="77777777" w:rsidR="00807F9C" w:rsidRPr="00516EB6" w:rsidRDefault="00807F9C" w:rsidP="00E4660E">
            <w:pPr>
              <w:pStyle w:val="NoSpacing"/>
              <w:jc w:val="center"/>
            </w:pPr>
            <w:r w:rsidRPr="00516EB6">
              <w:t>201</w:t>
            </w:r>
            <w:r w:rsidR="00E4660E">
              <w:t>4</w:t>
            </w:r>
          </w:p>
        </w:tc>
        <w:tc>
          <w:tcPr>
            <w:tcW w:w="1176" w:type="dxa"/>
            <w:vAlign w:val="bottom"/>
          </w:tcPr>
          <w:p w14:paraId="18E1F6F0" w14:textId="77777777" w:rsidR="00807F9C" w:rsidRPr="00516EB6" w:rsidRDefault="00E4660E" w:rsidP="00DA7BA9">
            <w:pPr>
              <w:pStyle w:val="NoSpacing"/>
              <w:tabs>
                <w:tab w:val="decimal" w:pos="624"/>
              </w:tabs>
              <w:jc w:val="center"/>
            </w:pPr>
            <w:r>
              <w:t>278</w:t>
            </w:r>
          </w:p>
        </w:tc>
        <w:tc>
          <w:tcPr>
            <w:tcW w:w="1392" w:type="dxa"/>
            <w:shd w:val="clear" w:color="auto" w:fill="auto"/>
            <w:vAlign w:val="bottom"/>
          </w:tcPr>
          <w:p w14:paraId="18E1F6F1" w14:textId="77777777" w:rsidR="00807F9C" w:rsidRPr="00516EB6" w:rsidRDefault="00E4660E" w:rsidP="00807F9C">
            <w:pPr>
              <w:pStyle w:val="NoSpacing"/>
              <w:jc w:val="center"/>
            </w:pPr>
            <w:r>
              <w:t>N/A</w:t>
            </w:r>
          </w:p>
        </w:tc>
        <w:tc>
          <w:tcPr>
            <w:tcW w:w="1600" w:type="dxa"/>
            <w:shd w:val="clear" w:color="auto" w:fill="auto"/>
            <w:vAlign w:val="bottom"/>
          </w:tcPr>
          <w:p w14:paraId="18E1F6F2" w14:textId="77777777" w:rsidR="00807F9C" w:rsidRPr="00516EB6" w:rsidRDefault="00E4660E" w:rsidP="00DA7BA9">
            <w:pPr>
              <w:pStyle w:val="NoSpacing"/>
              <w:tabs>
                <w:tab w:val="decimal" w:pos="766"/>
              </w:tabs>
              <w:jc w:val="center"/>
            </w:pPr>
            <w:r>
              <w:t>278</w:t>
            </w:r>
          </w:p>
        </w:tc>
      </w:tr>
      <w:tr w:rsidR="00807F9C" w:rsidRPr="00072CAF" w14:paraId="18E1F6FB" w14:textId="77777777" w:rsidTr="00807F9C">
        <w:trPr>
          <w:trHeight w:val="712"/>
        </w:trPr>
        <w:tc>
          <w:tcPr>
            <w:tcW w:w="2088" w:type="dxa"/>
            <w:shd w:val="clear" w:color="auto" w:fill="auto"/>
            <w:vAlign w:val="bottom"/>
          </w:tcPr>
          <w:p w14:paraId="18E1F6F4" w14:textId="77777777" w:rsidR="00807F9C" w:rsidRPr="00516EB6" w:rsidRDefault="00807F9C" w:rsidP="00807F9C">
            <w:pPr>
              <w:pStyle w:val="NoSpacing"/>
              <w:jc w:val="center"/>
            </w:pPr>
            <w:r w:rsidRPr="00516EB6">
              <w:t>Lemolo 1</w:t>
            </w:r>
          </w:p>
          <w:p w14:paraId="18E1F6F5" w14:textId="77777777" w:rsidR="00807F9C" w:rsidRPr="00516EB6" w:rsidRDefault="00807F9C" w:rsidP="00807F9C">
            <w:pPr>
              <w:pStyle w:val="NoSpacing"/>
              <w:jc w:val="center"/>
            </w:pPr>
            <w:r w:rsidRPr="00516EB6">
              <w:t>(N. Umpqua R., OR)</w:t>
            </w:r>
          </w:p>
        </w:tc>
        <w:tc>
          <w:tcPr>
            <w:tcW w:w="1695" w:type="dxa"/>
            <w:shd w:val="clear" w:color="auto" w:fill="auto"/>
            <w:vAlign w:val="bottom"/>
          </w:tcPr>
          <w:p w14:paraId="18E1F6F6" w14:textId="77777777" w:rsidR="00807F9C" w:rsidRPr="00516EB6" w:rsidRDefault="00807F9C" w:rsidP="00807F9C">
            <w:pPr>
              <w:pStyle w:val="NoSpacing"/>
              <w:jc w:val="center"/>
            </w:pPr>
            <w:r>
              <w:t>Incremental Hydro</w:t>
            </w:r>
          </w:p>
        </w:tc>
        <w:tc>
          <w:tcPr>
            <w:tcW w:w="1302" w:type="dxa"/>
            <w:vAlign w:val="bottom"/>
          </w:tcPr>
          <w:p w14:paraId="18E1F6F7" w14:textId="77777777" w:rsidR="00807F9C" w:rsidRPr="00516EB6" w:rsidRDefault="00E4660E" w:rsidP="00807F9C">
            <w:pPr>
              <w:pStyle w:val="NoSpacing"/>
              <w:jc w:val="center"/>
            </w:pPr>
            <w:r>
              <w:t>2014</w:t>
            </w:r>
          </w:p>
        </w:tc>
        <w:tc>
          <w:tcPr>
            <w:tcW w:w="1176" w:type="dxa"/>
            <w:vAlign w:val="bottom"/>
          </w:tcPr>
          <w:p w14:paraId="18E1F6F8" w14:textId="77777777" w:rsidR="00807F9C" w:rsidRPr="00516EB6" w:rsidRDefault="00E4660E" w:rsidP="00DA7BA9">
            <w:pPr>
              <w:pStyle w:val="NoSpacing"/>
              <w:tabs>
                <w:tab w:val="decimal" w:pos="624"/>
              </w:tabs>
              <w:jc w:val="center"/>
            </w:pPr>
            <w:r>
              <w:t>1,148</w:t>
            </w:r>
          </w:p>
        </w:tc>
        <w:tc>
          <w:tcPr>
            <w:tcW w:w="1392" w:type="dxa"/>
            <w:shd w:val="clear" w:color="auto" w:fill="auto"/>
            <w:vAlign w:val="bottom"/>
          </w:tcPr>
          <w:p w14:paraId="18E1F6F9" w14:textId="77777777" w:rsidR="00807F9C" w:rsidRPr="00516EB6" w:rsidRDefault="00E4660E" w:rsidP="00807F9C">
            <w:pPr>
              <w:pStyle w:val="NoSpacing"/>
              <w:jc w:val="center"/>
            </w:pPr>
            <w:r>
              <w:t>N/A</w:t>
            </w:r>
          </w:p>
        </w:tc>
        <w:tc>
          <w:tcPr>
            <w:tcW w:w="1600" w:type="dxa"/>
            <w:shd w:val="clear" w:color="auto" w:fill="auto"/>
            <w:vAlign w:val="bottom"/>
          </w:tcPr>
          <w:p w14:paraId="18E1F6FA" w14:textId="77777777" w:rsidR="00807F9C" w:rsidRPr="00516EB6" w:rsidRDefault="00E4660E" w:rsidP="00DA7BA9">
            <w:pPr>
              <w:pStyle w:val="NoSpacing"/>
              <w:tabs>
                <w:tab w:val="decimal" w:pos="766"/>
              </w:tabs>
              <w:jc w:val="center"/>
            </w:pPr>
            <w:r>
              <w:t>1,148</w:t>
            </w:r>
          </w:p>
        </w:tc>
      </w:tr>
      <w:tr w:rsidR="00807F9C" w:rsidRPr="00072CAF" w14:paraId="18E1F703" w14:textId="77777777" w:rsidTr="00807F9C">
        <w:trPr>
          <w:trHeight w:val="812"/>
        </w:trPr>
        <w:tc>
          <w:tcPr>
            <w:tcW w:w="2088" w:type="dxa"/>
            <w:shd w:val="clear" w:color="auto" w:fill="auto"/>
            <w:vAlign w:val="bottom"/>
          </w:tcPr>
          <w:p w14:paraId="18E1F6FC" w14:textId="77777777" w:rsidR="00807F9C" w:rsidRPr="00516EB6" w:rsidRDefault="00807F9C" w:rsidP="00807F9C">
            <w:pPr>
              <w:pStyle w:val="NoSpacing"/>
              <w:jc w:val="center"/>
            </w:pPr>
            <w:r w:rsidRPr="00516EB6">
              <w:t>Lemolo 2</w:t>
            </w:r>
          </w:p>
          <w:p w14:paraId="18E1F6FD" w14:textId="77777777" w:rsidR="00807F9C" w:rsidRPr="00516EB6" w:rsidRDefault="00807F9C" w:rsidP="00807F9C">
            <w:pPr>
              <w:pStyle w:val="NoSpacing"/>
              <w:jc w:val="center"/>
            </w:pPr>
            <w:r w:rsidRPr="00516EB6">
              <w:t>(N. Umpqua R., OR)</w:t>
            </w:r>
          </w:p>
        </w:tc>
        <w:tc>
          <w:tcPr>
            <w:tcW w:w="1695" w:type="dxa"/>
            <w:shd w:val="clear" w:color="auto" w:fill="auto"/>
            <w:vAlign w:val="bottom"/>
          </w:tcPr>
          <w:p w14:paraId="18E1F6FE" w14:textId="77777777" w:rsidR="00807F9C" w:rsidRPr="00516EB6" w:rsidRDefault="00807F9C" w:rsidP="00807F9C">
            <w:pPr>
              <w:pStyle w:val="NoSpacing"/>
              <w:jc w:val="center"/>
            </w:pPr>
            <w:r>
              <w:t>Incremental Hydro</w:t>
            </w:r>
          </w:p>
        </w:tc>
        <w:tc>
          <w:tcPr>
            <w:tcW w:w="1302" w:type="dxa"/>
            <w:vAlign w:val="bottom"/>
          </w:tcPr>
          <w:p w14:paraId="18E1F6FF" w14:textId="77777777" w:rsidR="00807F9C" w:rsidRPr="00516EB6" w:rsidRDefault="00E4660E" w:rsidP="00807F9C">
            <w:pPr>
              <w:pStyle w:val="NoSpacing"/>
              <w:jc w:val="center"/>
            </w:pPr>
            <w:r>
              <w:t>2014</w:t>
            </w:r>
          </w:p>
        </w:tc>
        <w:tc>
          <w:tcPr>
            <w:tcW w:w="1176" w:type="dxa"/>
            <w:vAlign w:val="bottom"/>
          </w:tcPr>
          <w:p w14:paraId="18E1F700" w14:textId="77777777" w:rsidR="00807F9C" w:rsidRPr="00516EB6" w:rsidRDefault="00E4660E" w:rsidP="00DA7BA9">
            <w:pPr>
              <w:pStyle w:val="NoSpacing"/>
              <w:tabs>
                <w:tab w:val="decimal" w:pos="624"/>
              </w:tabs>
              <w:jc w:val="center"/>
            </w:pPr>
            <w:r>
              <w:t>109</w:t>
            </w:r>
          </w:p>
        </w:tc>
        <w:tc>
          <w:tcPr>
            <w:tcW w:w="1392" w:type="dxa"/>
            <w:shd w:val="clear" w:color="auto" w:fill="auto"/>
            <w:vAlign w:val="bottom"/>
          </w:tcPr>
          <w:p w14:paraId="18E1F701" w14:textId="77777777" w:rsidR="00807F9C" w:rsidRPr="00516EB6" w:rsidRDefault="00E4660E" w:rsidP="00807F9C">
            <w:pPr>
              <w:pStyle w:val="NoSpacing"/>
              <w:jc w:val="center"/>
            </w:pPr>
            <w:r>
              <w:t>N/A</w:t>
            </w:r>
          </w:p>
        </w:tc>
        <w:tc>
          <w:tcPr>
            <w:tcW w:w="1600" w:type="dxa"/>
            <w:shd w:val="clear" w:color="auto" w:fill="auto"/>
            <w:vAlign w:val="bottom"/>
          </w:tcPr>
          <w:p w14:paraId="18E1F702" w14:textId="77777777" w:rsidR="00807F9C" w:rsidRPr="00516EB6" w:rsidRDefault="00E4660E" w:rsidP="00DA7BA9">
            <w:pPr>
              <w:pStyle w:val="NoSpacing"/>
              <w:tabs>
                <w:tab w:val="decimal" w:pos="766"/>
              </w:tabs>
              <w:jc w:val="center"/>
            </w:pPr>
            <w:r>
              <w:t>109</w:t>
            </w:r>
          </w:p>
        </w:tc>
      </w:tr>
      <w:tr w:rsidR="00807F9C" w:rsidRPr="00072CAF" w14:paraId="18E1F70B" w14:textId="77777777" w:rsidTr="00807F9C">
        <w:trPr>
          <w:trHeight w:val="827"/>
        </w:trPr>
        <w:tc>
          <w:tcPr>
            <w:tcW w:w="2088" w:type="dxa"/>
            <w:shd w:val="clear" w:color="auto" w:fill="auto"/>
            <w:vAlign w:val="bottom"/>
          </w:tcPr>
          <w:p w14:paraId="18E1F704" w14:textId="77777777" w:rsidR="00807F9C" w:rsidRPr="00516EB6" w:rsidRDefault="00807F9C" w:rsidP="00807F9C">
            <w:pPr>
              <w:pStyle w:val="NoSpacing"/>
              <w:jc w:val="center"/>
            </w:pPr>
            <w:r w:rsidRPr="00516EB6">
              <w:t>J.C. Boyle</w:t>
            </w:r>
          </w:p>
          <w:p w14:paraId="18E1F705" w14:textId="77777777" w:rsidR="00807F9C" w:rsidRPr="00516EB6" w:rsidRDefault="00807F9C" w:rsidP="00807F9C">
            <w:pPr>
              <w:pStyle w:val="NoSpacing"/>
              <w:jc w:val="center"/>
            </w:pPr>
            <w:r w:rsidRPr="00516EB6">
              <w:t>(Klamath R., OR)</w:t>
            </w:r>
          </w:p>
        </w:tc>
        <w:tc>
          <w:tcPr>
            <w:tcW w:w="1695" w:type="dxa"/>
            <w:shd w:val="clear" w:color="auto" w:fill="auto"/>
            <w:vAlign w:val="bottom"/>
          </w:tcPr>
          <w:p w14:paraId="18E1F706" w14:textId="77777777" w:rsidR="00807F9C" w:rsidRPr="00516EB6" w:rsidRDefault="00807F9C" w:rsidP="00807F9C">
            <w:pPr>
              <w:pStyle w:val="NoSpacing"/>
              <w:jc w:val="center"/>
            </w:pPr>
            <w:r>
              <w:t>Incremental Hydro</w:t>
            </w:r>
          </w:p>
        </w:tc>
        <w:tc>
          <w:tcPr>
            <w:tcW w:w="1302" w:type="dxa"/>
            <w:vAlign w:val="bottom"/>
          </w:tcPr>
          <w:p w14:paraId="18E1F707" w14:textId="77777777" w:rsidR="00807F9C" w:rsidRPr="00516EB6" w:rsidRDefault="00E4660E" w:rsidP="00807F9C">
            <w:pPr>
              <w:pStyle w:val="NoSpacing"/>
              <w:jc w:val="center"/>
            </w:pPr>
            <w:r>
              <w:t>2014</w:t>
            </w:r>
          </w:p>
        </w:tc>
        <w:tc>
          <w:tcPr>
            <w:tcW w:w="1176" w:type="dxa"/>
            <w:vAlign w:val="bottom"/>
          </w:tcPr>
          <w:p w14:paraId="18E1F708" w14:textId="77777777" w:rsidR="00807F9C" w:rsidRPr="00516EB6" w:rsidRDefault="00807F9C" w:rsidP="00DA7BA9">
            <w:pPr>
              <w:pStyle w:val="NoSpacing"/>
              <w:tabs>
                <w:tab w:val="decimal" w:pos="624"/>
              </w:tabs>
              <w:jc w:val="center"/>
            </w:pPr>
            <w:r>
              <w:t>184</w:t>
            </w:r>
          </w:p>
        </w:tc>
        <w:tc>
          <w:tcPr>
            <w:tcW w:w="1392" w:type="dxa"/>
            <w:shd w:val="clear" w:color="auto" w:fill="auto"/>
            <w:vAlign w:val="bottom"/>
          </w:tcPr>
          <w:p w14:paraId="18E1F709" w14:textId="77777777" w:rsidR="00807F9C" w:rsidRPr="00516EB6" w:rsidRDefault="00E4660E" w:rsidP="00807F9C">
            <w:pPr>
              <w:pStyle w:val="NoSpacing"/>
              <w:jc w:val="center"/>
            </w:pPr>
            <w:r>
              <w:t>N/A</w:t>
            </w:r>
          </w:p>
        </w:tc>
        <w:tc>
          <w:tcPr>
            <w:tcW w:w="1600" w:type="dxa"/>
            <w:shd w:val="clear" w:color="auto" w:fill="auto"/>
            <w:vAlign w:val="bottom"/>
          </w:tcPr>
          <w:p w14:paraId="18E1F70A" w14:textId="77777777" w:rsidR="00807F9C" w:rsidRPr="00516EB6" w:rsidRDefault="00E4660E" w:rsidP="00DA7BA9">
            <w:pPr>
              <w:pStyle w:val="NoSpacing"/>
              <w:tabs>
                <w:tab w:val="decimal" w:pos="766"/>
              </w:tabs>
              <w:jc w:val="center"/>
            </w:pPr>
            <w:r>
              <w:t>184</w:t>
            </w:r>
          </w:p>
        </w:tc>
      </w:tr>
      <w:tr w:rsidR="00807F9C" w:rsidRPr="00072CAF" w14:paraId="18E1F70E" w14:textId="77777777" w:rsidTr="002B1F47">
        <w:trPr>
          <w:trHeight w:val="270"/>
        </w:trPr>
        <w:tc>
          <w:tcPr>
            <w:tcW w:w="3783" w:type="dxa"/>
            <w:gridSpan w:val="2"/>
            <w:shd w:val="clear" w:color="auto" w:fill="D9D9D9"/>
          </w:tcPr>
          <w:p w14:paraId="18E1F70C" w14:textId="77777777" w:rsidR="00807F9C" w:rsidRPr="00516EB6" w:rsidRDefault="00807F9C" w:rsidP="00807F9C">
            <w:pPr>
              <w:pStyle w:val="NoSpacing"/>
            </w:pPr>
            <w:r w:rsidRPr="00516EB6">
              <w:t>Total MWh + RECs Acquired:</w:t>
            </w:r>
          </w:p>
        </w:tc>
        <w:tc>
          <w:tcPr>
            <w:tcW w:w="5470" w:type="dxa"/>
            <w:gridSpan w:val="4"/>
            <w:shd w:val="clear" w:color="auto" w:fill="D9D9D9"/>
          </w:tcPr>
          <w:p w14:paraId="18E1F70D" w14:textId="77777777" w:rsidR="00807F9C" w:rsidRPr="00516EB6" w:rsidRDefault="00807F9C" w:rsidP="00807F9C">
            <w:pPr>
              <w:pStyle w:val="NoSpacing"/>
              <w:jc w:val="right"/>
            </w:pPr>
            <w:r>
              <w:t>122,019</w:t>
            </w:r>
          </w:p>
        </w:tc>
      </w:tr>
      <w:tr w:rsidR="00807F9C" w:rsidRPr="00072CAF" w14:paraId="18E1F711" w14:textId="77777777" w:rsidTr="002B1F47">
        <w:trPr>
          <w:trHeight w:val="285"/>
        </w:trPr>
        <w:tc>
          <w:tcPr>
            <w:tcW w:w="3783" w:type="dxa"/>
            <w:gridSpan w:val="2"/>
            <w:shd w:val="clear" w:color="auto" w:fill="D9D9D9"/>
          </w:tcPr>
          <w:p w14:paraId="18E1F70F" w14:textId="77777777" w:rsidR="00807F9C" w:rsidRPr="00516EB6" w:rsidRDefault="00807F9C" w:rsidP="00807F9C">
            <w:pPr>
              <w:pStyle w:val="NoSpacing"/>
            </w:pPr>
            <w:r>
              <w:t>2014</w:t>
            </w:r>
            <w:r w:rsidRPr="00516EB6">
              <w:t xml:space="preserve"> Target (MWh):</w:t>
            </w:r>
          </w:p>
        </w:tc>
        <w:tc>
          <w:tcPr>
            <w:tcW w:w="5470" w:type="dxa"/>
            <w:gridSpan w:val="4"/>
            <w:shd w:val="clear" w:color="auto" w:fill="D9D9D9"/>
          </w:tcPr>
          <w:p w14:paraId="18E1F710" w14:textId="77777777" w:rsidR="00807F9C" w:rsidRPr="00516EB6" w:rsidRDefault="00807F9C" w:rsidP="00807F9C">
            <w:pPr>
              <w:pStyle w:val="NoSpacing"/>
              <w:jc w:val="right"/>
            </w:pPr>
            <w:r>
              <w:t>122,019</w:t>
            </w:r>
          </w:p>
        </w:tc>
      </w:tr>
    </w:tbl>
    <w:p w14:paraId="18E1F712" w14:textId="77777777" w:rsidR="00807F9C" w:rsidRDefault="00807F9C" w:rsidP="00807F9C">
      <w:pPr>
        <w:rPr>
          <w:rFonts w:ascii="Times New Roman" w:hAnsi="Times New Roman"/>
        </w:rPr>
      </w:pPr>
    </w:p>
    <w:p w14:paraId="18E1F713" w14:textId="77777777" w:rsidR="00807F9C" w:rsidRDefault="00807F9C" w:rsidP="00807F9C">
      <w:pPr>
        <w:rPr>
          <w:rFonts w:ascii="Times New Roman" w:hAnsi="Times New Roman"/>
          <w:b/>
          <w:u w:val="single"/>
        </w:rPr>
      </w:pPr>
      <w:r>
        <w:rPr>
          <w:rFonts w:ascii="Times New Roman" w:hAnsi="Times New Roman"/>
          <w:b/>
          <w:u w:val="single"/>
        </w:rPr>
        <w:t>Conclusion</w:t>
      </w:r>
    </w:p>
    <w:p w14:paraId="18E1F714" w14:textId="77777777" w:rsidR="00807F9C" w:rsidRDefault="00807F9C" w:rsidP="00807F9C">
      <w:pPr>
        <w:rPr>
          <w:rFonts w:ascii="Times New Roman" w:hAnsi="Times New Roman"/>
        </w:rPr>
      </w:pPr>
    </w:p>
    <w:p w14:paraId="18E1F715" w14:textId="77777777" w:rsidR="00807F9C" w:rsidRPr="00AD3312" w:rsidRDefault="00807F9C" w:rsidP="00807F9C">
      <w:pPr>
        <w:rPr>
          <w:rFonts w:ascii="Times New Roman" w:hAnsi="Times New Roman"/>
        </w:rPr>
      </w:pPr>
      <w:r>
        <w:rPr>
          <w:rFonts w:ascii="Times New Roman" w:hAnsi="Times New Roman"/>
        </w:rPr>
        <w:t>Staff recommends that the commission issue an order in Docket UE-1</w:t>
      </w:r>
      <w:r w:rsidR="00E4660E">
        <w:rPr>
          <w:rFonts w:ascii="Times New Roman" w:hAnsi="Times New Roman"/>
        </w:rPr>
        <w:t>40802</w:t>
      </w:r>
      <w:r>
        <w:rPr>
          <w:rFonts w:ascii="Times New Roman" w:hAnsi="Times New Roman"/>
        </w:rPr>
        <w:t xml:space="preserve"> as described in the recommendation section above. </w:t>
      </w:r>
    </w:p>
    <w:p w14:paraId="18E1F717" w14:textId="77777777" w:rsidR="002C039A" w:rsidRPr="00AD3312" w:rsidRDefault="002C039A" w:rsidP="00AD3312">
      <w:pPr>
        <w:rPr>
          <w:rFonts w:ascii="Times New Roman" w:hAnsi="Times New Roman"/>
        </w:rPr>
      </w:pPr>
    </w:p>
    <w:sectPr w:rsidR="002C039A" w:rsidRPr="00AD3312" w:rsidSect="00BC68D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F71A" w14:textId="77777777" w:rsidR="003521ED" w:rsidRDefault="003521ED" w:rsidP="00E4660E">
      <w:r>
        <w:separator/>
      </w:r>
    </w:p>
  </w:endnote>
  <w:endnote w:type="continuationSeparator" w:id="0">
    <w:p w14:paraId="18E1F71B" w14:textId="77777777" w:rsidR="003521ED" w:rsidRDefault="003521ED" w:rsidP="00E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F718" w14:textId="77777777" w:rsidR="003521ED" w:rsidRDefault="003521ED" w:rsidP="00E4660E">
      <w:r>
        <w:separator/>
      </w:r>
    </w:p>
  </w:footnote>
  <w:footnote w:type="continuationSeparator" w:id="0">
    <w:p w14:paraId="18E1F719" w14:textId="77777777" w:rsidR="003521ED" w:rsidRDefault="003521ED" w:rsidP="00E4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51152642"/>
      <w:docPartObj>
        <w:docPartGallery w:val="Page Numbers (Top of Page)"/>
        <w:docPartUnique/>
      </w:docPartObj>
    </w:sdtPr>
    <w:sdtEndPr>
      <w:rPr>
        <w:noProof/>
      </w:rPr>
    </w:sdtEndPr>
    <w:sdtContent>
      <w:p w14:paraId="18E1F71C" w14:textId="77777777" w:rsidR="00BC68DE" w:rsidRPr="00DA7BA9" w:rsidRDefault="003521ED">
        <w:pPr>
          <w:pStyle w:val="Header"/>
          <w:rPr>
            <w:rFonts w:ascii="Times New Roman" w:hAnsi="Times New Roman"/>
            <w:sz w:val="20"/>
            <w:szCs w:val="20"/>
          </w:rPr>
        </w:pPr>
        <w:r w:rsidRPr="00DA7BA9">
          <w:rPr>
            <w:rFonts w:ascii="Times New Roman" w:hAnsi="Times New Roman"/>
            <w:sz w:val="20"/>
            <w:szCs w:val="20"/>
          </w:rPr>
          <w:t>Docket UE-14080</w:t>
        </w:r>
        <w:r w:rsidR="00E4660E" w:rsidRPr="00DA7BA9">
          <w:rPr>
            <w:rFonts w:ascii="Times New Roman" w:hAnsi="Times New Roman"/>
            <w:sz w:val="20"/>
            <w:szCs w:val="20"/>
          </w:rPr>
          <w:t>2</w:t>
        </w:r>
      </w:p>
      <w:p w14:paraId="18E1F71D" w14:textId="5D3140BC" w:rsidR="008443B7" w:rsidRPr="00DA7BA9" w:rsidRDefault="003521ED">
        <w:pPr>
          <w:pStyle w:val="Header"/>
          <w:rPr>
            <w:rFonts w:ascii="Times New Roman" w:hAnsi="Times New Roman"/>
            <w:sz w:val="20"/>
            <w:szCs w:val="20"/>
          </w:rPr>
        </w:pPr>
        <w:r w:rsidRPr="00DA7BA9">
          <w:rPr>
            <w:rFonts w:ascii="Times New Roman" w:hAnsi="Times New Roman"/>
            <w:sz w:val="20"/>
            <w:szCs w:val="20"/>
          </w:rPr>
          <w:t xml:space="preserve">June 23, 2016 </w:t>
        </w:r>
      </w:p>
      <w:p w14:paraId="18E1F71E" w14:textId="77777777" w:rsidR="00BC68DE" w:rsidRPr="008443B7" w:rsidRDefault="003521ED">
        <w:pPr>
          <w:pStyle w:val="Header"/>
          <w:rPr>
            <w:rFonts w:ascii="Times New Roman" w:hAnsi="Times New Roman"/>
          </w:rPr>
        </w:pPr>
        <w:r w:rsidRPr="00DA7BA9">
          <w:rPr>
            <w:rFonts w:ascii="Times New Roman" w:hAnsi="Times New Roman"/>
            <w:sz w:val="20"/>
            <w:szCs w:val="20"/>
          </w:rPr>
          <w:t>Page 2</w:t>
        </w:r>
        <w:r w:rsidRPr="008443B7">
          <w:rPr>
            <w:rFonts w:ascii="Times New Roman" w:hAnsi="Times New Roman"/>
          </w:rPr>
          <w:tab/>
        </w:r>
      </w:p>
    </w:sdtContent>
  </w:sdt>
  <w:p w14:paraId="18E1F71F" w14:textId="77777777" w:rsidR="00BC68DE" w:rsidRDefault="00913263">
    <w:pPr>
      <w:pStyle w:val="Header"/>
      <w:rPr>
        <w:rFonts w:ascii="Times New Roman" w:hAnsi="Times New Roman"/>
      </w:rPr>
    </w:pPr>
  </w:p>
  <w:p w14:paraId="0F671493" w14:textId="77777777" w:rsidR="00DA7BA9" w:rsidRPr="008443B7" w:rsidRDefault="00DA7BA9">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9C"/>
    <w:rsid w:val="000E640C"/>
    <w:rsid w:val="001C5AB1"/>
    <w:rsid w:val="001E1D7A"/>
    <w:rsid w:val="002C039A"/>
    <w:rsid w:val="003521ED"/>
    <w:rsid w:val="004C1DD4"/>
    <w:rsid w:val="00514E51"/>
    <w:rsid w:val="00527FD0"/>
    <w:rsid w:val="00552600"/>
    <w:rsid w:val="005A6C74"/>
    <w:rsid w:val="00672F7B"/>
    <w:rsid w:val="006A41EE"/>
    <w:rsid w:val="00807F9C"/>
    <w:rsid w:val="0084465F"/>
    <w:rsid w:val="00913263"/>
    <w:rsid w:val="00A84C2A"/>
    <w:rsid w:val="00AD3312"/>
    <w:rsid w:val="00AE273E"/>
    <w:rsid w:val="00B13041"/>
    <w:rsid w:val="00DA1B86"/>
    <w:rsid w:val="00DA7BA9"/>
    <w:rsid w:val="00DD2A47"/>
    <w:rsid w:val="00E4660E"/>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F687"/>
  <w15:chartTrackingRefBased/>
  <w15:docId w15:val="{4C6B3CBB-CBA5-4CBF-9BB0-EDC55826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9C"/>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07F9C"/>
    <w:pPr>
      <w:tabs>
        <w:tab w:val="center" w:pos="4680"/>
        <w:tab w:val="right" w:pos="9360"/>
      </w:tabs>
    </w:pPr>
  </w:style>
  <w:style w:type="character" w:customStyle="1" w:styleId="HeaderChar">
    <w:name w:val="Header Char"/>
    <w:basedOn w:val="DefaultParagraphFont"/>
    <w:link w:val="Header"/>
    <w:uiPriority w:val="99"/>
    <w:rsid w:val="00807F9C"/>
    <w:rPr>
      <w:rFonts w:ascii="Palatino Linotype" w:eastAsia="Times New Roman" w:hAnsi="Palatino Linotype" w:cs="Times New Roman"/>
      <w:sz w:val="24"/>
      <w:szCs w:val="24"/>
    </w:rPr>
  </w:style>
  <w:style w:type="paragraph" w:styleId="NoSpacing">
    <w:name w:val="No Spacing"/>
    <w:uiPriority w:val="1"/>
    <w:qFormat/>
    <w:rsid w:val="00807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60E"/>
    <w:pPr>
      <w:tabs>
        <w:tab w:val="center" w:pos="4680"/>
        <w:tab w:val="right" w:pos="9360"/>
      </w:tabs>
    </w:pPr>
  </w:style>
  <w:style w:type="character" w:customStyle="1" w:styleId="FooterChar">
    <w:name w:val="Footer Char"/>
    <w:basedOn w:val="DefaultParagraphFont"/>
    <w:link w:val="Footer"/>
    <w:uiPriority w:val="99"/>
    <w:rsid w:val="00E4660E"/>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527FD0"/>
    <w:rPr>
      <w:sz w:val="16"/>
      <w:szCs w:val="16"/>
    </w:rPr>
  </w:style>
  <w:style w:type="paragraph" w:styleId="CommentText">
    <w:name w:val="annotation text"/>
    <w:basedOn w:val="Normal"/>
    <w:link w:val="CommentTextChar"/>
    <w:uiPriority w:val="99"/>
    <w:semiHidden/>
    <w:unhideWhenUsed/>
    <w:rsid w:val="00527FD0"/>
    <w:rPr>
      <w:sz w:val="20"/>
      <w:szCs w:val="20"/>
    </w:rPr>
  </w:style>
  <w:style w:type="character" w:customStyle="1" w:styleId="CommentTextChar">
    <w:name w:val="Comment Text Char"/>
    <w:basedOn w:val="DefaultParagraphFont"/>
    <w:link w:val="CommentText"/>
    <w:uiPriority w:val="99"/>
    <w:semiHidden/>
    <w:rsid w:val="00527FD0"/>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27FD0"/>
    <w:rPr>
      <w:b/>
      <w:bCs/>
    </w:rPr>
  </w:style>
  <w:style w:type="character" w:customStyle="1" w:styleId="CommentSubjectChar">
    <w:name w:val="Comment Subject Char"/>
    <w:basedOn w:val="CommentTextChar"/>
    <w:link w:val="CommentSubject"/>
    <w:uiPriority w:val="99"/>
    <w:semiHidden/>
    <w:rsid w:val="00527FD0"/>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527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7CA83E4A93B44D9DFC02E658DA4A1C" ma:contentTypeVersion="175" ma:contentTypeDescription="" ma:contentTypeScope="" ma:versionID="69652dc730c270fd7aa95fe6ab3528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463ED7-218A-4706-97B3-F88135FF74F7}"/>
</file>

<file path=customXml/itemProps2.xml><?xml version="1.0" encoding="utf-8"?>
<ds:datastoreItem xmlns:ds="http://schemas.openxmlformats.org/officeDocument/2006/customXml" ds:itemID="{39BB4322-AD35-4B9B-B44E-914A8CC0085B}"/>
</file>

<file path=customXml/itemProps3.xml><?xml version="1.0" encoding="utf-8"?>
<ds:datastoreItem xmlns:ds="http://schemas.openxmlformats.org/officeDocument/2006/customXml" ds:itemID="{501B8453-4214-4102-92CF-13B7A34D4FE4}"/>
</file>

<file path=customXml/itemProps4.xml><?xml version="1.0" encoding="utf-8"?>
<ds:datastoreItem xmlns:ds="http://schemas.openxmlformats.org/officeDocument/2006/customXml" ds:itemID="{4DAD6FAC-08FE-4592-9B2E-EEEC173D5C1D}"/>
</file>

<file path=customXml/itemProps5.xml><?xml version="1.0" encoding="utf-8"?>
<ds:datastoreItem xmlns:ds="http://schemas.openxmlformats.org/officeDocument/2006/customXml" ds:itemID="{749AA080-E76E-4618-BFE2-AA56310E5316}"/>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2620</Characters>
  <Application>Microsoft Office Word</Application>
  <DocSecurity>0</DocSecurity>
  <Lines>145</Lines>
  <Paragraphs>118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Wyse, Lisa (UTC)</cp:lastModifiedBy>
  <cp:revision>2</cp:revision>
  <dcterms:created xsi:type="dcterms:W3CDTF">2016-06-21T17:34:00Z</dcterms:created>
  <dcterms:modified xsi:type="dcterms:W3CDTF">2016-06-21T17:34:00Z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0x0101006E56B4D1795A2E4DB2F0B01679ED314A00CF7CA83E4A93B44D9DFC02E658DA4A1C</vt:lpwstr>
  </property>
  <property fmtid="{D5CDD505-2E9C-101B-9397-08002B2CF9AE}" pid="3" name="_docset_NoMedatataSyncRequired">
    <vt:lpwstr>False</vt:lpwstr>
  </property>
</Properties>
</file>