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36" w:rsidRPr="00A93955" w:rsidRDefault="000A1236">
      <w:pPr>
        <w:pStyle w:val="BodyText"/>
        <w:rPr>
          <w:b/>
          <w:bCs/>
        </w:rPr>
      </w:pPr>
      <w:bookmarkStart w:id="0" w:name="_GoBack"/>
      <w:bookmarkEnd w:id="0"/>
      <w:r w:rsidRPr="00A93955">
        <w:rPr>
          <w:b/>
          <w:bCs/>
        </w:rPr>
        <w:t>BEFORE THE WASHINGTON</w:t>
      </w:r>
    </w:p>
    <w:p w:rsidR="000A1236" w:rsidRPr="00A93955" w:rsidRDefault="000A1236">
      <w:pPr>
        <w:pStyle w:val="BodyText"/>
        <w:rPr>
          <w:b/>
          <w:bCs/>
        </w:rPr>
      </w:pPr>
      <w:r w:rsidRPr="00A93955">
        <w:rPr>
          <w:b/>
          <w:bCs/>
        </w:rPr>
        <w:t xml:space="preserve">UTILITIES AND TRANSPORTATION </w:t>
      </w:r>
      <w:r w:rsidR="00976C04">
        <w:rPr>
          <w:b/>
          <w:bCs/>
        </w:rPr>
        <w:t>COMMISSION</w:t>
      </w:r>
    </w:p>
    <w:p w:rsidR="000A1236" w:rsidRDefault="000A1236">
      <w:pPr>
        <w:jc w:val="center"/>
      </w:pPr>
    </w:p>
    <w:p w:rsidR="00A824BE" w:rsidRPr="00A93955" w:rsidRDefault="00A824BE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480"/>
        <w:gridCol w:w="4188"/>
      </w:tblGrid>
      <w:tr w:rsidR="000A1236" w:rsidRPr="00A93955">
        <w:tc>
          <w:tcPr>
            <w:tcW w:w="4188" w:type="dxa"/>
          </w:tcPr>
          <w:p w:rsidR="000A1236" w:rsidRPr="00A93955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A93955">
              <w:t xml:space="preserve">In the Matter of the Petition of </w:t>
            </w:r>
          </w:p>
          <w:p w:rsidR="000A1236" w:rsidRPr="00A93955" w:rsidRDefault="000A1236"/>
          <w:p w:rsidR="007308FD" w:rsidRPr="00A93955" w:rsidRDefault="00976C04" w:rsidP="00D75862">
            <w:r>
              <w:t>AVISTA CORPORATION</w:t>
            </w:r>
            <w:r w:rsidR="000A1236" w:rsidRPr="00A93955">
              <w:t>,</w:t>
            </w:r>
          </w:p>
          <w:p w:rsidR="000A1236" w:rsidRPr="00A93955" w:rsidRDefault="000A1236"/>
          <w:p w:rsidR="000A1236" w:rsidRPr="00A93955" w:rsidRDefault="000A1236" w:rsidP="00057BB3">
            <w:pPr>
              <w:jc w:val="center"/>
            </w:pPr>
            <w:r w:rsidRPr="00A93955">
              <w:t>Petitioner,</w:t>
            </w:r>
          </w:p>
          <w:p w:rsidR="000A1236" w:rsidRPr="00A93955" w:rsidRDefault="000A1236"/>
          <w:p w:rsidR="00C517E9" w:rsidRPr="00A93955" w:rsidRDefault="000A1236" w:rsidP="00C517E9">
            <w:r w:rsidRPr="00A93955">
              <w:t xml:space="preserve">For </w:t>
            </w:r>
            <w:r w:rsidR="00566840">
              <w:t>a</w:t>
            </w:r>
            <w:r w:rsidRPr="00A93955">
              <w:t xml:space="preserve">n Accounting Order </w:t>
            </w:r>
            <w:r w:rsidR="00C517E9" w:rsidRPr="00A93955">
              <w:t xml:space="preserve">Authorizing Accounting </w:t>
            </w:r>
            <w:r w:rsidR="00FB0CA3" w:rsidRPr="00A93955">
              <w:t xml:space="preserve">Treatment of </w:t>
            </w:r>
            <w:r w:rsidR="00C517E9" w:rsidRPr="00A93955">
              <w:t>1) </w:t>
            </w:r>
            <w:r w:rsidR="00FB0CA3" w:rsidRPr="00A93955">
              <w:t xml:space="preserve">Transmission Revenues </w:t>
            </w:r>
            <w:r w:rsidR="00C517E9" w:rsidRPr="00A93955">
              <w:t>Associated with a Settlement between Avista and the</w:t>
            </w:r>
            <w:r w:rsidR="00FB0CA3" w:rsidRPr="00A93955">
              <w:t xml:space="preserve"> Bonneville Power Administration</w:t>
            </w:r>
            <w:r w:rsidR="00C517E9" w:rsidRPr="00A93955">
              <w:t xml:space="preserve">, </w:t>
            </w:r>
            <w:r w:rsidR="00FB0CA3" w:rsidRPr="00A93955">
              <w:t xml:space="preserve">and </w:t>
            </w:r>
            <w:r w:rsidR="00C517E9" w:rsidRPr="00A93955">
              <w:t>2) </w:t>
            </w:r>
            <w:r w:rsidR="00FB0CA3" w:rsidRPr="00A93955">
              <w:t>Reardan Wind Project</w:t>
            </w:r>
            <w:r w:rsidR="00C517E9" w:rsidRPr="00A93955">
              <w:t xml:space="preserve"> Development Costs</w:t>
            </w:r>
          </w:p>
          <w:p w:rsidR="000A1236" w:rsidRPr="00A93955" w:rsidRDefault="000A1236" w:rsidP="00C517E9">
            <w:r w:rsidRPr="00A93955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:rsidR="000A1236" w:rsidRPr="00A93955" w:rsidRDefault="000A1236">
            <w:pPr>
              <w:jc w:val="center"/>
            </w:pPr>
            <w:r w:rsidRPr="00A93955">
              <w:t>)</w:t>
            </w:r>
          </w:p>
          <w:p w:rsidR="000A1236" w:rsidRPr="00A93955" w:rsidRDefault="000A1236">
            <w:pPr>
              <w:jc w:val="center"/>
            </w:pPr>
            <w:r w:rsidRPr="00A93955">
              <w:t>)</w:t>
            </w:r>
            <w:r w:rsidRPr="00A93955">
              <w:br/>
              <w:t>)</w:t>
            </w:r>
            <w:r w:rsidRPr="00A93955">
              <w:br/>
              <w:t>)</w:t>
            </w:r>
            <w:r w:rsidRPr="00A93955">
              <w:br/>
              <w:t>)</w:t>
            </w:r>
            <w:r w:rsidRPr="00A93955">
              <w:br/>
              <w:t>)</w:t>
            </w:r>
            <w:r w:rsidRPr="00A93955">
              <w:br/>
              <w:t>)</w:t>
            </w:r>
          </w:p>
          <w:p w:rsidR="000A1236" w:rsidRPr="00A93955" w:rsidRDefault="000A1236">
            <w:pPr>
              <w:jc w:val="center"/>
            </w:pPr>
            <w:r w:rsidRPr="00A93955">
              <w:t>)</w:t>
            </w:r>
            <w:r w:rsidRPr="00A93955">
              <w:br/>
              <w:t>)</w:t>
            </w:r>
          </w:p>
          <w:p w:rsidR="00C517E9" w:rsidRPr="00A93955" w:rsidRDefault="00C517E9">
            <w:pPr>
              <w:jc w:val="center"/>
            </w:pPr>
            <w:r w:rsidRPr="00A93955">
              <w:t>)</w:t>
            </w:r>
          </w:p>
          <w:p w:rsidR="00C517E9" w:rsidRPr="00A93955" w:rsidRDefault="00C517E9">
            <w:pPr>
              <w:jc w:val="center"/>
            </w:pPr>
            <w:r w:rsidRPr="00A93955">
              <w:t>)</w:t>
            </w:r>
          </w:p>
          <w:p w:rsidR="00C517E9" w:rsidRPr="00A93955" w:rsidRDefault="00C517E9">
            <w:pPr>
              <w:jc w:val="center"/>
            </w:pPr>
            <w:r w:rsidRPr="00A93955">
              <w:t>)</w:t>
            </w:r>
          </w:p>
          <w:p w:rsidR="00C517E9" w:rsidRPr="00A93955" w:rsidRDefault="00C517E9">
            <w:pPr>
              <w:jc w:val="center"/>
            </w:pPr>
            <w:r w:rsidRPr="00A93955">
              <w:t>)</w:t>
            </w:r>
          </w:p>
          <w:p w:rsidR="00C517E9" w:rsidRPr="00A93955" w:rsidRDefault="00C517E9">
            <w:pPr>
              <w:jc w:val="center"/>
            </w:pPr>
            <w:r w:rsidRPr="00A93955">
              <w:t>)</w:t>
            </w:r>
          </w:p>
        </w:tc>
        <w:tc>
          <w:tcPr>
            <w:tcW w:w="4188" w:type="dxa"/>
          </w:tcPr>
          <w:p w:rsidR="000A1236" w:rsidRPr="00A93955" w:rsidRDefault="00491C72">
            <w:r w:rsidRPr="00A93955">
              <w:t>DOCKET</w:t>
            </w:r>
            <w:r w:rsidR="00AC1794" w:rsidRPr="00A93955">
              <w:t xml:space="preserve"> </w:t>
            </w:r>
            <w:r w:rsidR="00976C04">
              <w:t>UE-130536</w:t>
            </w:r>
          </w:p>
          <w:p w:rsidR="000A1236" w:rsidRPr="00A93955" w:rsidRDefault="000A1236"/>
          <w:p w:rsidR="000A1236" w:rsidRPr="00A93955" w:rsidRDefault="00491C72">
            <w:r w:rsidRPr="00A93955">
              <w:t>ORDER</w:t>
            </w:r>
            <w:r w:rsidR="000A1236" w:rsidRPr="00A93955">
              <w:t xml:space="preserve"> </w:t>
            </w:r>
            <w:r w:rsidR="00976C04">
              <w:t>01</w:t>
            </w:r>
          </w:p>
          <w:p w:rsidR="000A1236" w:rsidRPr="00A93955" w:rsidRDefault="000A1236">
            <w:pPr>
              <w:rPr>
                <w:b/>
                <w:bCs/>
              </w:rPr>
            </w:pPr>
          </w:p>
          <w:p w:rsidR="000A1236" w:rsidRPr="00A93955" w:rsidRDefault="000A1236">
            <w:pPr>
              <w:rPr>
                <w:b/>
                <w:bCs/>
              </w:rPr>
            </w:pPr>
          </w:p>
          <w:p w:rsidR="000A1236" w:rsidRPr="00A93955" w:rsidRDefault="000A1236">
            <w:pPr>
              <w:rPr>
                <w:b/>
                <w:bCs/>
              </w:rPr>
            </w:pPr>
          </w:p>
          <w:p w:rsidR="000A1236" w:rsidRPr="00641557" w:rsidRDefault="000A1236" w:rsidP="00641557">
            <w:pPr>
              <w:pStyle w:val="Header"/>
              <w:tabs>
                <w:tab w:val="clear" w:pos="4320"/>
                <w:tab w:val="clear" w:pos="8640"/>
              </w:tabs>
            </w:pPr>
            <w:r w:rsidRPr="00641557">
              <w:t xml:space="preserve">ORDER </w:t>
            </w:r>
            <w:r w:rsidR="001E31D2" w:rsidRPr="00641557">
              <w:t>GRANTING</w:t>
            </w:r>
            <w:r w:rsidRPr="00641557">
              <w:t xml:space="preserve"> ACCOUNTING PETITION  </w:t>
            </w:r>
          </w:p>
        </w:tc>
      </w:tr>
    </w:tbl>
    <w:p w:rsidR="000A1236" w:rsidRPr="00A93955" w:rsidRDefault="000A1236">
      <w:pPr>
        <w:jc w:val="center"/>
      </w:pPr>
    </w:p>
    <w:p w:rsidR="000A1236" w:rsidRPr="00A93955" w:rsidRDefault="00234FF1" w:rsidP="00DE6413">
      <w:pPr>
        <w:pStyle w:val="Heading1"/>
        <w:spacing w:line="320" w:lineRule="exact"/>
      </w:pPr>
      <w:r w:rsidRPr="00A93955">
        <w:t>INTRODUCTION</w:t>
      </w:r>
    </w:p>
    <w:p w:rsidR="000A1236" w:rsidRPr="00A93955" w:rsidRDefault="000A1236" w:rsidP="00DE6413">
      <w:pPr>
        <w:spacing w:line="320" w:lineRule="exact"/>
        <w:jc w:val="center"/>
      </w:pPr>
    </w:p>
    <w:p w:rsidR="00234FF1" w:rsidRPr="00A93955" w:rsidRDefault="000A1236" w:rsidP="00DE6413">
      <w:pPr>
        <w:numPr>
          <w:ilvl w:val="0"/>
          <w:numId w:val="1"/>
        </w:numPr>
        <w:spacing w:line="320" w:lineRule="exact"/>
      </w:pPr>
      <w:r w:rsidRPr="00A93955">
        <w:t>On</w:t>
      </w:r>
      <w:r w:rsidR="00525321" w:rsidRPr="00A93955">
        <w:t xml:space="preserve"> </w:t>
      </w:r>
      <w:r w:rsidR="00976C04">
        <w:t>April 12, 2013</w:t>
      </w:r>
      <w:r w:rsidRPr="00A93955">
        <w:t>,</w:t>
      </w:r>
      <w:r w:rsidRPr="00A93955">
        <w:rPr>
          <w:b/>
          <w:bCs/>
        </w:rPr>
        <w:t xml:space="preserve"> </w:t>
      </w:r>
      <w:proofErr w:type="spellStart"/>
      <w:r w:rsidR="00976C04">
        <w:t>Avista</w:t>
      </w:r>
      <w:proofErr w:type="spellEnd"/>
      <w:r w:rsidR="00976C04">
        <w:t xml:space="preserve"> Corporation</w:t>
      </w:r>
      <w:r w:rsidRPr="00A93955">
        <w:t>, (</w:t>
      </w:r>
      <w:proofErr w:type="spellStart"/>
      <w:r w:rsidR="00976C04">
        <w:t>Avista</w:t>
      </w:r>
      <w:proofErr w:type="spellEnd"/>
      <w:r w:rsidR="00840ABC" w:rsidRPr="00A93955">
        <w:t xml:space="preserve"> or the Company</w:t>
      </w:r>
      <w:r w:rsidRPr="00A93955">
        <w:t>)</w:t>
      </w:r>
      <w:r w:rsidRPr="00A93955">
        <w:rPr>
          <w:b/>
          <w:bCs/>
        </w:rPr>
        <w:t xml:space="preserve"> </w:t>
      </w:r>
      <w:r w:rsidR="003C2270" w:rsidRPr="00A93955">
        <w:t xml:space="preserve">filed </w:t>
      </w:r>
      <w:r w:rsidR="008246C9" w:rsidRPr="00A93955">
        <w:t xml:space="preserve">with the Washington Utilities and Transportation </w:t>
      </w:r>
      <w:r w:rsidR="00976C04">
        <w:t>Commission</w:t>
      </w:r>
      <w:r w:rsidR="008246C9" w:rsidRPr="00A93955">
        <w:t xml:space="preserve"> (</w:t>
      </w:r>
      <w:r w:rsidR="00976C04">
        <w:t>Commission</w:t>
      </w:r>
      <w:r w:rsidR="008246C9" w:rsidRPr="00A93955">
        <w:t xml:space="preserve">) </w:t>
      </w:r>
      <w:r w:rsidR="003C2270" w:rsidRPr="00A93955">
        <w:t xml:space="preserve">a petition seeking </w:t>
      </w:r>
      <w:r w:rsidRPr="00A93955">
        <w:t xml:space="preserve">an Accounting Order under </w:t>
      </w:r>
      <w:r w:rsidRPr="00976C04">
        <w:t>WAC 480-07-370</w:t>
      </w:r>
      <w:r w:rsidR="00F23EAE" w:rsidRPr="00976C04">
        <w:t>(1</w:t>
      </w:r>
      <w:proofErr w:type="gramStart"/>
      <w:r w:rsidR="00F23EAE" w:rsidRPr="00976C04">
        <w:t>)</w:t>
      </w:r>
      <w:r w:rsidRPr="00976C04">
        <w:t>(</w:t>
      </w:r>
      <w:proofErr w:type="gramEnd"/>
      <w:r w:rsidRPr="00976C04">
        <w:t>b)</w:t>
      </w:r>
      <w:r w:rsidRPr="00A93955">
        <w:t xml:space="preserve"> </w:t>
      </w:r>
      <w:r w:rsidR="00D30CD1" w:rsidRPr="00A93955">
        <w:t xml:space="preserve">authorizing </w:t>
      </w:r>
      <w:proofErr w:type="spellStart"/>
      <w:r w:rsidR="00976C04">
        <w:t>Avista</w:t>
      </w:r>
      <w:proofErr w:type="spellEnd"/>
      <w:r w:rsidR="00D30CD1" w:rsidRPr="00A93955">
        <w:t xml:space="preserve"> to</w:t>
      </w:r>
      <w:r w:rsidR="00234FF1" w:rsidRPr="00A93955">
        <w:t xml:space="preserve"> 1)</w:t>
      </w:r>
      <w:r w:rsidR="00D30CD1" w:rsidRPr="00A93955">
        <w:t xml:space="preserve"> </w:t>
      </w:r>
      <w:r w:rsidR="00234FF1" w:rsidRPr="00A93955">
        <w:t xml:space="preserve">apportion </w:t>
      </w:r>
      <w:r w:rsidR="00096295" w:rsidRPr="00A93955">
        <w:t xml:space="preserve">between the Company and its ratepayers </w:t>
      </w:r>
      <w:r w:rsidR="00234FF1" w:rsidRPr="00A93955">
        <w:t xml:space="preserve">funds from a </w:t>
      </w:r>
      <w:r w:rsidR="00C517E9" w:rsidRPr="00A93955">
        <w:t xml:space="preserve">settlement </w:t>
      </w:r>
      <w:r w:rsidR="00234FF1" w:rsidRPr="00A93955">
        <w:t>with the Bonneville Power Administration (</w:t>
      </w:r>
      <w:r w:rsidR="00096295" w:rsidRPr="00A93955">
        <w:t xml:space="preserve">Bonneville or </w:t>
      </w:r>
      <w:r w:rsidR="00234FF1" w:rsidRPr="00A93955">
        <w:t xml:space="preserve">BPA) and 2) write off </w:t>
      </w:r>
      <w:r w:rsidR="00096295" w:rsidRPr="00A93955">
        <w:t>the Company</w:t>
      </w:r>
      <w:r w:rsidR="00976C04">
        <w:t>’</w:t>
      </w:r>
      <w:r w:rsidR="00096295" w:rsidRPr="00A93955">
        <w:t>s</w:t>
      </w:r>
      <w:r w:rsidR="00234FF1" w:rsidRPr="00A93955">
        <w:t xml:space="preserve"> investment in the Reardan Wind Projec</w:t>
      </w:r>
      <w:r w:rsidR="00096295" w:rsidRPr="00A93955">
        <w:t>t</w:t>
      </w:r>
      <w:r w:rsidR="00234FF1" w:rsidRPr="00A93955">
        <w:t>.</w:t>
      </w:r>
    </w:p>
    <w:p w:rsidR="00D440B2" w:rsidRPr="00A93955" w:rsidRDefault="00D440B2" w:rsidP="00D440B2">
      <w:pPr>
        <w:spacing w:line="320" w:lineRule="exact"/>
      </w:pPr>
    </w:p>
    <w:p w:rsidR="00234FF1" w:rsidRDefault="00D440B2" w:rsidP="00D440B2">
      <w:pPr>
        <w:numPr>
          <w:ilvl w:val="0"/>
          <w:numId w:val="1"/>
        </w:numPr>
        <w:spacing w:line="320" w:lineRule="exact"/>
      </w:pPr>
      <w:proofErr w:type="spellStart"/>
      <w:r>
        <w:t>Avista</w:t>
      </w:r>
      <w:r w:rsidR="00976C04">
        <w:t>’</w:t>
      </w:r>
      <w:r>
        <w:t>s</w:t>
      </w:r>
      <w:proofErr w:type="spellEnd"/>
      <w:r>
        <w:t xml:space="preserve"> accounting petition presents these two distinct matters before the </w:t>
      </w:r>
      <w:r w:rsidR="00976C04">
        <w:t>Commission</w:t>
      </w:r>
      <w:r>
        <w:t xml:space="preserve"> for prompt and simultaneous consideration.  The Company seeks to avoid the need to wait for the Company</w:t>
      </w:r>
      <w:r w:rsidR="00976C04">
        <w:t>’</w:t>
      </w:r>
      <w:r>
        <w:t>s next general rate case filing to resolve these issues.</w:t>
      </w:r>
    </w:p>
    <w:p w:rsidR="00D440B2" w:rsidRPr="00A93955" w:rsidRDefault="00D440B2" w:rsidP="00D440B2">
      <w:pPr>
        <w:spacing w:line="320" w:lineRule="exact"/>
      </w:pPr>
    </w:p>
    <w:p w:rsidR="00234FF1" w:rsidRPr="00A93955" w:rsidRDefault="00234FF1" w:rsidP="00234FF1">
      <w:pPr>
        <w:spacing w:line="320" w:lineRule="exact"/>
        <w:jc w:val="center"/>
        <w:rPr>
          <w:b/>
        </w:rPr>
      </w:pPr>
      <w:r w:rsidRPr="00A93955">
        <w:rPr>
          <w:b/>
        </w:rPr>
        <w:t>BACKGROUND</w:t>
      </w:r>
    </w:p>
    <w:p w:rsidR="00AE4840" w:rsidRPr="00AE4840" w:rsidRDefault="00AE4840" w:rsidP="00AE4840">
      <w:pPr>
        <w:spacing w:line="320" w:lineRule="exact"/>
      </w:pPr>
    </w:p>
    <w:p w:rsidR="00096295" w:rsidRPr="00A93955" w:rsidRDefault="00AE4840" w:rsidP="00DE6413">
      <w:pPr>
        <w:numPr>
          <w:ilvl w:val="0"/>
          <w:numId w:val="1"/>
        </w:numPr>
        <w:spacing w:line="320" w:lineRule="exact"/>
      </w:pPr>
      <w:r>
        <w:rPr>
          <w:b/>
        </w:rPr>
        <w:t>B</w:t>
      </w:r>
      <w:r w:rsidR="00C719A3" w:rsidRPr="00A93955">
        <w:rPr>
          <w:b/>
        </w:rPr>
        <w:t>onneville Transmission Settlement.</w:t>
      </w:r>
      <w:r w:rsidR="00C719A3" w:rsidRPr="00A93955">
        <w:t xml:space="preserve">  </w:t>
      </w:r>
      <w:r w:rsidR="00096295" w:rsidRPr="00A93955">
        <w:t>In December 2012, Avista and Bonneville reached a settlement regard</w:t>
      </w:r>
      <w:r w:rsidR="00DA4BE5" w:rsidRPr="00A93955">
        <w:t>ing BPA</w:t>
      </w:r>
      <w:r w:rsidR="00976C04">
        <w:t>’</w:t>
      </w:r>
      <w:r w:rsidR="00DA4BE5" w:rsidRPr="00A93955">
        <w:t>s</w:t>
      </w:r>
      <w:r w:rsidR="00096295" w:rsidRPr="00A93955">
        <w:t xml:space="preserve"> use of </w:t>
      </w:r>
      <w:proofErr w:type="spellStart"/>
      <w:r w:rsidR="00096295" w:rsidRPr="00A93955">
        <w:t>Avista</w:t>
      </w:r>
      <w:r w:rsidR="00976C04">
        <w:t>’</w:t>
      </w:r>
      <w:r w:rsidR="00096295" w:rsidRPr="00A93955">
        <w:t>s</w:t>
      </w:r>
      <w:proofErr w:type="spellEnd"/>
      <w:r w:rsidR="00096295" w:rsidRPr="00A93955">
        <w:t xml:space="preserve"> transmission system.  Bonneville agreed to pay Avista $11.692 million for past use of the Company</w:t>
      </w:r>
      <w:r w:rsidR="00976C04">
        <w:t>’</w:t>
      </w:r>
      <w:r w:rsidR="00096295" w:rsidRPr="00A93955">
        <w:t>s transmission system from 2005 through 2012; the Washington jurisdictional share of this</w:t>
      </w:r>
      <w:r w:rsidR="00080049">
        <w:t xml:space="preserve"> past use</w:t>
      </w:r>
      <w:r w:rsidR="00096295" w:rsidRPr="00A93955">
        <w:t xml:space="preserve"> amount is $7.604 million.  Going forward, from January 2013 through September 2042, Bonneville agreed to pay Avista $266,000 per month for continued use of the Company</w:t>
      </w:r>
      <w:r w:rsidR="00976C04">
        <w:t>’</w:t>
      </w:r>
      <w:r w:rsidR="00096295" w:rsidRPr="00A93955">
        <w:t>s transmission system.  Avista estimates the Washington allocated share of these payments to be $2.1 million</w:t>
      </w:r>
      <w:r w:rsidR="00DA4BE5" w:rsidRPr="00A93955">
        <w:t xml:space="preserve"> per year for 2013 and 2014</w:t>
      </w:r>
      <w:r w:rsidR="00096295" w:rsidRPr="00A93955">
        <w:t>.</w:t>
      </w:r>
    </w:p>
    <w:p w:rsidR="00734678" w:rsidRPr="00A93955" w:rsidRDefault="00734678" w:rsidP="00734678">
      <w:pPr>
        <w:spacing w:line="320" w:lineRule="exact"/>
      </w:pPr>
    </w:p>
    <w:p w:rsidR="00734678" w:rsidRPr="00A93955" w:rsidRDefault="00734678" w:rsidP="00734678">
      <w:pPr>
        <w:numPr>
          <w:ilvl w:val="0"/>
          <w:numId w:val="1"/>
        </w:numPr>
        <w:spacing w:line="320" w:lineRule="exact"/>
      </w:pPr>
      <w:r w:rsidRPr="00A93955">
        <w:rPr>
          <w:b/>
        </w:rPr>
        <w:t>Reardan Wind Project.</w:t>
      </w:r>
      <w:r w:rsidRPr="00A93955">
        <w:t xml:space="preserve">  In May 2008, Avista evaluated 30 competing proposals for renewable energy generation and concluded that the Reardan Wind Project </w:t>
      </w:r>
      <w:r w:rsidR="00087793">
        <w:t xml:space="preserve">in Lincoln County, Washington, </w:t>
      </w:r>
      <w:r w:rsidRPr="00A93955">
        <w:t>was the Company</w:t>
      </w:r>
      <w:r w:rsidR="00976C04">
        <w:t>’</w:t>
      </w:r>
      <w:r w:rsidRPr="00A93955">
        <w:t>s least-cost option for securing renewable resources</w:t>
      </w:r>
      <w:r w:rsidR="00087793">
        <w:t xml:space="preserve"> to comply with the Energy Independence Act (EIA), Chapter 19.285 RCW</w:t>
      </w:r>
      <w:r w:rsidRPr="00A93955">
        <w:t xml:space="preserve">.  Avista purchased the </w:t>
      </w:r>
      <w:r w:rsidR="00D47144" w:rsidRPr="00A93955">
        <w:t xml:space="preserve">land rights and preliminary design work associated with the </w:t>
      </w:r>
      <w:r w:rsidRPr="00A93955">
        <w:t>Reardan Wind Project from Energy Northwest for $2.28 millio</w:t>
      </w:r>
      <w:r w:rsidR="00D47144" w:rsidRPr="00A93955">
        <w:t xml:space="preserve">n.  Avista </w:t>
      </w:r>
      <w:r w:rsidRPr="00A93955">
        <w:t>incur</w:t>
      </w:r>
      <w:r w:rsidR="00D47144" w:rsidRPr="00A93955">
        <w:t>red</w:t>
      </w:r>
      <w:r w:rsidRPr="00A93955">
        <w:t xml:space="preserve"> additional costs to ready the pro</w:t>
      </w:r>
      <w:r w:rsidR="00D47144" w:rsidRPr="00A93955">
        <w:t xml:space="preserve">ject for construction, for a total </w:t>
      </w:r>
      <w:r w:rsidR="00A93955">
        <w:t xml:space="preserve">investment </w:t>
      </w:r>
      <w:r w:rsidR="00D47144" w:rsidRPr="00A93955">
        <w:t>of approximately $4 million.  Washington</w:t>
      </w:r>
      <w:r w:rsidR="00976C04">
        <w:t>’</w:t>
      </w:r>
      <w:r w:rsidR="00D47144" w:rsidRPr="00A93955">
        <w:t>s allocated share of expenses associated with the Reardan Wind Project is $2.586 million.</w:t>
      </w:r>
    </w:p>
    <w:p w:rsidR="00D47144" w:rsidRPr="00A93955" w:rsidRDefault="00D47144" w:rsidP="00D47144">
      <w:pPr>
        <w:pStyle w:val="ListParagraph"/>
      </w:pPr>
    </w:p>
    <w:p w:rsidR="00D47144" w:rsidRDefault="00D47144" w:rsidP="00734678">
      <w:pPr>
        <w:numPr>
          <w:ilvl w:val="0"/>
          <w:numId w:val="1"/>
        </w:numPr>
        <w:spacing w:line="320" w:lineRule="exact"/>
      </w:pPr>
      <w:r w:rsidRPr="00A93955">
        <w:t xml:space="preserve">In 2011 and 2012, Avista re-evaluated the cost effectiveness of constructing the Reardan Wind Project.  </w:t>
      </w:r>
      <w:r w:rsidR="00AF4CDA">
        <w:t xml:space="preserve">First, Avista was able to obtain renewable energy through a </w:t>
      </w:r>
      <w:r w:rsidR="00AF4CDA" w:rsidRPr="00A93955">
        <w:t>30-year power purchase agreement with Palouse Wind, LLC</w:t>
      </w:r>
      <w:r w:rsidR="00AF4CDA">
        <w:t>.</w:t>
      </w:r>
      <w:r w:rsidR="00AF4CDA" w:rsidRPr="00A93955">
        <w:t xml:space="preserve"> </w:t>
      </w:r>
      <w:r w:rsidR="00AF4CDA">
        <w:t xml:space="preserve"> S</w:t>
      </w:r>
      <w:r w:rsidR="00080049">
        <w:t>econd</w:t>
      </w:r>
      <w:r w:rsidR="00566840">
        <w:t>,</w:t>
      </w:r>
      <w:r w:rsidR="00AF4CDA">
        <w:t xml:space="preserve"> n</w:t>
      </w:r>
      <w:r w:rsidRPr="00A93955">
        <w:t xml:space="preserve">ew legislation </w:t>
      </w:r>
      <w:r w:rsidR="00080049">
        <w:t xml:space="preserve">enacted in March 2012 </w:t>
      </w:r>
      <w:r w:rsidR="00087793">
        <w:t xml:space="preserve">amended the EIA and </w:t>
      </w:r>
      <w:r w:rsidRPr="00A93955">
        <w:t>allow</w:t>
      </w:r>
      <w:r w:rsidR="00AF4CDA">
        <w:t>ed</w:t>
      </w:r>
      <w:r w:rsidRPr="00A93955">
        <w:t xml:space="preserve"> the Company to </w:t>
      </w:r>
      <w:r w:rsidR="00AF4CDA">
        <w:t>count</w:t>
      </w:r>
      <w:r w:rsidRPr="00A93955">
        <w:t xml:space="preserve"> its Kettle Falls Generating Station as a qualifying renewable resource</w:t>
      </w:r>
      <w:r w:rsidR="00AF4CDA">
        <w:t xml:space="preserve">.  These two developments </w:t>
      </w:r>
      <w:r w:rsidRPr="00A93955">
        <w:t xml:space="preserve">eliminated </w:t>
      </w:r>
      <w:proofErr w:type="spellStart"/>
      <w:r w:rsidRPr="00A93955">
        <w:t>Avista</w:t>
      </w:r>
      <w:r w:rsidR="00976C04">
        <w:t>’</w:t>
      </w:r>
      <w:r w:rsidRPr="00A93955">
        <w:t>s</w:t>
      </w:r>
      <w:proofErr w:type="spellEnd"/>
      <w:r w:rsidRPr="00A93955">
        <w:t xml:space="preserve"> need </w:t>
      </w:r>
      <w:r w:rsidR="003D722D">
        <w:t>to build</w:t>
      </w:r>
      <w:r w:rsidRPr="00A93955">
        <w:t xml:space="preserve"> the Reardan Wind Project.</w:t>
      </w:r>
    </w:p>
    <w:p w:rsidR="00D440B2" w:rsidRDefault="00D440B2" w:rsidP="00D440B2">
      <w:pPr>
        <w:pStyle w:val="ListParagraph"/>
      </w:pPr>
    </w:p>
    <w:p w:rsidR="00D440B2" w:rsidRDefault="00080049" w:rsidP="00080049">
      <w:pPr>
        <w:numPr>
          <w:ilvl w:val="0"/>
          <w:numId w:val="1"/>
        </w:numPr>
        <w:spacing w:line="320" w:lineRule="exact"/>
      </w:pPr>
      <w:r w:rsidRPr="00A93955">
        <w:t xml:space="preserve">Under the terms of </w:t>
      </w:r>
      <w:r>
        <w:t>the Company</w:t>
      </w:r>
      <w:r w:rsidR="00976C04">
        <w:t>’</w:t>
      </w:r>
      <w:r>
        <w:t>s</w:t>
      </w:r>
      <w:r w:rsidRPr="00A93955">
        <w:t xml:space="preserve"> most recent general rate case</w:t>
      </w:r>
      <w:r>
        <w:t xml:space="preserve"> (Docket UE-120436)</w:t>
      </w:r>
      <w:r w:rsidRPr="00A93955">
        <w:t xml:space="preserve">, </w:t>
      </w:r>
      <w:r w:rsidR="00272661">
        <w:t xml:space="preserve">the soonest </w:t>
      </w:r>
      <w:r w:rsidRPr="00A93955">
        <w:t xml:space="preserve">Avista may </w:t>
      </w:r>
      <w:r w:rsidR="00272661" w:rsidRPr="00A93955">
        <w:t>incr</w:t>
      </w:r>
      <w:r w:rsidR="00272661">
        <w:t>ease rates is January 2015</w:t>
      </w:r>
      <w:r>
        <w:t xml:space="preserve">.  </w:t>
      </w:r>
      <w:proofErr w:type="spellStart"/>
      <w:r w:rsidR="00D440B2" w:rsidRPr="00A93955">
        <w:t>Avista</w:t>
      </w:r>
      <w:r w:rsidR="00976C04">
        <w:t>’</w:t>
      </w:r>
      <w:r w:rsidR="00D440B2" w:rsidRPr="00A93955">
        <w:t>s</w:t>
      </w:r>
      <w:proofErr w:type="spellEnd"/>
      <w:r w:rsidR="00D440B2" w:rsidRPr="00A93955">
        <w:t xml:space="preserve"> current electric rates do not address the BPA transmission payments to the Company</w:t>
      </w:r>
      <w:r w:rsidR="00D440B2">
        <w:t xml:space="preserve"> and do not account for the Company</w:t>
      </w:r>
      <w:r w:rsidR="00976C04">
        <w:t>’</w:t>
      </w:r>
      <w:r w:rsidR="00D440B2">
        <w:t>s investment in the Reardan Wind Project</w:t>
      </w:r>
      <w:r>
        <w:t>.</w:t>
      </w:r>
    </w:p>
    <w:p w:rsidR="00734678" w:rsidRPr="00A93955" w:rsidRDefault="00734678" w:rsidP="00D47144">
      <w:pPr>
        <w:spacing w:line="320" w:lineRule="exact"/>
        <w:rPr>
          <w:b/>
        </w:rPr>
      </w:pPr>
    </w:p>
    <w:p w:rsidR="00734678" w:rsidRPr="00A93955" w:rsidRDefault="00734678" w:rsidP="00734678">
      <w:pPr>
        <w:spacing w:line="320" w:lineRule="exact"/>
        <w:jc w:val="center"/>
      </w:pPr>
      <w:r w:rsidRPr="00A93955">
        <w:rPr>
          <w:b/>
        </w:rPr>
        <w:t>DISCUSSION</w:t>
      </w:r>
    </w:p>
    <w:p w:rsidR="00096295" w:rsidRPr="00A93955" w:rsidRDefault="00096295" w:rsidP="00096295">
      <w:pPr>
        <w:spacing w:line="320" w:lineRule="exact"/>
      </w:pPr>
    </w:p>
    <w:p w:rsidR="003F643B" w:rsidRPr="003F643B" w:rsidRDefault="003F643B" w:rsidP="003F643B">
      <w:pPr>
        <w:numPr>
          <w:ilvl w:val="0"/>
          <w:numId w:val="1"/>
        </w:numPr>
        <w:spacing w:line="320" w:lineRule="exact"/>
      </w:pPr>
      <w:r w:rsidRPr="003F643B">
        <w:t>On January 28, 2013, Avista filed an accounting petition in Docket UE-130115 (</w:t>
      </w:r>
      <w:r w:rsidR="004D5FF0">
        <w:t>P</w:t>
      </w:r>
      <w:r w:rsidRPr="003F643B">
        <w:t xml:space="preserve">rior </w:t>
      </w:r>
      <w:r w:rsidR="004D5FF0">
        <w:t>P</w:t>
      </w:r>
      <w:r w:rsidRPr="003F643B">
        <w:t>etition) requesting accounting treatment for transmission revenues associated with the settlement between Avista and BPA, and the company</w:t>
      </w:r>
      <w:r w:rsidR="00976C04">
        <w:t>’</w:t>
      </w:r>
      <w:r w:rsidRPr="003F643B">
        <w:t xml:space="preserve">s </w:t>
      </w:r>
      <w:proofErr w:type="spellStart"/>
      <w:r w:rsidRPr="003F643B">
        <w:t>Reardan</w:t>
      </w:r>
      <w:proofErr w:type="spellEnd"/>
      <w:r w:rsidRPr="003F643B">
        <w:t xml:space="preserve"> wind development costs.</w:t>
      </w:r>
      <w:r>
        <w:t xml:space="preserve">  </w:t>
      </w:r>
      <w:r w:rsidRPr="003F643B">
        <w:t xml:space="preserve">In the </w:t>
      </w:r>
      <w:r w:rsidR="004D5FF0">
        <w:t>P</w:t>
      </w:r>
      <w:r w:rsidRPr="003F643B">
        <w:t xml:space="preserve">rior </w:t>
      </w:r>
      <w:r w:rsidR="004D5FF0">
        <w:t>P</w:t>
      </w:r>
      <w:r w:rsidRPr="003F643B">
        <w:t xml:space="preserve">etition, Avista sought to use its Energy Recovery Mechanism (ERM) to share the incremental transmission revenues from BPA and for recovery of its development costs associated with Reardan. </w:t>
      </w:r>
      <w:r>
        <w:t xml:space="preserve"> </w:t>
      </w:r>
      <w:r w:rsidRPr="003F643B">
        <w:t xml:space="preserve">After consulting with </w:t>
      </w:r>
      <w:r w:rsidR="00976C04">
        <w:t>Commission</w:t>
      </w:r>
      <w:r w:rsidRPr="003F643B">
        <w:t xml:space="preserve"> </w:t>
      </w:r>
      <w:r w:rsidR="00976C04">
        <w:t>Staff</w:t>
      </w:r>
      <w:r w:rsidRPr="003F643B">
        <w:t xml:space="preserve"> (</w:t>
      </w:r>
      <w:r w:rsidR="00976C04">
        <w:t>Staff</w:t>
      </w:r>
      <w:r w:rsidRPr="003F643B">
        <w:t xml:space="preserve">), Public Counsel and the Industrial Customers of Northwest Utilities (ICNU), Avista </w:t>
      </w:r>
      <w:r w:rsidR="00565709" w:rsidRPr="003F643B">
        <w:t xml:space="preserve">withdrew </w:t>
      </w:r>
      <w:r w:rsidR="00565709">
        <w:t>the</w:t>
      </w:r>
      <w:r w:rsidR="004D5FF0">
        <w:t xml:space="preserve"> P</w:t>
      </w:r>
      <w:r w:rsidRPr="003F643B">
        <w:t xml:space="preserve">rior </w:t>
      </w:r>
      <w:r w:rsidR="004D5FF0">
        <w:t>P</w:t>
      </w:r>
      <w:r w:rsidRPr="003F643B">
        <w:t xml:space="preserve">etition on April 12, 2013, and filed </w:t>
      </w:r>
      <w:r>
        <w:t>the current</w:t>
      </w:r>
      <w:r w:rsidRPr="003F643B">
        <w:t xml:space="preserve"> </w:t>
      </w:r>
      <w:r>
        <w:t>petition</w:t>
      </w:r>
      <w:r w:rsidRPr="003F643B">
        <w:t xml:space="preserve"> outlining </w:t>
      </w:r>
      <w:r>
        <w:t xml:space="preserve">a </w:t>
      </w:r>
      <w:r w:rsidRPr="003F643B">
        <w:t>different accounting treatment.</w:t>
      </w:r>
    </w:p>
    <w:p w:rsidR="003F643B" w:rsidRDefault="003F643B" w:rsidP="003F643B">
      <w:pPr>
        <w:spacing w:line="320" w:lineRule="exact"/>
      </w:pPr>
    </w:p>
    <w:p w:rsidR="008633E5" w:rsidRPr="00A93955" w:rsidRDefault="00DA4BE5" w:rsidP="00DA4BE5">
      <w:pPr>
        <w:numPr>
          <w:ilvl w:val="0"/>
          <w:numId w:val="1"/>
        </w:numPr>
        <w:spacing w:line="320" w:lineRule="exact"/>
      </w:pPr>
      <w:proofErr w:type="spellStart"/>
      <w:r w:rsidRPr="00A93955">
        <w:t>Avista</w:t>
      </w:r>
      <w:r w:rsidR="00976C04">
        <w:t>’</w:t>
      </w:r>
      <w:r w:rsidRPr="00A93955">
        <w:t>s</w:t>
      </w:r>
      <w:proofErr w:type="spellEnd"/>
      <w:r w:rsidRPr="00A93955">
        <w:t xml:space="preserve"> </w:t>
      </w:r>
      <w:r w:rsidR="003F643B">
        <w:t xml:space="preserve">current </w:t>
      </w:r>
      <w:r w:rsidRPr="00A93955">
        <w:t>petition seeks</w:t>
      </w:r>
      <w:r w:rsidR="003D722D">
        <w:t xml:space="preserve"> authority</w:t>
      </w:r>
      <w:r w:rsidRPr="00A93955">
        <w:t xml:space="preserve"> to </w:t>
      </w:r>
      <w:r w:rsidR="003D722D">
        <w:t>account for the revenues it will receive from Bonneville as follows</w:t>
      </w:r>
      <w:r w:rsidR="00734678" w:rsidRPr="00A93955">
        <w:t>:</w:t>
      </w:r>
    </w:p>
    <w:p w:rsidR="008633E5" w:rsidRPr="00A93955" w:rsidRDefault="008633E5" w:rsidP="008633E5">
      <w:pPr>
        <w:pStyle w:val="ListParagraph"/>
      </w:pPr>
    </w:p>
    <w:p w:rsidR="008633E5" w:rsidRDefault="00272661" w:rsidP="008633E5">
      <w:pPr>
        <w:numPr>
          <w:ilvl w:val="0"/>
          <w:numId w:val="5"/>
        </w:numPr>
        <w:spacing w:line="320" w:lineRule="exact"/>
      </w:pPr>
      <w:r>
        <w:lastRenderedPageBreak/>
        <w:t>R</w:t>
      </w:r>
      <w:r w:rsidR="00DA4BE5" w:rsidRPr="00A93955">
        <w:t>etain</w:t>
      </w:r>
      <w:r w:rsidR="009545E1">
        <w:t xml:space="preserve"> as 2013 earnings</w:t>
      </w:r>
      <w:r w:rsidR="00DA4BE5" w:rsidRPr="00A93955">
        <w:t xml:space="preserve"> the entirety of the</w:t>
      </w:r>
      <w:r w:rsidR="008633E5" w:rsidRPr="00A93955">
        <w:t xml:space="preserve"> Washington allocated share of $7.604 million for </w:t>
      </w:r>
      <w:r w:rsidR="009545E1">
        <w:t>past (</w:t>
      </w:r>
      <w:r>
        <w:t>2005-2012) transmission revenue;</w:t>
      </w:r>
    </w:p>
    <w:p w:rsidR="00272661" w:rsidRPr="00A93955" w:rsidRDefault="00272661" w:rsidP="00272661">
      <w:pPr>
        <w:spacing w:line="320" w:lineRule="exact"/>
        <w:ind w:left="1080"/>
      </w:pPr>
    </w:p>
    <w:p w:rsidR="008633E5" w:rsidRDefault="00272661" w:rsidP="008633E5">
      <w:pPr>
        <w:numPr>
          <w:ilvl w:val="0"/>
          <w:numId w:val="5"/>
        </w:numPr>
        <w:spacing w:line="320" w:lineRule="exact"/>
      </w:pPr>
      <w:r>
        <w:t>S</w:t>
      </w:r>
      <w:r w:rsidR="008633E5" w:rsidRPr="00A93955">
        <w:t xml:space="preserve">eparately defer and track for ratepayer benefit the Washington allocated share of approximately $2.1 million for </w:t>
      </w:r>
      <w:r w:rsidR="009F3262">
        <w:t xml:space="preserve">annual </w:t>
      </w:r>
      <w:r w:rsidR="008633E5" w:rsidRPr="00A93955">
        <w:t xml:space="preserve">transmission revenue for 2013 and 2014 and beyond, until the </w:t>
      </w:r>
      <w:r w:rsidR="00385C94">
        <w:t xml:space="preserve">effective </w:t>
      </w:r>
      <w:r w:rsidR="008633E5" w:rsidRPr="00A93955">
        <w:t xml:space="preserve">date of the </w:t>
      </w:r>
      <w:r w:rsidR="00976C04">
        <w:t>Commission’</w:t>
      </w:r>
      <w:r w:rsidR="008633E5" w:rsidRPr="00A93955">
        <w:t xml:space="preserve">s order in </w:t>
      </w:r>
      <w:proofErr w:type="spellStart"/>
      <w:r>
        <w:t>Avista</w:t>
      </w:r>
      <w:r w:rsidR="00976C04">
        <w:t>’</w:t>
      </w:r>
      <w:r>
        <w:t>s</w:t>
      </w:r>
      <w:proofErr w:type="spellEnd"/>
      <w:r>
        <w:t xml:space="preserve"> next general rate case; and</w:t>
      </w:r>
    </w:p>
    <w:p w:rsidR="00272661" w:rsidRDefault="00272661" w:rsidP="00272661">
      <w:pPr>
        <w:pStyle w:val="ListParagraph"/>
      </w:pPr>
    </w:p>
    <w:p w:rsidR="00C719A3" w:rsidRPr="00A93955" w:rsidRDefault="00272661" w:rsidP="008633E5">
      <w:pPr>
        <w:numPr>
          <w:ilvl w:val="0"/>
          <w:numId w:val="5"/>
        </w:numPr>
        <w:spacing w:line="320" w:lineRule="exact"/>
      </w:pPr>
      <w:r>
        <w:t>F</w:t>
      </w:r>
      <w:r w:rsidR="00C719A3" w:rsidRPr="00A93955">
        <w:t xml:space="preserve">ile a tariff as part of its </w:t>
      </w:r>
      <w:r w:rsidR="009545E1">
        <w:t>compliance filing authorized in Docket UE-120436</w:t>
      </w:r>
      <w:r w:rsidR="00C719A3" w:rsidRPr="00A93955">
        <w:t xml:space="preserve"> that credits customers </w:t>
      </w:r>
      <w:r w:rsidR="00734678" w:rsidRPr="00A93955">
        <w:t xml:space="preserve">during 2014 </w:t>
      </w:r>
      <w:r w:rsidR="00C719A3" w:rsidRPr="00A93955">
        <w:t>with approxi</w:t>
      </w:r>
      <w:r w:rsidR="00734678" w:rsidRPr="00A93955">
        <w:t>mately $4.2 million associated with transmission revenues from 2013 and 2014.</w:t>
      </w:r>
    </w:p>
    <w:p w:rsidR="00C719A3" w:rsidRPr="00A93955" w:rsidRDefault="00C719A3" w:rsidP="008633E5">
      <w:pPr>
        <w:spacing w:line="320" w:lineRule="exact"/>
        <w:ind w:left="720"/>
      </w:pPr>
    </w:p>
    <w:p w:rsidR="00DA4BE5" w:rsidRPr="00A93955" w:rsidRDefault="00087793" w:rsidP="00734678">
      <w:pPr>
        <w:numPr>
          <w:ilvl w:val="0"/>
          <w:numId w:val="1"/>
        </w:numPr>
        <w:spacing w:line="320" w:lineRule="exact"/>
      </w:pPr>
      <w:r>
        <w:t>Avista proposes that</w:t>
      </w:r>
      <w:r w:rsidR="00385C94">
        <w:t>,</w:t>
      </w:r>
      <w:r>
        <w:t xml:space="preserve"> i</w:t>
      </w:r>
      <w:r w:rsidR="00D440B2">
        <w:t xml:space="preserve">f </w:t>
      </w:r>
      <w:r>
        <w:t xml:space="preserve">its </w:t>
      </w:r>
      <w:r w:rsidR="00D440B2">
        <w:t xml:space="preserve">petition is granted, </w:t>
      </w:r>
      <w:r>
        <w:t xml:space="preserve">it </w:t>
      </w:r>
      <w:r w:rsidR="00734678" w:rsidRPr="00A93955">
        <w:t xml:space="preserve">will include </w:t>
      </w:r>
      <w:r w:rsidR="00D440B2">
        <w:t xml:space="preserve">in its </w:t>
      </w:r>
      <w:r w:rsidR="00D440B2" w:rsidRPr="00A93955">
        <w:t xml:space="preserve">next general rate case </w:t>
      </w:r>
      <w:r w:rsidR="00D440B2">
        <w:t xml:space="preserve">the </w:t>
      </w:r>
      <w:r w:rsidR="00734678" w:rsidRPr="00A93955">
        <w:t>transmission revenues from BPA in its calculation of normalized power supply expense.</w:t>
      </w:r>
    </w:p>
    <w:p w:rsidR="00D47144" w:rsidRPr="00A93955" w:rsidRDefault="00D47144" w:rsidP="00D47144">
      <w:pPr>
        <w:spacing w:line="320" w:lineRule="exact"/>
      </w:pPr>
    </w:p>
    <w:p w:rsidR="00D47144" w:rsidRDefault="00087793" w:rsidP="00734678">
      <w:pPr>
        <w:numPr>
          <w:ilvl w:val="0"/>
          <w:numId w:val="1"/>
        </w:numPr>
        <w:spacing w:line="320" w:lineRule="exact"/>
      </w:pPr>
      <w:r>
        <w:t>The company proposes further that i</w:t>
      </w:r>
      <w:r w:rsidR="00D47144" w:rsidRPr="00A93955">
        <w:t xml:space="preserve">f the </w:t>
      </w:r>
      <w:r w:rsidR="00976C04">
        <w:t>Commission</w:t>
      </w:r>
      <w:r w:rsidR="00D47144" w:rsidRPr="00A93955">
        <w:t xml:space="preserve"> </w:t>
      </w:r>
      <w:r w:rsidR="009545E1">
        <w:t>authorizes</w:t>
      </w:r>
      <w:r w:rsidR="00D47144" w:rsidRPr="00A93955">
        <w:t xml:space="preserve"> </w:t>
      </w:r>
      <w:r>
        <w:t xml:space="preserve">the </w:t>
      </w:r>
      <w:r w:rsidR="00D47144" w:rsidRPr="00A93955">
        <w:t xml:space="preserve">proposed accounting treatment of the BPA transmission settlement, </w:t>
      </w:r>
      <w:r>
        <w:t xml:space="preserve">it will </w:t>
      </w:r>
      <w:r w:rsidR="00D47144" w:rsidRPr="00A93955">
        <w:t>expense in 2013 all $2.586 million of the Washington allocated costs associate</w:t>
      </w:r>
      <w:r w:rsidR="009545E1">
        <w:t xml:space="preserve">d with the Reardan Wind Project </w:t>
      </w:r>
      <w:r w:rsidR="002F1BE3" w:rsidRPr="00A93955">
        <w:t>and agree not to include any Reardan Wind Project costs in any future Washington rate filing.</w:t>
      </w:r>
    </w:p>
    <w:p w:rsidR="008B54C1" w:rsidRDefault="008B54C1" w:rsidP="008B54C1">
      <w:pPr>
        <w:pStyle w:val="ListParagraph"/>
      </w:pPr>
    </w:p>
    <w:p w:rsidR="00AC6815" w:rsidRPr="00976C04" w:rsidRDefault="00D440B2" w:rsidP="00734678">
      <w:pPr>
        <w:numPr>
          <w:ilvl w:val="0"/>
          <w:numId w:val="1"/>
        </w:numPr>
        <w:spacing w:line="320" w:lineRule="exact"/>
      </w:pPr>
      <w:r>
        <w:t>Public Counsel opposes the Company</w:t>
      </w:r>
      <w:r w:rsidR="00976C04">
        <w:t>’</w:t>
      </w:r>
      <w:r>
        <w:t xml:space="preserve">s petition.  Public Counsel asserts that ratepayers are entitled to the benefit of all BPA settlement funds, including those from 2005-2012.  </w:t>
      </w:r>
      <w:r w:rsidR="00AC6815">
        <w:t xml:space="preserve">.  In addition, although Public Counsel does not contest the prudency of the costs associated with the Reardan Wind Project, it nevertheless argues that the </w:t>
      </w:r>
      <w:r w:rsidR="00976C04">
        <w:t>Commission</w:t>
      </w:r>
      <w:r w:rsidR="00AC6815">
        <w:t xml:space="preserve"> should not allow the Company to immediately recover those costs in the manner </w:t>
      </w:r>
      <w:proofErr w:type="spellStart"/>
      <w:r w:rsidR="00AC6815">
        <w:t>Avista</w:t>
      </w:r>
      <w:r w:rsidR="00976C04">
        <w:t>’</w:t>
      </w:r>
      <w:r w:rsidR="00AC6815">
        <w:t>s</w:t>
      </w:r>
      <w:proofErr w:type="spellEnd"/>
      <w:r w:rsidR="00AC6815">
        <w:t xml:space="preserve"> petition</w:t>
      </w:r>
      <w:r w:rsidR="004B4252">
        <w:t xml:space="preserve"> requests</w:t>
      </w:r>
      <w:r w:rsidR="00AC6815">
        <w:t>.</w:t>
      </w:r>
    </w:p>
    <w:p w:rsidR="00AC6815" w:rsidRDefault="00AC6815" w:rsidP="00AC6815">
      <w:pPr>
        <w:pStyle w:val="ListParagraph"/>
      </w:pPr>
    </w:p>
    <w:p w:rsidR="00D440B2" w:rsidRPr="00976C04" w:rsidRDefault="00976C04" w:rsidP="00734678">
      <w:pPr>
        <w:numPr>
          <w:ilvl w:val="0"/>
          <w:numId w:val="1"/>
        </w:numPr>
        <w:spacing w:line="320" w:lineRule="exact"/>
      </w:pPr>
      <w:r>
        <w:t>Staff</w:t>
      </w:r>
      <w:r w:rsidR="008B54C1">
        <w:t xml:space="preserve"> and </w:t>
      </w:r>
      <w:r w:rsidR="00C2274F">
        <w:t>ICNU</w:t>
      </w:r>
      <w:r w:rsidR="008B54C1">
        <w:t xml:space="preserve"> support the Company</w:t>
      </w:r>
      <w:r>
        <w:t>’</w:t>
      </w:r>
      <w:r w:rsidR="008B54C1">
        <w:t>s petition.</w:t>
      </w:r>
      <w:r w:rsidR="004E2CE6">
        <w:t xml:space="preserve">  According to </w:t>
      </w:r>
      <w:r>
        <w:t>Staff</w:t>
      </w:r>
      <w:r w:rsidR="004E2CE6">
        <w:t xml:space="preserve">, </w:t>
      </w:r>
      <w:r w:rsidR="004E2CE6" w:rsidRPr="00A93955">
        <w:t xml:space="preserve">the Company and ratepayers both benefit from </w:t>
      </w:r>
      <w:r w:rsidR="004E2CE6">
        <w:t xml:space="preserve">the </w:t>
      </w:r>
      <w:r w:rsidR="004E2CE6" w:rsidRPr="00A93955">
        <w:t>new transmission revenues and neither is unduly burdened with the costs of the abandoned Reardan Wind Project</w:t>
      </w:r>
      <w:r w:rsidR="00471764">
        <w:t>.</w:t>
      </w:r>
    </w:p>
    <w:p w:rsidR="00D440B2" w:rsidRDefault="00D440B2" w:rsidP="00D440B2">
      <w:pPr>
        <w:pStyle w:val="ListParagraph"/>
      </w:pPr>
    </w:p>
    <w:p w:rsidR="004E2CE6" w:rsidRPr="008929C8" w:rsidRDefault="008929C8" w:rsidP="008929C8">
      <w:pPr>
        <w:jc w:val="center"/>
        <w:rPr>
          <w:b/>
        </w:rPr>
      </w:pPr>
      <w:r w:rsidRPr="008929C8">
        <w:rPr>
          <w:b/>
        </w:rPr>
        <w:t>D</w:t>
      </w:r>
      <w:r w:rsidR="004E2CE6" w:rsidRPr="008929C8">
        <w:rPr>
          <w:b/>
        </w:rPr>
        <w:t>ECISION</w:t>
      </w:r>
    </w:p>
    <w:p w:rsidR="004E2CE6" w:rsidRDefault="004E2CE6" w:rsidP="00D440B2">
      <w:pPr>
        <w:pStyle w:val="ListParagraph"/>
      </w:pPr>
    </w:p>
    <w:p w:rsidR="00B76994" w:rsidRDefault="008B54C1" w:rsidP="00C44591">
      <w:pPr>
        <w:numPr>
          <w:ilvl w:val="0"/>
          <w:numId w:val="1"/>
        </w:numPr>
        <w:spacing w:line="320" w:lineRule="exact"/>
      </w:pPr>
      <w:r>
        <w:t xml:space="preserve">The </w:t>
      </w:r>
      <w:r w:rsidR="00C2274F">
        <w:t xml:space="preserve">current petition represents a </w:t>
      </w:r>
      <w:r w:rsidR="00921B35">
        <w:t xml:space="preserve">fair </w:t>
      </w:r>
      <w:r w:rsidR="00C2274F">
        <w:t xml:space="preserve">compromise between </w:t>
      </w:r>
      <w:proofErr w:type="spellStart"/>
      <w:r w:rsidR="00C2274F">
        <w:t>Avista</w:t>
      </w:r>
      <w:proofErr w:type="spellEnd"/>
      <w:r w:rsidR="00C2274F">
        <w:t xml:space="preserve">, </w:t>
      </w:r>
      <w:r w:rsidR="00976C04">
        <w:t>Staff</w:t>
      </w:r>
      <w:r w:rsidR="00C2274F">
        <w:t>, and ICNU.</w:t>
      </w:r>
      <w:r w:rsidR="00CF56C1">
        <w:t xml:space="preserve">  </w:t>
      </w:r>
      <w:r w:rsidR="00C2274F">
        <w:t xml:space="preserve">The proposed accounting treatment </w:t>
      </w:r>
      <w:r>
        <w:t>benefits Avista by categorizing all of t</w:t>
      </w:r>
      <w:r w:rsidRPr="00A93955">
        <w:t>he 20</w:t>
      </w:r>
      <w:r>
        <w:t>0</w:t>
      </w:r>
      <w:r w:rsidRPr="00A93955">
        <w:t xml:space="preserve">5-2012 Bonneville transmission revenues </w:t>
      </w:r>
      <w:r>
        <w:t xml:space="preserve">as Company income.  However, </w:t>
      </w:r>
      <w:proofErr w:type="spellStart"/>
      <w:r w:rsidR="002F1BE3" w:rsidRPr="00A93955">
        <w:t>Avista</w:t>
      </w:r>
      <w:r w:rsidR="00976C04">
        <w:t>’</w:t>
      </w:r>
      <w:r w:rsidR="002F1BE3" w:rsidRPr="00A93955">
        <w:t>s</w:t>
      </w:r>
      <w:proofErr w:type="spellEnd"/>
      <w:r w:rsidR="002F1BE3" w:rsidRPr="00A93955">
        <w:t xml:space="preserve"> proposed accounting treatment</w:t>
      </w:r>
      <w:r>
        <w:t xml:space="preserve"> also </w:t>
      </w:r>
      <w:r w:rsidR="009D22A5">
        <w:t>provides ratepayers with a tangible benefit</w:t>
      </w:r>
      <w:r>
        <w:t xml:space="preserve"> </w:t>
      </w:r>
      <w:r w:rsidR="008D02F1">
        <w:t xml:space="preserve">in 2014 </w:t>
      </w:r>
      <w:r>
        <w:t>by</w:t>
      </w:r>
      <w:r w:rsidR="009545E1">
        <w:t xml:space="preserve"> </w:t>
      </w:r>
      <w:r>
        <w:t>mitigating</w:t>
      </w:r>
      <w:r w:rsidR="009545E1">
        <w:t xml:space="preserve"> a scheduled 2014 increase in rates </w:t>
      </w:r>
      <w:r w:rsidR="008D02F1">
        <w:t>by rebating</w:t>
      </w:r>
      <w:r w:rsidR="009545E1">
        <w:t xml:space="preserve"> </w:t>
      </w:r>
      <w:r w:rsidRPr="00A93955">
        <w:t xml:space="preserve">$4.2 million </w:t>
      </w:r>
      <w:r>
        <w:t xml:space="preserve">of </w:t>
      </w:r>
      <w:r w:rsidR="009545E1">
        <w:t xml:space="preserve">BPA transmission payments to </w:t>
      </w:r>
      <w:r w:rsidR="008D02F1">
        <w:t>customers through a direct credit</w:t>
      </w:r>
      <w:r w:rsidR="00216FA6">
        <w:t>.</w:t>
      </w:r>
    </w:p>
    <w:p w:rsidR="00B76994" w:rsidRDefault="00B76994" w:rsidP="00B76994">
      <w:pPr>
        <w:spacing w:line="320" w:lineRule="exact"/>
      </w:pPr>
    </w:p>
    <w:p w:rsidR="00B76994" w:rsidRDefault="00B76994" w:rsidP="00C44591">
      <w:pPr>
        <w:numPr>
          <w:ilvl w:val="0"/>
          <w:numId w:val="1"/>
        </w:numPr>
        <w:spacing w:line="320" w:lineRule="exact"/>
      </w:pPr>
      <w:proofErr w:type="spellStart"/>
      <w:r>
        <w:t>Avista</w:t>
      </w:r>
      <w:r w:rsidR="00976C04">
        <w:t>’</w:t>
      </w:r>
      <w:r>
        <w:t>s</w:t>
      </w:r>
      <w:proofErr w:type="spellEnd"/>
      <w:r>
        <w:t xml:space="preserve"> proposed accounting treatment eliminates any potential ratepayer liability associated with the now abandoned Reardan Wind Project.  Instead, the Company </w:t>
      </w:r>
      <w:r w:rsidR="008D02F1">
        <w:t xml:space="preserve">absorbs </w:t>
      </w:r>
      <w:r>
        <w:t>all development costs</w:t>
      </w:r>
      <w:r w:rsidR="008D02F1">
        <w:t xml:space="preserve"> in 2013, and will not request recovery in a future period</w:t>
      </w:r>
      <w:r>
        <w:t xml:space="preserve">.  </w:t>
      </w:r>
      <w:r w:rsidR="0016423C">
        <w:t xml:space="preserve">No </w:t>
      </w:r>
      <w:r>
        <w:t>party question</w:t>
      </w:r>
      <w:r w:rsidR="008D02F1">
        <w:t>s</w:t>
      </w:r>
      <w:r>
        <w:t xml:space="preserve"> the prudency of </w:t>
      </w:r>
      <w:proofErr w:type="spellStart"/>
      <w:r>
        <w:t>Avista</w:t>
      </w:r>
      <w:r w:rsidR="00976C04">
        <w:t>’</w:t>
      </w:r>
      <w:r>
        <w:t>s</w:t>
      </w:r>
      <w:proofErr w:type="spellEnd"/>
      <w:r>
        <w:t xml:space="preserve"> 2008 purchase of the Reardan Wind Project</w:t>
      </w:r>
      <w:r w:rsidR="0016423C">
        <w:t>; we note, however</w:t>
      </w:r>
      <w:r w:rsidR="008D02F1">
        <w:t xml:space="preserve">, </w:t>
      </w:r>
      <w:r w:rsidR="0016423C">
        <w:t xml:space="preserve">that no </w:t>
      </w:r>
      <w:r w:rsidR="008D02F1">
        <w:t>determination of prudency is required with this treatment</w:t>
      </w:r>
      <w:r>
        <w:t>.</w:t>
      </w:r>
    </w:p>
    <w:p w:rsidR="00BA2657" w:rsidRDefault="00BA2657" w:rsidP="00BA2657">
      <w:pPr>
        <w:pStyle w:val="ListParagraph"/>
      </w:pPr>
    </w:p>
    <w:p w:rsidR="00BA2657" w:rsidRDefault="00C26B8A" w:rsidP="00C44591">
      <w:pPr>
        <w:numPr>
          <w:ilvl w:val="0"/>
          <w:numId w:val="1"/>
        </w:numPr>
        <w:spacing w:line="320" w:lineRule="exact"/>
      </w:pPr>
      <w:r>
        <w:t xml:space="preserve">This sharing agreement also appropriately recognizes </w:t>
      </w:r>
      <w:proofErr w:type="spellStart"/>
      <w:r w:rsidR="00BA2657">
        <w:t>Avista</w:t>
      </w:r>
      <w:r w:rsidR="00976C04">
        <w:t>’</w:t>
      </w:r>
      <w:r>
        <w:t>s</w:t>
      </w:r>
      <w:proofErr w:type="spellEnd"/>
      <w:r>
        <w:t xml:space="preserve"> efforts in </w:t>
      </w:r>
      <w:r w:rsidR="00BA2657">
        <w:t xml:space="preserve">aggressively pursuing recovery of transmission revenues from Bonneville and presenting an </w:t>
      </w:r>
      <w:r w:rsidR="0022345D">
        <w:t>equitable accounting treatment</w:t>
      </w:r>
      <w:r w:rsidR="00CF56C1">
        <w:t xml:space="preserve"> now in order to more quickly confer a benefit on ratepayers</w:t>
      </w:r>
      <w:r w:rsidR="0022345D">
        <w:t>.</w:t>
      </w:r>
      <w:r w:rsidR="0022345D">
        <w:rPr>
          <w:rStyle w:val="FootnoteReference"/>
        </w:rPr>
        <w:footnoteReference w:id="1"/>
      </w:r>
      <w:r w:rsidR="0022345D">
        <w:t xml:space="preserve">  </w:t>
      </w:r>
      <w:r w:rsidR="001458A7">
        <w:t xml:space="preserve">The petition implements a solution </w:t>
      </w:r>
      <w:r w:rsidR="0022345D">
        <w:t xml:space="preserve">that falls </w:t>
      </w:r>
      <w:r w:rsidR="001458A7">
        <w:t>within the range of possible outcomes</w:t>
      </w:r>
      <w:r w:rsidR="0022345D">
        <w:t xml:space="preserve"> as</w:t>
      </w:r>
      <w:r w:rsidR="001458A7">
        <w:t xml:space="preserve"> </w:t>
      </w:r>
      <w:r w:rsidR="00CF56C1">
        <w:t>though</w:t>
      </w:r>
      <w:r w:rsidR="001458A7">
        <w:t xml:space="preserve"> Avista and </w:t>
      </w:r>
      <w:r w:rsidR="0022345D">
        <w:t>Bonneville</w:t>
      </w:r>
      <w:r w:rsidR="001458A7">
        <w:t xml:space="preserve"> had </w:t>
      </w:r>
      <w:r w:rsidR="00CF56C1">
        <w:t xml:space="preserve">originally </w:t>
      </w:r>
      <w:r w:rsidR="001458A7">
        <w:t xml:space="preserve">entered into contract negotiations for </w:t>
      </w:r>
      <w:r w:rsidR="00CF56C1">
        <w:t>BPA</w:t>
      </w:r>
      <w:r w:rsidR="00976C04">
        <w:t>’</w:t>
      </w:r>
      <w:r w:rsidR="00CF56C1">
        <w:t xml:space="preserve">s </w:t>
      </w:r>
      <w:r w:rsidR="001458A7">
        <w:t>use of the Company</w:t>
      </w:r>
      <w:r w:rsidR="00976C04">
        <w:t>’</w:t>
      </w:r>
      <w:r w:rsidR="001458A7">
        <w:t xml:space="preserve">s transmission system.  </w:t>
      </w:r>
      <w:r w:rsidR="00BA2657">
        <w:t xml:space="preserve">As we understand the facts and circumstances, the petition essentially puts ratepayers back in the </w:t>
      </w:r>
      <w:r w:rsidR="00921B35">
        <w:t xml:space="preserve">estimated </w:t>
      </w:r>
      <w:r w:rsidR="00BA2657">
        <w:t>financial position they would have enjoyed if the Company was aware of BPA</w:t>
      </w:r>
      <w:r w:rsidR="00976C04">
        <w:t>’</w:t>
      </w:r>
      <w:r w:rsidR="00BA2657">
        <w:t>s use of its transmission system back in 2005.</w:t>
      </w:r>
    </w:p>
    <w:p w:rsidR="005B14C1" w:rsidRDefault="005B14C1" w:rsidP="005B14C1">
      <w:pPr>
        <w:pStyle w:val="ListParagraph"/>
      </w:pPr>
    </w:p>
    <w:p w:rsidR="005B14C1" w:rsidRDefault="005B14C1" w:rsidP="00C44591">
      <w:pPr>
        <w:numPr>
          <w:ilvl w:val="0"/>
          <w:numId w:val="1"/>
        </w:numPr>
        <w:spacing w:line="320" w:lineRule="exact"/>
      </w:pPr>
      <w:r>
        <w:t xml:space="preserve">The </w:t>
      </w:r>
      <w:r w:rsidR="00976C04">
        <w:t>Commission</w:t>
      </w:r>
      <w:r>
        <w:t xml:space="preserve"> </w:t>
      </w:r>
      <w:r w:rsidR="00BA2657">
        <w:t xml:space="preserve">also </w:t>
      </w:r>
      <w:r>
        <w:t>a</w:t>
      </w:r>
      <w:r w:rsidR="0016423C">
        <w:t xml:space="preserve">cknowledges </w:t>
      </w:r>
      <w:proofErr w:type="spellStart"/>
      <w:r w:rsidR="00BA2657">
        <w:t>Avista</w:t>
      </w:r>
      <w:r w:rsidR="00976C04">
        <w:t>’</w:t>
      </w:r>
      <w:r w:rsidR="00BA2657">
        <w:t>s</w:t>
      </w:r>
      <w:proofErr w:type="spellEnd"/>
      <w:r>
        <w:t xml:space="preserve"> efforts to obtain qualifying renewable energy resources in compliance with </w:t>
      </w:r>
      <w:r w:rsidR="00BA2657">
        <w:t>the E</w:t>
      </w:r>
      <w:r w:rsidR="0016423C">
        <w:t xml:space="preserve">IA </w:t>
      </w:r>
      <w:r w:rsidR="00BA2657">
        <w:t xml:space="preserve">and simultaneously keep energy costs as low as possible for customers.  When the Company </w:t>
      </w:r>
      <w:r w:rsidR="0016423C">
        <w:t xml:space="preserve">identified lower-cost resources than </w:t>
      </w:r>
      <w:r w:rsidR="00BA2657">
        <w:t xml:space="preserve">Reardan, it </w:t>
      </w:r>
      <w:r w:rsidR="0016423C">
        <w:t xml:space="preserve">pursued those resources </w:t>
      </w:r>
      <w:r w:rsidR="00BA2657">
        <w:t>and stopped investing in the project</w:t>
      </w:r>
      <w:r w:rsidR="0016423C">
        <w:t>, all to the ratepayers</w:t>
      </w:r>
      <w:r w:rsidR="00976C04">
        <w:t>’</w:t>
      </w:r>
      <w:r w:rsidR="0016423C">
        <w:t xml:space="preserve"> benefit</w:t>
      </w:r>
      <w:r w:rsidR="00BA2657">
        <w:t xml:space="preserve">.  Further, the Company successfully pursued </w:t>
      </w:r>
      <w:r w:rsidR="0016423C">
        <w:t xml:space="preserve">legislation that </w:t>
      </w:r>
      <w:r w:rsidR="00BA2657">
        <w:t>allow</w:t>
      </w:r>
      <w:r w:rsidR="0016423C">
        <w:t>s</w:t>
      </w:r>
      <w:r w:rsidR="00BA2657">
        <w:t xml:space="preserve"> inclusion of the Kettle Falls Generating Station as a qualifying renewable resource</w:t>
      </w:r>
      <w:r w:rsidR="0016423C">
        <w:t xml:space="preserve"> under the EIA</w:t>
      </w:r>
      <w:r w:rsidR="00BA2657">
        <w:t xml:space="preserve">, </w:t>
      </w:r>
      <w:r w:rsidR="0016423C">
        <w:t xml:space="preserve">further </w:t>
      </w:r>
      <w:r w:rsidR="00BA2657">
        <w:t>reducing its need to incur additional costs.</w:t>
      </w:r>
    </w:p>
    <w:p w:rsidR="00B76994" w:rsidRDefault="00B76994" w:rsidP="00B76994">
      <w:pPr>
        <w:pStyle w:val="ListParagraph"/>
      </w:pPr>
    </w:p>
    <w:p w:rsidR="004B4252" w:rsidRDefault="00B76994" w:rsidP="00DE6413">
      <w:pPr>
        <w:numPr>
          <w:ilvl w:val="0"/>
          <w:numId w:val="1"/>
        </w:numPr>
        <w:spacing w:line="320" w:lineRule="exact"/>
      </w:pPr>
      <w:r>
        <w:t xml:space="preserve">The </w:t>
      </w:r>
      <w:r w:rsidR="00976C04">
        <w:t>Commission</w:t>
      </w:r>
      <w:r>
        <w:t xml:space="preserve"> concludes that </w:t>
      </w:r>
      <w:proofErr w:type="spellStart"/>
      <w:r w:rsidR="00216FA6">
        <w:t>Avista</w:t>
      </w:r>
      <w:r w:rsidR="00976C04">
        <w:t>’</w:t>
      </w:r>
      <w:r w:rsidR="00216FA6">
        <w:t>s</w:t>
      </w:r>
      <w:proofErr w:type="spellEnd"/>
      <w:r w:rsidR="00216FA6">
        <w:t xml:space="preserve"> </w:t>
      </w:r>
      <w:r w:rsidR="005B14C1">
        <w:t xml:space="preserve">current petition and its </w:t>
      </w:r>
      <w:r w:rsidR="00C44591">
        <w:t xml:space="preserve">proposed accounting treatment </w:t>
      </w:r>
      <w:r w:rsidR="005B14C1">
        <w:t xml:space="preserve">is a reasonable compromise </w:t>
      </w:r>
      <w:r w:rsidR="00C44591">
        <w:t xml:space="preserve">in the public interest because it fairly balances the benefits and burdens </w:t>
      </w:r>
      <w:r w:rsidR="00743F15">
        <w:t xml:space="preserve">of the Bonneville settlement and Reardan cancellation </w:t>
      </w:r>
      <w:r w:rsidR="00C44591">
        <w:t>between ratepayers and the Company.</w:t>
      </w:r>
      <w:r w:rsidR="00CF56C1">
        <w:t xml:space="preserve">   </w:t>
      </w:r>
      <w:r w:rsidR="00921B35">
        <w:t>After considering the history leading up to the Company</w:t>
      </w:r>
      <w:r w:rsidR="00976C04">
        <w:t>’</w:t>
      </w:r>
      <w:r w:rsidR="00921B35">
        <w:t>s filing and all potential accounting outcomes, we conclude that the Petition should be approved.</w:t>
      </w:r>
    </w:p>
    <w:p w:rsidR="004B4252" w:rsidRDefault="004B4252" w:rsidP="004B4252">
      <w:pPr>
        <w:pStyle w:val="ListParagraph"/>
      </w:pPr>
    </w:p>
    <w:p w:rsidR="000A1236" w:rsidRPr="004B4252" w:rsidRDefault="000A1236" w:rsidP="004B4252">
      <w:pPr>
        <w:spacing w:line="320" w:lineRule="exact"/>
        <w:jc w:val="center"/>
        <w:rPr>
          <w:b/>
        </w:rPr>
      </w:pPr>
      <w:r w:rsidRPr="004B4252">
        <w:rPr>
          <w:b/>
        </w:rPr>
        <w:t>FINDINGS AND CONCLUSIONS</w:t>
      </w:r>
    </w:p>
    <w:p w:rsidR="000A1236" w:rsidRPr="00A93955" w:rsidRDefault="000A1236" w:rsidP="00DE6413">
      <w:pPr>
        <w:spacing w:line="320" w:lineRule="exact"/>
        <w:ind w:left="-1080"/>
      </w:pPr>
    </w:p>
    <w:p w:rsidR="000A1236" w:rsidRPr="00A93955" w:rsidRDefault="000A1236" w:rsidP="007C1F37">
      <w:pPr>
        <w:numPr>
          <w:ilvl w:val="0"/>
          <w:numId w:val="1"/>
        </w:numPr>
        <w:spacing w:line="320" w:lineRule="exact"/>
        <w:ind w:left="720" w:hanging="1440"/>
        <w:rPr>
          <w:i/>
          <w:iCs/>
        </w:rPr>
      </w:pPr>
      <w:r w:rsidRPr="00A93955">
        <w:t>(1)</w:t>
      </w:r>
      <w:r w:rsidRPr="00A93955">
        <w:tab/>
        <w:t xml:space="preserve">The Washington Utilities and Transportation </w:t>
      </w:r>
      <w:r w:rsidR="00976C04">
        <w:t>Commission</w:t>
      </w:r>
      <w:r w:rsidRPr="00A93955">
        <w:t xml:space="preserve"> is an agency of the </w:t>
      </w:r>
      <w:r w:rsidR="007308FD" w:rsidRPr="00A93955">
        <w:t>S</w:t>
      </w:r>
      <w:r w:rsidRPr="00A93955">
        <w:t xml:space="preserve">tate of Washington vested by statute with the authority to regulate </w:t>
      </w:r>
      <w:r w:rsidR="00C40733" w:rsidRPr="00A93955">
        <w:t xml:space="preserve">the </w:t>
      </w:r>
      <w:r w:rsidRPr="00A93955">
        <w:t xml:space="preserve">rates, rules, regulations, practices, accounts, </w:t>
      </w:r>
      <w:proofErr w:type="gramStart"/>
      <w:r w:rsidRPr="00A93955">
        <w:t>securities</w:t>
      </w:r>
      <w:proofErr w:type="gramEnd"/>
      <w:r w:rsidRPr="00A93955">
        <w:t xml:space="preserve">, transfers of </w:t>
      </w:r>
      <w:r w:rsidR="00C979BD" w:rsidRPr="00A93955">
        <w:t>property</w:t>
      </w:r>
      <w:r w:rsidR="008246C9" w:rsidRPr="00A93955">
        <w:t xml:space="preserve"> and affiliated interest</w:t>
      </w:r>
      <w:r w:rsidR="00560A2A" w:rsidRPr="00A93955">
        <w:t>s</w:t>
      </w:r>
      <w:r w:rsidR="008246C9" w:rsidRPr="00A93955">
        <w:t xml:space="preserve"> of </w:t>
      </w:r>
      <w:r w:rsidRPr="00A93955">
        <w:t xml:space="preserve">public service companies, including </w:t>
      </w:r>
      <w:r w:rsidR="00976C04">
        <w:t>electric</w:t>
      </w:r>
      <w:r w:rsidRPr="00A93955">
        <w:rPr>
          <w:b/>
          <w:bCs/>
        </w:rPr>
        <w:t xml:space="preserve"> </w:t>
      </w:r>
      <w:r w:rsidRPr="00A93955">
        <w:t>companies</w:t>
      </w:r>
      <w:r w:rsidR="005579E7" w:rsidRPr="00A93955">
        <w:rPr>
          <w:iCs/>
        </w:rPr>
        <w:t>.</w:t>
      </w:r>
      <w:r w:rsidR="00AC1794" w:rsidRPr="00A93955">
        <w:rPr>
          <w:i/>
          <w:iCs/>
        </w:rPr>
        <w:t xml:space="preserve">  </w:t>
      </w:r>
    </w:p>
    <w:p w:rsidR="000A1236" w:rsidRPr="00A93955" w:rsidRDefault="000A1236" w:rsidP="00DE6413">
      <w:pPr>
        <w:spacing w:line="320" w:lineRule="exact"/>
      </w:pPr>
    </w:p>
    <w:p w:rsidR="000A1236" w:rsidRPr="00A93955" w:rsidRDefault="000A1236" w:rsidP="007C1F37">
      <w:pPr>
        <w:numPr>
          <w:ilvl w:val="0"/>
          <w:numId w:val="1"/>
        </w:numPr>
        <w:spacing w:line="320" w:lineRule="exact"/>
        <w:ind w:left="720" w:hanging="1440"/>
      </w:pPr>
      <w:r w:rsidRPr="00A93955">
        <w:t>(2)</w:t>
      </w:r>
      <w:r w:rsidRPr="00A93955">
        <w:tab/>
      </w:r>
      <w:proofErr w:type="spellStart"/>
      <w:r w:rsidR="00976C04">
        <w:t>Avista</w:t>
      </w:r>
      <w:proofErr w:type="spellEnd"/>
      <w:r w:rsidR="00845BCE" w:rsidRPr="00A93955">
        <w:t xml:space="preserve"> </w:t>
      </w:r>
      <w:r w:rsidRPr="00A93955">
        <w:t xml:space="preserve">is </w:t>
      </w:r>
      <w:r w:rsidR="00976C04" w:rsidRPr="00A93955">
        <w:rPr>
          <w:noProof/>
        </w:rPr>
        <w:t>an electric</w:t>
      </w:r>
      <w:r w:rsidRPr="00A93955">
        <w:t xml:space="preserve"> company and a public service company subject to </w:t>
      </w:r>
      <w:r w:rsidR="00976C04">
        <w:t>Commission</w:t>
      </w:r>
      <w:r w:rsidR="004E41FF" w:rsidRPr="00A93955">
        <w:t xml:space="preserve"> </w:t>
      </w:r>
      <w:r w:rsidRPr="00A93955">
        <w:t>jurisdiction.</w:t>
      </w:r>
    </w:p>
    <w:p w:rsidR="000A1236" w:rsidRPr="00A93955" w:rsidRDefault="000A1236" w:rsidP="00DE6413">
      <w:pPr>
        <w:spacing w:line="320" w:lineRule="exact"/>
      </w:pPr>
    </w:p>
    <w:p w:rsidR="00D30CD1" w:rsidRPr="00A93955" w:rsidRDefault="000A1236" w:rsidP="007C1F37">
      <w:pPr>
        <w:numPr>
          <w:ilvl w:val="0"/>
          <w:numId w:val="1"/>
        </w:numPr>
        <w:spacing w:line="320" w:lineRule="exact"/>
        <w:ind w:left="720" w:hanging="1440"/>
      </w:pPr>
      <w:r w:rsidRPr="00A93955">
        <w:t>(3)</w:t>
      </w:r>
      <w:r w:rsidRPr="00A93955">
        <w:tab/>
      </w:r>
      <w:r w:rsidR="00D440B2" w:rsidRPr="00A93955">
        <w:t xml:space="preserve">This matter came before the </w:t>
      </w:r>
      <w:r w:rsidR="00976C04">
        <w:t>Commission</w:t>
      </w:r>
      <w:r w:rsidR="003A6511">
        <w:t xml:space="preserve"> for action</w:t>
      </w:r>
      <w:r w:rsidR="00D440B2" w:rsidRPr="00A93955">
        <w:t xml:space="preserve"> at its regularly scheduled meeting on </w:t>
      </w:r>
      <w:r w:rsidR="00976C04">
        <w:t>May 9, 2013</w:t>
      </w:r>
      <w:r w:rsidR="00D440B2" w:rsidRPr="00A93955">
        <w:t>.</w:t>
      </w:r>
    </w:p>
    <w:p w:rsidR="00D30CD1" w:rsidRPr="00A93955" w:rsidRDefault="00D30CD1" w:rsidP="00DE6413">
      <w:pPr>
        <w:spacing w:line="320" w:lineRule="exact"/>
      </w:pPr>
    </w:p>
    <w:p w:rsidR="000A1236" w:rsidRPr="00A93955" w:rsidRDefault="00C44591" w:rsidP="008B54C1">
      <w:pPr>
        <w:numPr>
          <w:ilvl w:val="0"/>
          <w:numId w:val="1"/>
        </w:numPr>
        <w:spacing w:line="320" w:lineRule="exact"/>
        <w:ind w:left="720" w:hanging="1440"/>
      </w:pPr>
      <w:r>
        <w:t>(4</w:t>
      </w:r>
      <w:r w:rsidR="00D30CD1" w:rsidRPr="00A93955">
        <w:t>)</w:t>
      </w:r>
      <w:r w:rsidR="00D30CD1" w:rsidRPr="00A93955">
        <w:tab/>
      </w:r>
      <w:r w:rsidR="00976C04">
        <w:t>Staff</w:t>
      </w:r>
      <w:r w:rsidR="00D440B2" w:rsidRPr="00A93955">
        <w:t xml:space="preserve"> has reviewed the </w:t>
      </w:r>
      <w:r w:rsidR="00D440B2">
        <w:t>Company</w:t>
      </w:r>
      <w:r w:rsidR="00976C04">
        <w:t>’</w:t>
      </w:r>
      <w:r w:rsidR="00D440B2">
        <w:t xml:space="preserve">s </w:t>
      </w:r>
      <w:r w:rsidR="00D440B2" w:rsidRPr="00A93955">
        <w:t xml:space="preserve">petition in Docket </w:t>
      </w:r>
      <w:r w:rsidR="00976C04">
        <w:t>UE-130536</w:t>
      </w:r>
      <w:r w:rsidR="00D440B2" w:rsidRPr="00A93955">
        <w:t xml:space="preserve"> including related work papers.  </w:t>
      </w:r>
      <w:r w:rsidR="00976C04">
        <w:t>Staff</w:t>
      </w:r>
      <w:r w:rsidR="000A1236" w:rsidRPr="00A93955">
        <w:t xml:space="preserve"> believes the proposed accounting</w:t>
      </w:r>
      <w:r w:rsidR="000C0449" w:rsidRPr="00A93955">
        <w:t xml:space="preserve"> order</w:t>
      </w:r>
      <w:r w:rsidR="000A1236" w:rsidRPr="00A93955">
        <w:t xml:space="preserve"> </w:t>
      </w:r>
      <w:proofErr w:type="spellStart"/>
      <w:r w:rsidR="00976C04">
        <w:t>Avista</w:t>
      </w:r>
      <w:proofErr w:type="spellEnd"/>
      <w:r w:rsidR="00045705" w:rsidRPr="00A93955">
        <w:t xml:space="preserve"> </w:t>
      </w:r>
      <w:r w:rsidR="000A1236" w:rsidRPr="00A93955">
        <w:t>request</w:t>
      </w:r>
      <w:r w:rsidR="00045705" w:rsidRPr="00A93955">
        <w:t>s</w:t>
      </w:r>
      <w:r w:rsidR="000A1236" w:rsidRPr="00A93955">
        <w:t xml:space="preserve"> is reasonable and should be </w:t>
      </w:r>
      <w:r w:rsidR="001E31D2" w:rsidRPr="00A93955">
        <w:t>granted</w:t>
      </w:r>
      <w:r w:rsidR="00234FF1" w:rsidRPr="00A93955">
        <w:t xml:space="preserve"> becaus</w:t>
      </w:r>
      <w:r w:rsidR="007C1F37" w:rsidRPr="00A93955">
        <w:t>e both the Company and ratepayers receive a net benefit from new transmission revenues and neither is unduly burdened with the costs of the abandoned Reardan Wind Project.</w:t>
      </w:r>
    </w:p>
    <w:p w:rsidR="000A1236" w:rsidRPr="00A93955" w:rsidRDefault="000A1236" w:rsidP="00DE6413">
      <w:pPr>
        <w:spacing w:line="320" w:lineRule="exact"/>
      </w:pPr>
    </w:p>
    <w:p w:rsidR="000A1236" w:rsidRDefault="000A1236" w:rsidP="007C1F37">
      <w:pPr>
        <w:numPr>
          <w:ilvl w:val="0"/>
          <w:numId w:val="1"/>
        </w:numPr>
        <w:spacing w:line="320" w:lineRule="exact"/>
        <w:ind w:left="720" w:hanging="1440"/>
      </w:pPr>
      <w:r w:rsidRPr="00A93955">
        <w:t>(</w:t>
      </w:r>
      <w:r w:rsidR="00C44591">
        <w:t>5</w:t>
      </w:r>
      <w:r w:rsidRPr="00A93955">
        <w:t>)</w:t>
      </w:r>
      <w:r w:rsidRPr="00A93955">
        <w:tab/>
        <w:t xml:space="preserve">After </w:t>
      </w:r>
      <w:r w:rsidR="00103788" w:rsidRPr="00A93955">
        <w:t>reviewing</w:t>
      </w:r>
      <w:r w:rsidR="003C2211" w:rsidRPr="00A93955">
        <w:t xml:space="preserve"> </w:t>
      </w:r>
      <w:proofErr w:type="spellStart"/>
      <w:r w:rsidR="00976C04">
        <w:t>Avista’</w:t>
      </w:r>
      <w:r w:rsidR="00045705" w:rsidRPr="00A93955">
        <w:t>s</w:t>
      </w:r>
      <w:proofErr w:type="spellEnd"/>
      <w:r w:rsidR="00045705" w:rsidRPr="00D440B2">
        <w:rPr>
          <w:b/>
          <w:bCs/>
        </w:rPr>
        <w:t xml:space="preserve"> </w:t>
      </w:r>
      <w:r w:rsidRPr="00A93955">
        <w:t xml:space="preserve">petition filed in Docket </w:t>
      </w:r>
      <w:r w:rsidR="00976C04">
        <w:t>UE-130536</w:t>
      </w:r>
      <w:r w:rsidRPr="00A93955">
        <w:t xml:space="preserve"> on </w:t>
      </w:r>
      <w:r w:rsidR="00976C04">
        <w:t>April 12, 2013</w:t>
      </w:r>
      <w:r w:rsidRPr="00A93955">
        <w:t xml:space="preserve"> and giving due consideration to all relevant matters, the </w:t>
      </w:r>
      <w:r w:rsidR="00976C04">
        <w:t>Commission</w:t>
      </w:r>
      <w:r w:rsidRPr="00A93955">
        <w:t xml:space="preserve"> finds that the Petition filed</w:t>
      </w:r>
      <w:r w:rsidR="003A6511">
        <w:rPr>
          <w:rStyle w:val="FootnoteReference"/>
        </w:rPr>
        <w:footnoteReference w:id="2"/>
      </w:r>
      <w:r w:rsidRPr="00A93955">
        <w:t xml:space="preserve"> </w:t>
      </w:r>
      <w:r w:rsidR="005B14C1">
        <w:t xml:space="preserve">represents a reasonable compromise and </w:t>
      </w:r>
      <w:r w:rsidRPr="00A93955">
        <w:t xml:space="preserve">should be </w:t>
      </w:r>
      <w:r w:rsidR="001E31D2" w:rsidRPr="00A93955">
        <w:t>granted</w:t>
      </w:r>
      <w:r w:rsidR="00234FF1" w:rsidRPr="00A93955">
        <w:t xml:space="preserve"> because the Company</w:t>
      </w:r>
      <w:r w:rsidR="00976C04">
        <w:t>’</w:t>
      </w:r>
      <w:r w:rsidR="00234FF1" w:rsidRPr="00A93955">
        <w:t xml:space="preserve">s proposed accounting treatment fairly balances the benefits realized from </w:t>
      </w:r>
      <w:proofErr w:type="spellStart"/>
      <w:r w:rsidR="00234FF1" w:rsidRPr="00A93955">
        <w:t>Avista</w:t>
      </w:r>
      <w:r w:rsidR="00976C04">
        <w:t>’</w:t>
      </w:r>
      <w:r w:rsidR="00234FF1" w:rsidRPr="00A93955">
        <w:t>s</w:t>
      </w:r>
      <w:proofErr w:type="spellEnd"/>
      <w:r w:rsidR="00234FF1" w:rsidRPr="00A93955">
        <w:t xml:space="preserve"> transmission settlement with the Bonneville Power Administration with the costs incurred by abandoning the Reardan Wind Project and results in fair, just, reasonable and sufficient rates.</w:t>
      </w:r>
    </w:p>
    <w:p w:rsidR="003A6511" w:rsidRDefault="003A6511" w:rsidP="003A6511">
      <w:pPr>
        <w:pStyle w:val="ListParagraph"/>
      </w:pPr>
    </w:p>
    <w:p w:rsidR="003A6511" w:rsidRPr="00A93955" w:rsidRDefault="003A6511" w:rsidP="007C1F37">
      <w:pPr>
        <w:numPr>
          <w:ilvl w:val="0"/>
          <w:numId w:val="1"/>
        </w:numPr>
        <w:spacing w:line="320" w:lineRule="exact"/>
        <w:ind w:left="720" w:hanging="1440"/>
      </w:pPr>
      <w:r>
        <w:t>(6)</w:t>
      </w:r>
      <w:r>
        <w:tab/>
        <w:t xml:space="preserve">On motion properly made and seconded at its regularly scheduled meeting of May 9, 2013, the </w:t>
      </w:r>
      <w:r w:rsidR="00976C04">
        <w:t>Commission</w:t>
      </w:r>
      <w:r>
        <w:t xml:space="preserve"> unanimously approved entry of an order granting the Company</w:t>
      </w:r>
      <w:r w:rsidR="00976C04">
        <w:t>’</w:t>
      </w:r>
      <w:r>
        <w:t>s Petition.</w:t>
      </w:r>
    </w:p>
    <w:p w:rsidR="000A1236" w:rsidRPr="00A93955" w:rsidRDefault="000A1236" w:rsidP="00DE6413">
      <w:pPr>
        <w:pStyle w:val="Heading1"/>
        <w:spacing w:line="320" w:lineRule="exact"/>
      </w:pPr>
    </w:p>
    <w:p w:rsidR="000A1236" w:rsidRPr="004B4252" w:rsidRDefault="000A1236" w:rsidP="004B4252">
      <w:pPr>
        <w:jc w:val="center"/>
        <w:rPr>
          <w:b/>
        </w:rPr>
      </w:pPr>
      <w:r w:rsidRPr="004B4252">
        <w:rPr>
          <w:b/>
        </w:rPr>
        <w:t>O</w:t>
      </w:r>
      <w:r w:rsidR="000B2415" w:rsidRPr="004B4252">
        <w:rPr>
          <w:b/>
        </w:rPr>
        <w:t xml:space="preserve"> </w:t>
      </w:r>
      <w:r w:rsidRPr="004B4252">
        <w:rPr>
          <w:b/>
        </w:rPr>
        <w:t>R</w:t>
      </w:r>
      <w:r w:rsidR="000B2415" w:rsidRPr="004B4252">
        <w:rPr>
          <w:b/>
        </w:rPr>
        <w:t xml:space="preserve"> </w:t>
      </w:r>
      <w:r w:rsidRPr="004B4252">
        <w:rPr>
          <w:b/>
        </w:rPr>
        <w:t>D</w:t>
      </w:r>
      <w:r w:rsidR="000B2415" w:rsidRPr="004B4252">
        <w:rPr>
          <w:b/>
        </w:rPr>
        <w:t xml:space="preserve"> </w:t>
      </w:r>
      <w:r w:rsidRPr="004B4252">
        <w:rPr>
          <w:b/>
        </w:rPr>
        <w:t>E</w:t>
      </w:r>
      <w:r w:rsidR="000B2415" w:rsidRPr="004B4252">
        <w:rPr>
          <w:b/>
        </w:rPr>
        <w:t xml:space="preserve"> </w:t>
      </w:r>
      <w:r w:rsidRPr="004B4252">
        <w:rPr>
          <w:b/>
        </w:rPr>
        <w:t>R</w:t>
      </w:r>
    </w:p>
    <w:p w:rsidR="000A1236" w:rsidRPr="00A93955" w:rsidRDefault="000A1236" w:rsidP="00DE6413">
      <w:pPr>
        <w:spacing w:line="320" w:lineRule="exact"/>
      </w:pPr>
    </w:p>
    <w:p w:rsidR="000A1236" w:rsidRPr="00A93955" w:rsidRDefault="000A1236" w:rsidP="00DE6413">
      <w:pPr>
        <w:spacing w:line="320" w:lineRule="exact"/>
        <w:rPr>
          <w:b/>
        </w:rPr>
      </w:pPr>
      <w:r w:rsidRPr="00A93955">
        <w:rPr>
          <w:b/>
        </w:rPr>
        <w:t xml:space="preserve">THE </w:t>
      </w:r>
      <w:r w:rsidR="00976C04">
        <w:rPr>
          <w:b/>
        </w:rPr>
        <w:t>COMMISSION</w:t>
      </w:r>
      <w:r w:rsidRPr="00A93955">
        <w:rPr>
          <w:b/>
        </w:rPr>
        <w:t xml:space="preserve"> ORDERS:</w:t>
      </w:r>
    </w:p>
    <w:p w:rsidR="000A1236" w:rsidRPr="00A93955" w:rsidRDefault="000A1236" w:rsidP="00DE6413">
      <w:pPr>
        <w:spacing w:line="320" w:lineRule="exact"/>
      </w:pPr>
    </w:p>
    <w:p w:rsidR="000A1236" w:rsidRPr="00A93955" w:rsidRDefault="000A1236" w:rsidP="007C1F37">
      <w:pPr>
        <w:numPr>
          <w:ilvl w:val="0"/>
          <w:numId w:val="1"/>
        </w:numPr>
        <w:spacing w:line="320" w:lineRule="exact"/>
        <w:ind w:left="720" w:hanging="1440"/>
      </w:pPr>
      <w:r w:rsidRPr="00A93955">
        <w:t>(1)</w:t>
      </w:r>
      <w:r w:rsidRPr="00A93955">
        <w:tab/>
      </w:r>
      <w:proofErr w:type="spellStart"/>
      <w:r w:rsidR="00976C04">
        <w:t>Avista</w:t>
      </w:r>
      <w:proofErr w:type="spellEnd"/>
      <w:r w:rsidR="00976C04">
        <w:t xml:space="preserve"> Corporation’</w:t>
      </w:r>
      <w:r w:rsidR="00EA133C" w:rsidRPr="00A93955">
        <w:t xml:space="preserve">s request for an accounting order authorizing </w:t>
      </w:r>
      <w:proofErr w:type="spellStart"/>
      <w:r w:rsidR="00976C04">
        <w:t>Avista</w:t>
      </w:r>
      <w:proofErr w:type="spellEnd"/>
      <w:r w:rsidR="00EA133C" w:rsidRPr="00A93955">
        <w:t xml:space="preserve"> to 1) apportion funds from a settlement with the Bonneville Power Administration (BPA) between the Company and its ratepayers and 2) write off its investment in the Reardan Wind Project</w:t>
      </w:r>
      <w:r w:rsidR="00C979BD" w:rsidRPr="00A93955">
        <w:t xml:space="preserve"> is </w:t>
      </w:r>
      <w:r w:rsidR="001E31D2" w:rsidRPr="00A93955">
        <w:t>granted</w:t>
      </w:r>
      <w:r w:rsidRPr="00A93955">
        <w:t>.</w:t>
      </w:r>
    </w:p>
    <w:p w:rsidR="000A1236" w:rsidRPr="00A93955" w:rsidRDefault="000A1236" w:rsidP="00DE6413">
      <w:pPr>
        <w:spacing w:line="320" w:lineRule="exact"/>
      </w:pPr>
    </w:p>
    <w:p w:rsidR="000A1236" w:rsidRPr="00A93955" w:rsidRDefault="000A1236" w:rsidP="007C1F37">
      <w:pPr>
        <w:numPr>
          <w:ilvl w:val="0"/>
          <w:numId w:val="1"/>
        </w:numPr>
        <w:spacing w:line="320" w:lineRule="exact"/>
        <w:ind w:left="720" w:hanging="1440"/>
      </w:pPr>
      <w:r w:rsidRPr="00A93955">
        <w:t>(2)</w:t>
      </w:r>
      <w:r w:rsidRPr="00A93955">
        <w:tab/>
      </w:r>
      <w:r w:rsidR="003C2270" w:rsidRPr="00A93955">
        <w:t>This Order shall not</w:t>
      </w:r>
      <w:r w:rsidRPr="00A93955">
        <w:t xml:space="preserve"> affect the </w:t>
      </w:r>
      <w:r w:rsidR="00976C04">
        <w:t>Commission’</w:t>
      </w:r>
      <w:r w:rsidR="003C2270" w:rsidRPr="00A93955">
        <w:t xml:space="preserve">s </w:t>
      </w:r>
      <w:r w:rsidRPr="00A93955">
        <w:t>authority over rates, services, accounts, valuations, estima</w:t>
      </w:r>
      <w:r w:rsidR="003C2270" w:rsidRPr="00A93955">
        <w:t>tes, or determination of costs</w:t>
      </w:r>
      <w:r w:rsidR="00537A6E" w:rsidRPr="00A93955">
        <w:t xml:space="preserve">, </w:t>
      </w:r>
      <w:r w:rsidR="00210528" w:rsidRPr="00A93955">
        <w:t xml:space="preserve">on </w:t>
      </w:r>
      <w:r w:rsidR="003C2270" w:rsidRPr="00A93955">
        <w:t xml:space="preserve">any matters </w:t>
      </w:r>
      <w:r w:rsidRPr="00A93955">
        <w:t>that may come before it.</w:t>
      </w:r>
    </w:p>
    <w:p w:rsidR="00491C72" w:rsidRPr="00A93955" w:rsidRDefault="00491C72" w:rsidP="00DE6413">
      <w:pPr>
        <w:spacing w:line="320" w:lineRule="exact"/>
      </w:pPr>
    </w:p>
    <w:p w:rsidR="000A1236" w:rsidRPr="00A93955" w:rsidRDefault="00EA133C" w:rsidP="007C1F37">
      <w:pPr>
        <w:numPr>
          <w:ilvl w:val="0"/>
          <w:numId w:val="1"/>
        </w:numPr>
        <w:spacing w:line="320" w:lineRule="exact"/>
        <w:ind w:left="720" w:hanging="1440"/>
      </w:pPr>
      <w:r w:rsidRPr="00A93955">
        <w:t>(3</w:t>
      </w:r>
      <w:r w:rsidR="000A1236" w:rsidRPr="00A93955">
        <w:t>)</w:t>
      </w:r>
      <w:r w:rsidR="000A1236" w:rsidRPr="00A93955">
        <w:tab/>
        <w:t xml:space="preserve">The </w:t>
      </w:r>
      <w:r w:rsidR="00976C04">
        <w:t>Commission</w:t>
      </w:r>
      <w:r w:rsidR="000A1236" w:rsidRPr="00A93955">
        <w:t xml:space="preserve"> retains jurisdiction over the subject matter and </w:t>
      </w:r>
      <w:proofErr w:type="spellStart"/>
      <w:r w:rsidR="00976C04">
        <w:t>Avista</w:t>
      </w:r>
      <w:proofErr w:type="spellEnd"/>
      <w:r w:rsidR="00976C04">
        <w:t xml:space="preserve"> Corporation</w:t>
      </w:r>
      <w:r w:rsidR="000A1236" w:rsidRPr="00A93955">
        <w:rPr>
          <w:b/>
          <w:bCs/>
        </w:rPr>
        <w:t xml:space="preserve"> </w:t>
      </w:r>
      <w:r w:rsidR="000A1236" w:rsidRPr="00A93955">
        <w:t>to effectuate the provisions of this Order.</w:t>
      </w:r>
    </w:p>
    <w:p w:rsidR="000A1236" w:rsidRPr="00A93955" w:rsidRDefault="000A1236" w:rsidP="00DE6413">
      <w:pPr>
        <w:spacing w:line="320" w:lineRule="exact"/>
      </w:pPr>
    </w:p>
    <w:p w:rsidR="000A1236" w:rsidRPr="00A93955" w:rsidRDefault="000A1236" w:rsidP="00DE6413">
      <w:pPr>
        <w:spacing w:line="320" w:lineRule="exact"/>
      </w:pPr>
      <w:r w:rsidRPr="00A93955">
        <w:t xml:space="preserve">DATED at Olympia, Washington, and effective </w:t>
      </w:r>
      <w:r w:rsidR="00976C04" w:rsidRPr="00976C04">
        <w:rPr>
          <w:bCs/>
        </w:rPr>
        <w:t xml:space="preserve">May </w:t>
      </w:r>
      <w:r w:rsidR="00976C04">
        <w:rPr>
          <w:bCs/>
        </w:rPr>
        <w:t>17</w:t>
      </w:r>
      <w:r w:rsidR="00976C04" w:rsidRPr="00976C04">
        <w:rPr>
          <w:bCs/>
        </w:rPr>
        <w:t>, 2013</w:t>
      </w:r>
      <w:r w:rsidRPr="00A93955">
        <w:t>.</w:t>
      </w:r>
    </w:p>
    <w:p w:rsidR="000A1236" w:rsidRPr="00A93955" w:rsidRDefault="000A1236" w:rsidP="00DE6413">
      <w:pPr>
        <w:spacing w:line="320" w:lineRule="exact"/>
      </w:pPr>
    </w:p>
    <w:p w:rsidR="000A1236" w:rsidRPr="00A93955" w:rsidRDefault="000A1236" w:rsidP="00DE6413">
      <w:pPr>
        <w:spacing w:line="320" w:lineRule="exact"/>
        <w:jc w:val="center"/>
      </w:pPr>
      <w:r w:rsidRPr="00A93955">
        <w:t xml:space="preserve">WASHINGTON UTILITIES AND TRANSPORTATION </w:t>
      </w:r>
      <w:r w:rsidR="00976C04">
        <w:t>COMMISSION</w:t>
      </w:r>
    </w:p>
    <w:p w:rsidR="000A1236" w:rsidRPr="004B4252" w:rsidRDefault="000A1236" w:rsidP="00DE6413">
      <w:pPr>
        <w:spacing w:line="320" w:lineRule="exact"/>
      </w:pPr>
    </w:p>
    <w:p w:rsidR="003C2270" w:rsidRPr="004B4252" w:rsidRDefault="003C2270" w:rsidP="00DE6413">
      <w:pPr>
        <w:spacing w:line="320" w:lineRule="exact"/>
      </w:pPr>
    </w:p>
    <w:p w:rsidR="003C2270" w:rsidRPr="00A93955" w:rsidRDefault="003C2270" w:rsidP="00DE6413">
      <w:pPr>
        <w:spacing w:line="320" w:lineRule="exact"/>
      </w:pPr>
    </w:p>
    <w:p w:rsidR="003C2270" w:rsidRPr="00A93955" w:rsidRDefault="003C2270" w:rsidP="00DE6413">
      <w:pPr>
        <w:spacing w:line="320" w:lineRule="exact"/>
      </w:pPr>
      <w:r w:rsidRPr="00A93955">
        <w:tab/>
      </w:r>
      <w:r w:rsidRPr="00A93955">
        <w:tab/>
      </w:r>
      <w:r w:rsidRPr="00A93955">
        <w:tab/>
      </w:r>
      <w:r w:rsidR="00A824BE">
        <w:tab/>
      </w:r>
      <w:r w:rsidRPr="00A93955">
        <w:tab/>
      </w:r>
      <w:r w:rsidR="00374E9D" w:rsidRPr="00A93955">
        <w:t>DAVID W. DANNER</w:t>
      </w:r>
      <w:r w:rsidRPr="00A93955">
        <w:t>, Chairman</w:t>
      </w:r>
    </w:p>
    <w:p w:rsidR="003C2270" w:rsidRPr="00A93955" w:rsidRDefault="003C2270" w:rsidP="00DE6413">
      <w:pPr>
        <w:spacing w:line="320" w:lineRule="exact"/>
      </w:pPr>
    </w:p>
    <w:p w:rsidR="003C2270" w:rsidRPr="00A93955" w:rsidRDefault="003C2270" w:rsidP="00DE6413">
      <w:pPr>
        <w:spacing w:line="320" w:lineRule="exact"/>
      </w:pPr>
    </w:p>
    <w:p w:rsidR="003C2270" w:rsidRPr="00A93955" w:rsidRDefault="003C2270" w:rsidP="00DE6413">
      <w:pPr>
        <w:spacing w:line="320" w:lineRule="exact"/>
      </w:pPr>
    </w:p>
    <w:p w:rsidR="003C2270" w:rsidRPr="00A93955" w:rsidRDefault="003C2270" w:rsidP="00DE6413">
      <w:pPr>
        <w:spacing w:line="320" w:lineRule="exact"/>
      </w:pPr>
      <w:r w:rsidRPr="00A93955">
        <w:tab/>
      </w:r>
      <w:r w:rsidRPr="00A93955">
        <w:tab/>
      </w:r>
      <w:r w:rsidRPr="00A93955">
        <w:tab/>
      </w:r>
      <w:r w:rsidR="00A824BE">
        <w:tab/>
      </w:r>
      <w:r w:rsidRPr="00A93955">
        <w:tab/>
        <w:t>PHIL</w:t>
      </w:r>
      <w:r w:rsidR="00217507" w:rsidRPr="00A93955">
        <w:t>I</w:t>
      </w:r>
      <w:r w:rsidRPr="00A93955">
        <w:t xml:space="preserve">P B. JONES, </w:t>
      </w:r>
      <w:r w:rsidR="00976C04">
        <w:t>Commission</w:t>
      </w:r>
      <w:r w:rsidRPr="00A93955">
        <w:t>er</w:t>
      </w:r>
    </w:p>
    <w:p w:rsidR="007D62FB" w:rsidRPr="00A93955" w:rsidRDefault="007D62FB" w:rsidP="00DE6413">
      <w:pPr>
        <w:spacing w:line="320" w:lineRule="exact"/>
      </w:pPr>
    </w:p>
    <w:p w:rsidR="00374E9D" w:rsidRPr="00A93955" w:rsidRDefault="00374E9D" w:rsidP="004B4252">
      <w:pPr>
        <w:spacing w:line="320" w:lineRule="exact"/>
      </w:pPr>
    </w:p>
    <w:p w:rsidR="00374E9D" w:rsidRPr="00A93955" w:rsidRDefault="00374E9D" w:rsidP="004B4252">
      <w:pPr>
        <w:spacing w:line="320" w:lineRule="exact"/>
      </w:pPr>
    </w:p>
    <w:p w:rsidR="00A824BE" w:rsidRDefault="00374E9D" w:rsidP="00A824BE">
      <w:pPr>
        <w:spacing w:line="320" w:lineRule="exact"/>
        <w:ind w:left="2880" w:firstLine="720"/>
      </w:pPr>
      <w:r w:rsidRPr="00A93955">
        <w:t xml:space="preserve">JEFFREY D. GOLTZ, </w:t>
      </w:r>
      <w:r w:rsidR="00976C04">
        <w:t>Commission</w:t>
      </w:r>
      <w:r w:rsidRPr="00A93955">
        <w:t>er</w:t>
      </w:r>
    </w:p>
    <w:sectPr w:rsidR="00A824BE" w:rsidSect="00A824BE">
      <w:headerReference w:type="default" r:id="rId9"/>
      <w:headerReference w:type="firs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77" w:rsidRDefault="00850A77">
      <w:r>
        <w:separator/>
      </w:r>
    </w:p>
  </w:endnote>
  <w:endnote w:type="continuationSeparator" w:id="0">
    <w:p w:rsidR="00850A77" w:rsidRDefault="0085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77" w:rsidRDefault="00850A77">
      <w:r>
        <w:separator/>
      </w:r>
    </w:p>
  </w:footnote>
  <w:footnote w:type="continuationSeparator" w:id="0">
    <w:p w:rsidR="00850A77" w:rsidRDefault="00850A77">
      <w:r>
        <w:continuationSeparator/>
      </w:r>
    </w:p>
  </w:footnote>
  <w:footnote w:id="1">
    <w:p w:rsidR="0022345D" w:rsidRPr="0022345D" w:rsidRDefault="0022345D">
      <w:pPr>
        <w:pStyle w:val="FootnoteText"/>
        <w:rPr>
          <w:sz w:val="22"/>
          <w:szCs w:val="22"/>
        </w:rPr>
      </w:pPr>
      <w:r w:rsidRPr="0022345D">
        <w:rPr>
          <w:rStyle w:val="FootnoteReference"/>
          <w:sz w:val="22"/>
          <w:szCs w:val="22"/>
        </w:rPr>
        <w:footnoteRef/>
      </w:r>
      <w:r w:rsidRPr="0022345D">
        <w:rPr>
          <w:sz w:val="22"/>
          <w:szCs w:val="22"/>
        </w:rPr>
        <w:t xml:space="preserve"> The Commission </w:t>
      </w:r>
      <w:r>
        <w:rPr>
          <w:sz w:val="22"/>
          <w:szCs w:val="22"/>
        </w:rPr>
        <w:t>would prefer</w:t>
      </w:r>
      <w:r w:rsidRPr="0022345D">
        <w:rPr>
          <w:sz w:val="22"/>
          <w:szCs w:val="22"/>
        </w:rPr>
        <w:t xml:space="preserve"> to have known about the Avista-Bonneville negotiations earlier than at the May 9, 2013 Open Meeting.  It would have been </w:t>
      </w:r>
      <w:r w:rsidR="00CF56C1">
        <w:rPr>
          <w:sz w:val="22"/>
          <w:szCs w:val="22"/>
        </w:rPr>
        <w:t xml:space="preserve">timely </w:t>
      </w:r>
      <w:r w:rsidRPr="0022345D">
        <w:rPr>
          <w:sz w:val="22"/>
          <w:szCs w:val="22"/>
        </w:rPr>
        <w:t xml:space="preserve">for the parties </w:t>
      </w:r>
      <w:r w:rsidR="0016423C">
        <w:rPr>
          <w:sz w:val="22"/>
          <w:szCs w:val="22"/>
        </w:rPr>
        <w:t>to the Company’s last general rate case</w:t>
      </w:r>
      <w:r w:rsidR="00C26B8A">
        <w:rPr>
          <w:sz w:val="22"/>
          <w:szCs w:val="22"/>
        </w:rPr>
        <w:t>,</w:t>
      </w:r>
      <w:r w:rsidR="0016423C">
        <w:rPr>
          <w:sz w:val="22"/>
          <w:szCs w:val="22"/>
        </w:rPr>
        <w:t xml:space="preserve"> </w:t>
      </w:r>
      <w:r w:rsidR="00C26B8A">
        <w:rPr>
          <w:sz w:val="22"/>
          <w:szCs w:val="22"/>
        </w:rPr>
        <w:t xml:space="preserve">when </w:t>
      </w:r>
      <w:r w:rsidRPr="0022345D">
        <w:rPr>
          <w:sz w:val="22"/>
          <w:szCs w:val="22"/>
        </w:rPr>
        <w:t>proposing the settlement we eventually approved</w:t>
      </w:r>
      <w:r w:rsidR="00C26B8A">
        <w:rPr>
          <w:sz w:val="22"/>
          <w:szCs w:val="22"/>
        </w:rPr>
        <w:t xml:space="preserve">, </w:t>
      </w:r>
      <w:r w:rsidRPr="0022345D">
        <w:rPr>
          <w:sz w:val="22"/>
          <w:szCs w:val="22"/>
        </w:rPr>
        <w:t xml:space="preserve">to have apprised us </w:t>
      </w:r>
      <w:r w:rsidR="00CF56C1">
        <w:rPr>
          <w:sz w:val="22"/>
          <w:szCs w:val="22"/>
        </w:rPr>
        <w:t>in December 2012</w:t>
      </w:r>
      <w:r w:rsidR="00CF56C1" w:rsidRPr="0022345D">
        <w:rPr>
          <w:sz w:val="22"/>
          <w:szCs w:val="22"/>
        </w:rPr>
        <w:t xml:space="preserve"> </w:t>
      </w:r>
      <w:r w:rsidRPr="0022345D">
        <w:rPr>
          <w:sz w:val="22"/>
          <w:szCs w:val="22"/>
        </w:rPr>
        <w:t>of the pen</w:t>
      </w:r>
      <w:r w:rsidR="00CF56C1">
        <w:rPr>
          <w:sz w:val="22"/>
          <w:szCs w:val="22"/>
        </w:rPr>
        <w:t xml:space="preserve">ding settlement with Bonneville.   </w:t>
      </w:r>
      <w:r w:rsidR="00C26B8A">
        <w:rPr>
          <w:sz w:val="22"/>
          <w:szCs w:val="22"/>
        </w:rPr>
        <w:t xml:space="preserve">Not doing so denied the Commission </w:t>
      </w:r>
      <w:r w:rsidR="00CF56C1">
        <w:rPr>
          <w:sz w:val="22"/>
          <w:szCs w:val="22"/>
        </w:rPr>
        <w:t xml:space="preserve">the benefit of full knowledge of all relevant circumstances, including these </w:t>
      </w:r>
      <w:r w:rsidR="00CF56C1" w:rsidRPr="0022345D">
        <w:rPr>
          <w:sz w:val="22"/>
          <w:szCs w:val="22"/>
        </w:rPr>
        <w:t xml:space="preserve">significant </w:t>
      </w:r>
      <w:r w:rsidR="00CF56C1">
        <w:rPr>
          <w:sz w:val="22"/>
          <w:szCs w:val="22"/>
        </w:rPr>
        <w:t xml:space="preserve">anticipated </w:t>
      </w:r>
      <w:r w:rsidR="00CF56C1" w:rsidRPr="0022345D">
        <w:rPr>
          <w:sz w:val="22"/>
          <w:szCs w:val="22"/>
        </w:rPr>
        <w:t xml:space="preserve">revenues for Avista.  </w:t>
      </w:r>
      <w:r w:rsidRPr="0022345D">
        <w:rPr>
          <w:sz w:val="22"/>
          <w:szCs w:val="22"/>
        </w:rPr>
        <w:t xml:space="preserve">Given our consideration of a two-year rate plan in that proposed settlement, </w:t>
      </w:r>
      <w:r w:rsidR="00436F38">
        <w:rPr>
          <w:sz w:val="22"/>
          <w:szCs w:val="22"/>
        </w:rPr>
        <w:t xml:space="preserve">receiving </w:t>
      </w:r>
      <w:r w:rsidR="00C26B8A">
        <w:rPr>
          <w:sz w:val="22"/>
          <w:szCs w:val="22"/>
        </w:rPr>
        <w:t xml:space="preserve">information </w:t>
      </w:r>
      <w:r>
        <w:rPr>
          <w:sz w:val="22"/>
          <w:szCs w:val="22"/>
        </w:rPr>
        <w:t>about th</w:t>
      </w:r>
      <w:r w:rsidRPr="0022345D">
        <w:rPr>
          <w:sz w:val="22"/>
          <w:szCs w:val="22"/>
        </w:rPr>
        <w:t>e</w:t>
      </w:r>
      <w:r w:rsidR="00CF56C1">
        <w:rPr>
          <w:sz w:val="22"/>
          <w:szCs w:val="22"/>
        </w:rPr>
        <w:t xml:space="preserve"> pending BPA</w:t>
      </w:r>
      <w:r w:rsidRPr="0022345D">
        <w:rPr>
          <w:sz w:val="22"/>
          <w:szCs w:val="22"/>
        </w:rPr>
        <w:t xml:space="preserve"> transmission revenues </w:t>
      </w:r>
      <w:r>
        <w:rPr>
          <w:sz w:val="22"/>
          <w:szCs w:val="22"/>
        </w:rPr>
        <w:t xml:space="preserve">would have been all the more </w:t>
      </w:r>
      <w:r w:rsidR="00CF56C1">
        <w:rPr>
          <w:sz w:val="22"/>
          <w:szCs w:val="22"/>
        </w:rPr>
        <w:t>appropriate</w:t>
      </w:r>
      <w:r w:rsidRPr="0022345D">
        <w:rPr>
          <w:sz w:val="22"/>
          <w:szCs w:val="22"/>
        </w:rPr>
        <w:t xml:space="preserve">.  In the future, we expect fuller disclosure of </w:t>
      </w:r>
      <w:r w:rsidR="00CF56C1">
        <w:rPr>
          <w:sz w:val="22"/>
          <w:szCs w:val="22"/>
        </w:rPr>
        <w:t xml:space="preserve">all </w:t>
      </w:r>
      <w:r w:rsidRPr="0022345D">
        <w:rPr>
          <w:sz w:val="22"/>
          <w:szCs w:val="22"/>
        </w:rPr>
        <w:t xml:space="preserve">such issues that might have a </w:t>
      </w:r>
      <w:r w:rsidR="00CF56C1">
        <w:rPr>
          <w:sz w:val="22"/>
          <w:szCs w:val="22"/>
        </w:rPr>
        <w:t>considerable impact on how we evaluate a proposed change in a company’s rates</w:t>
      </w:r>
      <w:r w:rsidRPr="0022345D">
        <w:rPr>
          <w:sz w:val="22"/>
          <w:szCs w:val="22"/>
        </w:rPr>
        <w:t>.</w:t>
      </w:r>
    </w:p>
  </w:footnote>
  <w:footnote w:id="2">
    <w:p w:rsidR="003A6511" w:rsidRPr="003A6511" w:rsidRDefault="003A6511">
      <w:pPr>
        <w:pStyle w:val="FootnoteText"/>
        <w:rPr>
          <w:sz w:val="22"/>
          <w:szCs w:val="22"/>
        </w:rPr>
      </w:pPr>
      <w:r w:rsidRPr="003A6511">
        <w:rPr>
          <w:rStyle w:val="FootnoteReference"/>
          <w:sz w:val="22"/>
          <w:szCs w:val="22"/>
        </w:rPr>
        <w:footnoteRef/>
      </w:r>
      <w:r w:rsidRPr="003A6511">
        <w:rPr>
          <w:sz w:val="22"/>
          <w:szCs w:val="22"/>
        </w:rPr>
        <w:t xml:space="preserve"> The revised petition filed on April 12, 2013, not the Company’s original petition </w:t>
      </w:r>
      <w:r>
        <w:rPr>
          <w:sz w:val="22"/>
          <w:szCs w:val="22"/>
        </w:rPr>
        <w:t>filed on January </w:t>
      </w:r>
      <w:r w:rsidRPr="003A6511">
        <w:rPr>
          <w:sz w:val="22"/>
          <w:szCs w:val="22"/>
        </w:rPr>
        <w:t>28, 2013, in Docket UE-130115.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BE" w:rsidRPr="00A824BE" w:rsidRDefault="00A824BE" w:rsidP="00A824BE">
    <w:pPr>
      <w:pStyle w:val="Header"/>
      <w:tabs>
        <w:tab w:val="clear" w:pos="4320"/>
      </w:tabs>
      <w:rPr>
        <w:b/>
        <w:noProof/>
        <w:sz w:val="20"/>
        <w:szCs w:val="20"/>
      </w:rPr>
    </w:pPr>
    <w:r w:rsidRPr="00A824BE">
      <w:rPr>
        <w:b/>
        <w:sz w:val="20"/>
        <w:szCs w:val="20"/>
      </w:rPr>
      <w:t>DOCKET UE-130536</w:t>
    </w:r>
    <w:r w:rsidRPr="00A824BE">
      <w:rPr>
        <w:b/>
        <w:sz w:val="20"/>
        <w:szCs w:val="20"/>
      </w:rPr>
      <w:tab/>
      <w:t xml:space="preserve">PAGE </w:t>
    </w:r>
    <w:r w:rsidRPr="00A824BE">
      <w:rPr>
        <w:b/>
        <w:sz w:val="20"/>
        <w:szCs w:val="20"/>
      </w:rPr>
      <w:fldChar w:fldCharType="begin"/>
    </w:r>
    <w:r w:rsidRPr="00A824BE">
      <w:rPr>
        <w:b/>
        <w:sz w:val="20"/>
        <w:szCs w:val="20"/>
      </w:rPr>
      <w:instrText xml:space="preserve"> PAGE   \* MERGEFORMAT </w:instrText>
    </w:r>
    <w:r w:rsidRPr="00A824BE">
      <w:rPr>
        <w:b/>
        <w:sz w:val="20"/>
        <w:szCs w:val="20"/>
      </w:rPr>
      <w:fldChar w:fldCharType="separate"/>
    </w:r>
    <w:r w:rsidR="00A968D2">
      <w:rPr>
        <w:b/>
        <w:noProof/>
        <w:sz w:val="20"/>
        <w:szCs w:val="20"/>
      </w:rPr>
      <w:t>2</w:t>
    </w:r>
    <w:r w:rsidRPr="00A824BE">
      <w:rPr>
        <w:b/>
        <w:noProof/>
        <w:sz w:val="20"/>
        <w:szCs w:val="20"/>
      </w:rPr>
      <w:fldChar w:fldCharType="end"/>
    </w:r>
  </w:p>
  <w:p w:rsidR="00A824BE" w:rsidRPr="00A824BE" w:rsidRDefault="00A824BE" w:rsidP="00A824BE">
    <w:pPr>
      <w:pStyle w:val="Header"/>
      <w:tabs>
        <w:tab w:val="clear" w:pos="4320"/>
      </w:tabs>
      <w:rPr>
        <w:b/>
        <w:noProof/>
        <w:sz w:val="20"/>
        <w:szCs w:val="20"/>
      </w:rPr>
    </w:pPr>
    <w:r w:rsidRPr="00A824BE">
      <w:rPr>
        <w:b/>
        <w:noProof/>
        <w:sz w:val="20"/>
        <w:szCs w:val="20"/>
      </w:rPr>
      <w:t>ORDER 01</w:t>
    </w:r>
  </w:p>
  <w:p w:rsidR="00A824BE" w:rsidRPr="00A824BE" w:rsidRDefault="00A824BE" w:rsidP="00A824BE">
    <w:pPr>
      <w:pStyle w:val="Header"/>
      <w:tabs>
        <w:tab w:val="clear" w:pos="432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D47" w:rsidRPr="00D64D47" w:rsidRDefault="00D64D47" w:rsidP="00D64D47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D64D47">
      <w:rPr>
        <w:b/>
        <w:sz w:val="20"/>
        <w:szCs w:val="20"/>
      </w:rPr>
      <w:t>[Service Date May 17,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FB7"/>
    <w:multiLevelType w:val="hybridMultilevel"/>
    <w:tmpl w:val="B4B628FA"/>
    <w:lvl w:ilvl="0" w:tplc="5BC8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D6978"/>
    <w:multiLevelType w:val="hybridMultilevel"/>
    <w:tmpl w:val="C4E4159E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89"/>
    <w:rsid w:val="00002219"/>
    <w:rsid w:val="00020192"/>
    <w:rsid w:val="00045705"/>
    <w:rsid w:val="00050C2A"/>
    <w:rsid w:val="00054E24"/>
    <w:rsid w:val="00057A7C"/>
    <w:rsid w:val="00057BB3"/>
    <w:rsid w:val="00080049"/>
    <w:rsid w:val="00087793"/>
    <w:rsid w:val="00096295"/>
    <w:rsid w:val="000A1236"/>
    <w:rsid w:val="000B2415"/>
    <w:rsid w:val="000C0449"/>
    <w:rsid w:val="000E0FD7"/>
    <w:rsid w:val="000F378C"/>
    <w:rsid w:val="00103788"/>
    <w:rsid w:val="001223E6"/>
    <w:rsid w:val="00137B5D"/>
    <w:rsid w:val="001458A7"/>
    <w:rsid w:val="00156783"/>
    <w:rsid w:val="0016423C"/>
    <w:rsid w:val="00191FEF"/>
    <w:rsid w:val="001A2CF4"/>
    <w:rsid w:val="001E31D2"/>
    <w:rsid w:val="001F3B92"/>
    <w:rsid w:val="00210528"/>
    <w:rsid w:val="0021323F"/>
    <w:rsid w:val="00216FA6"/>
    <w:rsid w:val="00217507"/>
    <w:rsid w:val="0022345D"/>
    <w:rsid w:val="00234FF1"/>
    <w:rsid w:val="00256D8F"/>
    <w:rsid w:val="00267B11"/>
    <w:rsid w:val="00272661"/>
    <w:rsid w:val="0027661F"/>
    <w:rsid w:val="002A288F"/>
    <w:rsid w:val="002A391C"/>
    <w:rsid w:val="002B3CB0"/>
    <w:rsid w:val="002F1BE3"/>
    <w:rsid w:val="00304BB0"/>
    <w:rsid w:val="00374E9D"/>
    <w:rsid w:val="003767A1"/>
    <w:rsid w:val="00385C94"/>
    <w:rsid w:val="003919D4"/>
    <w:rsid w:val="0039735B"/>
    <w:rsid w:val="003A6511"/>
    <w:rsid w:val="003C2211"/>
    <w:rsid w:val="003C2270"/>
    <w:rsid w:val="003D722D"/>
    <w:rsid w:val="003F643B"/>
    <w:rsid w:val="0040179C"/>
    <w:rsid w:val="00406621"/>
    <w:rsid w:val="00420751"/>
    <w:rsid w:val="0043185D"/>
    <w:rsid w:val="00435481"/>
    <w:rsid w:val="00436F38"/>
    <w:rsid w:val="004376D1"/>
    <w:rsid w:val="00446310"/>
    <w:rsid w:val="00471764"/>
    <w:rsid w:val="0048744E"/>
    <w:rsid w:val="00491C72"/>
    <w:rsid w:val="004B4252"/>
    <w:rsid w:val="004D5FF0"/>
    <w:rsid w:val="004E2CE6"/>
    <w:rsid w:val="004E41FF"/>
    <w:rsid w:val="004E7207"/>
    <w:rsid w:val="00511606"/>
    <w:rsid w:val="00512EC6"/>
    <w:rsid w:val="00525321"/>
    <w:rsid w:val="00526342"/>
    <w:rsid w:val="00537A6E"/>
    <w:rsid w:val="005579E7"/>
    <w:rsid w:val="00560A2A"/>
    <w:rsid w:val="00565709"/>
    <w:rsid w:val="00566840"/>
    <w:rsid w:val="00572F55"/>
    <w:rsid w:val="005A0FF8"/>
    <w:rsid w:val="005A1E76"/>
    <w:rsid w:val="005A6F25"/>
    <w:rsid w:val="005B14C1"/>
    <w:rsid w:val="005E6284"/>
    <w:rsid w:val="00603F5F"/>
    <w:rsid w:val="006262B3"/>
    <w:rsid w:val="00641557"/>
    <w:rsid w:val="006641CB"/>
    <w:rsid w:val="00676D9C"/>
    <w:rsid w:val="00680D48"/>
    <w:rsid w:val="0069672F"/>
    <w:rsid w:val="006C4048"/>
    <w:rsid w:val="006E534F"/>
    <w:rsid w:val="00706D7A"/>
    <w:rsid w:val="007133EB"/>
    <w:rsid w:val="007147E9"/>
    <w:rsid w:val="007308FD"/>
    <w:rsid w:val="00734678"/>
    <w:rsid w:val="00743F15"/>
    <w:rsid w:val="007454F4"/>
    <w:rsid w:val="0076326D"/>
    <w:rsid w:val="00787AB4"/>
    <w:rsid w:val="00796C40"/>
    <w:rsid w:val="007A7A31"/>
    <w:rsid w:val="007C1F37"/>
    <w:rsid w:val="007D4110"/>
    <w:rsid w:val="007D4C59"/>
    <w:rsid w:val="007D62FB"/>
    <w:rsid w:val="007E6159"/>
    <w:rsid w:val="0080664E"/>
    <w:rsid w:val="008246C9"/>
    <w:rsid w:val="00830EB3"/>
    <w:rsid w:val="00840ABC"/>
    <w:rsid w:val="00845BCE"/>
    <w:rsid w:val="00850A77"/>
    <w:rsid w:val="008633E5"/>
    <w:rsid w:val="00887761"/>
    <w:rsid w:val="008929C8"/>
    <w:rsid w:val="0089747D"/>
    <w:rsid w:val="008A5BDE"/>
    <w:rsid w:val="008A75BB"/>
    <w:rsid w:val="008B54C1"/>
    <w:rsid w:val="008B6F84"/>
    <w:rsid w:val="008D02F1"/>
    <w:rsid w:val="008D6469"/>
    <w:rsid w:val="008F30A5"/>
    <w:rsid w:val="008F66CE"/>
    <w:rsid w:val="00905B46"/>
    <w:rsid w:val="00921B35"/>
    <w:rsid w:val="00922662"/>
    <w:rsid w:val="0092543D"/>
    <w:rsid w:val="00933DCC"/>
    <w:rsid w:val="00940E71"/>
    <w:rsid w:val="009545E1"/>
    <w:rsid w:val="00976C04"/>
    <w:rsid w:val="009B3E4E"/>
    <w:rsid w:val="009D22A5"/>
    <w:rsid w:val="009D5E0A"/>
    <w:rsid w:val="009F3262"/>
    <w:rsid w:val="00A2131C"/>
    <w:rsid w:val="00A26911"/>
    <w:rsid w:val="00A272E7"/>
    <w:rsid w:val="00A32948"/>
    <w:rsid w:val="00A34118"/>
    <w:rsid w:val="00A3599C"/>
    <w:rsid w:val="00A4134E"/>
    <w:rsid w:val="00A4726B"/>
    <w:rsid w:val="00A6402D"/>
    <w:rsid w:val="00A824BE"/>
    <w:rsid w:val="00A93955"/>
    <w:rsid w:val="00A968D2"/>
    <w:rsid w:val="00AC1794"/>
    <w:rsid w:val="00AC6815"/>
    <w:rsid w:val="00AD405A"/>
    <w:rsid w:val="00AE3DC1"/>
    <w:rsid w:val="00AE4840"/>
    <w:rsid w:val="00AF4CDA"/>
    <w:rsid w:val="00B17FAB"/>
    <w:rsid w:val="00B46F62"/>
    <w:rsid w:val="00B7132A"/>
    <w:rsid w:val="00B76994"/>
    <w:rsid w:val="00BA2657"/>
    <w:rsid w:val="00BA627E"/>
    <w:rsid w:val="00BD5323"/>
    <w:rsid w:val="00BD6086"/>
    <w:rsid w:val="00BF3EF7"/>
    <w:rsid w:val="00C2274F"/>
    <w:rsid w:val="00C26B8A"/>
    <w:rsid w:val="00C324C6"/>
    <w:rsid w:val="00C40733"/>
    <w:rsid w:val="00C44591"/>
    <w:rsid w:val="00C47D0C"/>
    <w:rsid w:val="00C517E9"/>
    <w:rsid w:val="00C622F6"/>
    <w:rsid w:val="00C719A3"/>
    <w:rsid w:val="00C87791"/>
    <w:rsid w:val="00C923D6"/>
    <w:rsid w:val="00C979BD"/>
    <w:rsid w:val="00CD75FE"/>
    <w:rsid w:val="00CF56C1"/>
    <w:rsid w:val="00D30CD1"/>
    <w:rsid w:val="00D37AE6"/>
    <w:rsid w:val="00D440B2"/>
    <w:rsid w:val="00D47144"/>
    <w:rsid w:val="00D64D47"/>
    <w:rsid w:val="00D7219C"/>
    <w:rsid w:val="00D75862"/>
    <w:rsid w:val="00D8358F"/>
    <w:rsid w:val="00D842FB"/>
    <w:rsid w:val="00D90689"/>
    <w:rsid w:val="00D938E7"/>
    <w:rsid w:val="00DA0056"/>
    <w:rsid w:val="00DA4BE5"/>
    <w:rsid w:val="00DD095B"/>
    <w:rsid w:val="00DD589F"/>
    <w:rsid w:val="00DE6413"/>
    <w:rsid w:val="00E02724"/>
    <w:rsid w:val="00E36BC8"/>
    <w:rsid w:val="00E4683D"/>
    <w:rsid w:val="00E67832"/>
    <w:rsid w:val="00E67931"/>
    <w:rsid w:val="00E8335A"/>
    <w:rsid w:val="00E9720B"/>
    <w:rsid w:val="00EA133C"/>
    <w:rsid w:val="00EE6A09"/>
    <w:rsid w:val="00F03613"/>
    <w:rsid w:val="00F23EAE"/>
    <w:rsid w:val="00F54B0B"/>
    <w:rsid w:val="00F73818"/>
    <w:rsid w:val="00F75266"/>
    <w:rsid w:val="00F90C96"/>
    <w:rsid w:val="00FB0CA3"/>
    <w:rsid w:val="00FC0341"/>
    <w:rsid w:val="00FC27F2"/>
    <w:rsid w:val="00FE2919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C96"/>
    <w:rPr>
      <w:sz w:val="24"/>
      <w:szCs w:val="24"/>
    </w:rPr>
  </w:style>
  <w:style w:type="paragraph" w:styleId="Heading1">
    <w:name w:val="heading 1"/>
    <w:basedOn w:val="Normal"/>
    <w:next w:val="Normal"/>
    <w:qFormat/>
    <w:rsid w:val="00F90C9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0C96"/>
    <w:pPr>
      <w:jc w:val="center"/>
    </w:pPr>
  </w:style>
  <w:style w:type="paragraph" w:styleId="Header">
    <w:name w:val="header"/>
    <w:basedOn w:val="Normal"/>
    <w:link w:val="HeaderChar"/>
    <w:uiPriority w:val="99"/>
    <w:rsid w:val="00F90C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0C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0C96"/>
  </w:style>
  <w:style w:type="paragraph" w:customStyle="1" w:styleId="Findings">
    <w:name w:val="Findings"/>
    <w:basedOn w:val="Normal"/>
    <w:rsid w:val="00F90C96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rsid w:val="00F75266"/>
    <w:rPr>
      <w:color w:val="0000FF"/>
      <w:u w:val="none"/>
    </w:rPr>
  </w:style>
  <w:style w:type="character" w:styleId="FollowedHyperlink">
    <w:name w:val="FollowedHyperlink"/>
    <w:rsid w:val="00F7526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A4BE5"/>
    <w:pPr>
      <w:ind w:left="720"/>
    </w:pPr>
  </w:style>
  <w:style w:type="character" w:styleId="CommentReference">
    <w:name w:val="annotation reference"/>
    <w:rsid w:val="00AE4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8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4840"/>
  </w:style>
  <w:style w:type="paragraph" w:styleId="CommentSubject">
    <w:name w:val="annotation subject"/>
    <w:basedOn w:val="CommentText"/>
    <w:next w:val="CommentText"/>
    <w:link w:val="CommentSubjectChar"/>
    <w:rsid w:val="00AE4840"/>
    <w:rPr>
      <w:b/>
      <w:bCs/>
    </w:rPr>
  </w:style>
  <w:style w:type="character" w:customStyle="1" w:styleId="CommentSubjectChar">
    <w:name w:val="Comment Subject Char"/>
    <w:link w:val="CommentSubject"/>
    <w:rsid w:val="00AE4840"/>
    <w:rPr>
      <w:b/>
      <w:bCs/>
    </w:rPr>
  </w:style>
  <w:style w:type="paragraph" w:styleId="FootnoteText">
    <w:name w:val="footnote text"/>
    <w:basedOn w:val="Normal"/>
    <w:link w:val="FootnoteTextChar"/>
    <w:rsid w:val="002234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345D"/>
  </w:style>
  <w:style w:type="character" w:styleId="FootnoteReference">
    <w:name w:val="footnote reference"/>
    <w:basedOn w:val="DefaultParagraphFont"/>
    <w:rsid w:val="0022345D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A824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C96"/>
    <w:rPr>
      <w:sz w:val="24"/>
      <w:szCs w:val="24"/>
    </w:rPr>
  </w:style>
  <w:style w:type="paragraph" w:styleId="Heading1">
    <w:name w:val="heading 1"/>
    <w:basedOn w:val="Normal"/>
    <w:next w:val="Normal"/>
    <w:qFormat/>
    <w:rsid w:val="00F90C9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0C96"/>
    <w:pPr>
      <w:jc w:val="center"/>
    </w:pPr>
  </w:style>
  <w:style w:type="paragraph" w:styleId="Header">
    <w:name w:val="header"/>
    <w:basedOn w:val="Normal"/>
    <w:link w:val="HeaderChar"/>
    <w:uiPriority w:val="99"/>
    <w:rsid w:val="00F90C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0C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0C96"/>
  </w:style>
  <w:style w:type="paragraph" w:customStyle="1" w:styleId="Findings">
    <w:name w:val="Findings"/>
    <w:basedOn w:val="Normal"/>
    <w:rsid w:val="00F90C96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rsid w:val="00F75266"/>
    <w:rPr>
      <w:color w:val="0000FF"/>
      <w:u w:val="none"/>
    </w:rPr>
  </w:style>
  <w:style w:type="character" w:styleId="FollowedHyperlink">
    <w:name w:val="FollowedHyperlink"/>
    <w:rsid w:val="00F7526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A4BE5"/>
    <w:pPr>
      <w:ind w:left="720"/>
    </w:pPr>
  </w:style>
  <w:style w:type="character" w:styleId="CommentReference">
    <w:name w:val="annotation reference"/>
    <w:rsid w:val="00AE4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8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4840"/>
  </w:style>
  <w:style w:type="paragraph" w:styleId="CommentSubject">
    <w:name w:val="annotation subject"/>
    <w:basedOn w:val="CommentText"/>
    <w:next w:val="CommentText"/>
    <w:link w:val="CommentSubjectChar"/>
    <w:rsid w:val="00AE4840"/>
    <w:rPr>
      <w:b/>
      <w:bCs/>
    </w:rPr>
  </w:style>
  <w:style w:type="character" w:customStyle="1" w:styleId="CommentSubjectChar">
    <w:name w:val="Comment Subject Char"/>
    <w:link w:val="CommentSubject"/>
    <w:rsid w:val="00AE4840"/>
    <w:rPr>
      <w:b/>
      <w:bCs/>
    </w:rPr>
  </w:style>
  <w:style w:type="paragraph" w:styleId="FootnoteText">
    <w:name w:val="footnote text"/>
    <w:basedOn w:val="Normal"/>
    <w:link w:val="FootnoteTextChar"/>
    <w:rsid w:val="002234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345D"/>
  </w:style>
  <w:style w:type="character" w:styleId="FootnoteReference">
    <w:name w:val="footnote reference"/>
    <w:basedOn w:val="DefaultParagraphFont"/>
    <w:rsid w:val="0022345D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A824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89B763E90F91419E810FA9A0CAA770" ma:contentTypeVersion="135" ma:contentTypeDescription="" ma:contentTypeScope="" ma:versionID="564f7033349d247135e6023d38064f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2013-04-12T07:00:00+00:00</OpenedDate>
    <Date1 xmlns="dc463f71-b30c-4ab2-9473-d307f9d35888">2013-05-17T07:00:00+00:00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130536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B62DA1-8759-4218-8A07-FF3E934BD816}"/>
</file>

<file path=customXml/itemProps2.xml><?xml version="1.0" encoding="utf-8"?>
<ds:datastoreItem xmlns:ds="http://schemas.openxmlformats.org/officeDocument/2006/customXml" ds:itemID="{0AA336FB-95EC-4815-8355-C5C7533CF233}"/>
</file>

<file path=customXml/itemProps3.xml><?xml version="1.0" encoding="utf-8"?>
<ds:datastoreItem xmlns:ds="http://schemas.openxmlformats.org/officeDocument/2006/customXml" ds:itemID="{E74AAF44-5A25-49A7-AAA2-3FF4A180C3C3}"/>
</file>

<file path=customXml/itemProps4.xml><?xml version="1.0" encoding="utf-8"?>
<ds:datastoreItem xmlns:ds="http://schemas.openxmlformats.org/officeDocument/2006/customXml" ds:itemID="{6C348A7E-72F5-4960-891F-72DA8FA1AB47}"/>
</file>

<file path=customXml/itemProps5.xml><?xml version="1.0" encoding="utf-8"?>
<ds:datastoreItem xmlns:ds="http://schemas.openxmlformats.org/officeDocument/2006/customXml" ds:itemID="{BA479F77-A24E-4C4E-AB62-E5EB9E2DA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11085</CharactersWithSpaces>
  <SharedDoc>false</SharedDoc>
  <HLinks>
    <vt:vector size="54" baseType="variant">
      <vt:variant>
        <vt:i4>2490368</vt:i4>
      </vt:variant>
      <vt:variant>
        <vt:i4>153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3407904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2013-05-17T15:32:00Z</dcterms:created>
  <dcterms:modified xsi:type="dcterms:W3CDTF">2013-05-17T15:32:00Z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0x0101006E56B4D1795A2E4DB2F0B01679ED314A007C89B763E90F91419E810FA9A0CAA770</vt:lpwstr>
  </property>
  <property fmtid="{D5CDD505-2E9C-101B-9397-08002B2CF9AE}" pid="3" name="_docset_NoMedatataSyncRequired">
    <vt:lpwstr>False</vt:lpwstr>
  </property>
</Properties>
</file>