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F9D81F" w14:textId="77777777" w:rsidR="0018597D" w:rsidRPr="00882E5C" w:rsidRDefault="00920E26" w:rsidP="00882E5C">
      <w:pPr>
        <w:jc w:val="center"/>
        <w:rPr>
          <w:b/>
          <w:sz w:val="28"/>
          <w:szCs w:val="28"/>
        </w:rPr>
      </w:pPr>
      <w:bookmarkStart w:id="0" w:name="_GoBack"/>
      <w:bookmarkEnd w:id="0"/>
      <w:r w:rsidRPr="00882E5C">
        <w:rPr>
          <w:b/>
          <w:sz w:val="28"/>
          <w:szCs w:val="28"/>
        </w:rPr>
        <w:t>Attachment</w:t>
      </w:r>
    </w:p>
    <w:p w14:paraId="6BE4F8E6" w14:textId="77777777" w:rsidR="00920E26" w:rsidRPr="002B1750" w:rsidRDefault="00920E26" w:rsidP="00882E5C">
      <w:pPr>
        <w:jc w:val="center"/>
      </w:pPr>
    </w:p>
    <w:p w14:paraId="4A2D6F03" w14:textId="77777777" w:rsidR="003E077C" w:rsidRPr="003E077C" w:rsidRDefault="005A00B6" w:rsidP="004D7A3E">
      <w:pPr>
        <w:jc w:val="center"/>
        <w:rPr>
          <w:b/>
        </w:rPr>
      </w:pPr>
      <w:r w:rsidRPr="003E077C">
        <w:rPr>
          <w:b/>
        </w:rPr>
        <w:t>Avista</w:t>
      </w:r>
      <w:r w:rsidR="00920E26" w:rsidRPr="003E077C">
        <w:rPr>
          <w:b/>
        </w:rPr>
        <w:t xml:space="preserve"> </w:t>
      </w:r>
      <w:r w:rsidR="004B5C26" w:rsidRPr="003E077C">
        <w:rPr>
          <w:b/>
        </w:rPr>
        <w:t>2013</w:t>
      </w:r>
      <w:r w:rsidR="007B3296" w:rsidRPr="003E077C">
        <w:rPr>
          <w:b/>
        </w:rPr>
        <w:t xml:space="preserve"> Integrated Resource Plan</w:t>
      </w:r>
      <w:r w:rsidR="00920E26" w:rsidRPr="003E077C">
        <w:rPr>
          <w:b/>
        </w:rPr>
        <w:t xml:space="preserve"> </w:t>
      </w:r>
    </w:p>
    <w:p w14:paraId="4C08AFAA" w14:textId="77777777" w:rsidR="007B3296" w:rsidRPr="003E077C" w:rsidRDefault="007A147B" w:rsidP="004D7A3E">
      <w:pPr>
        <w:jc w:val="center"/>
        <w:rPr>
          <w:b/>
        </w:rPr>
      </w:pPr>
      <w:r w:rsidRPr="003E077C">
        <w:rPr>
          <w:b/>
        </w:rPr>
        <w:t xml:space="preserve">Docket </w:t>
      </w:r>
      <w:r w:rsidR="00920E26" w:rsidRPr="003E077C">
        <w:rPr>
          <w:b/>
        </w:rPr>
        <w:t>UE-</w:t>
      </w:r>
      <w:r w:rsidR="005A00B6" w:rsidRPr="003E077C">
        <w:rPr>
          <w:b/>
        </w:rPr>
        <w:t>121421</w:t>
      </w:r>
    </w:p>
    <w:p w14:paraId="0447E3FA" w14:textId="77777777" w:rsidR="007B3296" w:rsidRPr="002B1750" w:rsidRDefault="007B3296" w:rsidP="008E5FDC"/>
    <w:p w14:paraId="5501B1C8" w14:textId="77777777" w:rsidR="004B5C26" w:rsidRPr="002B1750" w:rsidRDefault="00DB1C40" w:rsidP="008E5FDC">
      <w:r w:rsidRPr="002B1750">
        <w:t xml:space="preserve">WAC 480-100-238 </w:t>
      </w:r>
      <w:r w:rsidR="00E47BFA" w:rsidRPr="002B1750">
        <w:t xml:space="preserve">directs </w:t>
      </w:r>
      <w:r w:rsidR="00A61C8E" w:rsidRPr="002B1750">
        <w:t xml:space="preserve">investor-owned energy </w:t>
      </w:r>
      <w:r w:rsidR="00E47BFA" w:rsidRPr="002B1750">
        <w:t>utilit</w:t>
      </w:r>
      <w:r w:rsidR="00A61C8E" w:rsidRPr="002B1750">
        <w:t>ies</w:t>
      </w:r>
      <w:r w:rsidR="007833BF" w:rsidRPr="002B1750">
        <w:t xml:space="preserve"> (IOUs)</w:t>
      </w:r>
      <w:r w:rsidR="00E47BFA" w:rsidRPr="002B1750">
        <w:t xml:space="preserve"> to </w:t>
      </w:r>
      <w:r w:rsidR="00724E3C">
        <w:t>describe the mix of energy supply resources and conservation that will meet current and future needs at the lowest reasonable cost to the utilities and its ratepayers.</w:t>
      </w:r>
      <w:r w:rsidR="00724E3C">
        <w:rPr>
          <w:rStyle w:val="FootnoteReference"/>
        </w:rPr>
        <w:footnoteReference w:id="1"/>
      </w:r>
      <w:r w:rsidR="00DF6673">
        <w:t xml:space="preserve"> In determining the lowest reasonable cost mix of resources, a util</w:t>
      </w:r>
      <w:r w:rsidR="00796DF6">
        <w:t>ity must consider such factors as</w:t>
      </w:r>
      <w:r w:rsidR="00DF6673">
        <w:t xml:space="preserve"> resource cost, market-volatility risks, resource dispatchability, resource effect on system operation, public policies regarding resource preference adopted by Washington State or the federal government and the cost of risks associated with environmental effects including emissions of carbon dioxide.</w:t>
      </w:r>
      <w:r w:rsidR="00DF6673">
        <w:rPr>
          <w:rStyle w:val="FootnoteReference"/>
        </w:rPr>
        <w:footnoteReference w:id="2"/>
      </w:r>
      <w:r w:rsidR="00B512D0">
        <w:t xml:space="preserve"> </w:t>
      </w:r>
      <w:r w:rsidR="007833BF" w:rsidRPr="002B1750">
        <w:t xml:space="preserve">The rule </w:t>
      </w:r>
      <w:r w:rsidR="00B512D0">
        <w:t>necessitates that IOUs conduct</w:t>
      </w:r>
      <w:r w:rsidR="00E47BFA" w:rsidRPr="002B1750">
        <w:t xml:space="preserve"> </w:t>
      </w:r>
      <w:r w:rsidRPr="002B1750">
        <w:t>a cohesive analysis of the costs and benefits</w:t>
      </w:r>
      <w:r w:rsidR="00B512D0">
        <w:t>, including risk mitigation benefits,</w:t>
      </w:r>
      <w:r w:rsidRPr="002B1750">
        <w:t xml:space="preserve"> of various approaches to meeting future resource needs</w:t>
      </w:r>
      <w:r w:rsidR="00FD733A" w:rsidRPr="002B1750">
        <w:t xml:space="preserve"> </w:t>
      </w:r>
      <w:r w:rsidR="00882625" w:rsidRPr="002B1750">
        <w:t>using</w:t>
      </w:r>
      <w:r w:rsidR="00FD733A" w:rsidRPr="002B1750">
        <w:t xml:space="preserve"> the best available information</w:t>
      </w:r>
      <w:r w:rsidR="00637A50" w:rsidRPr="002B1750">
        <w:t xml:space="preserve">.  </w:t>
      </w:r>
    </w:p>
    <w:p w14:paraId="3D0E15D4" w14:textId="77777777" w:rsidR="00FA039F" w:rsidRPr="002B1750" w:rsidRDefault="00FA039F" w:rsidP="008E5FDC"/>
    <w:p w14:paraId="60684D7D" w14:textId="77777777" w:rsidR="00A61C8E" w:rsidRPr="002B1750" w:rsidRDefault="00A61C8E" w:rsidP="008E5FDC">
      <w:r w:rsidRPr="002B1750">
        <w:t>Recent developments have created major changes in the utility industry, bringing new opportunities and challenges.  Technological advances have increased the supply of natural gas</w:t>
      </w:r>
      <w:r w:rsidR="001452B8">
        <w:t xml:space="preserve"> while lowering its cost</w:t>
      </w:r>
      <w:r w:rsidR="00385FB0">
        <w:t>,</w:t>
      </w:r>
      <w:r w:rsidR="00B42256">
        <w:t xml:space="preserve"> and</w:t>
      </w:r>
      <w:r w:rsidRPr="002B1750">
        <w:t xml:space="preserve"> new resources like wind and solar have grown in capability and fallen in price.  State policies for renewable portfolio standards, greenhouse gas reduction and mandatory conservation programs have created additional logistical challenges for utilities, and forthcoming federal environmental regulations may </w:t>
      </w:r>
      <w:r w:rsidR="00385FB0">
        <w:t xml:space="preserve">further </w:t>
      </w:r>
      <w:r w:rsidRPr="002B1750">
        <w:t xml:space="preserve">restrain the use of coal.  </w:t>
      </w:r>
    </w:p>
    <w:p w14:paraId="1C71AEB2" w14:textId="77777777" w:rsidR="00FA039F" w:rsidRPr="002B1750" w:rsidRDefault="00FA039F" w:rsidP="008E5FDC"/>
    <w:p w14:paraId="5047A6EC" w14:textId="77777777" w:rsidR="0017029C" w:rsidRDefault="00A61C8E" w:rsidP="008E5FDC">
      <w:r w:rsidRPr="002B1750">
        <w:t xml:space="preserve">In its 2013 Integrated Resource Plan (IRP or Plan), </w:t>
      </w:r>
      <w:r w:rsidR="005A00B6" w:rsidRPr="002B1750">
        <w:t>Avista Corporation</w:t>
      </w:r>
      <w:r w:rsidR="00D55191" w:rsidRPr="002B1750">
        <w:t xml:space="preserve"> </w:t>
      </w:r>
      <w:r w:rsidR="001452B8">
        <w:t xml:space="preserve">d/b/a Avista Utilities </w:t>
      </w:r>
      <w:r w:rsidR="005A00B6" w:rsidRPr="002B1750">
        <w:t>(Avista</w:t>
      </w:r>
      <w:r w:rsidR="00C21F7F" w:rsidRPr="002B1750">
        <w:t xml:space="preserve"> or Company) </w:t>
      </w:r>
      <w:r w:rsidR="00AE2A55" w:rsidRPr="007629E2">
        <w:t>descibed</w:t>
      </w:r>
      <w:r w:rsidR="00AE2A55">
        <w:t xml:space="preserve"> </w:t>
      </w:r>
      <w:r w:rsidR="007629E2">
        <w:t>the</w:t>
      </w:r>
      <w:r w:rsidR="00AE2A55">
        <w:t xml:space="preserve"> eval</w:t>
      </w:r>
      <w:r w:rsidR="007629E2">
        <w:t>uation of</w:t>
      </w:r>
      <w:r w:rsidR="009D01E1">
        <w:t xml:space="preserve"> </w:t>
      </w:r>
      <w:r w:rsidR="00EE04CC">
        <w:t>potential</w:t>
      </w:r>
      <w:r w:rsidR="00AE2A55">
        <w:t xml:space="preserve"> resource strateg</w:t>
      </w:r>
      <w:r w:rsidR="00EE04CC">
        <w:t>ies</w:t>
      </w:r>
      <w:r w:rsidR="00AE2A55">
        <w:t xml:space="preserve"> for meeting resource need over the </w:t>
      </w:r>
      <w:r w:rsidR="00296FA8">
        <w:t xml:space="preserve">next 20 </w:t>
      </w:r>
      <w:r w:rsidR="00AE2A55">
        <w:t>year</w:t>
      </w:r>
      <w:r w:rsidR="00296FA8">
        <w:t>s</w:t>
      </w:r>
      <w:r w:rsidR="00AE2A55">
        <w:t>. In doing so, Avista has</w:t>
      </w:r>
      <w:r w:rsidR="001D487C" w:rsidRPr="002B1750">
        <w:t xml:space="preserve"> </w:t>
      </w:r>
      <w:r w:rsidR="00C21F7F" w:rsidRPr="002B1750">
        <w:t xml:space="preserve">complied with </w:t>
      </w:r>
      <w:r w:rsidR="00DB1889">
        <w:t>applicable</w:t>
      </w:r>
      <w:r w:rsidR="00DB1889" w:rsidRPr="002B1750">
        <w:t xml:space="preserve"> </w:t>
      </w:r>
      <w:r w:rsidR="00DB1889">
        <w:t xml:space="preserve">statute and </w:t>
      </w:r>
      <w:r w:rsidR="00C21F7F" w:rsidRPr="002B1750">
        <w:t>regulations</w:t>
      </w:r>
      <w:r w:rsidR="00DB1889">
        <w:t>.</w:t>
      </w:r>
      <w:r w:rsidR="00637A50" w:rsidRPr="002B1750">
        <w:t xml:space="preserve"> </w:t>
      </w:r>
      <w:r w:rsidR="00464DE3" w:rsidRPr="002B1750">
        <w:t xml:space="preserve"> </w:t>
      </w:r>
      <w:r w:rsidR="00C95371" w:rsidRPr="002B1750">
        <w:t xml:space="preserve">Avista’s analysis of resource needs over </w:t>
      </w:r>
      <w:r w:rsidR="00B51CA9">
        <w:t>a</w:t>
      </w:r>
      <w:r w:rsidR="00B51CA9" w:rsidRPr="002B1750">
        <w:t xml:space="preserve"> </w:t>
      </w:r>
      <w:r w:rsidR="00C95371" w:rsidRPr="002B1750">
        <w:t xml:space="preserve">20-year </w:t>
      </w:r>
      <w:r w:rsidR="00296FA8">
        <w:t>planning horizon</w:t>
      </w:r>
      <w:r w:rsidR="00C95371" w:rsidRPr="002B1750">
        <w:t xml:space="preserve"> </w:t>
      </w:r>
      <w:r w:rsidR="007B2B79">
        <w:t xml:space="preserve">presented in the </w:t>
      </w:r>
      <w:r w:rsidR="00AE2A55">
        <w:t>P</w:t>
      </w:r>
      <w:r w:rsidR="007B2B79">
        <w:t xml:space="preserve">lan </w:t>
      </w:r>
      <w:r w:rsidR="00C95371" w:rsidRPr="002B1750">
        <w:t>is comprehensive</w:t>
      </w:r>
      <w:r w:rsidR="006848AA">
        <w:t xml:space="preserve">. </w:t>
      </w:r>
      <w:r w:rsidR="009F2363">
        <w:t xml:space="preserve"> </w:t>
      </w:r>
      <w:r w:rsidR="006848AA">
        <w:t>W</w:t>
      </w:r>
      <w:r w:rsidR="007B2B79">
        <w:t>hile</w:t>
      </w:r>
      <w:r w:rsidR="00500E14">
        <w:t xml:space="preserve"> </w:t>
      </w:r>
      <w:r w:rsidR="007B2B79">
        <w:t>the Company’s</w:t>
      </w:r>
      <w:r w:rsidR="007B2B79" w:rsidRPr="002B1750">
        <w:t xml:space="preserve"> </w:t>
      </w:r>
      <w:r w:rsidR="00C95371" w:rsidRPr="002B1750">
        <w:t xml:space="preserve">consideration of inputs, modeling, and analysis of results are well executed, </w:t>
      </w:r>
      <w:r w:rsidR="00385FB0">
        <w:t xml:space="preserve">Commission Staff (Staff) requested further analysis of </w:t>
      </w:r>
      <w:r w:rsidR="00C95371" w:rsidRPr="002B1750">
        <w:t xml:space="preserve">certain parts of the Plan </w:t>
      </w:r>
      <w:r w:rsidR="00385FB0">
        <w:t>and</w:t>
      </w:r>
      <w:r w:rsidR="0017029C" w:rsidRPr="002B1750">
        <w:t xml:space="preserve"> </w:t>
      </w:r>
      <w:r w:rsidR="00C95371" w:rsidRPr="002B1750">
        <w:t>more explanation</w:t>
      </w:r>
      <w:r w:rsidR="00500E14">
        <w:t xml:space="preserve"> of the development of </w:t>
      </w:r>
      <w:r w:rsidR="00C95371" w:rsidRPr="002B1750">
        <w:t>its conclusions.</w:t>
      </w:r>
      <w:r w:rsidR="00B14B96" w:rsidRPr="00B14B96">
        <w:t xml:space="preserve"> </w:t>
      </w:r>
      <w:r w:rsidR="00B14B96">
        <w:t xml:space="preserve"> After working with Commission Staff, Avista filed a revised action plan on January 27, 2014, which addressed concerns</w:t>
      </w:r>
      <w:r w:rsidR="006429A4">
        <w:t xml:space="preserve"> raised by Staff</w:t>
      </w:r>
      <w:r w:rsidR="00B14B96">
        <w:t>.</w:t>
      </w:r>
      <w:r w:rsidR="00C95371" w:rsidRPr="002B1750">
        <w:t xml:space="preserve">  </w:t>
      </w:r>
      <w:r w:rsidR="009563C6">
        <w:t>The issues identified</w:t>
      </w:r>
      <w:r w:rsidR="0017029C" w:rsidRPr="002B1750">
        <w:t xml:space="preserve"> </w:t>
      </w:r>
      <w:r w:rsidR="006F6611">
        <w:t xml:space="preserve">and </w:t>
      </w:r>
      <w:r w:rsidR="00B14B96">
        <w:t xml:space="preserve">Avista’s proposals to address the </w:t>
      </w:r>
      <w:r w:rsidR="006F6611">
        <w:t xml:space="preserve">specific requests for improvement for future IRPs </w:t>
      </w:r>
      <w:r w:rsidR="0017029C" w:rsidRPr="002B1750">
        <w:t>are further described below</w:t>
      </w:r>
      <w:r w:rsidR="006F6611">
        <w:t>.</w:t>
      </w:r>
    </w:p>
    <w:p w14:paraId="67DB97C7" w14:textId="77777777" w:rsidR="008D5535" w:rsidRPr="002B1750" w:rsidRDefault="008D5535" w:rsidP="008E5FDC"/>
    <w:p w14:paraId="6E5AAAA5" w14:textId="77777777" w:rsidR="002A5569" w:rsidRPr="002B1750" w:rsidRDefault="002A5569" w:rsidP="002A5569">
      <w:pPr>
        <w:pStyle w:val="Heading1"/>
        <w:spacing w:before="0"/>
        <w:rPr>
          <w:szCs w:val="24"/>
        </w:rPr>
      </w:pPr>
      <w:bookmarkStart w:id="1" w:name="_Toc376255995"/>
      <w:r w:rsidRPr="002B1750">
        <w:rPr>
          <w:szCs w:val="24"/>
        </w:rPr>
        <w:t xml:space="preserve">Preferred Resource Strategy </w:t>
      </w:r>
      <w:bookmarkEnd w:id="1"/>
    </w:p>
    <w:p w14:paraId="275177BA" w14:textId="77777777" w:rsidR="002A5569" w:rsidRPr="002B1750" w:rsidRDefault="002A5569" w:rsidP="004D7A3E"/>
    <w:p w14:paraId="7B6AD0BD" w14:textId="77777777" w:rsidR="002A5569" w:rsidRPr="002B1750" w:rsidRDefault="00B51CA9" w:rsidP="004D7A3E">
      <w:r>
        <w:t>O</w:t>
      </w:r>
      <w:r w:rsidRPr="002B1750">
        <w:t>ver the 20-year planning horizon</w:t>
      </w:r>
      <w:r>
        <w:t>,</w:t>
      </w:r>
      <w:r w:rsidRPr="002B1750">
        <w:t xml:space="preserve"> </w:t>
      </w:r>
      <w:r w:rsidR="002A5569" w:rsidRPr="002B1750">
        <w:t xml:space="preserve">Avista’s preferred resource strategy consists of investments in energy efficiency, demand response, simple-cycle and combined-cycle gas turbines, and upgrades </w:t>
      </w:r>
      <w:r w:rsidR="002A5569" w:rsidRPr="002B1750">
        <w:lastRenderedPageBreak/>
        <w:t>to the Company’s existing generation resources.</w:t>
      </w:r>
      <w:r w:rsidR="00A1761F">
        <w:t xml:space="preserve"> </w:t>
      </w:r>
      <w:r w:rsidR="002A5569" w:rsidRPr="002B1750">
        <w:t xml:space="preserve">With the exception of </w:t>
      </w:r>
      <w:r w:rsidR="00214698">
        <w:t xml:space="preserve">an upgrade to </w:t>
      </w:r>
      <w:r w:rsidR="002A5569" w:rsidRPr="002B1750">
        <w:t>the Nine Mile hydro</w:t>
      </w:r>
      <w:r w:rsidR="00214698">
        <w:t>electric facil</w:t>
      </w:r>
      <w:r w:rsidR="004C0CEA">
        <w:t>i</w:t>
      </w:r>
      <w:r w:rsidR="00214698">
        <w:t>ty on the Spokane River</w:t>
      </w:r>
      <w:r>
        <w:t>,</w:t>
      </w:r>
      <w:r w:rsidR="00EE04CC">
        <w:rPr>
          <w:rStyle w:val="FootnoteReference"/>
        </w:rPr>
        <w:footnoteReference w:id="3"/>
      </w:r>
      <w:r>
        <w:t xml:space="preserve"> </w:t>
      </w:r>
      <w:r w:rsidR="00296FA8">
        <w:t xml:space="preserve">for </w:t>
      </w:r>
      <w:r w:rsidR="002A5569" w:rsidRPr="002B1750">
        <w:t xml:space="preserve">which </w:t>
      </w:r>
      <w:r w:rsidR="00296FA8">
        <w:t xml:space="preserve">construction </w:t>
      </w:r>
      <w:r w:rsidR="002A5569" w:rsidRPr="002B1750">
        <w:t xml:space="preserve">is already underway, the first </w:t>
      </w:r>
      <w:r w:rsidR="005762D8">
        <w:t xml:space="preserve">production </w:t>
      </w:r>
      <w:r w:rsidR="002A5569" w:rsidRPr="002B1750">
        <w:t>resource acquisition is an 83 MW simple-cycle natural gas</w:t>
      </w:r>
      <w:r w:rsidR="00DB3E48">
        <w:t>-fired peaker</w:t>
      </w:r>
      <w:r w:rsidR="002A5569" w:rsidRPr="002B1750">
        <w:t xml:space="preserve"> </w:t>
      </w:r>
      <w:r>
        <w:t xml:space="preserve">projected </w:t>
      </w:r>
      <w:r w:rsidR="002A5569" w:rsidRPr="002B1750">
        <w:t xml:space="preserve">by the end of 2019. This resource acquisition fills </w:t>
      </w:r>
      <w:r w:rsidR="00B3491E">
        <w:t>a</w:t>
      </w:r>
      <w:r w:rsidR="002A5569" w:rsidRPr="002B1750">
        <w:t xml:space="preserve"> capacity deficit created primarily by the </w:t>
      </w:r>
      <w:r w:rsidR="008B03E9">
        <w:t xml:space="preserve">June 30, 2019, </w:t>
      </w:r>
      <w:r w:rsidR="002A5569" w:rsidRPr="002B1750">
        <w:t xml:space="preserve">expiration of </w:t>
      </w:r>
      <w:r w:rsidR="00B3491E">
        <w:t>an</w:t>
      </w:r>
      <w:r w:rsidR="002A5569" w:rsidRPr="002B1750">
        <w:t xml:space="preserve"> 82 MW</w:t>
      </w:r>
      <w:r w:rsidR="008B03E9">
        <w:t xml:space="preserve"> </w:t>
      </w:r>
      <w:r w:rsidR="002A5569" w:rsidRPr="002B1750">
        <w:t xml:space="preserve">contract with </w:t>
      </w:r>
      <w:r w:rsidR="004C0CEA">
        <w:t>the Bonneville Power Administration</w:t>
      </w:r>
      <w:r w:rsidR="002A5569" w:rsidRPr="002B1750">
        <w:t>.</w:t>
      </w:r>
      <w:r w:rsidR="003F5600">
        <w:rPr>
          <w:rStyle w:val="FootnoteReference"/>
        </w:rPr>
        <w:footnoteReference w:id="4"/>
      </w:r>
      <w:r w:rsidR="002A5569" w:rsidRPr="002B1750">
        <w:t xml:space="preserve"> Avista’s </w:t>
      </w:r>
      <w:r w:rsidR="00242583">
        <w:t>preferred resource strategy</w:t>
      </w:r>
      <w:r w:rsidR="002A5569" w:rsidRPr="002B1750">
        <w:t xml:space="preserve"> acquisition schedule is shown in Table 1.</w:t>
      </w:r>
    </w:p>
    <w:p w14:paraId="4BD6EF60" w14:textId="77777777" w:rsidR="00DF55A1" w:rsidRDefault="00DF55A1" w:rsidP="004D7A3E"/>
    <w:p w14:paraId="0FAA145D" w14:textId="77777777" w:rsidR="002A5569" w:rsidRPr="002B1750" w:rsidRDefault="002A5569" w:rsidP="001C6833">
      <w:pPr>
        <w:jc w:val="center"/>
      </w:pPr>
      <w:r w:rsidRPr="002B1750">
        <w:t>Table</w:t>
      </w:r>
      <w:r w:rsidR="00DF55A1">
        <w:t xml:space="preserve"> </w:t>
      </w:r>
      <w:r w:rsidRPr="002B1750">
        <w:t>1</w:t>
      </w:r>
      <w:r w:rsidR="00DF55A1">
        <w:t xml:space="preserve"> -</w:t>
      </w:r>
      <w:r w:rsidRPr="002B1750">
        <w:t xml:space="preserve"> Avista’s Preferred Resource Strategy under the Expected Case.</w:t>
      </w:r>
      <w:r w:rsidR="00DB3E48">
        <w:rPr>
          <w:rStyle w:val="FootnoteReference"/>
        </w:rPr>
        <w:footnoteReference w:id="5"/>
      </w:r>
    </w:p>
    <w:tbl>
      <w:tblPr>
        <w:tblStyle w:val="LightList-Accent5"/>
        <w:tblW w:w="6668" w:type="dxa"/>
        <w:jc w:val="center"/>
        <w:tblInd w:w="-155" w:type="dxa"/>
        <w:tblLook w:val="04A0" w:firstRow="1" w:lastRow="0" w:firstColumn="1" w:lastColumn="0" w:noHBand="0" w:noVBand="1"/>
      </w:tblPr>
      <w:tblGrid>
        <w:gridCol w:w="3159"/>
        <w:gridCol w:w="973"/>
        <w:gridCol w:w="1135"/>
        <w:gridCol w:w="1401"/>
      </w:tblGrid>
      <w:tr w:rsidR="002A5569" w:rsidRPr="00DB7E77" w14:paraId="6F7D199F" w14:textId="77777777" w:rsidTr="006848AA">
        <w:trPr>
          <w:cnfStyle w:val="100000000000" w:firstRow="1" w:lastRow="0" w:firstColumn="0" w:lastColumn="0" w:oddVBand="0" w:evenVBand="0" w:oddHBand="0"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159" w:type="dxa"/>
            <w:noWrap/>
            <w:hideMark/>
          </w:tcPr>
          <w:p w14:paraId="0ADBE923" w14:textId="77777777" w:rsidR="002A5569" w:rsidRPr="00DB7E77" w:rsidRDefault="00BA730B" w:rsidP="004D7A3E">
            <w:r>
              <w:t>Resource</w:t>
            </w:r>
          </w:p>
        </w:tc>
        <w:tc>
          <w:tcPr>
            <w:tcW w:w="973" w:type="dxa"/>
            <w:hideMark/>
          </w:tcPr>
          <w:p w14:paraId="318BA3C8" w14:textId="77777777" w:rsidR="002A5569" w:rsidRPr="00DB7E77" w:rsidRDefault="002A5569" w:rsidP="004D7A3E">
            <w:pPr>
              <w:cnfStyle w:val="100000000000" w:firstRow="1" w:lastRow="0" w:firstColumn="0" w:lastColumn="0" w:oddVBand="0" w:evenVBand="0" w:oddHBand="0" w:evenHBand="0" w:firstRowFirstColumn="0" w:firstRowLastColumn="0" w:lastRowFirstColumn="0" w:lastRowLastColumn="0"/>
            </w:pPr>
            <w:r w:rsidRPr="00DB7E77">
              <w:t>Year(s)</w:t>
            </w:r>
          </w:p>
        </w:tc>
        <w:tc>
          <w:tcPr>
            <w:tcW w:w="1135" w:type="dxa"/>
            <w:hideMark/>
          </w:tcPr>
          <w:p w14:paraId="5516EEBF" w14:textId="77777777" w:rsidR="002A5569" w:rsidRPr="00DB7E77" w:rsidRDefault="002A5569" w:rsidP="004D7A3E">
            <w:pPr>
              <w:cnfStyle w:val="100000000000" w:firstRow="1" w:lastRow="0" w:firstColumn="0" w:lastColumn="0" w:oddVBand="0" w:evenVBand="0" w:oddHBand="0" w:evenHBand="0" w:firstRowFirstColumn="0" w:firstRowLastColumn="0" w:lastRowFirstColumn="0" w:lastRowLastColumn="0"/>
            </w:pPr>
            <w:r w:rsidRPr="00DB7E77">
              <w:t>Capacity (MW)</w:t>
            </w:r>
          </w:p>
        </w:tc>
        <w:tc>
          <w:tcPr>
            <w:tcW w:w="1401" w:type="dxa"/>
            <w:hideMark/>
          </w:tcPr>
          <w:p w14:paraId="6BD1ECFA" w14:textId="77777777" w:rsidR="002A5569" w:rsidRPr="00DB7E77" w:rsidRDefault="002A5569" w:rsidP="00282497">
            <w:pPr>
              <w:cnfStyle w:val="100000000000" w:firstRow="1" w:lastRow="0" w:firstColumn="0" w:lastColumn="0" w:oddVBand="0" w:evenVBand="0" w:oddHBand="0" w:evenHBand="0" w:firstRowFirstColumn="0" w:firstRowLastColumn="0" w:lastRowFirstColumn="0" w:lastRowLastColumn="0"/>
            </w:pPr>
            <w:r w:rsidRPr="00DB7E77">
              <w:t>Energy (aMW)</w:t>
            </w:r>
          </w:p>
        </w:tc>
      </w:tr>
      <w:tr w:rsidR="002A5569" w:rsidRPr="00DB7E77" w14:paraId="5DB2507A" w14:textId="77777777" w:rsidTr="006848A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59" w:type="dxa"/>
            <w:noWrap/>
            <w:hideMark/>
          </w:tcPr>
          <w:p w14:paraId="2D4CCAB2" w14:textId="77777777" w:rsidR="002A5569" w:rsidRPr="00DB7E77" w:rsidRDefault="002A5569" w:rsidP="004D7A3E">
            <w:r w:rsidRPr="00DB7E77">
              <w:t xml:space="preserve">     Generation</w:t>
            </w:r>
          </w:p>
        </w:tc>
        <w:tc>
          <w:tcPr>
            <w:tcW w:w="973" w:type="dxa"/>
            <w:noWrap/>
            <w:hideMark/>
          </w:tcPr>
          <w:p w14:paraId="7608D1B9" w14:textId="77777777" w:rsidR="002A5569" w:rsidRPr="00DB7E77" w:rsidRDefault="002A5569" w:rsidP="004D7A3E">
            <w:pPr>
              <w:cnfStyle w:val="000000100000" w:firstRow="0" w:lastRow="0" w:firstColumn="0" w:lastColumn="0" w:oddVBand="0" w:evenVBand="0" w:oddHBand="1" w:evenHBand="0" w:firstRowFirstColumn="0" w:firstRowLastColumn="0" w:lastRowFirstColumn="0" w:lastRowLastColumn="0"/>
            </w:pPr>
          </w:p>
        </w:tc>
        <w:tc>
          <w:tcPr>
            <w:tcW w:w="1135" w:type="dxa"/>
            <w:noWrap/>
            <w:hideMark/>
          </w:tcPr>
          <w:p w14:paraId="4B6295DA" w14:textId="77777777" w:rsidR="002A5569" w:rsidRPr="00DB7E77" w:rsidRDefault="002A5569" w:rsidP="004D7A3E">
            <w:pPr>
              <w:cnfStyle w:val="000000100000" w:firstRow="0" w:lastRow="0" w:firstColumn="0" w:lastColumn="0" w:oddVBand="0" w:evenVBand="0" w:oddHBand="1" w:evenHBand="0" w:firstRowFirstColumn="0" w:firstRowLastColumn="0" w:lastRowFirstColumn="0" w:lastRowLastColumn="0"/>
            </w:pPr>
          </w:p>
        </w:tc>
        <w:tc>
          <w:tcPr>
            <w:tcW w:w="1401" w:type="dxa"/>
            <w:noWrap/>
            <w:hideMark/>
          </w:tcPr>
          <w:p w14:paraId="201B9866" w14:textId="77777777" w:rsidR="002A5569" w:rsidRPr="00DB7E77" w:rsidRDefault="002A5569" w:rsidP="004D7A3E">
            <w:pPr>
              <w:cnfStyle w:val="000000100000" w:firstRow="0" w:lastRow="0" w:firstColumn="0" w:lastColumn="0" w:oddVBand="0" w:evenVBand="0" w:oddHBand="1" w:evenHBand="0" w:firstRowFirstColumn="0" w:firstRowLastColumn="0" w:lastRowFirstColumn="0" w:lastRowLastColumn="0"/>
            </w:pPr>
            <w:r w:rsidRPr="00DB7E77">
              <w:t> </w:t>
            </w:r>
          </w:p>
        </w:tc>
      </w:tr>
      <w:tr w:rsidR="002A5569" w:rsidRPr="00DB7E77" w14:paraId="335CD2E3" w14:textId="77777777" w:rsidTr="006848AA">
        <w:trPr>
          <w:trHeight w:val="300"/>
          <w:jc w:val="center"/>
        </w:trPr>
        <w:tc>
          <w:tcPr>
            <w:cnfStyle w:val="001000000000" w:firstRow="0" w:lastRow="0" w:firstColumn="1" w:lastColumn="0" w:oddVBand="0" w:evenVBand="0" w:oddHBand="0" w:evenHBand="0" w:firstRowFirstColumn="0" w:firstRowLastColumn="0" w:lastRowFirstColumn="0" w:lastRowLastColumn="0"/>
            <w:tcW w:w="3159" w:type="dxa"/>
            <w:noWrap/>
            <w:hideMark/>
          </w:tcPr>
          <w:p w14:paraId="1CC646D8" w14:textId="77777777" w:rsidR="002A5569" w:rsidRPr="00DB7E77" w:rsidRDefault="002A5569" w:rsidP="004D7A3E">
            <w:r w:rsidRPr="00DB7E77">
              <w:t>Nine mile hydro upgrade</w:t>
            </w:r>
          </w:p>
        </w:tc>
        <w:tc>
          <w:tcPr>
            <w:tcW w:w="973" w:type="dxa"/>
            <w:noWrap/>
            <w:hideMark/>
          </w:tcPr>
          <w:p w14:paraId="7D987CDE" w14:textId="77777777" w:rsidR="002A5569" w:rsidRPr="00DB7E77" w:rsidRDefault="002A5569" w:rsidP="001C6833">
            <w:pPr>
              <w:cnfStyle w:val="000000000000" w:firstRow="0" w:lastRow="0" w:firstColumn="0" w:lastColumn="0" w:oddVBand="0" w:evenVBand="0" w:oddHBand="0" w:evenHBand="0" w:firstRowFirstColumn="0" w:firstRowLastColumn="0" w:lastRowFirstColumn="0" w:lastRowLastColumn="0"/>
            </w:pPr>
            <w:r w:rsidRPr="00DB7E77">
              <w:t>2016</w:t>
            </w:r>
          </w:p>
        </w:tc>
        <w:tc>
          <w:tcPr>
            <w:tcW w:w="1135" w:type="dxa"/>
            <w:noWrap/>
            <w:hideMark/>
          </w:tcPr>
          <w:p w14:paraId="5DFB5DE3" w14:textId="77777777" w:rsidR="002A5569" w:rsidRPr="00DB7E77" w:rsidRDefault="002A5569" w:rsidP="001C6833">
            <w:pPr>
              <w:cnfStyle w:val="000000000000" w:firstRow="0" w:lastRow="0" w:firstColumn="0" w:lastColumn="0" w:oddVBand="0" w:evenVBand="0" w:oddHBand="0" w:evenHBand="0" w:firstRowFirstColumn="0" w:firstRowLastColumn="0" w:lastRowFirstColumn="0" w:lastRowLastColumn="0"/>
            </w:pPr>
            <w:r w:rsidRPr="00DB7E77">
              <w:t>6</w:t>
            </w:r>
          </w:p>
        </w:tc>
        <w:tc>
          <w:tcPr>
            <w:tcW w:w="1401" w:type="dxa"/>
            <w:noWrap/>
            <w:hideMark/>
          </w:tcPr>
          <w:p w14:paraId="0F4DB671" w14:textId="77777777" w:rsidR="002A5569" w:rsidRPr="00DB7E77" w:rsidRDefault="002A5569" w:rsidP="001C6833">
            <w:pPr>
              <w:cnfStyle w:val="000000000000" w:firstRow="0" w:lastRow="0" w:firstColumn="0" w:lastColumn="0" w:oddVBand="0" w:evenVBand="0" w:oddHBand="0" w:evenHBand="0" w:firstRowFirstColumn="0" w:firstRowLastColumn="0" w:lastRowFirstColumn="0" w:lastRowLastColumn="0"/>
            </w:pPr>
            <w:r w:rsidRPr="00DB7E77">
              <w:t>1</w:t>
            </w:r>
          </w:p>
        </w:tc>
      </w:tr>
      <w:tr w:rsidR="002A5569" w:rsidRPr="00DB7E77" w14:paraId="74403E01" w14:textId="77777777" w:rsidTr="006848A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59" w:type="dxa"/>
            <w:noWrap/>
            <w:hideMark/>
          </w:tcPr>
          <w:p w14:paraId="0B130D09" w14:textId="77777777" w:rsidR="002A5569" w:rsidRPr="00DB7E77" w:rsidRDefault="002A5569" w:rsidP="004D7A3E">
            <w:r w:rsidRPr="00DB7E77">
              <w:t>Simple Cycle CT</w:t>
            </w:r>
          </w:p>
        </w:tc>
        <w:tc>
          <w:tcPr>
            <w:tcW w:w="973" w:type="dxa"/>
            <w:noWrap/>
            <w:hideMark/>
          </w:tcPr>
          <w:p w14:paraId="74E7B914" w14:textId="77777777" w:rsidR="002A5569" w:rsidRPr="00DB7E77" w:rsidRDefault="002A5569" w:rsidP="001C6833">
            <w:pPr>
              <w:cnfStyle w:val="000000100000" w:firstRow="0" w:lastRow="0" w:firstColumn="0" w:lastColumn="0" w:oddVBand="0" w:evenVBand="0" w:oddHBand="1" w:evenHBand="0" w:firstRowFirstColumn="0" w:firstRowLastColumn="0" w:lastRowFirstColumn="0" w:lastRowLastColumn="0"/>
            </w:pPr>
            <w:r w:rsidRPr="00DB7E77">
              <w:t>2019</w:t>
            </w:r>
          </w:p>
        </w:tc>
        <w:tc>
          <w:tcPr>
            <w:tcW w:w="1135" w:type="dxa"/>
            <w:noWrap/>
            <w:hideMark/>
          </w:tcPr>
          <w:p w14:paraId="78B437E9" w14:textId="77777777" w:rsidR="002A5569" w:rsidRPr="00DB7E77" w:rsidRDefault="002A5569" w:rsidP="001C6833">
            <w:pPr>
              <w:cnfStyle w:val="000000100000" w:firstRow="0" w:lastRow="0" w:firstColumn="0" w:lastColumn="0" w:oddVBand="0" w:evenVBand="0" w:oddHBand="1" w:evenHBand="0" w:firstRowFirstColumn="0" w:firstRowLastColumn="0" w:lastRowFirstColumn="0" w:lastRowLastColumn="0"/>
            </w:pPr>
            <w:r w:rsidRPr="00DB7E77">
              <w:t>83</w:t>
            </w:r>
          </w:p>
        </w:tc>
        <w:tc>
          <w:tcPr>
            <w:tcW w:w="1401" w:type="dxa"/>
            <w:noWrap/>
            <w:hideMark/>
          </w:tcPr>
          <w:p w14:paraId="34D1EB64" w14:textId="77777777" w:rsidR="002A5569" w:rsidRPr="00DB7E77" w:rsidRDefault="002A5569" w:rsidP="001C6833">
            <w:pPr>
              <w:cnfStyle w:val="000000100000" w:firstRow="0" w:lastRow="0" w:firstColumn="0" w:lastColumn="0" w:oddVBand="0" w:evenVBand="0" w:oddHBand="1" w:evenHBand="0" w:firstRowFirstColumn="0" w:firstRowLastColumn="0" w:lastRowFirstColumn="0" w:lastRowLastColumn="0"/>
            </w:pPr>
            <w:r w:rsidRPr="00DB7E77">
              <w:t>76</w:t>
            </w:r>
          </w:p>
        </w:tc>
      </w:tr>
      <w:tr w:rsidR="002A5569" w:rsidRPr="00DB7E77" w14:paraId="113598C7" w14:textId="77777777" w:rsidTr="006848AA">
        <w:trPr>
          <w:trHeight w:val="300"/>
          <w:jc w:val="center"/>
        </w:trPr>
        <w:tc>
          <w:tcPr>
            <w:cnfStyle w:val="001000000000" w:firstRow="0" w:lastRow="0" w:firstColumn="1" w:lastColumn="0" w:oddVBand="0" w:evenVBand="0" w:oddHBand="0" w:evenHBand="0" w:firstRowFirstColumn="0" w:firstRowLastColumn="0" w:lastRowFirstColumn="0" w:lastRowLastColumn="0"/>
            <w:tcW w:w="3159" w:type="dxa"/>
            <w:noWrap/>
            <w:hideMark/>
          </w:tcPr>
          <w:p w14:paraId="5F97B508" w14:textId="77777777" w:rsidR="002A5569" w:rsidRPr="00DB7E77" w:rsidRDefault="002A5569" w:rsidP="004D7A3E">
            <w:r w:rsidRPr="00DB7E77">
              <w:t>Simple Cycle CT</w:t>
            </w:r>
          </w:p>
        </w:tc>
        <w:tc>
          <w:tcPr>
            <w:tcW w:w="973" w:type="dxa"/>
            <w:noWrap/>
            <w:hideMark/>
          </w:tcPr>
          <w:p w14:paraId="5A08D9BC" w14:textId="77777777" w:rsidR="002A5569" w:rsidRPr="00DB7E77" w:rsidRDefault="002A5569" w:rsidP="001C6833">
            <w:pPr>
              <w:cnfStyle w:val="000000000000" w:firstRow="0" w:lastRow="0" w:firstColumn="0" w:lastColumn="0" w:oddVBand="0" w:evenVBand="0" w:oddHBand="0" w:evenHBand="0" w:firstRowFirstColumn="0" w:firstRowLastColumn="0" w:lastRowFirstColumn="0" w:lastRowLastColumn="0"/>
            </w:pPr>
            <w:r w:rsidRPr="00DB7E77">
              <w:t>2023</w:t>
            </w:r>
          </w:p>
        </w:tc>
        <w:tc>
          <w:tcPr>
            <w:tcW w:w="1135" w:type="dxa"/>
            <w:noWrap/>
            <w:hideMark/>
          </w:tcPr>
          <w:p w14:paraId="2095D55E" w14:textId="77777777" w:rsidR="002A5569" w:rsidRPr="00DB7E77" w:rsidRDefault="002A5569" w:rsidP="001C6833">
            <w:pPr>
              <w:cnfStyle w:val="000000000000" w:firstRow="0" w:lastRow="0" w:firstColumn="0" w:lastColumn="0" w:oddVBand="0" w:evenVBand="0" w:oddHBand="0" w:evenHBand="0" w:firstRowFirstColumn="0" w:firstRowLastColumn="0" w:lastRowFirstColumn="0" w:lastRowLastColumn="0"/>
            </w:pPr>
            <w:r w:rsidRPr="00DB7E77">
              <w:t>83</w:t>
            </w:r>
          </w:p>
        </w:tc>
        <w:tc>
          <w:tcPr>
            <w:tcW w:w="1401" w:type="dxa"/>
            <w:noWrap/>
            <w:hideMark/>
          </w:tcPr>
          <w:p w14:paraId="2F274959" w14:textId="77777777" w:rsidR="002A5569" w:rsidRPr="00DB7E77" w:rsidRDefault="002A5569" w:rsidP="001C6833">
            <w:pPr>
              <w:cnfStyle w:val="000000000000" w:firstRow="0" w:lastRow="0" w:firstColumn="0" w:lastColumn="0" w:oddVBand="0" w:evenVBand="0" w:oddHBand="0" w:evenHBand="0" w:firstRowFirstColumn="0" w:firstRowLastColumn="0" w:lastRowFirstColumn="0" w:lastRowLastColumn="0"/>
            </w:pPr>
            <w:r w:rsidRPr="00DB7E77">
              <w:t>76</w:t>
            </w:r>
          </w:p>
        </w:tc>
      </w:tr>
      <w:tr w:rsidR="002A5569" w:rsidRPr="00DB7E77" w14:paraId="5DA3F132" w14:textId="77777777" w:rsidTr="006848A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59" w:type="dxa"/>
            <w:noWrap/>
            <w:hideMark/>
          </w:tcPr>
          <w:p w14:paraId="5032BBAC" w14:textId="77777777" w:rsidR="002A5569" w:rsidRPr="00DB7E77" w:rsidRDefault="002A5569" w:rsidP="004D7A3E">
            <w:r w:rsidRPr="00DB7E77">
              <w:t>Combined Cycle CT</w:t>
            </w:r>
            <w:r w:rsidR="00A1761F">
              <w:rPr>
                <w:rStyle w:val="FootnoteReference"/>
                <w:rFonts w:ascii="Calibri" w:hAnsi="Calibri"/>
                <w:color w:val="000000"/>
              </w:rPr>
              <w:footnoteReference w:id="6"/>
            </w:r>
          </w:p>
        </w:tc>
        <w:tc>
          <w:tcPr>
            <w:tcW w:w="973" w:type="dxa"/>
            <w:noWrap/>
            <w:hideMark/>
          </w:tcPr>
          <w:p w14:paraId="455683DC" w14:textId="77777777" w:rsidR="002A5569" w:rsidRPr="00DB7E77" w:rsidRDefault="002A5569" w:rsidP="001C6833">
            <w:pPr>
              <w:cnfStyle w:val="000000100000" w:firstRow="0" w:lastRow="0" w:firstColumn="0" w:lastColumn="0" w:oddVBand="0" w:evenVBand="0" w:oddHBand="1" w:evenHBand="0" w:firstRowFirstColumn="0" w:firstRowLastColumn="0" w:lastRowFirstColumn="0" w:lastRowLastColumn="0"/>
            </w:pPr>
            <w:r w:rsidRPr="00DB7E77">
              <w:t>2026</w:t>
            </w:r>
          </w:p>
        </w:tc>
        <w:tc>
          <w:tcPr>
            <w:tcW w:w="1135" w:type="dxa"/>
            <w:noWrap/>
            <w:hideMark/>
          </w:tcPr>
          <w:p w14:paraId="230D689D" w14:textId="77777777" w:rsidR="002A5569" w:rsidRPr="00DB7E77" w:rsidRDefault="002A5569" w:rsidP="001C6833">
            <w:pPr>
              <w:cnfStyle w:val="000000100000" w:firstRow="0" w:lastRow="0" w:firstColumn="0" w:lastColumn="0" w:oddVBand="0" w:evenVBand="0" w:oddHBand="1" w:evenHBand="0" w:firstRowFirstColumn="0" w:firstRowLastColumn="0" w:lastRowFirstColumn="0" w:lastRowLastColumn="0"/>
            </w:pPr>
            <w:r w:rsidRPr="00DB7E77">
              <w:t>270</w:t>
            </w:r>
          </w:p>
        </w:tc>
        <w:tc>
          <w:tcPr>
            <w:tcW w:w="1401" w:type="dxa"/>
            <w:noWrap/>
            <w:hideMark/>
          </w:tcPr>
          <w:p w14:paraId="547312C5" w14:textId="77777777" w:rsidR="002A5569" w:rsidRPr="00DB7E77" w:rsidRDefault="002A5569" w:rsidP="001C6833">
            <w:pPr>
              <w:cnfStyle w:val="000000100000" w:firstRow="0" w:lastRow="0" w:firstColumn="0" w:lastColumn="0" w:oddVBand="0" w:evenVBand="0" w:oddHBand="1" w:evenHBand="0" w:firstRowFirstColumn="0" w:firstRowLastColumn="0" w:lastRowFirstColumn="0" w:lastRowLastColumn="0"/>
            </w:pPr>
            <w:r w:rsidRPr="00DB7E77">
              <w:t>248</w:t>
            </w:r>
          </w:p>
        </w:tc>
      </w:tr>
      <w:tr w:rsidR="002A5569" w:rsidRPr="00DB7E77" w14:paraId="52050272" w14:textId="77777777" w:rsidTr="006848AA">
        <w:trPr>
          <w:trHeight w:val="300"/>
          <w:jc w:val="center"/>
        </w:trPr>
        <w:tc>
          <w:tcPr>
            <w:cnfStyle w:val="001000000000" w:firstRow="0" w:lastRow="0" w:firstColumn="1" w:lastColumn="0" w:oddVBand="0" w:evenVBand="0" w:oddHBand="0" w:evenHBand="0" w:firstRowFirstColumn="0" w:firstRowLastColumn="0" w:lastRowFirstColumn="0" w:lastRowLastColumn="0"/>
            <w:tcW w:w="3159" w:type="dxa"/>
            <w:noWrap/>
            <w:hideMark/>
          </w:tcPr>
          <w:p w14:paraId="7568FF00" w14:textId="77777777" w:rsidR="002A5569" w:rsidRPr="00DB7E77" w:rsidRDefault="002A5569" w:rsidP="004D7A3E">
            <w:r w:rsidRPr="00DB7E77">
              <w:t>Simple Cycle CT</w:t>
            </w:r>
          </w:p>
        </w:tc>
        <w:tc>
          <w:tcPr>
            <w:tcW w:w="973" w:type="dxa"/>
            <w:noWrap/>
            <w:hideMark/>
          </w:tcPr>
          <w:p w14:paraId="580B9C28" w14:textId="77777777" w:rsidR="002A5569" w:rsidRPr="00DB7E77" w:rsidRDefault="002A5569" w:rsidP="001C6833">
            <w:pPr>
              <w:cnfStyle w:val="000000000000" w:firstRow="0" w:lastRow="0" w:firstColumn="0" w:lastColumn="0" w:oddVBand="0" w:evenVBand="0" w:oddHBand="0" w:evenHBand="0" w:firstRowFirstColumn="0" w:firstRowLastColumn="0" w:lastRowFirstColumn="0" w:lastRowLastColumn="0"/>
            </w:pPr>
            <w:r w:rsidRPr="00DB7E77">
              <w:t>2027</w:t>
            </w:r>
          </w:p>
        </w:tc>
        <w:tc>
          <w:tcPr>
            <w:tcW w:w="1135" w:type="dxa"/>
            <w:noWrap/>
            <w:hideMark/>
          </w:tcPr>
          <w:p w14:paraId="50729FCB" w14:textId="77777777" w:rsidR="002A5569" w:rsidRPr="00DB7E77" w:rsidRDefault="002A5569" w:rsidP="001C6833">
            <w:pPr>
              <w:cnfStyle w:val="000000000000" w:firstRow="0" w:lastRow="0" w:firstColumn="0" w:lastColumn="0" w:oddVBand="0" w:evenVBand="0" w:oddHBand="0" w:evenHBand="0" w:firstRowFirstColumn="0" w:firstRowLastColumn="0" w:lastRowFirstColumn="0" w:lastRowLastColumn="0"/>
            </w:pPr>
            <w:r w:rsidRPr="00DB7E77">
              <w:t>83</w:t>
            </w:r>
          </w:p>
        </w:tc>
        <w:tc>
          <w:tcPr>
            <w:tcW w:w="1401" w:type="dxa"/>
            <w:noWrap/>
            <w:hideMark/>
          </w:tcPr>
          <w:p w14:paraId="586912D9" w14:textId="77777777" w:rsidR="002A5569" w:rsidRPr="00DB7E77" w:rsidRDefault="002A5569" w:rsidP="001C6833">
            <w:pPr>
              <w:cnfStyle w:val="000000000000" w:firstRow="0" w:lastRow="0" w:firstColumn="0" w:lastColumn="0" w:oddVBand="0" w:evenVBand="0" w:oddHBand="0" w:evenHBand="0" w:firstRowFirstColumn="0" w:firstRowLastColumn="0" w:lastRowFirstColumn="0" w:lastRowLastColumn="0"/>
            </w:pPr>
            <w:r w:rsidRPr="00DB7E77">
              <w:t>76</w:t>
            </w:r>
          </w:p>
        </w:tc>
      </w:tr>
      <w:tr w:rsidR="002A5569" w:rsidRPr="00DB7E77" w14:paraId="0117940F" w14:textId="77777777" w:rsidTr="006848A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59" w:type="dxa"/>
            <w:noWrap/>
            <w:hideMark/>
          </w:tcPr>
          <w:p w14:paraId="253BB3AC" w14:textId="77777777" w:rsidR="002A5569" w:rsidRPr="00DB7E77" w:rsidRDefault="002A5569" w:rsidP="004D7A3E">
            <w:r w:rsidRPr="00DB7E77">
              <w:t>Rathrum CT upgrade</w:t>
            </w:r>
          </w:p>
        </w:tc>
        <w:tc>
          <w:tcPr>
            <w:tcW w:w="973" w:type="dxa"/>
            <w:noWrap/>
            <w:hideMark/>
          </w:tcPr>
          <w:p w14:paraId="7E68824E" w14:textId="77777777" w:rsidR="002A5569" w:rsidRPr="00DB7E77" w:rsidRDefault="002A5569" w:rsidP="001C6833">
            <w:pPr>
              <w:cnfStyle w:val="000000100000" w:firstRow="0" w:lastRow="0" w:firstColumn="0" w:lastColumn="0" w:oddVBand="0" w:evenVBand="0" w:oddHBand="1" w:evenHBand="0" w:firstRowFirstColumn="0" w:firstRowLastColumn="0" w:lastRowFirstColumn="0" w:lastRowLastColumn="0"/>
            </w:pPr>
            <w:r w:rsidRPr="00DB7E77">
              <w:t>2028</w:t>
            </w:r>
          </w:p>
        </w:tc>
        <w:tc>
          <w:tcPr>
            <w:tcW w:w="1135" w:type="dxa"/>
            <w:noWrap/>
            <w:hideMark/>
          </w:tcPr>
          <w:p w14:paraId="0A5BECB7" w14:textId="77777777" w:rsidR="002A5569" w:rsidRPr="00DB7E77" w:rsidRDefault="002A5569" w:rsidP="001C6833">
            <w:pPr>
              <w:cnfStyle w:val="000000100000" w:firstRow="0" w:lastRow="0" w:firstColumn="0" w:lastColumn="0" w:oddVBand="0" w:evenVBand="0" w:oddHBand="1" w:evenHBand="0" w:firstRowFirstColumn="0" w:firstRowLastColumn="0" w:lastRowFirstColumn="0" w:lastRowLastColumn="0"/>
            </w:pPr>
            <w:r w:rsidRPr="00DB7E77">
              <w:t>6</w:t>
            </w:r>
          </w:p>
        </w:tc>
        <w:tc>
          <w:tcPr>
            <w:tcW w:w="1401" w:type="dxa"/>
            <w:noWrap/>
            <w:hideMark/>
          </w:tcPr>
          <w:p w14:paraId="0394DE0F" w14:textId="77777777" w:rsidR="002A5569" w:rsidRPr="00DB7E77" w:rsidRDefault="002A5569" w:rsidP="001C6833">
            <w:pPr>
              <w:cnfStyle w:val="000000100000" w:firstRow="0" w:lastRow="0" w:firstColumn="0" w:lastColumn="0" w:oddVBand="0" w:evenVBand="0" w:oddHBand="1" w:evenHBand="0" w:firstRowFirstColumn="0" w:firstRowLastColumn="0" w:lastRowFirstColumn="0" w:lastRowLastColumn="0"/>
            </w:pPr>
            <w:r w:rsidRPr="00DB7E77">
              <w:t>5</w:t>
            </w:r>
          </w:p>
        </w:tc>
      </w:tr>
      <w:tr w:rsidR="002A5569" w:rsidRPr="00DB7E77" w14:paraId="0C690D5B" w14:textId="77777777" w:rsidTr="006848AA">
        <w:trPr>
          <w:trHeight w:val="300"/>
          <w:jc w:val="center"/>
        </w:trPr>
        <w:tc>
          <w:tcPr>
            <w:cnfStyle w:val="001000000000" w:firstRow="0" w:lastRow="0" w:firstColumn="1" w:lastColumn="0" w:oddVBand="0" w:evenVBand="0" w:oddHBand="0" w:evenHBand="0" w:firstRowFirstColumn="0" w:firstRowLastColumn="0" w:lastRowFirstColumn="0" w:lastRowLastColumn="0"/>
            <w:tcW w:w="3159" w:type="dxa"/>
            <w:noWrap/>
            <w:hideMark/>
          </w:tcPr>
          <w:p w14:paraId="0097B62E" w14:textId="77777777" w:rsidR="002A5569" w:rsidRPr="00DB7E77" w:rsidRDefault="002A5569" w:rsidP="004D7A3E">
            <w:r w:rsidRPr="00DB7E77">
              <w:t>Simple Cycle CT</w:t>
            </w:r>
          </w:p>
        </w:tc>
        <w:tc>
          <w:tcPr>
            <w:tcW w:w="973" w:type="dxa"/>
            <w:noWrap/>
            <w:hideMark/>
          </w:tcPr>
          <w:p w14:paraId="5734B510" w14:textId="77777777" w:rsidR="002A5569" w:rsidRPr="00DB7E77" w:rsidRDefault="002A5569" w:rsidP="001C6833">
            <w:pPr>
              <w:cnfStyle w:val="000000000000" w:firstRow="0" w:lastRow="0" w:firstColumn="0" w:lastColumn="0" w:oddVBand="0" w:evenVBand="0" w:oddHBand="0" w:evenHBand="0" w:firstRowFirstColumn="0" w:firstRowLastColumn="0" w:lastRowFirstColumn="0" w:lastRowLastColumn="0"/>
            </w:pPr>
            <w:r w:rsidRPr="00DB7E77">
              <w:t>2032</w:t>
            </w:r>
          </w:p>
        </w:tc>
        <w:tc>
          <w:tcPr>
            <w:tcW w:w="1135" w:type="dxa"/>
            <w:noWrap/>
            <w:hideMark/>
          </w:tcPr>
          <w:p w14:paraId="1C130E8D" w14:textId="77777777" w:rsidR="002A5569" w:rsidRPr="00DB7E77" w:rsidRDefault="002A5569" w:rsidP="001C6833">
            <w:pPr>
              <w:cnfStyle w:val="000000000000" w:firstRow="0" w:lastRow="0" w:firstColumn="0" w:lastColumn="0" w:oddVBand="0" w:evenVBand="0" w:oddHBand="0" w:evenHBand="0" w:firstRowFirstColumn="0" w:firstRowLastColumn="0" w:lastRowFirstColumn="0" w:lastRowLastColumn="0"/>
            </w:pPr>
            <w:r w:rsidRPr="00DB7E77">
              <w:t>50</w:t>
            </w:r>
          </w:p>
        </w:tc>
        <w:tc>
          <w:tcPr>
            <w:tcW w:w="1401" w:type="dxa"/>
            <w:noWrap/>
            <w:hideMark/>
          </w:tcPr>
          <w:p w14:paraId="2221F963" w14:textId="77777777" w:rsidR="002A5569" w:rsidRPr="00DB7E77" w:rsidRDefault="002A5569" w:rsidP="001C6833">
            <w:pPr>
              <w:cnfStyle w:val="000000000000" w:firstRow="0" w:lastRow="0" w:firstColumn="0" w:lastColumn="0" w:oddVBand="0" w:evenVBand="0" w:oddHBand="0" w:evenHBand="0" w:firstRowFirstColumn="0" w:firstRowLastColumn="0" w:lastRowFirstColumn="0" w:lastRowLastColumn="0"/>
            </w:pPr>
            <w:r w:rsidRPr="00DB7E77">
              <w:t>46</w:t>
            </w:r>
          </w:p>
        </w:tc>
      </w:tr>
      <w:tr w:rsidR="002A5569" w:rsidRPr="00DB7E77" w14:paraId="5EB68200" w14:textId="77777777" w:rsidTr="006848A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59" w:type="dxa"/>
            <w:noWrap/>
            <w:hideMark/>
          </w:tcPr>
          <w:p w14:paraId="35320CFD" w14:textId="77777777" w:rsidR="002A5569" w:rsidRPr="00DB7E77" w:rsidRDefault="002A5569" w:rsidP="004D7A3E">
            <w:pPr>
              <w:rPr>
                <w:b w:val="0"/>
                <w:bCs w:val="0"/>
              </w:rPr>
            </w:pPr>
            <w:r w:rsidRPr="00DB7E77">
              <w:t xml:space="preserve">     Total</w:t>
            </w:r>
          </w:p>
        </w:tc>
        <w:tc>
          <w:tcPr>
            <w:tcW w:w="973" w:type="dxa"/>
            <w:noWrap/>
            <w:hideMark/>
          </w:tcPr>
          <w:p w14:paraId="5C2910D6" w14:textId="77777777" w:rsidR="002A5569" w:rsidRPr="00DB7E77" w:rsidRDefault="002A5569" w:rsidP="004D7A3E">
            <w:pPr>
              <w:cnfStyle w:val="000000100000" w:firstRow="0" w:lastRow="0" w:firstColumn="0" w:lastColumn="0" w:oddVBand="0" w:evenVBand="0" w:oddHBand="1" w:evenHBand="0" w:firstRowFirstColumn="0" w:firstRowLastColumn="0" w:lastRowFirstColumn="0" w:lastRowLastColumn="0"/>
            </w:pPr>
            <w:r w:rsidRPr="00DB7E77">
              <w:t> </w:t>
            </w:r>
          </w:p>
        </w:tc>
        <w:tc>
          <w:tcPr>
            <w:tcW w:w="1135" w:type="dxa"/>
            <w:noWrap/>
            <w:hideMark/>
          </w:tcPr>
          <w:p w14:paraId="2E77D429" w14:textId="77777777" w:rsidR="002A5569" w:rsidRPr="008B03E9" w:rsidRDefault="002A5569" w:rsidP="001C6833">
            <w:pPr>
              <w:cnfStyle w:val="000000100000" w:firstRow="0" w:lastRow="0" w:firstColumn="0" w:lastColumn="0" w:oddVBand="0" w:evenVBand="0" w:oddHBand="1" w:evenHBand="0" w:firstRowFirstColumn="0" w:firstRowLastColumn="0" w:lastRowFirstColumn="0" w:lastRowLastColumn="0"/>
              <w:rPr>
                <w:b/>
              </w:rPr>
            </w:pPr>
            <w:r w:rsidRPr="008B03E9">
              <w:rPr>
                <w:b/>
              </w:rPr>
              <w:t>581</w:t>
            </w:r>
          </w:p>
        </w:tc>
        <w:tc>
          <w:tcPr>
            <w:tcW w:w="1401" w:type="dxa"/>
            <w:noWrap/>
            <w:hideMark/>
          </w:tcPr>
          <w:p w14:paraId="4612EA62" w14:textId="77777777" w:rsidR="002A5569" w:rsidRPr="008B03E9" w:rsidRDefault="002A5569" w:rsidP="001C6833">
            <w:pPr>
              <w:cnfStyle w:val="000000100000" w:firstRow="0" w:lastRow="0" w:firstColumn="0" w:lastColumn="0" w:oddVBand="0" w:evenVBand="0" w:oddHBand="1" w:evenHBand="0" w:firstRowFirstColumn="0" w:firstRowLastColumn="0" w:lastRowFirstColumn="0" w:lastRowLastColumn="0"/>
              <w:rPr>
                <w:b/>
              </w:rPr>
            </w:pPr>
            <w:r w:rsidRPr="008B03E9">
              <w:rPr>
                <w:b/>
              </w:rPr>
              <w:t>528</w:t>
            </w:r>
          </w:p>
        </w:tc>
      </w:tr>
    </w:tbl>
    <w:p w14:paraId="1AA61005" w14:textId="77777777" w:rsidR="00BA730B" w:rsidRPr="001C6833" w:rsidRDefault="00BA730B" w:rsidP="004D7A3E">
      <w:pPr>
        <w:rPr>
          <w:sz w:val="2"/>
        </w:rPr>
      </w:pPr>
    </w:p>
    <w:tbl>
      <w:tblPr>
        <w:tblStyle w:val="LightList-Accent5"/>
        <w:tblW w:w="6562" w:type="dxa"/>
        <w:jc w:val="center"/>
        <w:tblInd w:w="-111" w:type="dxa"/>
        <w:tblLook w:val="04A0" w:firstRow="1" w:lastRow="0" w:firstColumn="1" w:lastColumn="0" w:noHBand="0" w:noVBand="1"/>
      </w:tblPr>
      <w:tblGrid>
        <w:gridCol w:w="2651"/>
        <w:gridCol w:w="1384"/>
        <w:gridCol w:w="1269"/>
        <w:gridCol w:w="1408"/>
      </w:tblGrid>
      <w:tr w:rsidR="002A5569" w:rsidRPr="00DB7E77" w14:paraId="301293D6" w14:textId="77777777" w:rsidTr="006848A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51" w:type="dxa"/>
            <w:noWrap/>
            <w:hideMark/>
          </w:tcPr>
          <w:p w14:paraId="6FC1575F" w14:textId="77777777" w:rsidR="002A5569" w:rsidRPr="00DB7E77" w:rsidRDefault="002A5569" w:rsidP="004D7A3E">
            <w:r w:rsidRPr="001C6833">
              <w:t>Efficiency</w:t>
            </w:r>
          </w:p>
        </w:tc>
        <w:tc>
          <w:tcPr>
            <w:tcW w:w="1234" w:type="dxa"/>
            <w:noWrap/>
            <w:hideMark/>
          </w:tcPr>
          <w:p w14:paraId="6741C342" w14:textId="77777777" w:rsidR="002A5569" w:rsidRDefault="00BA730B" w:rsidP="004D7A3E">
            <w:pPr>
              <w:cnfStyle w:val="100000000000" w:firstRow="1" w:lastRow="0" w:firstColumn="0" w:lastColumn="0" w:oddVBand="0" w:evenVBand="0" w:oddHBand="0" w:evenHBand="0" w:firstRowFirstColumn="0" w:firstRowLastColumn="0" w:lastRowFirstColumn="0" w:lastRowLastColumn="0"/>
            </w:pPr>
            <w:r>
              <w:t>Acquisition</w:t>
            </w:r>
          </w:p>
          <w:p w14:paraId="60EC9C75" w14:textId="77777777" w:rsidR="00BA730B" w:rsidRPr="00DB7E77" w:rsidRDefault="00BA730B" w:rsidP="004D7A3E">
            <w:pPr>
              <w:cnfStyle w:val="100000000000" w:firstRow="1" w:lastRow="0" w:firstColumn="0" w:lastColumn="0" w:oddVBand="0" w:evenVBand="0" w:oddHBand="0" w:evenHBand="0" w:firstRowFirstColumn="0" w:firstRowLastColumn="0" w:lastRowFirstColumn="0" w:lastRowLastColumn="0"/>
            </w:pPr>
            <w:r>
              <w:t>Range</w:t>
            </w:r>
          </w:p>
        </w:tc>
        <w:tc>
          <w:tcPr>
            <w:tcW w:w="1269" w:type="dxa"/>
            <w:noWrap/>
            <w:hideMark/>
          </w:tcPr>
          <w:p w14:paraId="703B1A67" w14:textId="77777777" w:rsidR="002A5569" w:rsidRDefault="00BA730B" w:rsidP="004D7A3E">
            <w:pPr>
              <w:cnfStyle w:val="100000000000" w:firstRow="1" w:lastRow="0" w:firstColumn="0" w:lastColumn="0" w:oddVBand="0" w:evenVBand="0" w:oddHBand="0" w:evenHBand="0" w:firstRowFirstColumn="0" w:firstRowLastColumn="0" w:lastRowFirstColumn="0" w:lastRowLastColumn="0"/>
            </w:pPr>
            <w:r>
              <w:t>Peak</w:t>
            </w:r>
          </w:p>
          <w:p w14:paraId="2670E2D2" w14:textId="77777777" w:rsidR="00BA730B" w:rsidRPr="00DB7E77" w:rsidRDefault="00BA730B" w:rsidP="004D7A3E">
            <w:pPr>
              <w:cnfStyle w:val="100000000000" w:firstRow="1" w:lastRow="0" w:firstColumn="0" w:lastColumn="0" w:oddVBand="0" w:evenVBand="0" w:oddHBand="0" w:evenHBand="0" w:firstRowFirstColumn="0" w:firstRowLastColumn="0" w:lastRowFirstColumn="0" w:lastRowLastColumn="0"/>
              <w:rPr>
                <w:sz w:val="20"/>
                <w:szCs w:val="20"/>
              </w:rPr>
            </w:pPr>
            <w:r>
              <w:t>Reduction</w:t>
            </w:r>
          </w:p>
        </w:tc>
        <w:tc>
          <w:tcPr>
            <w:tcW w:w="1408" w:type="dxa"/>
            <w:noWrap/>
            <w:hideMark/>
          </w:tcPr>
          <w:p w14:paraId="53BA6070" w14:textId="77777777" w:rsidR="002A5569" w:rsidRPr="00DB7E77" w:rsidRDefault="002A5569" w:rsidP="004D7A3E">
            <w:pPr>
              <w:cnfStyle w:val="100000000000" w:firstRow="1" w:lastRow="0" w:firstColumn="0" w:lastColumn="0" w:oddVBand="0" w:evenVBand="0" w:oddHBand="0" w:evenHBand="0" w:firstRowFirstColumn="0" w:firstRowLastColumn="0" w:lastRowFirstColumn="0" w:lastRowLastColumn="0"/>
            </w:pPr>
            <w:r w:rsidRPr="00DB7E77">
              <w:t> </w:t>
            </w:r>
            <w:r w:rsidR="00BA730B" w:rsidRPr="00DB7E77">
              <w:t>Energy (aMW)</w:t>
            </w:r>
          </w:p>
        </w:tc>
      </w:tr>
      <w:tr w:rsidR="002A5569" w:rsidRPr="00DB7E77" w14:paraId="49624F5F" w14:textId="77777777" w:rsidTr="006848A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51" w:type="dxa"/>
            <w:noWrap/>
            <w:hideMark/>
          </w:tcPr>
          <w:p w14:paraId="53BE48D7" w14:textId="77777777" w:rsidR="002A5569" w:rsidRPr="00DB7E77" w:rsidRDefault="002A5569" w:rsidP="004D7A3E">
            <w:r w:rsidRPr="00DB7E77">
              <w:t>Energy Efficiency</w:t>
            </w:r>
          </w:p>
        </w:tc>
        <w:tc>
          <w:tcPr>
            <w:tcW w:w="1234" w:type="dxa"/>
            <w:noWrap/>
            <w:hideMark/>
          </w:tcPr>
          <w:p w14:paraId="45FD409D" w14:textId="77777777" w:rsidR="002A5569" w:rsidRPr="00DB7E77" w:rsidRDefault="002A5569" w:rsidP="001C6833">
            <w:pPr>
              <w:cnfStyle w:val="000000100000" w:firstRow="0" w:lastRow="0" w:firstColumn="0" w:lastColumn="0" w:oddVBand="0" w:evenVBand="0" w:oddHBand="1" w:evenHBand="0" w:firstRowFirstColumn="0" w:firstRowLastColumn="0" w:lastRowFirstColumn="0" w:lastRowLastColumn="0"/>
            </w:pPr>
            <w:r w:rsidRPr="00DB7E77">
              <w:t>2014-2033</w:t>
            </w:r>
          </w:p>
        </w:tc>
        <w:tc>
          <w:tcPr>
            <w:tcW w:w="1269" w:type="dxa"/>
            <w:noWrap/>
            <w:hideMark/>
          </w:tcPr>
          <w:p w14:paraId="1FA49F14" w14:textId="77777777" w:rsidR="002A5569" w:rsidRPr="00DB7E77" w:rsidRDefault="002A5569" w:rsidP="001C6833">
            <w:pPr>
              <w:cnfStyle w:val="000000100000" w:firstRow="0" w:lastRow="0" w:firstColumn="0" w:lastColumn="0" w:oddVBand="0" w:evenVBand="0" w:oddHBand="1" w:evenHBand="0" w:firstRowFirstColumn="0" w:firstRowLastColumn="0" w:lastRowFirstColumn="0" w:lastRowLastColumn="0"/>
            </w:pPr>
            <w:r w:rsidRPr="00DB7E77">
              <w:t>221</w:t>
            </w:r>
          </w:p>
        </w:tc>
        <w:tc>
          <w:tcPr>
            <w:tcW w:w="1408" w:type="dxa"/>
            <w:noWrap/>
            <w:hideMark/>
          </w:tcPr>
          <w:p w14:paraId="09778628" w14:textId="77777777" w:rsidR="002A5569" w:rsidRPr="00DB7E77" w:rsidRDefault="002A5569" w:rsidP="001C6833">
            <w:pPr>
              <w:cnfStyle w:val="000000100000" w:firstRow="0" w:lastRow="0" w:firstColumn="0" w:lastColumn="0" w:oddVBand="0" w:evenVBand="0" w:oddHBand="1" w:evenHBand="0" w:firstRowFirstColumn="0" w:firstRowLastColumn="0" w:lastRowFirstColumn="0" w:lastRowLastColumn="0"/>
            </w:pPr>
            <w:r w:rsidRPr="00DB7E77">
              <w:t>164</w:t>
            </w:r>
          </w:p>
        </w:tc>
      </w:tr>
      <w:tr w:rsidR="002A5569" w:rsidRPr="00DB7E77" w14:paraId="069E49B5" w14:textId="77777777" w:rsidTr="006848AA">
        <w:trPr>
          <w:trHeight w:val="300"/>
          <w:jc w:val="center"/>
        </w:trPr>
        <w:tc>
          <w:tcPr>
            <w:cnfStyle w:val="001000000000" w:firstRow="0" w:lastRow="0" w:firstColumn="1" w:lastColumn="0" w:oddVBand="0" w:evenVBand="0" w:oddHBand="0" w:evenHBand="0" w:firstRowFirstColumn="0" w:firstRowLastColumn="0" w:lastRowFirstColumn="0" w:lastRowLastColumn="0"/>
            <w:tcW w:w="2651" w:type="dxa"/>
            <w:noWrap/>
            <w:hideMark/>
          </w:tcPr>
          <w:p w14:paraId="5B8BDB1B" w14:textId="77777777" w:rsidR="002A5569" w:rsidRPr="00DB7E77" w:rsidRDefault="002A5569" w:rsidP="004D7A3E">
            <w:r w:rsidRPr="00DB7E77">
              <w:t>Demand Response</w:t>
            </w:r>
          </w:p>
        </w:tc>
        <w:tc>
          <w:tcPr>
            <w:tcW w:w="1234" w:type="dxa"/>
            <w:noWrap/>
            <w:hideMark/>
          </w:tcPr>
          <w:p w14:paraId="1F6194B8" w14:textId="77777777" w:rsidR="002A5569" w:rsidRPr="00DB7E77" w:rsidRDefault="002A5569" w:rsidP="001C6833">
            <w:pPr>
              <w:cnfStyle w:val="000000000000" w:firstRow="0" w:lastRow="0" w:firstColumn="0" w:lastColumn="0" w:oddVBand="0" w:evenVBand="0" w:oddHBand="0" w:evenHBand="0" w:firstRowFirstColumn="0" w:firstRowLastColumn="0" w:lastRowFirstColumn="0" w:lastRowLastColumn="0"/>
            </w:pPr>
            <w:r w:rsidRPr="00DB7E77">
              <w:t>2022-2027</w:t>
            </w:r>
          </w:p>
        </w:tc>
        <w:tc>
          <w:tcPr>
            <w:tcW w:w="1269" w:type="dxa"/>
            <w:noWrap/>
            <w:hideMark/>
          </w:tcPr>
          <w:p w14:paraId="7D931E9F" w14:textId="77777777" w:rsidR="002A5569" w:rsidRPr="00DB7E77" w:rsidRDefault="002A5569" w:rsidP="001C6833">
            <w:pPr>
              <w:cnfStyle w:val="000000000000" w:firstRow="0" w:lastRow="0" w:firstColumn="0" w:lastColumn="0" w:oddVBand="0" w:evenVBand="0" w:oddHBand="0" w:evenHBand="0" w:firstRowFirstColumn="0" w:firstRowLastColumn="0" w:lastRowFirstColumn="0" w:lastRowLastColumn="0"/>
            </w:pPr>
            <w:r w:rsidRPr="00DB7E77">
              <w:t>19</w:t>
            </w:r>
          </w:p>
        </w:tc>
        <w:tc>
          <w:tcPr>
            <w:tcW w:w="1408" w:type="dxa"/>
            <w:noWrap/>
            <w:hideMark/>
          </w:tcPr>
          <w:p w14:paraId="100ABA6B" w14:textId="77777777" w:rsidR="002A5569" w:rsidRPr="00DB7E77" w:rsidRDefault="002A5569" w:rsidP="001C6833">
            <w:pPr>
              <w:cnfStyle w:val="000000000000" w:firstRow="0" w:lastRow="0" w:firstColumn="0" w:lastColumn="0" w:oddVBand="0" w:evenVBand="0" w:oddHBand="0" w:evenHBand="0" w:firstRowFirstColumn="0" w:firstRowLastColumn="0" w:lastRowFirstColumn="0" w:lastRowLastColumn="0"/>
            </w:pPr>
            <w:r w:rsidRPr="00DB7E77">
              <w:t>0</w:t>
            </w:r>
          </w:p>
        </w:tc>
      </w:tr>
      <w:tr w:rsidR="002A5569" w:rsidRPr="00DB7E77" w14:paraId="11E5716B" w14:textId="77777777" w:rsidTr="006848A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51" w:type="dxa"/>
            <w:noWrap/>
            <w:hideMark/>
          </w:tcPr>
          <w:p w14:paraId="017E4607" w14:textId="77777777" w:rsidR="002A5569" w:rsidRPr="00DB7E77" w:rsidRDefault="002A5569" w:rsidP="004D7A3E">
            <w:r w:rsidRPr="00DB7E77">
              <w:t>Distribution Efficiency</w:t>
            </w:r>
          </w:p>
        </w:tc>
        <w:tc>
          <w:tcPr>
            <w:tcW w:w="1234" w:type="dxa"/>
            <w:noWrap/>
            <w:hideMark/>
          </w:tcPr>
          <w:p w14:paraId="64512088" w14:textId="77777777" w:rsidR="002A5569" w:rsidRPr="00DB7E77" w:rsidRDefault="002A5569" w:rsidP="001C6833">
            <w:pPr>
              <w:cnfStyle w:val="000000100000" w:firstRow="0" w:lastRow="0" w:firstColumn="0" w:lastColumn="0" w:oddVBand="0" w:evenVBand="0" w:oddHBand="1" w:evenHBand="0" w:firstRowFirstColumn="0" w:firstRowLastColumn="0" w:lastRowFirstColumn="0" w:lastRowLastColumn="0"/>
            </w:pPr>
            <w:r w:rsidRPr="00DB7E77">
              <w:t>2014-2017</w:t>
            </w:r>
          </w:p>
        </w:tc>
        <w:tc>
          <w:tcPr>
            <w:tcW w:w="1269" w:type="dxa"/>
            <w:noWrap/>
            <w:hideMark/>
          </w:tcPr>
          <w:p w14:paraId="1759DEC5" w14:textId="77777777" w:rsidR="002A5569" w:rsidRPr="00DB7E77" w:rsidRDefault="002A5569" w:rsidP="001C6833">
            <w:pPr>
              <w:cnfStyle w:val="000000100000" w:firstRow="0" w:lastRow="0" w:firstColumn="0" w:lastColumn="0" w:oddVBand="0" w:evenVBand="0" w:oddHBand="1" w:evenHBand="0" w:firstRowFirstColumn="0" w:firstRowLastColumn="0" w:lastRowFirstColumn="0" w:lastRowLastColumn="0"/>
            </w:pPr>
            <w:r w:rsidRPr="00DB7E77">
              <w:t>&lt;1</w:t>
            </w:r>
          </w:p>
        </w:tc>
        <w:tc>
          <w:tcPr>
            <w:tcW w:w="1408" w:type="dxa"/>
            <w:noWrap/>
            <w:hideMark/>
          </w:tcPr>
          <w:p w14:paraId="6DC3F6F1" w14:textId="77777777" w:rsidR="002A5569" w:rsidRPr="00DB7E77" w:rsidRDefault="002A5569" w:rsidP="001C6833">
            <w:pPr>
              <w:cnfStyle w:val="000000100000" w:firstRow="0" w:lastRow="0" w:firstColumn="0" w:lastColumn="0" w:oddVBand="0" w:evenVBand="0" w:oddHBand="1" w:evenHBand="0" w:firstRowFirstColumn="0" w:firstRowLastColumn="0" w:lastRowFirstColumn="0" w:lastRowLastColumn="0"/>
            </w:pPr>
            <w:r w:rsidRPr="00DB7E77">
              <w:t>&lt;1</w:t>
            </w:r>
          </w:p>
        </w:tc>
      </w:tr>
      <w:tr w:rsidR="002A5569" w:rsidRPr="00DB7E77" w14:paraId="1362E8D6" w14:textId="77777777" w:rsidTr="006848AA">
        <w:trPr>
          <w:trHeight w:val="300"/>
          <w:jc w:val="center"/>
        </w:trPr>
        <w:tc>
          <w:tcPr>
            <w:cnfStyle w:val="001000000000" w:firstRow="0" w:lastRow="0" w:firstColumn="1" w:lastColumn="0" w:oddVBand="0" w:evenVBand="0" w:oddHBand="0" w:evenHBand="0" w:firstRowFirstColumn="0" w:firstRowLastColumn="0" w:lastRowFirstColumn="0" w:lastRowLastColumn="0"/>
            <w:tcW w:w="2651" w:type="dxa"/>
            <w:noWrap/>
            <w:hideMark/>
          </w:tcPr>
          <w:p w14:paraId="2A3CBEB5" w14:textId="77777777" w:rsidR="002A5569" w:rsidRPr="00DB7E77" w:rsidRDefault="002A5569" w:rsidP="004D7A3E">
            <w:r w:rsidRPr="00DB7E77">
              <w:t xml:space="preserve">     Total</w:t>
            </w:r>
          </w:p>
        </w:tc>
        <w:tc>
          <w:tcPr>
            <w:tcW w:w="1234" w:type="dxa"/>
            <w:noWrap/>
            <w:hideMark/>
          </w:tcPr>
          <w:p w14:paraId="776CFF5D" w14:textId="77777777" w:rsidR="002A5569" w:rsidRPr="008B03E9" w:rsidRDefault="002A5569" w:rsidP="004D7A3E">
            <w:pPr>
              <w:cnfStyle w:val="000000000000" w:firstRow="0" w:lastRow="0" w:firstColumn="0" w:lastColumn="0" w:oddVBand="0" w:evenVBand="0" w:oddHBand="0" w:evenHBand="0" w:firstRowFirstColumn="0" w:firstRowLastColumn="0" w:lastRowFirstColumn="0" w:lastRowLastColumn="0"/>
              <w:rPr>
                <w:b/>
              </w:rPr>
            </w:pPr>
            <w:r w:rsidRPr="008B03E9">
              <w:rPr>
                <w:b/>
              </w:rPr>
              <w:t> </w:t>
            </w:r>
          </w:p>
        </w:tc>
        <w:tc>
          <w:tcPr>
            <w:tcW w:w="1269" w:type="dxa"/>
            <w:noWrap/>
            <w:hideMark/>
          </w:tcPr>
          <w:p w14:paraId="2B8D9C48" w14:textId="77777777" w:rsidR="002A5569" w:rsidRPr="008B03E9" w:rsidRDefault="002A5569" w:rsidP="001C6833">
            <w:pPr>
              <w:cnfStyle w:val="000000000000" w:firstRow="0" w:lastRow="0" w:firstColumn="0" w:lastColumn="0" w:oddVBand="0" w:evenVBand="0" w:oddHBand="0" w:evenHBand="0" w:firstRowFirstColumn="0" w:firstRowLastColumn="0" w:lastRowFirstColumn="0" w:lastRowLastColumn="0"/>
              <w:rPr>
                <w:b/>
              </w:rPr>
            </w:pPr>
            <w:r w:rsidRPr="008B03E9">
              <w:rPr>
                <w:b/>
              </w:rPr>
              <w:t>240</w:t>
            </w:r>
          </w:p>
        </w:tc>
        <w:tc>
          <w:tcPr>
            <w:tcW w:w="1408" w:type="dxa"/>
            <w:noWrap/>
            <w:hideMark/>
          </w:tcPr>
          <w:p w14:paraId="72B1359E" w14:textId="77777777" w:rsidR="002A5569" w:rsidRPr="008B03E9" w:rsidRDefault="002A5569" w:rsidP="001C6833">
            <w:pPr>
              <w:cnfStyle w:val="000000000000" w:firstRow="0" w:lastRow="0" w:firstColumn="0" w:lastColumn="0" w:oddVBand="0" w:evenVBand="0" w:oddHBand="0" w:evenHBand="0" w:firstRowFirstColumn="0" w:firstRowLastColumn="0" w:lastRowFirstColumn="0" w:lastRowLastColumn="0"/>
              <w:rPr>
                <w:b/>
              </w:rPr>
            </w:pPr>
            <w:r w:rsidRPr="008B03E9">
              <w:rPr>
                <w:b/>
              </w:rPr>
              <w:t>164</w:t>
            </w:r>
          </w:p>
        </w:tc>
      </w:tr>
    </w:tbl>
    <w:p w14:paraId="548B0593" w14:textId="77777777" w:rsidR="002A5569" w:rsidRDefault="002A5569" w:rsidP="004D7A3E"/>
    <w:p w14:paraId="7461BC34" w14:textId="77777777" w:rsidR="00882E5C" w:rsidRPr="002B1750" w:rsidRDefault="00882E5C" w:rsidP="004D7A3E"/>
    <w:p w14:paraId="647E14FE" w14:textId="77777777" w:rsidR="00E83458" w:rsidDel="00E83458" w:rsidRDefault="002A5569" w:rsidP="00E83458">
      <w:r w:rsidRPr="002B1750">
        <w:lastRenderedPageBreak/>
        <w:t xml:space="preserve">Although the Commission is satisfied with Avista’s general analytical approach and its identification of various resource options, it is not clear how Avista evaluated the risk associated with each possible resource portfolio along </w:t>
      </w:r>
      <w:r w:rsidR="00A61580">
        <w:t xml:space="preserve">its </w:t>
      </w:r>
      <w:r w:rsidRPr="002B1750">
        <w:t>efficient frontier</w:t>
      </w:r>
      <w:r w:rsidR="008B0E20">
        <w:rPr>
          <w:rStyle w:val="FootnoteReference"/>
        </w:rPr>
        <w:footnoteReference w:id="7"/>
      </w:r>
      <w:r w:rsidR="00834187">
        <w:t xml:space="preserve"> of potential resource portfolios</w:t>
      </w:r>
      <w:r w:rsidRPr="002B1750">
        <w:t>.</w:t>
      </w:r>
      <w:r w:rsidR="00834187">
        <w:t xml:space="preserve"> </w:t>
      </w:r>
      <w:r w:rsidRPr="002B1750">
        <w:t xml:space="preserve"> </w:t>
      </w:r>
      <w:r w:rsidR="00FD70E6">
        <w:t xml:space="preserve">In its analysis </w:t>
      </w:r>
      <w:r w:rsidRPr="002B1750">
        <w:t xml:space="preserve">Avista identifies alternative portfolios </w:t>
      </w:r>
      <w:r w:rsidR="003F5600">
        <w:t>with lower r</w:t>
      </w:r>
      <w:r w:rsidR="00F20655">
        <w:t>isk profiles than</w:t>
      </w:r>
      <w:r w:rsidR="003F5600">
        <w:t xml:space="preserve"> the Company’s preferred resource portfolio</w:t>
      </w:r>
      <w:r w:rsidR="00A0678B">
        <w:t>.</w:t>
      </w:r>
      <w:r w:rsidR="004A6634">
        <w:t xml:space="preserve"> </w:t>
      </w:r>
      <w:r w:rsidR="00A0678B">
        <w:t>H</w:t>
      </w:r>
      <w:r w:rsidR="004A6634">
        <w:t>owever</w:t>
      </w:r>
      <w:r w:rsidR="003F5600">
        <w:t>,</w:t>
      </w:r>
      <w:r w:rsidR="004A6634">
        <w:t xml:space="preserve"> </w:t>
      </w:r>
      <w:r w:rsidR="00E83458">
        <w:t>it</w:t>
      </w:r>
      <w:r w:rsidR="004A6634">
        <w:t xml:space="preserve"> is</w:t>
      </w:r>
      <w:r w:rsidRPr="002B1750">
        <w:t xml:space="preserve"> not clear</w:t>
      </w:r>
      <w:r w:rsidR="004A6634">
        <w:t xml:space="preserve"> </w:t>
      </w:r>
      <w:r w:rsidRPr="002B1750">
        <w:t xml:space="preserve">how the Company </w:t>
      </w:r>
      <w:r w:rsidR="00C61867">
        <w:t>weighed that r</w:t>
      </w:r>
      <w:r w:rsidR="00DE464C">
        <w:t>isk</w:t>
      </w:r>
      <w:r w:rsidR="00C61867">
        <w:t xml:space="preserve"> when choosing among </w:t>
      </w:r>
      <w:r w:rsidR="00DE464C">
        <w:t xml:space="preserve">competing </w:t>
      </w:r>
      <w:r w:rsidR="00C61867">
        <w:t>resource portfolios</w:t>
      </w:r>
      <w:r w:rsidRPr="002B1750">
        <w:t xml:space="preserve"> </w:t>
      </w:r>
      <w:r w:rsidR="00DE464C">
        <w:t>nor is it clear</w:t>
      </w:r>
      <w:r w:rsidR="00F20655">
        <w:t xml:space="preserve"> </w:t>
      </w:r>
      <w:r w:rsidRPr="002B1750">
        <w:t>why the Company ultimately decided not</w:t>
      </w:r>
      <w:r w:rsidR="00FD70E6">
        <w:t xml:space="preserve"> to</w:t>
      </w:r>
      <w:r w:rsidRPr="002B1750">
        <w:t xml:space="preserve"> select a </w:t>
      </w:r>
      <w:r w:rsidR="004A6634">
        <w:t xml:space="preserve">different </w:t>
      </w:r>
      <w:r w:rsidRPr="002B1750">
        <w:t xml:space="preserve">lower-risk or lower-cost resource strategy </w:t>
      </w:r>
      <w:r w:rsidR="003F5600">
        <w:t>as its</w:t>
      </w:r>
      <w:r w:rsidRPr="002B1750">
        <w:t xml:space="preserve"> </w:t>
      </w:r>
      <w:r w:rsidR="00242583">
        <w:t>preferred resource strategy</w:t>
      </w:r>
      <w:r w:rsidRPr="002B1750">
        <w:t>.</w:t>
      </w:r>
      <w:r w:rsidR="00E83458">
        <w:t xml:space="preserve"> Rather than rely upon a </w:t>
      </w:r>
      <w:r w:rsidR="00F20655">
        <w:t>clearly defined quantitative</w:t>
      </w:r>
      <w:r w:rsidR="00E83458">
        <w:t xml:space="preserve"> approach to assessing the cost-risk tradeoffs of various portfolios, Avista relied upon the subjective risk tolerance of the Company’s management when selecting its preferred resource strategy. </w:t>
      </w:r>
    </w:p>
    <w:p w14:paraId="53F84916" w14:textId="77777777" w:rsidR="009F2363" w:rsidRDefault="009F2363" w:rsidP="00DB2F38"/>
    <w:p w14:paraId="7718B1A6" w14:textId="77777777" w:rsidR="007A63FB" w:rsidRDefault="00E54C03" w:rsidP="00542AA8">
      <w:r>
        <w:t>Although t</w:t>
      </w:r>
      <w:r w:rsidR="002A5569" w:rsidRPr="002B1750">
        <w:t xml:space="preserve">he Commission does not </w:t>
      </w:r>
      <w:r w:rsidR="00966374">
        <w:t>consider Avista</w:t>
      </w:r>
      <w:r w:rsidR="00A0678B">
        <w:t xml:space="preserve">’s choice </w:t>
      </w:r>
      <w:r w:rsidR="00075381">
        <w:t xml:space="preserve">of </w:t>
      </w:r>
      <w:r w:rsidR="00242583">
        <w:t>preferred resource strategy</w:t>
      </w:r>
      <w:r w:rsidR="00075381">
        <w:t xml:space="preserve"> </w:t>
      </w:r>
      <w:r w:rsidR="00A0678B">
        <w:t>to be</w:t>
      </w:r>
      <w:r w:rsidR="002A5569" w:rsidRPr="002B1750">
        <w:t xml:space="preserve"> inappropriate, </w:t>
      </w:r>
      <w:r>
        <w:t>we believe that the Company should enhance the transparency of the portfolio selection process and provide the rationale for its choice of preferred resource strategy. For</w:t>
      </w:r>
      <w:r w:rsidR="002A5569" w:rsidRPr="004D7A3E">
        <w:t xml:space="preserve"> f</w:t>
      </w:r>
      <w:r w:rsidR="00CA3ABE">
        <w:t xml:space="preserve">uture IRPs, </w:t>
      </w:r>
      <w:r>
        <w:t xml:space="preserve">the Commission urges </w:t>
      </w:r>
      <w:r w:rsidR="00CA3ABE">
        <w:t xml:space="preserve">Avista </w:t>
      </w:r>
      <w:r>
        <w:t>to</w:t>
      </w:r>
      <w:r w:rsidR="00C71146">
        <w:t xml:space="preserve"> describe the reasoning</w:t>
      </w:r>
      <w:r w:rsidR="00966374">
        <w:t xml:space="preserve"> behind</w:t>
      </w:r>
      <w:r w:rsidR="00C71146">
        <w:t xml:space="preserve"> decisions</w:t>
      </w:r>
      <w:r w:rsidR="00CA3ABE">
        <w:t xml:space="preserve"> </w:t>
      </w:r>
      <w:r w:rsidR="00966374">
        <w:t>relying upon subjectivity</w:t>
      </w:r>
      <w:r w:rsidR="005762D8">
        <w:t>,</w:t>
      </w:r>
      <w:r w:rsidR="00966374">
        <w:t xml:space="preserve"> </w:t>
      </w:r>
      <w:r w:rsidR="00ED043F">
        <w:t xml:space="preserve">and </w:t>
      </w:r>
      <w:r w:rsidR="00966374">
        <w:t xml:space="preserve">incorporate </w:t>
      </w:r>
      <w:r w:rsidR="00ED043F">
        <w:t>economic justification</w:t>
      </w:r>
      <w:r w:rsidR="00966374">
        <w:t xml:space="preserve"> that includes an evaluation of risk</w:t>
      </w:r>
      <w:r w:rsidR="00ED043F">
        <w:t xml:space="preserve"> into its decision</w:t>
      </w:r>
      <w:r w:rsidR="005762D8">
        <w:t>-</w:t>
      </w:r>
      <w:r w:rsidR="00ED043F">
        <w:t xml:space="preserve">making processes. </w:t>
      </w:r>
      <w:r w:rsidR="00CA3ABE">
        <w:t xml:space="preserve"> </w:t>
      </w:r>
    </w:p>
    <w:p w14:paraId="09641349" w14:textId="77777777" w:rsidR="008D5535" w:rsidRDefault="00A61895" w:rsidP="00542AA8">
      <w:r w:rsidRPr="001C6833">
        <mc:AlternateContent>
          <mc:Choice Requires="wps">
            <w:drawing>
              <wp:anchor distT="45720" distB="45720" distL="114300" distR="114300" simplePos="0" relativeHeight="251671552" behindDoc="0" locked="0" layoutInCell="1" allowOverlap="1" wp14:anchorId="7976DE9D" wp14:editId="60472B10">
                <wp:simplePos x="0" y="0"/>
                <wp:positionH relativeFrom="margin">
                  <wp:posOffset>-10160</wp:posOffset>
                </wp:positionH>
                <wp:positionV relativeFrom="paragraph">
                  <wp:posOffset>281940</wp:posOffset>
                </wp:positionV>
                <wp:extent cx="5838825" cy="1404620"/>
                <wp:effectExtent l="0" t="0" r="2857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04620"/>
                        </a:xfrm>
                        <a:prstGeom prst="rect">
                          <a:avLst/>
                        </a:prstGeom>
                        <a:solidFill>
                          <a:srgbClr val="FFFFFF"/>
                        </a:solidFill>
                        <a:ln w="9525">
                          <a:solidFill>
                            <a:srgbClr val="000000"/>
                          </a:solidFill>
                          <a:miter lim="800000"/>
                          <a:headEnd/>
                          <a:tailEnd/>
                        </a:ln>
                      </wps:spPr>
                      <wps:txbx>
                        <w:txbxContent>
                          <w:p w14:paraId="54A6487C" w14:textId="77777777" w:rsidR="00F0623D" w:rsidRPr="004D7A3E" w:rsidRDefault="00F0623D" w:rsidP="00A61895">
                            <w:r>
                              <w:t>In its updated action plan, Avista committed to involving</w:t>
                            </w:r>
                            <w:r w:rsidRPr="004D7A3E">
                              <w:t xml:space="preserve"> the </w:t>
                            </w:r>
                            <w:r>
                              <w:t>technical advisory committee (TAC) in an evaluation of the cost and risk tradeoffs associated with</w:t>
                            </w:r>
                            <w:r w:rsidRPr="004D7A3E">
                              <w:t xml:space="preserve"> different </w:t>
                            </w:r>
                            <w:r>
                              <w:t>resource portfolio options</w:t>
                            </w:r>
                            <w:r w:rsidRPr="004D7A3E">
                              <w:t xml:space="preserve"> along the efficient frontier. The Commission supports this </w:t>
                            </w:r>
                            <w:r>
                              <w:t>approach</w:t>
                            </w:r>
                            <w:r w:rsidRPr="004D7A3E">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pt;margin-top:22.2pt;width:459.75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">
                <v:textbox style="mso-fit-shape-to-text:t">
                  <w:txbxContent>
                    <w:p w14:paraId="54A6487C" w14:textId="77777777" w:rsidR="00F0623D" w:rsidRPr="004D7A3E" w:rsidRDefault="00F0623D" w:rsidP="00A61895">
                      <w:r>
                        <w:t>In its updated action plan, Avista committed to involving</w:t>
                      </w:r>
                      <w:r w:rsidRPr="004D7A3E">
                        <w:t xml:space="preserve"> the </w:t>
                      </w:r>
                      <w:r>
                        <w:t>technical advisory committee (TAC) in an evaluation of the cost and risk tradeoffs associated with</w:t>
                      </w:r>
                      <w:r w:rsidRPr="004D7A3E">
                        <w:t xml:space="preserve"> different </w:t>
                      </w:r>
                      <w:r>
                        <w:t>resource portfolio options</w:t>
                      </w:r>
                      <w:r w:rsidRPr="004D7A3E">
                        <w:t xml:space="preserve"> along the efficient frontier. The Commission supports this </w:t>
                      </w:r>
                      <w:r>
                        <w:t>approach</w:t>
                      </w:r>
                      <w:r w:rsidRPr="004D7A3E">
                        <w:t>.</w:t>
                      </w:r>
                    </w:p>
                  </w:txbxContent>
                </v:textbox>
                <w10:wrap type="square" anchorx="margin"/>
              </v:shape>
            </w:pict>
          </mc:Fallback>
        </mc:AlternateContent>
      </w:r>
    </w:p>
    <w:p w14:paraId="5F44933C" w14:textId="77777777" w:rsidR="00A61895" w:rsidRDefault="00A61895" w:rsidP="00542AA8"/>
    <w:p w14:paraId="64D15C15" w14:textId="77777777" w:rsidR="001C084E" w:rsidRPr="00882E5C" w:rsidRDefault="009441C8" w:rsidP="002A5569">
      <w:pPr>
        <w:pStyle w:val="Heading1"/>
        <w:spacing w:before="0"/>
        <w:rPr>
          <w:sz w:val="25"/>
          <w:szCs w:val="25"/>
        </w:rPr>
      </w:pPr>
      <w:r w:rsidRPr="00882E5C">
        <w:rPr>
          <w:sz w:val="25"/>
          <w:szCs w:val="25"/>
        </w:rPr>
        <w:t>Basic Planning Margin</w:t>
      </w:r>
    </w:p>
    <w:p w14:paraId="4EC67210" w14:textId="77777777" w:rsidR="009E051B" w:rsidRPr="002B1750" w:rsidRDefault="009E051B" w:rsidP="004D7A3E"/>
    <w:p w14:paraId="2E12A0E3" w14:textId="77777777" w:rsidR="001C084E" w:rsidRPr="002B1750" w:rsidRDefault="00363A8B" w:rsidP="004D7A3E">
      <w:r w:rsidRPr="002B1750">
        <w:t>For the 2013</w:t>
      </w:r>
      <w:r w:rsidR="001C084E" w:rsidRPr="002B1750">
        <w:t xml:space="preserve"> IRP, Avista chose a </w:t>
      </w:r>
      <w:r w:rsidR="006B3C8E">
        <w:t>22 percent total</w:t>
      </w:r>
      <w:r w:rsidR="001C084E" w:rsidRPr="002B1750">
        <w:t xml:space="preserve"> planning margin,</w:t>
      </w:r>
      <w:r w:rsidR="006B3C8E">
        <w:rPr>
          <w:rStyle w:val="FootnoteReference"/>
          <w:sz w:val="24"/>
          <w:szCs w:val="24"/>
        </w:rPr>
        <w:footnoteReference w:id="8"/>
      </w:r>
      <w:r w:rsidR="007B3C22">
        <w:t xml:space="preserve"> and</w:t>
      </w:r>
      <w:r w:rsidR="001C084E" w:rsidRPr="002B1750">
        <w:t xml:space="preserve"> will rely on </w:t>
      </w:r>
      <w:r w:rsidRPr="002B1750">
        <w:t xml:space="preserve">approximately </w:t>
      </w:r>
      <w:r w:rsidR="001C084E" w:rsidRPr="002B1750">
        <w:t xml:space="preserve">240 MW of market power </w:t>
      </w:r>
      <w:r w:rsidR="004C0CEA">
        <w:t>to meet a 5</w:t>
      </w:r>
      <w:r w:rsidR="007B3C22">
        <w:t xml:space="preserve"> percent loss-of-load probability</w:t>
      </w:r>
      <w:r w:rsidR="00A61895">
        <w:t xml:space="preserve"> (LOLP)</w:t>
      </w:r>
      <w:r w:rsidR="007B3C22">
        <w:t xml:space="preserve"> </w:t>
      </w:r>
      <w:r w:rsidR="007B3C22">
        <w:lastRenderedPageBreak/>
        <w:t>metric.</w:t>
      </w:r>
      <w:r w:rsidR="009D01E1">
        <w:rPr>
          <w:rStyle w:val="FootnoteReference"/>
        </w:rPr>
        <w:footnoteReference w:id="9"/>
      </w:r>
      <w:r w:rsidR="009E051B" w:rsidRPr="002B1750">
        <w:t xml:space="preserve"> Using</w:t>
      </w:r>
      <w:r w:rsidR="001C084E" w:rsidRPr="002B1750">
        <w:t xml:space="preserve"> this total planning margin, Avista currently projects having adequate resources </w:t>
      </w:r>
      <w:r w:rsidR="00385FB0">
        <w:t>among its</w:t>
      </w:r>
      <w:r w:rsidR="001C084E" w:rsidRPr="002B1750">
        <w:t xml:space="preserve"> owned and contractually-controlled generation to meet ener</w:t>
      </w:r>
      <w:r w:rsidRPr="002B1750">
        <w:t>gy and capacity needs through 2019</w:t>
      </w:r>
      <w:r w:rsidR="001C084E" w:rsidRPr="002B1750">
        <w:t xml:space="preserve">. </w:t>
      </w:r>
    </w:p>
    <w:p w14:paraId="1BB2EC79" w14:textId="77777777" w:rsidR="009E051B" w:rsidRPr="002B1750" w:rsidRDefault="009E051B" w:rsidP="004D7A3E"/>
    <w:p w14:paraId="3A26A6CA" w14:textId="77777777" w:rsidR="00FA164E" w:rsidRDefault="00A7091B" w:rsidP="004D7A3E">
      <w:r w:rsidRPr="002B1750">
        <w:t>Although</w:t>
      </w:r>
      <w:r w:rsidR="001C084E" w:rsidRPr="002B1750">
        <w:t xml:space="preserve"> </w:t>
      </w:r>
      <w:r w:rsidR="00A61895">
        <w:t>this</w:t>
      </w:r>
      <w:r w:rsidR="00711021">
        <w:t xml:space="preserve"> approach to projecting</w:t>
      </w:r>
      <w:r w:rsidR="001C084E" w:rsidRPr="002B1750">
        <w:t xml:space="preserve"> energy and capacity positions is </w:t>
      </w:r>
      <w:r w:rsidR="00A61895">
        <w:t xml:space="preserve">generally </w:t>
      </w:r>
      <w:r w:rsidR="001C084E" w:rsidRPr="002B1750">
        <w:t xml:space="preserve">sufficient, </w:t>
      </w:r>
      <w:r w:rsidR="00773E3E">
        <w:t xml:space="preserve">the Company </w:t>
      </w:r>
      <w:r w:rsidR="00A0678B">
        <w:t xml:space="preserve">did not </w:t>
      </w:r>
      <w:r w:rsidR="001C084E" w:rsidRPr="002B1750">
        <w:t>prov</w:t>
      </w:r>
      <w:r w:rsidR="00FA164E" w:rsidRPr="002B1750">
        <w:t>ide a complete justification for</w:t>
      </w:r>
      <w:r w:rsidR="001C084E" w:rsidRPr="002B1750">
        <w:t xml:space="preserve"> its use of a 14 percent basic planning margin. </w:t>
      </w:r>
      <w:r w:rsidR="00FD66D6">
        <w:t xml:space="preserve">While </w:t>
      </w:r>
      <w:r w:rsidR="001C084E" w:rsidRPr="002B1750">
        <w:t>sufficiently demonstrat</w:t>
      </w:r>
      <w:r w:rsidR="00FD66D6">
        <w:t>ing</w:t>
      </w:r>
      <w:r w:rsidR="001C084E" w:rsidRPr="002B1750">
        <w:t xml:space="preserve"> the cost and market-reliance implications associated with various planning margins, </w:t>
      </w:r>
      <w:r w:rsidR="00FD66D6">
        <w:t>Avista</w:t>
      </w:r>
      <w:r w:rsidR="00FD66D6" w:rsidRPr="002B1750">
        <w:t xml:space="preserve"> </w:t>
      </w:r>
      <w:r w:rsidR="001C084E" w:rsidRPr="002B1750">
        <w:t xml:space="preserve">does not explain why </w:t>
      </w:r>
      <w:r w:rsidR="00FD66D6">
        <w:t xml:space="preserve">its choice of </w:t>
      </w:r>
      <w:r w:rsidR="001C084E" w:rsidRPr="002B1750">
        <w:t xml:space="preserve">a 14 percent </w:t>
      </w:r>
      <w:r w:rsidR="002118FA">
        <w:t xml:space="preserve">basic </w:t>
      </w:r>
      <w:r w:rsidR="001C084E" w:rsidRPr="002B1750">
        <w:t>planning margin is superior to</w:t>
      </w:r>
      <w:r w:rsidR="00FD66D6">
        <w:t xml:space="preserve"> any other viable margin.</w:t>
      </w:r>
      <w:r w:rsidR="001C084E" w:rsidRPr="002B1750">
        <w:t xml:space="preserve"> </w:t>
      </w:r>
      <w:r w:rsidR="003458F6">
        <w:t>A</w:t>
      </w:r>
      <w:r w:rsidR="009F2363">
        <w:t xml:space="preserve">vista </w:t>
      </w:r>
      <w:r w:rsidR="00856487">
        <w:t>demonstrates</w:t>
      </w:r>
      <w:r w:rsidR="009F2363">
        <w:t xml:space="preserve"> that a</w:t>
      </w:r>
      <w:r w:rsidR="001C084E" w:rsidRPr="002B1750">
        <w:t xml:space="preserve"> 5 percent </w:t>
      </w:r>
      <w:r w:rsidR="00A61895">
        <w:t>LOLP</w:t>
      </w:r>
      <w:r w:rsidR="001C084E" w:rsidRPr="002B1750">
        <w:t xml:space="preserve"> can be achieved</w:t>
      </w:r>
      <w:r w:rsidR="003458F6">
        <w:t xml:space="preserve"> </w:t>
      </w:r>
      <w:r w:rsidR="001C084E" w:rsidRPr="002B1750">
        <w:t xml:space="preserve">even </w:t>
      </w:r>
      <w:r w:rsidR="006B4790">
        <w:t xml:space="preserve">when using </w:t>
      </w:r>
      <w:r w:rsidR="001C084E" w:rsidRPr="002B1750">
        <w:t>a 12 percent planning margin</w:t>
      </w:r>
      <w:r w:rsidR="000F6B27" w:rsidRPr="002B1750">
        <w:t>,</w:t>
      </w:r>
      <w:r w:rsidR="000F6B27" w:rsidRPr="002B1750">
        <w:rPr>
          <w:rStyle w:val="FootnoteReference"/>
          <w:sz w:val="24"/>
          <w:szCs w:val="24"/>
        </w:rPr>
        <w:footnoteReference w:id="10"/>
      </w:r>
      <w:r w:rsidR="001C084E" w:rsidRPr="002B1750">
        <w:t xml:space="preserve"> albeit w</w:t>
      </w:r>
      <w:r w:rsidR="00854C4D" w:rsidRPr="002B1750">
        <w:t>ith an</w:t>
      </w:r>
      <w:r w:rsidR="000F6B27" w:rsidRPr="002B1750">
        <w:t xml:space="preserve"> increased market contribution</w:t>
      </w:r>
      <w:r w:rsidR="001C084E" w:rsidRPr="002B1750">
        <w:t xml:space="preserve">. However, </w:t>
      </w:r>
      <w:r w:rsidR="0017029C" w:rsidRPr="002B1750">
        <w:t>Avista does not explain why an</w:t>
      </w:r>
      <w:r w:rsidR="001C084E" w:rsidRPr="002B1750">
        <w:t xml:space="preserve"> increased </w:t>
      </w:r>
      <w:r w:rsidR="00854C4D" w:rsidRPr="002B1750">
        <w:t xml:space="preserve">reliance </w:t>
      </w:r>
      <w:r w:rsidR="00A61895">
        <w:t xml:space="preserve">on market purchases </w:t>
      </w:r>
      <w:r w:rsidR="00854C4D" w:rsidRPr="002B1750">
        <w:t xml:space="preserve">associated with a lower basic planning margin is </w:t>
      </w:r>
      <w:r w:rsidR="006B4790" w:rsidRPr="002B1750">
        <w:t>unsuitable</w:t>
      </w:r>
      <w:r w:rsidR="00854C4D" w:rsidRPr="002B1750">
        <w:t xml:space="preserve">. </w:t>
      </w:r>
    </w:p>
    <w:p w14:paraId="77D95C23" w14:textId="77777777" w:rsidR="006B4790" w:rsidRPr="002B1750" w:rsidRDefault="006B4790" w:rsidP="004D7A3E"/>
    <w:p w14:paraId="68B092DD" w14:textId="77777777" w:rsidR="004D52E3" w:rsidRDefault="006B4790" w:rsidP="004D7A3E">
      <w:r>
        <w:t xml:space="preserve">Nevertheless, </w:t>
      </w:r>
      <w:r w:rsidR="001C084E" w:rsidRPr="002B1750">
        <w:t>Avista’s overall planning ma</w:t>
      </w:r>
      <w:r w:rsidR="00FA164E" w:rsidRPr="002B1750">
        <w:t>rgin of 22 percent is comparable to</w:t>
      </w:r>
      <w:r w:rsidR="001C084E" w:rsidRPr="002B1750">
        <w:t xml:space="preserve"> NPCC’s recommendation of 23 percent for the</w:t>
      </w:r>
      <w:r w:rsidR="00854C4D" w:rsidRPr="002B1750">
        <w:t xml:space="preserve"> region, and </w:t>
      </w:r>
      <w:r w:rsidR="001C084E" w:rsidRPr="002B1750">
        <w:t xml:space="preserve">the </w:t>
      </w:r>
      <w:r w:rsidR="00042D3F">
        <w:t>C</w:t>
      </w:r>
      <w:r w:rsidR="001C084E" w:rsidRPr="002B1750">
        <w:t>ompany does not project a capacity</w:t>
      </w:r>
      <w:r w:rsidR="00854C4D" w:rsidRPr="002B1750">
        <w:t xml:space="preserve"> need until 2020</w:t>
      </w:r>
      <w:r w:rsidRPr="006B4790">
        <w:t xml:space="preserve"> </w:t>
      </w:r>
      <w:r w:rsidRPr="002B1750">
        <w:t>even with a 14 percent basic planning margin</w:t>
      </w:r>
      <w:r w:rsidR="00854C4D" w:rsidRPr="002B1750">
        <w:t xml:space="preserve">. However, </w:t>
      </w:r>
      <w:r w:rsidRPr="002B1750">
        <w:t>in future IRPs</w:t>
      </w:r>
      <w:r>
        <w:t>,</w:t>
      </w:r>
      <w:r w:rsidRPr="002B1750">
        <w:t xml:space="preserve"> </w:t>
      </w:r>
      <w:r w:rsidR="00854C4D" w:rsidRPr="002B1750">
        <w:t>the Commission</w:t>
      </w:r>
      <w:r w:rsidR="00FA164E" w:rsidRPr="002B1750">
        <w:t xml:space="preserve"> requests that </w:t>
      </w:r>
      <w:r>
        <w:t>the company</w:t>
      </w:r>
      <w:r w:rsidRPr="002B1750">
        <w:t xml:space="preserve"> </w:t>
      </w:r>
      <w:r w:rsidR="001C084E" w:rsidRPr="002B1750">
        <w:t>fully justify its choice of planning margin</w:t>
      </w:r>
      <w:r w:rsidR="00FA164E" w:rsidRPr="002B1750">
        <w:t>. This will be particularly important</w:t>
      </w:r>
      <w:r w:rsidR="001C084E" w:rsidRPr="002B1750">
        <w:t xml:space="preserve"> </w:t>
      </w:r>
      <w:r w:rsidR="00FE7635">
        <w:t xml:space="preserve">to consider </w:t>
      </w:r>
      <w:r w:rsidR="001C084E" w:rsidRPr="002B1750">
        <w:t xml:space="preserve">as </w:t>
      </w:r>
      <w:r w:rsidR="00856487">
        <w:t>the Northwest Power and Conservation Council</w:t>
      </w:r>
      <w:r w:rsidR="00A0678B">
        <w:t xml:space="preserve"> develops its new resource adequacy plan</w:t>
      </w:r>
      <w:r w:rsidR="001C084E" w:rsidRPr="002B1750">
        <w:t xml:space="preserve">. </w:t>
      </w:r>
      <w:r w:rsidR="00FA164E" w:rsidRPr="002B1750">
        <w:t>T</w:t>
      </w:r>
      <w:r w:rsidR="00854C4D" w:rsidRPr="002B1750">
        <w:t>he Commission expects Avista to</w:t>
      </w:r>
      <w:r w:rsidR="00A61895">
        <w:t xml:space="preserve"> consult closely with the TAC</w:t>
      </w:r>
      <w:r w:rsidR="00854C4D" w:rsidRPr="002B1750">
        <w:t xml:space="preserve"> in the </w:t>
      </w:r>
      <w:r w:rsidR="009E051B" w:rsidRPr="002B1750">
        <w:t xml:space="preserve">choice of a basic planning margin for the </w:t>
      </w:r>
      <w:r w:rsidR="00FA164E" w:rsidRPr="002B1750">
        <w:t>development of its 2015</w:t>
      </w:r>
      <w:r w:rsidR="009E051B" w:rsidRPr="002B1750">
        <w:t xml:space="preserve"> IRP.</w:t>
      </w:r>
    </w:p>
    <w:p w14:paraId="58FF148E" w14:textId="77777777" w:rsidR="001C084E" w:rsidRPr="008D5535" w:rsidRDefault="004D52E3" w:rsidP="00355FF0">
      <w:pPr>
        <w:pStyle w:val="Heading1"/>
      </w:pPr>
      <w:r w:rsidRPr="00542AA8">
        <w:rPr>
          <w:noProof/>
        </w:rPr>
        <mc:AlternateContent>
          <mc:Choice Requires="wps">
            <w:drawing>
              <wp:anchor distT="45720" distB="45720" distL="114300" distR="114300" simplePos="0" relativeHeight="251661312" behindDoc="0" locked="0" layoutInCell="1" allowOverlap="1" wp14:anchorId="254BF296" wp14:editId="6DA61BF0">
                <wp:simplePos x="0" y="0"/>
                <wp:positionH relativeFrom="margin">
                  <wp:posOffset>0</wp:posOffset>
                </wp:positionH>
                <wp:positionV relativeFrom="paragraph">
                  <wp:posOffset>245110</wp:posOffset>
                </wp:positionV>
                <wp:extent cx="5838825" cy="1404620"/>
                <wp:effectExtent l="0" t="0" r="2857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04620"/>
                        </a:xfrm>
                        <a:prstGeom prst="rect">
                          <a:avLst/>
                        </a:prstGeom>
                        <a:solidFill>
                          <a:srgbClr val="FFFFFF"/>
                        </a:solidFill>
                        <a:ln w="9525">
                          <a:solidFill>
                            <a:srgbClr val="000000"/>
                          </a:solidFill>
                          <a:miter lim="800000"/>
                          <a:headEnd/>
                          <a:tailEnd/>
                        </a:ln>
                      </wps:spPr>
                      <wps:txbx>
                        <w:txbxContent>
                          <w:p w14:paraId="11457868" w14:textId="77777777" w:rsidR="00F0623D" w:rsidRPr="004D7A3E" w:rsidRDefault="00F0623D" w:rsidP="004D52E3">
                            <w:r w:rsidRPr="002B1750">
                              <w:t xml:space="preserve">In its updated action plan, Avista committed to </w:t>
                            </w:r>
                            <w:r>
                              <w:t>re-assess</w:t>
                            </w:r>
                            <w:r w:rsidRPr="004D52E3">
                              <w:t xml:space="preserve"> with the </w:t>
                            </w:r>
                            <w:r>
                              <w:t>TAC</w:t>
                            </w:r>
                            <w:r w:rsidRPr="004D52E3">
                              <w:t xml:space="preserve"> the benefits and costs of the Company’s 2013 IRP planning margin to determine if a different level is warranted in the 2015 IRP.</w:t>
                            </w:r>
                            <w:r>
                              <w:t xml:space="preserve"> The Commission supports this approach.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19.3pt;width:459.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">
                <v:textbox style="mso-fit-shape-to-text:t">
                  <w:txbxContent>
                    <w:p w14:paraId="11457868" w14:textId="77777777" w:rsidR="00F0623D" w:rsidRPr="004D7A3E" w:rsidRDefault="00F0623D" w:rsidP="004D52E3">
                      <w:r w:rsidRPr="002B1750">
                        <w:t xml:space="preserve">In its updated action plan, Avista committed to </w:t>
                      </w:r>
                      <w:r>
                        <w:t>re-assess</w:t>
                      </w:r>
                      <w:r w:rsidRPr="004D52E3">
                        <w:t xml:space="preserve"> with the </w:t>
                      </w:r>
                      <w:r>
                        <w:t>TAC</w:t>
                      </w:r>
                      <w:r w:rsidRPr="004D52E3">
                        <w:t xml:space="preserve"> the benefits and costs of the Company’s 2013 IRP planning margin to determine if a different level is warranted in the 2015 IRP.</w:t>
                      </w:r>
                      <w:r>
                        <w:t xml:space="preserve"> The Commission supports this approach. </w:t>
                      </w:r>
                    </w:p>
                  </w:txbxContent>
                </v:textbox>
                <w10:wrap type="square" anchorx="margin"/>
              </v:shape>
            </w:pict>
          </mc:Fallback>
        </mc:AlternateContent>
      </w:r>
      <w:bookmarkStart w:id="2" w:name="_Toc376255998"/>
      <w:r w:rsidR="001C084E" w:rsidRPr="008D5535">
        <w:t>Energy Efficiency Resources</w:t>
      </w:r>
      <w:bookmarkEnd w:id="2"/>
    </w:p>
    <w:p w14:paraId="4CC4777B" w14:textId="77777777" w:rsidR="001C084E" w:rsidRPr="002B1750" w:rsidRDefault="001C084E" w:rsidP="004D7A3E"/>
    <w:p w14:paraId="2828991B" w14:textId="77777777" w:rsidR="005D5367" w:rsidRPr="002B1750" w:rsidRDefault="001C084E" w:rsidP="004D7A3E">
      <w:r w:rsidRPr="002B1750">
        <w:t>Avista retained EnerNOC to conduct the Conservation Potential Assessment (CPA) for the IRP. The CPA identifies the 20-year potential for energy efficiency and provides data on resources specific to Avista’s service territory for use in the 2013 IRP.</w:t>
      </w:r>
      <w:r w:rsidR="009F2363">
        <w:t xml:space="preserve"> </w:t>
      </w:r>
      <w:r w:rsidRPr="002B1750">
        <w:t xml:space="preserve"> The conservation potential considers </w:t>
      </w:r>
      <w:r w:rsidRPr="002B1750">
        <w:lastRenderedPageBreak/>
        <w:t xml:space="preserve">the impacts of existing programs, the </w:t>
      </w:r>
      <w:r w:rsidR="005D5367">
        <w:t>anticipated effect</w:t>
      </w:r>
      <w:r w:rsidRPr="002B1750">
        <w:t xml:space="preserve"> of known building codes and standards, technology developments and innovation, changes to the economic influences, and energy prices. </w:t>
      </w:r>
    </w:p>
    <w:p w14:paraId="3886581B" w14:textId="77777777" w:rsidR="005D5367" w:rsidRDefault="005D5367" w:rsidP="004D7A3E"/>
    <w:p w14:paraId="14EEDF99" w14:textId="688F9A80" w:rsidR="00A1761F" w:rsidRDefault="00013997" w:rsidP="004D7A3E">
      <w:r>
        <w:t>In its review of Avista’s IRP, Staff</w:t>
      </w:r>
      <w:r w:rsidR="005D5367">
        <w:t xml:space="preserve"> identified </w:t>
      </w:r>
      <w:r w:rsidR="00A1761F">
        <w:t>potential shortcoming</w:t>
      </w:r>
      <w:r>
        <w:t>s</w:t>
      </w:r>
      <w:r w:rsidR="00A1761F">
        <w:t xml:space="preserve"> in </w:t>
      </w:r>
      <w:r>
        <w:t xml:space="preserve">the Company’s </w:t>
      </w:r>
      <w:r w:rsidR="00F0623D">
        <w:t>app</w:t>
      </w:r>
      <w:r>
        <w:t>r</w:t>
      </w:r>
      <w:r w:rsidR="00F0623D">
        <w:t>o</w:t>
      </w:r>
      <w:r>
        <w:t xml:space="preserve">ach to </w:t>
      </w:r>
      <w:r w:rsidR="00A1761F">
        <w:t>modeling</w:t>
      </w:r>
      <w:r>
        <w:t xml:space="preserve"> energy efficiency resources </w:t>
      </w:r>
      <w:r w:rsidR="00A1761F">
        <w:t>within the IRP</w:t>
      </w:r>
      <w:r w:rsidR="001C084E" w:rsidRPr="002B1750">
        <w:t xml:space="preserve">. Where PSE and PacifiCorp both allow the IRP model to treat efficiency as a </w:t>
      </w:r>
      <w:r w:rsidR="00EB4AFA" w:rsidRPr="002B1750">
        <w:t xml:space="preserve">selectable and scalable </w:t>
      </w:r>
      <w:r w:rsidR="001C084E" w:rsidRPr="002B1750">
        <w:t>re</w:t>
      </w:r>
      <w:r w:rsidR="00EB4AFA" w:rsidRPr="002B1750">
        <w:t>source</w:t>
      </w:r>
      <w:r w:rsidR="001C084E" w:rsidRPr="002B1750">
        <w:t xml:space="preserve">, Avista uses the achievable potential from its CPA as a direct input into the IRP model. </w:t>
      </w:r>
      <w:r w:rsidR="007863E0">
        <w:t>T</w:t>
      </w:r>
      <w:r w:rsidR="001C084E" w:rsidRPr="002B1750">
        <w:t>he company first estimates its</w:t>
      </w:r>
      <w:r w:rsidR="00EB4AFA" w:rsidRPr="002B1750">
        <w:t xml:space="preserve"> avoided cost using its conservation-adjusted load forecast and expected capacity acquisition schedule</w:t>
      </w:r>
      <w:r w:rsidR="001C084E" w:rsidRPr="002B1750">
        <w:t xml:space="preserve">. </w:t>
      </w:r>
      <w:r w:rsidR="007863E0">
        <w:t xml:space="preserve">The </w:t>
      </w:r>
      <w:r w:rsidR="00F52E26">
        <w:t>estimated</w:t>
      </w:r>
      <w:r w:rsidR="007863E0" w:rsidRPr="002B1750">
        <w:t xml:space="preserve"> </w:t>
      </w:r>
      <w:r w:rsidR="001C084E" w:rsidRPr="002B1750">
        <w:t>avoided cost is then incorporated into the CPA as a benefit within the Total Resource Cost test.</w:t>
      </w:r>
    </w:p>
    <w:p w14:paraId="2B04B79E" w14:textId="77777777" w:rsidR="001C084E" w:rsidRPr="002B1750" w:rsidRDefault="001C084E" w:rsidP="004D7A3E">
      <w:r w:rsidRPr="002B1750">
        <w:t xml:space="preserve"> </w:t>
      </w:r>
    </w:p>
    <w:p w14:paraId="6F04E35D" w14:textId="77777777" w:rsidR="001C084E" w:rsidRDefault="001C084E" w:rsidP="004D7A3E">
      <w:r w:rsidRPr="002B1750">
        <w:t xml:space="preserve">In theory, the amount of conservation selected </w:t>
      </w:r>
      <w:r w:rsidR="00F52E26" w:rsidRPr="002B1750">
        <w:t xml:space="preserve">within the CPA </w:t>
      </w:r>
      <w:r w:rsidR="00F52E26">
        <w:t xml:space="preserve">using this methodology </w:t>
      </w:r>
      <w:r w:rsidR="00531AC3" w:rsidRPr="002B1750">
        <w:t>should not differ dramatically</w:t>
      </w:r>
      <w:r w:rsidRPr="002B1750">
        <w:t xml:space="preserve"> from the amount that would be chosen in</w:t>
      </w:r>
      <w:r w:rsidR="00F52E26">
        <w:t xml:space="preserve"> a</w:t>
      </w:r>
      <w:r w:rsidRPr="002B1750">
        <w:t xml:space="preserve"> </w:t>
      </w:r>
      <w:r w:rsidR="00F52E26">
        <w:t xml:space="preserve">more dynamic </w:t>
      </w:r>
      <w:r w:rsidRPr="002B1750">
        <w:t xml:space="preserve">IRP model given that both </w:t>
      </w:r>
      <w:r w:rsidR="00F52E26">
        <w:t xml:space="preserve">methods </w:t>
      </w:r>
      <w:r w:rsidRPr="002B1750">
        <w:t xml:space="preserve">compare the cost of </w:t>
      </w:r>
      <w:r w:rsidR="00A1761F">
        <w:t>conservation to the cost of alternative resources</w:t>
      </w:r>
      <w:r w:rsidRPr="002B1750">
        <w:t xml:space="preserve">. However, by </w:t>
      </w:r>
      <w:r w:rsidR="00F52E26">
        <w:t>using an</w:t>
      </w:r>
      <w:r w:rsidRPr="002B1750">
        <w:t xml:space="preserve"> IRP model </w:t>
      </w:r>
      <w:r w:rsidR="00F52E26">
        <w:t>that</w:t>
      </w:r>
      <w:r w:rsidR="00F52E26" w:rsidRPr="002B1750">
        <w:t xml:space="preserve"> </w:t>
      </w:r>
      <w:r w:rsidR="00F52E26">
        <w:t xml:space="preserve">does not </w:t>
      </w:r>
      <w:r w:rsidRPr="002B1750">
        <w:t xml:space="preserve">select a dynamic quantity of conservation resources, the </w:t>
      </w:r>
      <w:r w:rsidR="00F52E26">
        <w:t>end result may</w:t>
      </w:r>
      <w:r w:rsidR="00F52E26" w:rsidRPr="002B1750">
        <w:t xml:space="preserve"> </w:t>
      </w:r>
      <w:r w:rsidRPr="002B1750">
        <w:t>su</w:t>
      </w:r>
      <w:r w:rsidR="00531AC3" w:rsidRPr="002B1750">
        <w:t>ffer from two potentially significant</w:t>
      </w:r>
      <w:r w:rsidRPr="002B1750">
        <w:t xml:space="preserve"> setbacks: </w:t>
      </w:r>
    </w:p>
    <w:p w14:paraId="2993651E" w14:textId="77777777" w:rsidR="00882E5C" w:rsidRPr="002B1750" w:rsidRDefault="00882E5C" w:rsidP="004D7A3E"/>
    <w:p w14:paraId="169AECD1" w14:textId="77777777" w:rsidR="001C084E" w:rsidRPr="002B1750" w:rsidRDefault="001C084E" w:rsidP="00542AA8">
      <w:pPr>
        <w:pStyle w:val="ListParagraph"/>
        <w:numPr>
          <w:ilvl w:val="0"/>
          <w:numId w:val="29"/>
        </w:numPr>
      </w:pPr>
      <w:r w:rsidRPr="002B1750">
        <w:t>The model cannot r</w:t>
      </w:r>
      <w:r w:rsidR="00FA215B" w:rsidRPr="002B1750">
        <w:t>eadily adapt to new scenarios</w:t>
      </w:r>
      <w:r w:rsidR="00BE1D1A" w:rsidRPr="002B1750">
        <w:t>,</w:t>
      </w:r>
      <w:r w:rsidRPr="002B1750">
        <w:t xml:space="preserve"> changes in model assumptions</w:t>
      </w:r>
      <w:r w:rsidR="00FA215B" w:rsidRPr="002B1750">
        <w:t>,</w:t>
      </w:r>
      <w:r w:rsidR="00BE1D1A" w:rsidRPr="002B1750">
        <w:t xml:space="preserve"> or the different avoided costs generated under various resource strategies.</w:t>
      </w:r>
      <w:r w:rsidR="00FA215B" w:rsidRPr="002B1750">
        <w:t xml:space="preserve"> </w:t>
      </w:r>
    </w:p>
    <w:p w14:paraId="507BDB40" w14:textId="77777777" w:rsidR="001C084E" w:rsidRPr="002B1750" w:rsidRDefault="001C084E" w:rsidP="00542AA8">
      <w:pPr>
        <w:pStyle w:val="ListParagraph"/>
        <w:numPr>
          <w:ilvl w:val="0"/>
          <w:numId w:val="29"/>
        </w:numPr>
      </w:pPr>
      <w:r w:rsidRPr="002B1750">
        <w:t>The model cannot choose to accelerate acquisition of conservation, even in cases where the acceleration of acquisition is the least-cost resource or provides substantial risk mitigation</w:t>
      </w:r>
      <w:r w:rsidR="00BE1D1A" w:rsidRPr="002B1750">
        <w:t xml:space="preserve"> value</w:t>
      </w:r>
      <w:r w:rsidRPr="002B1750">
        <w:t xml:space="preserve">. </w:t>
      </w:r>
      <w:r w:rsidR="00F52E26">
        <w:t>Instead, t</w:t>
      </w:r>
      <w:r w:rsidRPr="002B1750">
        <w:t>he acquisition rate is defined by the ramp rates w</w:t>
      </w:r>
      <w:r w:rsidR="0084785E">
        <w:t>ithin the CPA.</w:t>
      </w:r>
    </w:p>
    <w:p w14:paraId="3A971179" w14:textId="77777777" w:rsidR="000403D8" w:rsidRPr="002B1750" w:rsidRDefault="000403D8" w:rsidP="004D7A3E"/>
    <w:p w14:paraId="50862606" w14:textId="77777777" w:rsidR="004D52E3" w:rsidRDefault="00C56773" w:rsidP="004D7A3E">
      <w:r w:rsidRPr="002B1750">
        <w:t xml:space="preserve">For these reasons, the Commission requests that Avista, </w:t>
      </w:r>
      <w:r w:rsidR="007A096D">
        <w:t xml:space="preserve">together </w:t>
      </w:r>
      <w:r w:rsidRPr="002B1750">
        <w:t xml:space="preserve">with input from </w:t>
      </w:r>
      <w:r w:rsidR="005C2CFE">
        <w:t>the TAC</w:t>
      </w:r>
      <w:r w:rsidR="00531AC3" w:rsidRPr="002B1750">
        <w:t>, investigate incorporating</w:t>
      </w:r>
      <w:r w:rsidRPr="002B1750">
        <w:t xml:space="preserve"> energy efficiency into its 2015 IRP as a selectable resource</w:t>
      </w:r>
      <w:r w:rsidR="00531AC3" w:rsidRPr="002B1750">
        <w:t xml:space="preserve"> within </w:t>
      </w:r>
      <w:r w:rsidR="00531AC3" w:rsidRPr="002D0748">
        <w:t>PRiSM</w:t>
      </w:r>
      <w:r w:rsidRPr="002B1750">
        <w:t>.</w:t>
      </w:r>
      <w:r w:rsidR="002D0748">
        <w:rPr>
          <w:rStyle w:val="FootnoteReference"/>
        </w:rPr>
        <w:footnoteReference w:id="11"/>
      </w:r>
      <w:r w:rsidR="00531AC3" w:rsidRPr="002B1750">
        <w:t xml:space="preserve"> </w:t>
      </w:r>
    </w:p>
    <w:p w14:paraId="456D9091" w14:textId="77777777" w:rsidR="004D52E3" w:rsidRDefault="004D52E3" w:rsidP="004D7A3E">
      <w:r w:rsidRPr="004D52E3">
        <mc:AlternateContent>
          <mc:Choice Requires="wps">
            <w:drawing>
              <wp:anchor distT="45720" distB="45720" distL="114300" distR="114300" simplePos="0" relativeHeight="251663360" behindDoc="0" locked="0" layoutInCell="1" allowOverlap="1" wp14:anchorId="188AAFEA" wp14:editId="1B8B62E0">
                <wp:simplePos x="0" y="0"/>
                <wp:positionH relativeFrom="margin">
                  <wp:posOffset>0</wp:posOffset>
                </wp:positionH>
                <wp:positionV relativeFrom="paragraph">
                  <wp:posOffset>245110</wp:posOffset>
                </wp:positionV>
                <wp:extent cx="5838825" cy="1404620"/>
                <wp:effectExtent l="0" t="0" r="28575"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04620"/>
                        </a:xfrm>
                        <a:prstGeom prst="rect">
                          <a:avLst/>
                        </a:prstGeom>
                        <a:solidFill>
                          <a:srgbClr val="FFFFFF"/>
                        </a:solidFill>
                        <a:ln w="9525">
                          <a:solidFill>
                            <a:srgbClr val="000000"/>
                          </a:solidFill>
                          <a:miter lim="800000"/>
                          <a:headEnd/>
                          <a:tailEnd/>
                        </a:ln>
                      </wps:spPr>
                      <wps:txbx>
                        <w:txbxContent>
                          <w:p w14:paraId="0B672F59" w14:textId="4886E633" w:rsidR="00F0623D" w:rsidRPr="004D7A3E" w:rsidRDefault="00F0623D" w:rsidP="004D52E3">
                            <w:r w:rsidRPr="002B1750">
                              <w:t xml:space="preserve">In its updated action plan, Avista committed to </w:t>
                            </w:r>
                            <w:r>
                              <w:t>work with the TAC to determine if the 2015 IRP should continue the historical method of conservation quantification or</w:t>
                            </w:r>
                            <w:r w:rsidR="008D7706">
                              <w:t xml:space="preserve"> use the</w:t>
                            </w:r>
                            <w:r>
                              <w:t xml:space="preserve"> PRiSM </w:t>
                            </w:r>
                            <w:r w:rsidR="008D7706">
                              <w:t>resource selection model</w:t>
                            </w:r>
                            <w:r>
                              <w:t xml:space="preserve">. The Commission supports this approach.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0;margin-top:19.3pt;width:459.7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">
                <v:textbox style="mso-fit-shape-to-text:t">
                  <w:txbxContent>
                    <w:p w14:paraId="0B672F59" w14:textId="4886E633" w:rsidR="00F0623D" w:rsidRPr="004D7A3E" w:rsidRDefault="00F0623D" w:rsidP="004D52E3">
                      <w:r w:rsidRPr="002B1750">
                        <w:t xml:space="preserve">In its updated action plan, Avista committed to </w:t>
                      </w:r>
                      <w:r>
                        <w:t>work with the TAC to determine if the 2015 IRP should continue the historical method of conservation quantification or</w:t>
                      </w:r>
                      <w:r w:rsidR="008D7706">
                        <w:t xml:space="preserve"> use the</w:t>
                      </w:r>
                      <w:r>
                        <w:t xml:space="preserve"> PRiSM </w:t>
                      </w:r>
                      <w:r w:rsidR="008D7706">
                        <w:t>resource selection model</w:t>
                      </w:r>
                      <w:r>
                        <w:t xml:space="preserve">. The Commission supports this approach. </w:t>
                      </w:r>
                    </w:p>
                  </w:txbxContent>
                </v:textbox>
                <w10:wrap type="square" anchorx="margin"/>
              </v:shape>
            </w:pict>
          </mc:Fallback>
        </mc:AlternateContent>
      </w:r>
    </w:p>
    <w:p w14:paraId="174FE318" w14:textId="77777777" w:rsidR="001C084E" w:rsidRPr="00882E5C" w:rsidRDefault="00E43229" w:rsidP="002A5569">
      <w:pPr>
        <w:pStyle w:val="Heading1"/>
        <w:spacing w:before="0"/>
        <w:rPr>
          <w:rFonts w:cs="Times New Roman"/>
          <w:sz w:val="25"/>
          <w:szCs w:val="25"/>
        </w:rPr>
      </w:pPr>
      <w:r w:rsidRPr="00882E5C">
        <w:rPr>
          <w:rFonts w:cs="Times New Roman"/>
          <w:sz w:val="25"/>
          <w:szCs w:val="25"/>
        </w:rPr>
        <w:lastRenderedPageBreak/>
        <w:t>Cost of Carbon</w:t>
      </w:r>
    </w:p>
    <w:p w14:paraId="6EC7D014" w14:textId="77777777" w:rsidR="00E43229" w:rsidRPr="002B1750" w:rsidRDefault="00E43229" w:rsidP="004D7A3E"/>
    <w:p w14:paraId="02869099" w14:textId="77777777" w:rsidR="00390DD9" w:rsidRDefault="00390DD9" w:rsidP="004D7A3E">
      <w:r w:rsidRPr="002B1750">
        <w:t xml:space="preserve">In the </w:t>
      </w:r>
      <w:r w:rsidR="000B551B">
        <w:t>e</w:t>
      </w:r>
      <w:r w:rsidR="000B551B" w:rsidRPr="002B1750">
        <w:t xml:space="preserve">xpected </w:t>
      </w:r>
      <w:r w:rsidRPr="002B1750">
        <w:t xml:space="preserve">case in its 2011 IRP, Avista included a greenhouse gas emissions cost that was the weighted average of four different </w:t>
      </w:r>
      <w:r w:rsidR="002E56C5" w:rsidRPr="002B1750">
        <w:t xml:space="preserve">prospective </w:t>
      </w:r>
      <w:r w:rsidRPr="002B1750">
        <w:t xml:space="preserve">reduction policies. For the current 2013 IRP, Avista determined that there was no imminent </w:t>
      </w:r>
      <w:r w:rsidR="000403D8" w:rsidRPr="002B1750">
        <w:t xml:space="preserve">federal </w:t>
      </w:r>
      <w:r w:rsidR="005C2CFE">
        <w:t xml:space="preserve">or state </w:t>
      </w:r>
      <w:r w:rsidR="000B551B">
        <w:t>cap-and-trade</w:t>
      </w:r>
      <w:r w:rsidRPr="002B1750">
        <w:t xml:space="preserve"> or carbon tax policy and, therefore, did not include an explicit cost of carbon in its </w:t>
      </w:r>
      <w:r w:rsidR="00242583">
        <w:t>expected case</w:t>
      </w:r>
      <w:r w:rsidRPr="002B1750">
        <w:t xml:space="preserve">. Rather, the Company </w:t>
      </w:r>
      <w:r w:rsidR="003C7016" w:rsidRPr="002B1750">
        <w:t xml:space="preserve">assumed an acceleration of the retirement of </w:t>
      </w:r>
      <w:r w:rsidR="00AD4DBC" w:rsidRPr="002B1750">
        <w:t xml:space="preserve">certain </w:t>
      </w:r>
      <w:r w:rsidR="003C7016" w:rsidRPr="002B1750">
        <w:t>coal generation fac</w:t>
      </w:r>
      <w:r w:rsidR="00AD4DBC" w:rsidRPr="002B1750">
        <w:t xml:space="preserve">ilities throughout the </w:t>
      </w:r>
      <w:r w:rsidR="00B14B96">
        <w:t>western interconnect</w:t>
      </w:r>
      <w:r w:rsidR="00E27A8A">
        <w:t>ion</w:t>
      </w:r>
      <w:r w:rsidR="004C1189" w:rsidRPr="002B1750">
        <w:t>. Avista estimated</w:t>
      </w:r>
      <w:r w:rsidR="003C7016" w:rsidRPr="002B1750">
        <w:t xml:space="preserve"> that 12,300 MW of coal generation could be shut down over the 20-year planning horizon. An implied upward pressure on market </w:t>
      </w:r>
      <w:r w:rsidR="00451BC6">
        <w:t xml:space="preserve">electricity </w:t>
      </w:r>
      <w:r w:rsidR="003C7016" w:rsidRPr="002B1750">
        <w:t>prices caused by this level of coal retirement was included in the Company’</w:t>
      </w:r>
      <w:r w:rsidR="00AD4DBC" w:rsidRPr="002B1750">
        <w:t xml:space="preserve">s </w:t>
      </w:r>
      <w:r w:rsidR="00242583">
        <w:t>expected case</w:t>
      </w:r>
      <w:r w:rsidR="003C7016" w:rsidRPr="002B1750">
        <w:t xml:space="preserve"> modeling. </w:t>
      </w:r>
    </w:p>
    <w:p w14:paraId="7F65DE52" w14:textId="77777777" w:rsidR="0084785E" w:rsidRPr="002B1750" w:rsidRDefault="0084785E" w:rsidP="004D7A3E"/>
    <w:p w14:paraId="020EFE75" w14:textId="77777777" w:rsidR="00DA1A10" w:rsidRDefault="00DA1A10" w:rsidP="004D7A3E">
      <w:r w:rsidRPr="002B1750">
        <w:t xml:space="preserve">In addition to the </w:t>
      </w:r>
      <w:r w:rsidR="00242583">
        <w:t>expected case</w:t>
      </w:r>
      <w:r w:rsidRPr="002B1750">
        <w:t>, Avista evaluated the efficient frontier of resource portfolios under various prospective greenhouse gas policies. Several hypothet</w:t>
      </w:r>
      <w:r w:rsidR="005C2ABC">
        <w:t>ical climate change policies were</w:t>
      </w:r>
      <w:r w:rsidRPr="002B1750">
        <w:t xml:space="preserve"> included in the 500 Monte Carlo market futures to capture </w:t>
      </w:r>
      <w:r w:rsidR="00011323">
        <w:t>a</w:t>
      </w:r>
      <w:r w:rsidRPr="002B1750">
        <w:t xml:space="preserve"> range of policy alternatives.</w:t>
      </w:r>
      <w:r w:rsidR="008A4601">
        <w:t xml:space="preserve"> </w:t>
      </w:r>
      <w:r w:rsidR="00011323">
        <w:t>The results of this stochastic analysis indicate that</w:t>
      </w:r>
      <w:r w:rsidR="00451BC6">
        <w:t xml:space="preserve"> if the probability of a cost-of-carbon inducing greenhouse gas policy increases,</w:t>
      </w:r>
      <w:r w:rsidR="00011323">
        <w:t xml:space="preserve"> Avista’s </w:t>
      </w:r>
      <w:r w:rsidR="00DB1908">
        <w:t xml:space="preserve">current </w:t>
      </w:r>
      <w:r w:rsidR="00242583">
        <w:t>preferred resource strategy</w:t>
      </w:r>
      <w:r w:rsidR="00011323">
        <w:t xml:space="preserve"> </w:t>
      </w:r>
      <w:r w:rsidR="00451BC6">
        <w:t>may not continue to be</w:t>
      </w:r>
      <w:r w:rsidR="00011323">
        <w:t xml:space="preserve"> </w:t>
      </w:r>
      <w:r w:rsidR="00451BC6">
        <w:t xml:space="preserve">a low-cost, low-risk </w:t>
      </w:r>
      <w:r w:rsidR="00011323">
        <w:t xml:space="preserve">resource strategy. </w:t>
      </w:r>
      <w:r w:rsidRPr="002B1750">
        <w:t xml:space="preserve">Although the </w:t>
      </w:r>
      <w:r w:rsidR="00242583">
        <w:t>preferred resource strategy</w:t>
      </w:r>
      <w:r w:rsidRPr="002B1750">
        <w:t xml:space="preserve"> would be similar under </w:t>
      </w:r>
      <w:r w:rsidR="00953134">
        <w:t xml:space="preserve">the defined </w:t>
      </w:r>
      <w:r w:rsidRPr="002B1750">
        <w:t xml:space="preserve"> </w:t>
      </w:r>
      <w:r w:rsidR="00DB1908">
        <w:t xml:space="preserve">greenhouse gas </w:t>
      </w:r>
      <w:r w:rsidRPr="002B1750">
        <w:t>policy</w:t>
      </w:r>
      <w:r w:rsidR="00DB1908">
        <w:t xml:space="preserve"> </w:t>
      </w:r>
      <w:r w:rsidR="00953134">
        <w:t>future</w:t>
      </w:r>
      <w:r w:rsidRPr="002B1750">
        <w:t xml:space="preserve">, the higher market prices resulting from </w:t>
      </w:r>
      <w:r w:rsidR="00953134">
        <w:t>greenhouse gas</w:t>
      </w:r>
      <w:r w:rsidRPr="002B1750">
        <w:t xml:space="preserve"> legislation would cause Avista to acquire an additional 20.5 aMW of energy efficiency over the 20-year planning horizon, a 12.5 percent increase over the </w:t>
      </w:r>
      <w:r w:rsidR="00242583">
        <w:t>expected case</w:t>
      </w:r>
      <w:r w:rsidRPr="002B1750">
        <w:t>. This scenario also increases the total resource build, but natural gas-fired frame peaking units are replaced with hybrid combustion turbines.</w:t>
      </w:r>
    </w:p>
    <w:p w14:paraId="144492EB" w14:textId="77777777" w:rsidR="00853F0C" w:rsidRPr="002B1750" w:rsidRDefault="00853F0C" w:rsidP="004D7A3E"/>
    <w:p w14:paraId="25C4EEA2" w14:textId="77777777" w:rsidR="00F34E10" w:rsidRDefault="00D234B4" w:rsidP="004D7A3E">
      <w:r w:rsidRPr="002B1750">
        <w:t xml:space="preserve">The </w:t>
      </w:r>
      <w:r w:rsidR="00AD4DBC" w:rsidRPr="002B1750">
        <w:t xml:space="preserve">Commission </w:t>
      </w:r>
      <w:r w:rsidR="004C1189" w:rsidRPr="002B1750">
        <w:t xml:space="preserve">appreciates Avista’s </w:t>
      </w:r>
      <w:r w:rsidR="000B551B">
        <w:t xml:space="preserve">dual </w:t>
      </w:r>
      <w:r w:rsidRPr="002B1750">
        <w:t xml:space="preserve">approach to </w:t>
      </w:r>
      <w:r w:rsidR="00CE7C47" w:rsidRPr="002B1750">
        <w:t>evaluating prospective carbon policy alternatives –</w:t>
      </w:r>
      <w:r w:rsidR="00FE7635">
        <w:t xml:space="preserve"> </w:t>
      </w:r>
      <w:r w:rsidR="00CE7C47" w:rsidRPr="002B1750">
        <w:t xml:space="preserve">by incorporating an implied cost of </w:t>
      </w:r>
      <w:r w:rsidR="00DB1908">
        <w:t xml:space="preserve">anticipated </w:t>
      </w:r>
      <w:r w:rsidR="00CE7C47" w:rsidRPr="002B1750">
        <w:t xml:space="preserve">regulation into the </w:t>
      </w:r>
      <w:r w:rsidR="00242583">
        <w:t>expected case</w:t>
      </w:r>
      <w:r w:rsidR="00CE7C47" w:rsidRPr="002B1750">
        <w:t xml:space="preserve"> and </w:t>
      </w:r>
      <w:r w:rsidR="000B551B">
        <w:t>then</w:t>
      </w:r>
      <w:r w:rsidR="000B551B" w:rsidRPr="002B1750">
        <w:t xml:space="preserve"> </w:t>
      </w:r>
      <w:r w:rsidR="00CE7C47" w:rsidRPr="002B1750">
        <w:t xml:space="preserve">by performing a second full stochastic analysis with a number of </w:t>
      </w:r>
      <w:r w:rsidR="00752D02">
        <w:t xml:space="preserve">carbon </w:t>
      </w:r>
      <w:r w:rsidR="00CE7C47" w:rsidRPr="002B1750">
        <w:t>policy</w:t>
      </w:r>
      <w:r w:rsidR="0095413C" w:rsidRPr="002B1750">
        <w:t xml:space="preserve"> </w:t>
      </w:r>
      <w:r w:rsidR="00CE7C47" w:rsidRPr="002B1750">
        <w:t xml:space="preserve">options from which </w:t>
      </w:r>
      <w:r w:rsidR="0095413C" w:rsidRPr="002B1750">
        <w:t>the model can draw</w:t>
      </w:r>
      <w:r w:rsidR="00CE7C47" w:rsidRPr="002B1750">
        <w:t xml:space="preserve">. However, </w:t>
      </w:r>
      <w:r w:rsidR="00F34E10">
        <w:t>carbon pricing policy</w:t>
      </w:r>
      <w:r w:rsidR="00F34E10" w:rsidRPr="002B1750">
        <w:t xml:space="preserve"> </w:t>
      </w:r>
      <w:r w:rsidR="00CE7C47" w:rsidRPr="002B1750">
        <w:t>is an evolving issue that will</w:t>
      </w:r>
      <w:r w:rsidR="0095413C" w:rsidRPr="002B1750">
        <w:t xml:space="preserve"> require further assessment in</w:t>
      </w:r>
      <w:r w:rsidR="00CE7C47" w:rsidRPr="002B1750">
        <w:t xml:space="preserve"> </w:t>
      </w:r>
      <w:r w:rsidR="004725A2" w:rsidRPr="002B1750">
        <w:t xml:space="preserve">the next </w:t>
      </w:r>
      <w:r w:rsidR="00752D02">
        <w:t xml:space="preserve">planning </w:t>
      </w:r>
      <w:r w:rsidR="004725A2" w:rsidRPr="002B1750">
        <w:t xml:space="preserve">cycle. In particular, </w:t>
      </w:r>
      <w:r w:rsidR="0095413C" w:rsidRPr="002B1750">
        <w:t xml:space="preserve">Avista should </w:t>
      </w:r>
      <w:r w:rsidR="00F34E10">
        <w:t>reassess</w:t>
      </w:r>
      <w:r w:rsidR="00F34E10" w:rsidRPr="002B1750">
        <w:t xml:space="preserve"> </w:t>
      </w:r>
      <w:r w:rsidR="0095413C" w:rsidRPr="002B1750">
        <w:t>prospective po</w:t>
      </w:r>
      <w:r w:rsidR="000403D8" w:rsidRPr="002B1750">
        <w:t>l</w:t>
      </w:r>
      <w:r w:rsidR="00853F0C">
        <w:t>icy alternatives and include an</w:t>
      </w:r>
      <w:r w:rsidR="0095413C" w:rsidRPr="002B1750">
        <w:t xml:space="preserve"> expected value for the cost of carbon in its </w:t>
      </w:r>
      <w:r w:rsidR="00242583">
        <w:t>expected case</w:t>
      </w:r>
      <w:r w:rsidR="0095413C" w:rsidRPr="002B1750">
        <w:t xml:space="preserve">. Further, given that uncertainty still exists about greenhouse gas regulation, the risk mitigation value of each resource portfolio cannot be </w:t>
      </w:r>
      <w:r w:rsidR="00451BC6">
        <w:t xml:space="preserve">determined </w:t>
      </w:r>
      <w:r w:rsidR="0095413C" w:rsidRPr="002B1750">
        <w:t>adequately without</w:t>
      </w:r>
      <w:r w:rsidR="000403D8" w:rsidRPr="002B1750">
        <w:t xml:space="preserve"> also incorporating </w:t>
      </w:r>
      <w:r w:rsidR="00DD4881">
        <w:t xml:space="preserve">prospective </w:t>
      </w:r>
      <w:r w:rsidR="000403D8" w:rsidRPr="002B1750">
        <w:t xml:space="preserve">carbon policy futures in the </w:t>
      </w:r>
      <w:r w:rsidR="00242583">
        <w:t>expected case</w:t>
      </w:r>
      <w:r w:rsidR="000B551B">
        <w:t>’s</w:t>
      </w:r>
      <w:r w:rsidR="000403D8" w:rsidRPr="002B1750">
        <w:t xml:space="preserve"> stochastic analysis. </w:t>
      </w:r>
    </w:p>
    <w:p w14:paraId="0F037C3F" w14:textId="77777777" w:rsidR="00F34E10" w:rsidRDefault="00F34E10" w:rsidP="004D7A3E"/>
    <w:p w14:paraId="13C223A1" w14:textId="77777777" w:rsidR="004C1B36" w:rsidRDefault="00F34E10" w:rsidP="004D7A3E">
      <w:r w:rsidRPr="002B1750">
        <w:t xml:space="preserve">Avista’s preferred resource strategy under the </w:t>
      </w:r>
      <w:r w:rsidR="00242583">
        <w:t>expected case</w:t>
      </w:r>
      <w:r w:rsidRPr="002B1750">
        <w:t xml:space="preserve"> was not selected with a full accounting of risk </w:t>
      </w:r>
      <w:r>
        <w:t>g</w:t>
      </w:r>
      <w:r w:rsidRPr="002B1750">
        <w:t xml:space="preserve">iven </w:t>
      </w:r>
      <w:r w:rsidR="00611156">
        <w:t xml:space="preserve">that </w:t>
      </w:r>
      <w:r w:rsidR="004C1B36">
        <w:t>(a)</w:t>
      </w:r>
      <w:r w:rsidR="004C1B36" w:rsidRPr="002B1750">
        <w:t xml:space="preserve"> </w:t>
      </w:r>
      <w:r w:rsidR="000403D8" w:rsidRPr="002B1750">
        <w:t>Avista’s preferred resource strategy was developed using an ex</w:t>
      </w:r>
      <w:r w:rsidR="004C0CEA">
        <w:t>pected case that assigned a 0</w:t>
      </w:r>
      <w:r w:rsidR="000403D8" w:rsidRPr="002B1750">
        <w:t xml:space="preserve"> percent probability of a cap-and-trade or carbon tax policy, and </w:t>
      </w:r>
      <w:r w:rsidR="004C1B36">
        <w:t>(b)</w:t>
      </w:r>
      <w:r w:rsidR="004C1B36" w:rsidRPr="002B1750">
        <w:t xml:space="preserve"> </w:t>
      </w:r>
      <w:r w:rsidR="000403D8" w:rsidRPr="002B1750">
        <w:t>that</w:t>
      </w:r>
      <w:r w:rsidR="009538FB" w:rsidRPr="002B1750">
        <w:t xml:space="preserve"> such a policy</w:t>
      </w:r>
      <w:r>
        <w:t xml:space="preserve">, had it been given </w:t>
      </w:r>
      <w:r w:rsidR="004C1B36">
        <w:t xml:space="preserve">any weight other than zero, </w:t>
      </w:r>
      <w:r w:rsidR="009538FB" w:rsidRPr="002B1750">
        <w:t xml:space="preserve">would </w:t>
      </w:r>
      <w:r w:rsidR="004C1B36">
        <w:t xml:space="preserve">have </w:t>
      </w:r>
      <w:r w:rsidR="009538FB" w:rsidRPr="002B1750">
        <w:t>influence</w:t>
      </w:r>
      <w:r w:rsidR="004C1B36">
        <w:t>d</w:t>
      </w:r>
      <w:r w:rsidR="009538FB" w:rsidRPr="002B1750">
        <w:t xml:space="preserve"> the </w:t>
      </w:r>
      <w:r w:rsidR="009538FB" w:rsidRPr="002B1750">
        <w:lastRenderedPageBreak/>
        <w:t xml:space="preserve">Company’s preferred resource strategy as evidenced by </w:t>
      </w:r>
      <w:r w:rsidR="008B31C4" w:rsidRPr="002B1750">
        <w:t xml:space="preserve">the efficient frontier comparison of greenhouse gas policies. </w:t>
      </w:r>
    </w:p>
    <w:p w14:paraId="19DD8772" w14:textId="77777777" w:rsidR="004C1B36" w:rsidRDefault="004C1B36" w:rsidP="004D7A3E"/>
    <w:p w14:paraId="62A1DD7B" w14:textId="77777777" w:rsidR="00D234B4" w:rsidRDefault="008B31C4" w:rsidP="004D7A3E">
      <w:r w:rsidRPr="002B1750">
        <w:t xml:space="preserve">The Commission </w:t>
      </w:r>
      <w:r w:rsidR="005C2CFE">
        <w:t xml:space="preserve">therefore </w:t>
      </w:r>
      <w:r w:rsidRPr="002B1750">
        <w:t xml:space="preserve">requests that Avista quantify carbon policy risk when evaluating portfolios in the </w:t>
      </w:r>
      <w:r w:rsidR="00242583">
        <w:t>expected case</w:t>
      </w:r>
      <w:r w:rsidRPr="002B1750">
        <w:t xml:space="preserve">. At a minimum this means incorporating into the expected case an expected value for the price of carbon that may be the weighted average of prospective carbon policies. If </w:t>
      </w:r>
      <w:r w:rsidR="003F63ED">
        <w:t>feasible</w:t>
      </w:r>
      <w:r w:rsidRPr="002B1750">
        <w:t xml:space="preserve">, this also means assigning probabilities to prospective carbon policies and incorporating those probabilities into the </w:t>
      </w:r>
      <w:r w:rsidR="00242583">
        <w:t>expected case</w:t>
      </w:r>
      <w:r w:rsidRPr="002B1750">
        <w:t xml:space="preserve"> stochastic analysis. </w:t>
      </w:r>
    </w:p>
    <w:p w14:paraId="76BA92F1" w14:textId="77777777" w:rsidR="00BA7D35" w:rsidRDefault="00BA7D35" w:rsidP="004D7A3E">
      <w:r w:rsidRPr="004D52E3">
        <mc:AlternateContent>
          <mc:Choice Requires="wps">
            <w:drawing>
              <wp:anchor distT="45720" distB="45720" distL="114300" distR="114300" simplePos="0" relativeHeight="251665408" behindDoc="0" locked="0" layoutInCell="1" allowOverlap="1" wp14:anchorId="4D5CEE10" wp14:editId="0125A89E">
                <wp:simplePos x="0" y="0"/>
                <wp:positionH relativeFrom="margin">
                  <wp:posOffset>0</wp:posOffset>
                </wp:positionH>
                <wp:positionV relativeFrom="paragraph">
                  <wp:posOffset>245110</wp:posOffset>
                </wp:positionV>
                <wp:extent cx="5838825" cy="1404620"/>
                <wp:effectExtent l="0" t="0" r="28575" b="266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04620"/>
                        </a:xfrm>
                        <a:prstGeom prst="rect">
                          <a:avLst/>
                        </a:prstGeom>
                        <a:solidFill>
                          <a:srgbClr val="FFFFFF"/>
                        </a:solidFill>
                        <a:ln w="9525">
                          <a:solidFill>
                            <a:srgbClr val="000000"/>
                          </a:solidFill>
                          <a:miter lim="800000"/>
                          <a:headEnd/>
                          <a:tailEnd/>
                        </a:ln>
                      </wps:spPr>
                      <wps:txbx>
                        <w:txbxContent>
                          <w:p w14:paraId="01BCB940" w14:textId="77777777" w:rsidR="00F0623D" w:rsidRPr="004D7A3E" w:rsidRDefault="00F0623D" w:rsidP="00BA7D35">
                            <w:r>
                              <w:t>I</w:t>
                            </w:r>
                            <w:r w:rsidRPr="002B1750">
                              <w:t>n its updated action plan</w:t>
                            </w:r>
                            <w:r>
                              <w:t xml:space="preserve">, </w:t>
                            </w:r>
                            <w:r w:rsidRPr="002B1750">
                              <w:t xml:space="preserve">Avista </w:t>
                            </w:r>
                            <w:r>
                              <w:t xml:space="preserve">proposes </w:t>
                            </w:r>
                            <w:r w:rsidRPr="002B1750">
                              <w:t xml:space="preserve">to evaluate and document various options for quantifying carbon costs and to work with </w:t>
                            </w:r>
                            <w:r>
                              <w:t>the TAC</w:t>
                            </w:r>
                            <w:r w:rsidRPr="002B1750">
                              <w:t xml:space="preserve"> to determine which carbon quantification method should be employed in the </w:t>
                            </w:r>
                            <w:r>
                              <w:t>e</w:t>
                            </w:r>
                            <w:r w:rsidRPr="002B1750">
                              <w:t xml:space="preserve">xpected </w:t>
                            </w:r>
                            <w:r>
                              <w:t>c</w:t>
                            </w:r>
                            <w:r w:rsidRPr="002B1750">
                              <w:t>ase of the 2015</w:t>
                            </w:r>
                            <w:r>
                              <w:t xml:space="preserve"> IRP</w:t>
                            </w:r>
                            <w:r w:rsidRPr="002B1750">
                              <w:t xml:space="preserve">. The Commission supports this </w:t>
                            </w:r>
                            <w:r>
                              <w:t>approach, and reiterates that a non-zero cost of carbon, and to the extent possible a quantification of risks associated with prospective carbon policies, should be included in the Company’s expected case of the 2015 IRP.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 o:spid="_x0000_s1029" type="#_x0000_t202" style="position:absolute;margin-left:0;margin-top:19.3pt;width:459.7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">
                <v:textbox style="mso-fit-shape-to-text:t">
                  <w:txbxContent>
                    <w:p w14:paraId="01BCB940" w14:textId="77777777" w:rsidR="00F0623D" w:rsidRPr="004D7A3E" w:rsidRDefault="00F0623D" w:rsidP="00BA7D35">
                      <w:r>
                        <w:t>I</w:t>
                      </w:r>
                      <w:r w:rsidRPr="002B1750">
                        <w:t>n its updated action plan</w:t>
                      </w:r>
                      <w:r>
                        <w:t xml:space="preserve">, </w:t>
                      </w:r>
                      <w:r w:rsidRPr="002B1750">
                        <w:t xml:space="preserve">Avista </w:t>
                      </w:r>
                      <w:r>
                        <w:t xml:space="preserve">proposes </w:t>
                      </w:r>
                      <w:r w:rsidRPr="002B1750">
                        <w:t xml:space="preserve">to evaluate and document various options for quantifying carbon costs and to work with </w:t>
                      </w:r>
                      <w:r>
                        <w:t>the TAC</w:t>
                      </w:r>
                      <w:r w:rsidRPr="002B1750">
                        <w:t xml:space="preserve"> to determine which carbon quantification method should be employed in the </w:t>
                      </w:r>
                      <w:r>
                        <w:t>e</w:t>
                      </w:r>
                      <w:r w:rsidRPr="002B1750">
                        <w:t xml:space="preserve">xpected </w:t>
                      </w:r>
                      <w:r>
                        <w:t>c</w:t>
                      </w:r>
                      <w:r w:rsidRPr="002B1750">
                        <w:t>ase of the 2015</w:t>
                      </w:r>
                      <w:r>
                        <w:t xml:space="preserve"> IRP</w:t>
                      </w:r>
                      <w:r w:rsidRPr="002B1750">
                        <w:t xml:space="preserve">. The Commission supports this </w:t>
                      </w:r>
                      <w:r>
                        <w:t>approach, and reiterates that a non-zero cost of carbon, and to the extent possible a quantification of risks associated with prospective carbon policies, should be included in the Company’s expected case of the 2015 IRP.</w:t>
                      </w:r>
                    </w:p>
                  </w:txbxContent>
                </v:textbox>
                <w10:wrap type="square" anchorx="margin"/>
              </v:shape>
            </w:pict>
          </mc:Fallback>
        </mc:AlternateContent>
      </w:r>
    </w:p>
    <w:p w14:paraId="6EA430E4" w14:textId="77777777" w:rsidR="001C084E" w:rsidRPr="00882E5C" w:rsidRDefault="00397938" w:rsidP="00882E5C">
      <w:pPr>
        <w:pStyle w:val="Heading1"/>
        <w:spacing w:before="0"/>
        <w:rPr>
          <w:i/>
          <w:sz w:val="25"/>
          <w:szCs w:val="25"/>
        </w:rPr>
      </w:pPr>
      <w:r w:rsidRPr="00882E5C">
        <w:rPr>
          <w:sz w:val="25"/>
          <w:szCs w:val="25"/>
        </w:rPr>
        <w:t>Colstrip</w:t>
      </w:r>
      <w:r w:rsidR="005C2CFE" w:rsidRPr="00882E5C">
        <w:rPr>
          <w:sz w:val="25"/>
          <w:szCs w:val="25"/>
        </w:rPr>
        <w:t xml:space="preserve"> Units 3 and 4</w:t>
      </w:r>
    </w:p>
    <w:p w14:paraId="2BF49915" w14:textId="77777777" w:rsidR="00397938" w:rsidRDefault="00397938" w:rsidP="004D7A3E"/>
    <w:p w14:paraId="61A19704" w14:textId="77777777" w:rsidR="001C084E" w:rsidRDefault="001C084E" w:rsidP="004D7A3E">
      <w:r w:rsidRPr="002B1750">
        <w:t>Avista owns a 15 percent share of Colstrip Units 3 and 4.  In its acknowledgement letter to Avista’s 2011 IRP, the Commission stated:</w:t>
      </w:r>
    </w:p>
    <w:p w14:paraId="0F2B4CDF" w14:textId="77777777" w:rsidR="002A5569" w:rsidRPr="002B1750" w:rsidRDefault="002A5569" w:rsidP="004D7A3E"/>
    <w:p w14:paraId="0B30C761" w14:textId="77777777" w:rsidR="001C084E" w:rsidRPr="002B1750" w:rsidRDefault="001C084E" w:rsidP="00975DE6">
      <w:pPr>
        <w:ind w:left="720" w:right="720"/>
      </w:pPr>
      <w:r w:rsidRPr="002B1750">
        <w:t>The Company should model a scenario without Colstrip that includes results showing how Avista would choose to meet its load obligations without Colstrip in its portfolio, and estimates of the impact on Net Present Value (cost) of its portfolio and rates.</w:t>
      </w:r>
      <w:r w:rsidR="002B1286">
        <w:rPr>
          <w:rStyle w:val="FootnoteReference"/>
        </w:rPr>
        <w:footnoteReference w:id="12"/>
      </w:r>
    </w:p>
    <w:p w14:paraId="695D88D6" w14:textId="77777777" w:rsidR="002A5569" w:rsidRDefault="002A5569" w:rsidP="004D7A3E"/>
    <w:p w14:paraId="44576736" w14:textId="77777777" w:rsidR="001C084E" w:rsidRPr="002B1750" w:rsidRDefault="001C084E" w:rsidP="004D7A3E">
      <w:r w:rsidRPr="002B1750">
        <w:t xml:space="preserve">As part of the 2013 IRP, Avista evaluated the costs associated with replacement of Avista’s stake in Colstrip Units 3 and 4. </w:t>
      </w:r>
      <w:r w:rsidR="00676300">
        <w:t>The</w:t>
      </w:r>
      <w:r w:rsidR="00676300" w:rsidRPr="002B1750">
        <w:t xml:space="preserve"> </w:t>
      </w:r>
      <w:r w:rsidRPr="002B1750">
        <w:t xml:space="preserve">case focuses on the costs and risk to replace Colstrip’s energy and capacity, not the revenues from a sale of the asset. Although there are minor differences in the timing and sizes of capacity resource acquisitions post-2017, the major difference between a portfolio with and </w:t>
      </w:r>
      <w:r w:rsidR="003F63ED">
        <w:t xml:space="preserve">a portfolio </w:t>
      </w:r>
      <w:r w:rsidRPr="002B1750">
        <w:t>without Colstrip is the addition of a combined cycle gas turbine to replace units 3 and 4 in 2017.</w:t>
      </w:r>
    </w:p>
    <w:p w14:paraId="681F6AEA" w14:textId="77777777" w:rsidR="002A5569" w:rsidRDefault="002A5569" w:rsidP="004D7A3E"/>
    <w:p w14:paraId="18558D38" w14:textId="77777777" w:rsidR="001C084E" w:rsidRPr="002B1750" w:rsidRDefault="001C084E" w:rsidP="004D7A3E">
      <w:r w:rsidRPr="002B1750">
        <w:lastRenderedPageBreak/>
        <w:t xml:space="preserve">Avista’s analysis </w:t>
      </w:r>
      <w:r w:rsidR="00676300">
        <w:t>indicates</w:t>
      </w:r>
      <w:r w:rsidR="00676300" w:rsidRPr="002B1750">
        <w:t xml:space="preserve"> </w:t>
      </w:r>
      <w:r w:rsidRPr="002B1750">
        <w:t>that removing the units from the company’s resource portfolio would have a large impact on portfolio costs. In the expected case, the present value of added cost is $505 million, or $52.4 million per year levelized. In the carbon-pricing scenario, the impact would be slightly less severe due to a reduction in costs associated with</w:t>
      </w:r>
      <w:r w:rsidR="000B551B">
        <w:t xml:space="preserve"> avoided</w:t>
      </w:r>
      <w:r w:rsidRPr="002B1750">
        <w:t xml:space="preserve"> greenhouse gas emissions. The added cost under such a scenario would be roughly $47 million per year levelized.</w:t>
      </w:r>
    </w:p>
    <w:p w14:paraId="25175AA3" w14:textId="77777777" w:rsidR="002A5569" w:rsidRDefault="002A5569" w:rsidP="004D7A3E"/>
    <w:p w14:paraId="0BFCE906" w14:textId="77777777" w:rsidR="00D8669D" w:rsidRDefault="007911A7" w:rsidP="004D7A3E">
      <w:r w:rsidRPr="00C60352">
        <w:t>While</w:t>
      </w:r>
      <w:r w:rsidR="001C084E" w:rsidRPr="00C60352">
        <w:t xml:space="preserve"> the Company satisfactorily demonstrated how Avista would choose to meet its load obligations without </w:t>
      </w:r>
      <w:r w:rsidRPr="00C60352">
        <w:t xml:space="preserve">Colstrip </w:t>
      </w:r>
      <w:r w:rsidR="00397938" w:rsidRPr="00C60352">
        <w:t>in its portfolio, the Company did not present</w:t>
      </w:r>
      <w:r w:rsidR="001C084E" w:rsidRPr="00C60352">
        <w:t xml:space="preserve"> the overall impact of such a course of actio</w:t>
      </w:r>
      <w:r w:rsidR="00397938" w:rsidRPr="00C60352">
        <w:t xml:space="preserve">n on rates. </w:t>
      </w:r>
      <w:r w:rsidRPr="00C60352">
        <w:t>The Commission requests that</w:t>
      </w:r>
      <w:r w:rsidR="00D8669D" w:rsidRPr="00C60352">
        <w:t xml:space="preserve"> to the extent possible</w:t>
      </w:r>
      <w:r w:rsidRPr="00C60352">
        <w:t xml:space="preserve">, in its 2015 IRP, Avista attempt to quantify the full range of costs and offsetting revenues (or avoided costs) associated with </w:t>
      </w:r>
      <w:r w:rsidR="005C2ABC" w:rsidRPr="00C60352">
        <w:t xml:space="preserve">a </w:t>
      </w:r>
      <w:r w:rsidR="004E3F5F" w:rsidRPr="00C60352">
        <w:t xml:space="preserve">hypothetical </w:t>
      </w:r>
      <w:r w:rsidR="005C2ABC" w:rsidRPr="00C60352">
        <w:t>portfolio that does not include</w:t>
      </w:r>
      <w:r w:rsidRPr="00C60352">
        <w:t xml:space="preserve"> Colstrip units 3 and 4</w:t>
      </w:r>
      <w:r w:rsidR="00957580" w:rsidRPr="00C60352">
        <w:t>, as compared to a portfolio that includes these units</w:t>
      </w:r>
      <w:r w:rsidRPr="00C60352">
        <w:t>.</w:t>
      </w:r>
      <w:r w:rsidRPr="002B1750">
        <w:t xml:space="preserve"> </w:t>
      </w:r>
    </w:p>
    <w:p w14:paraId="00843B70" w14:textId="77777777" w:rsidR="005A6F30" w:rsidRDefault="005A6F30" w:rsidP="004D7A3E">
      <w:r w:rsidRPr="004D52E3">
        <mc:AlternateContent>
          <mc:Choice Requires="wps">
            <w:drawing>
              <wp:anchor distT="45720" distB="45720" distL="114300" distR="114300" simplePos="0" relativeHeight="251667456" behindDoc="0" locked="0" layoutInCell="1" allowOverlap="1" wp14:anchorId="1CC26FD8" wp14:editId="6A497F05">
                <wp:simplePos x="0" y="0"/>
                <wp:positionH relativeFrom="margin">
                  <wp:posOffset>0</wp:posOffset>
                </wp:positionH>
                <wp:positionV relativeFrom="paragraph">
                  <wp:posOffset>245745</wp:posOffset>
                </wp:positionV>
                <wp:extent cx="5838825" cy="1404620"/>
                <wp:effectExtent l="0" t="0" r="28575" b="266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04620"/>
                        </a:xfrm>
                        <a:prstGeom prst="rect">
                          <a:avLst/>
                        </a:prstGeom>
                        <a:solidFill>
                          <a:srgbClr val="FFFFFF"/>
                        </a:solidFill>
                        <a:ln w="9525">
                          <a:solidFill>
                            <a:srgbClr val="000000"/>
                          </a:solidFill>
                          <a:miter lim="800000"/>
                          <a:headEnd/>
                          <a:tailEnd/>
                        </a:ln>
                      </wps:spPr>
                      <wps:txbx>
                        <w:txbxContent>
                          <w:p w14:paraId="778A5090" w14:textId="77777777" w:rsidR="00F0623D" w:rsidRPr="004D7A3E" w:rsidRDefault="00F0623D" w:rsidP="005A6F30">
                            <w:r>
                              <w:t xml:space="preserve">In its updated action plan, Avista proposes to re-evaluate in the 2015 IRP scenarios related to Colstrip and how each scenario may impact power supply costs. The Commission supports this approach and further expects that Avista will evaluate the overall impact to rates of a hypothetical removal of Colstrip units 3 and 4 from the Company’s resource portfolio.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4" o:spid="_x0000_s1030" type="#_x0000_t202" style="position:absolute;margin-left:0;margin-top:19.35pt;width:459.7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">
                <v:textbox style="mso-fit-shape-to-text:t">
                  <w:txbxContent>
                    <w:p w14:paraId="778A5090" w14:textId="77777777" w:rsidR="00F0623D" w:rsidRPr="004D7A3E" w:rsidRDefault="00F0623D" w:rsidP="005A6F30">
                      <w:r>
                        <w:t xml:space="preserve">In its updated action plan, Avista proposes to re-evaluate in the 2015 IRP scenarios related to Colstrip and how each scenario may impact power supply costs. The Commission supports this approach and further expects that Avista will evaluate the overall impact to rates of a hypothetical removal of Colstrip units 3 and 4 from the Company’s resource portfolio. </w:t>
                      </w:r>
                    </w:p>
                  </w:txbxContent>
                </v:textbox>
                <w10:wrap type="square" anchorx="margin"/>
              </v:shape>
            </w:pict>
          </mc:Fallback>
        </mc:AlternateContent>
      </w:r>
    </w:p>
    <w:p w14:paraId="6BE8EA43" w14:textId="77777777" w:rsidR="001C084E" w:rsidRPr="00882E5C" w:rsidRDefault="001C084E" w:rsidP="00882E5C">
      <w:pPr>
        <w:pStyle w:val="Heading1"/>
        <w:spacing w:before="0"/>
        <w:rPr>
          <w:i/>
          <w:sz w:val="25"/>
          <w:szCs w:val="25"/>
        </w:rPr>
      </w:pPr>
      <w:bookmarkStart w:id="3" w:name="_Toc376256007"/>
      <w:r w:rsidRPr="00882E5C">
        <w:rPr>
          <w:sz w:val="25"/>
          <w:szCs w:val="25"/>
        </w:rPr>
        <w:t>Storage Technologies</w:t>
      </w:r>
      <w:bookmarkEnd w:id="3"/>
    </w:p>
    <w:p w14:paraId="616FFD7B" w14:textId="77777777" w:rsidR="001C084E" w:rsidRPr="002B1750" w:rsidRDefault="001C084E" w:rsidP="004D7A3E"/>
    <w:p w14:paraId="205C47B4" w14:textId="77777777" w:rsidR="001C084E" w:rsidRDefault="001C084E" w:rsidP="004D7A3E">
      <w:r w:rsidRPr="002B1750">
        <w:t>In its acknowledgement of Avista’s 2011 IRP, the commission stated</w:t>
      </w:r>
    </w:p>
    <w:p w14:paraId="0F378D13" w14:textId="77777777" w:rsidR="002A5569" w:rsidRPr="002B1750" w:rsidRDefault="002A5569" w:rsidP="004D7A3E"/>
    <w:p w14:paraId="612BCCB8" w14:textId="77777777" w:rsidR="001C084E" w:rsidRPr="002B1750" w:rsidRDefault="009563C6" w:rsidP="00CF3174">
      <w:pPr>
        <w:ind w:left="720" w:right="720"/>
      </w:pPr>
      <w:r>
        <w:t>[</w:t>
      </w:r>
      <w:r w:rsidR="001C084E" w:rsidRPr="002B1750">
        <w:t>W</w:t>
      </w:r>
      <w:r>
        <w:t>]</w:t>
      </w:r>
      <w:r w:rsidR="001C084E" w:rsidRPr="002B1750">
        <w:t>e believe that the Company’s next plan would be well served by a discussion of electric storage technologies and wh</w:t>
      </w:r>
      <w:r>
        <w:t>y</w:t>
      </w:r>
      <w:r w:rsidR="001C084E" w:rsidRPr="002B1750">
        <w:t xml:space="preserve"> they may or may not fit into the Company’s resource portfolio.</w:t>
      </w:r>
    </w:p>
    <w:p w14:paraId="68599F3C" w14:textId="77777777" w:rsidR="001C084E" w:rsidRPr="002B1750" w:rsidRDefault="001C084E" w:rsidP="00CF3174">
      <w:pPr>
        <w:ind w:left="720" w:right="720"/>
      </w:pPr>
      <w:r w:rsidRPr="002B1750">
        <w:t xml:space="preserve">… </w:t>
      </w:r>
    </w:p>
    <w:p w14:paraId="513EAC51" w14:textId="77777777" w:rsidR="001C084E" w:rsidRPr="002B1750" w:rsidRDefault="001C084E" w:rsidP="00CF3174">
      <w:pPr>
        <w:ind w:left="720" w:right="720"/>
      </w:pPr>
      <w:r w:rsidRPr="002B1750">
        <w:t>The Company should include in its next IRP a discussion of the technologies of electric storage, their cost-effectiveness, commercial availability, and proper classification compared to other forms of generation.</w:t>
      </w:r>
      <w:r w:rsidR="009563C6">
        <w:rPr>
          <w:rStyle w:val="FootnoteReference"/>
        </w:rPr>
        <w:footnoteReference w:id="13"/>
      </w:r>
    </w:p>
    <w:p w14:paraId="6C65925D" w14:textId="77777777" w:rsidR="002A5569" w:rsidRDefault="002A5569" w:rsidP="004D7A3E"/>
    <w:p w14:paraId="0FACEC0E" w14:textId="77777777" w:rsidR="001C084E" w:rsidRPr="002B1750" w:rsidRDefault="007911A7" w:rsidP="004D7A3E">
      <w:r w:rsidRPr="002B1750">
        <w:t>Although the Commission</w:t>
      </w:r>
      <w:r w:rsidR="001C084E" w:rsidRPr="002B1750">
        <w:t xml:space="preserve"> is aware that Avista has begun to look at energy storage technologies, the company did not include a discussion of storage technologies in this IRP. In its presentation to </w:t>
      </w:r>
      <w:r w:rsidR="001C084E" w:rsidRPr="002B1750">
        <w:lastRenderedPageBreak/>
        <w:t xml:space="preserve">the </w:t>
      </w:r>
      <w:r w:rsidR="000B551B">
        <w:t>technical advisory committee</w:t>
      </w:r>
      <w:r w:rsidR="001C084E" w:rsidRPr="002B1750">
        <w:t xml:space="preserve"> on November 7, 2012,</w:t>
      </w:r>
      <w:r w:rsidR="00397938">
        <w:rPr>
          <w:rStyle w:val="FootnoteReference"/>
          <w:sz w:val="24"/>
          <w:szCs w:val="24"/>
        </w:rPr>
        <w:footnoteReference w:id="14"/>
      </w:r>
      <w:r w:rsidR="001C084E" w:rsidRPr="002B1750">
        <w:t xml:space="preserve"> Avista provided a high-level discussion of energy storage technologies, but did not present an economic analysis specific to Avista’s circumstances. </w:t>
      </w:r>
    </w:p>
    <w:p w14:paraId="77E888B5" w14:textId="77777777" w:rsidR="002A5569" w:rsidRDefault="002A5569" w:rsidP="004D7A3E"/>
    <w:p w14:paraId="2ED18DBA" w14:textId="77777777" w:rsidR="00E93A42" w:rsidRDefault="007911A7" w:rsidP="004D7A3E">
      <w:r w:rsidRPr="002B1750">
        <w:t>In the Commission’s</w:t>
      </w:r>
      <w:r w:rsidR="001C084E" w:rsidRPr="002B1750">
        <w:t xml:space="preserve"> view, Avista did not provide a level of analysis required to obtain meaningful information related to the viability of different storage options. </w:t>
      </w:r>
      <w:r w:rsidRPr="002B1750">
        <w:t>For Avista’s 2015 IRP, the Commission requests that Avista</w:t>
      </w:r>
      <w:r w:rsidR="001C084E" w:rsidRPr="002B1750">
        <w:t xml:space="preserve"> </w:t>
      </w:r>
      <w:r w:rsidR="00676300">
        <w:t>provide</w:t>
      </w:r>
      <w:r w:rsidR="00676300" w:rsidRPr="002B1750">
        <w:t xml:space="preserve"> </w:t>
      </w:r>
      <w:r w:rsidR="001C084E" w:rsidRPr="002B1750">
        <w:t>a more rigorous analysis of storage technologies.</w:t>
      </w:r>
      <w:r w:rsidR="00737C1A" w:rsidRPr="002B1750">
        <w:t xml:space="preserve"> Avista indicated </w:t>
      </w:r>
      <w:r w:rsidR="00676300" w:rsidRPr="002B1750">
        <w:t xml:space="preserve">in its </w:t>
      </w:r>
      <w:r w:rsidR="00676300">
        <w:t xml:space="preserve">recent </w:t>
      </w:r>
      <w:r w:rsidR="00676300" w:rsidRPr="002B1750">
        <w:t xml:space="preserve">IRP presentation to the Commission </w:t>
      </w:r>
      <w:r w:rsidR="00737C1A" w:rsidRPr="002B1750">
        <w:t>that it had developed a dispatch model capable of assessing the full range of costs and benefits of various storage options for Avista’s syst</w:t>
      </w:r>
      <w:r w:rsidR="009D01E1">
        <w:t>em. The Commission expects that</w:t>
      </w:r>
      <w:r w:rsidR="005C2CFE">
        <w:t xml:space="preserve"> </w:t>
      </w:r>
      <w:r w:rsidR="00737C1A" w:rsidRPr="002B1750">
        <w:t xml:space="preserve">Avista will </w:t>
      </w:r>
      <w:r w:rsidR="00B14B96">
        <w:t>use</w:t>
      </w:r>
      <w:r w:rsidR="00B14B96" w:rsidRPr="002B1750">
        <w:t xml:space="preserve"> </w:t>
      </w:r>
      <w:r w:rsidR="00737C1A" w:rsidRPr="002B1750">
        <w:t xml:space="preserve">this model to provide a thorough analysis of storage in its 2015 IRP. </w:t>
      </w:r>
    </w:p>
    <w:p w14:paraId="3836E9B8" w14:textId="77777777" w:rsidR="00E93A42" w:rsidRPr="00882E5C" w:rsidRDefault="00E93A42" w:rsidP="004D7A3E">
      <w:r w:rsidRPr="00242583">
        <mc:AlternateContent>
          <mc:Choice Requires="wps">
            <w:drawing>
              <wp:anchor distT="45720" distB="45720" distL="114300" distR="114300" simplePos="0" relativeHeight="251669504" behindDoc="0" locked="0" layoutInCell="1" allowOverlap="1" wp14:anchorId="209AC816" wp14:editId="6CFAA704">
                <wp:simplePos x="0" y="0"/>
                <wp:positionH relativeFrom="margin">
                  <wp:posOffset>0</wp:posOffset>
                </wp:positionH>
                <wp:positionV relativeFrom="paragraph">
                  <wp:posOffset>245745</wp:posOffset>
                </wp:positionV>
                <wp:extent cx="5838825" cy="1404620"/>
                <wp:effectExtent l="0" t="0" r="28575" b="266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04620"/>
                        </a:xfrm>
                        <a:prstGeom prst="rect">
                          <a:avLst/>
                        </a:prstGeom>
                        <a:solidFill>
                          <a:srgbClr val="FFFFFF"/>
                        </a:solidFill>
                        <a:ln w="9525">
                          <a:solidFill>
                            <a:srgbClr val="000000"/>
                          </a:solidFill>
                          <a:miter lim="800000"/>
                          <a:headEnd/>
                          <a:tailEnd/>
                        </a:ln>
                      </wps:spPr>
                      <wps:txbx>
                        <w:txbxContent>
                          <w:p w14:paraId="41F7E633" w14:textId="77777777" w:rsidR="00F0623D" w:rsidRPr="004D7A3E" w:rsidRDefault="00F0623D" w:rsidP="00E93A42">
                            <w:r>
                              <w:t xml:space="preserve">In its updated action plan, Avista agreed to use the Company’s new modeling capabilities to further evaluate the benefits of storage resources to its generation portfolio, including the impacts on ancillary services. The Commission supports this approach.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5" o:spid="_x0000_s1031" type="#_x0000_t202" style="position:absolute;margin-left:0;margin-top:19.35pt;width:459.7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">
                <v:textbox style="mso-fit-shape-to-text:t">
                  <w:txbxContent>
                    <w:p w14:paraId="41F7E633" w14:textId="77777777" w:rsidR="00F0623D" w:rsidRPr="004D7A3E" w:rsidRDefault="00F0623D" w:rsidP="00E93A42">
                      <w:r>
                        <w:t xml:space="preserve">In its updated action plan, Avista agreed to use the Company’s new modeling capabilities to further evaluate the benefits of storage resources to its generation portfolio, including the impacts on ancillary services. The Commission supports this approach. </w:t>
                      </w:r>
                    </w:p>
                  </w:txbxContent>
                </v:textbox>
                <w10:wrap type="square" anchorx="margin"/>
              </v:shape>
            </w:pict>
          </mc:Fallback>
        </mc:AlternateContent>
      </w:r>
    </w:p>
    <w:p w14:paraId="2DB106D2" w14:textId="77777777" w:rsidR="008308D6" w:rsidRPr="00882E5C" w:rsidRDefault="008308D6" w:rsidP="00882E5C">
      <w:pPr>
        <w:pStyle w:val="Heading1"/>
        <w:spacing w:before="0"/>
        <w:rPr>
          <w:sz w:val="25"/>
          <w:szCs w:val="25"/>
        </w:rPr>
      </w:pPr>
      <w:r w:rsidRPr="00882E5C">
        <w:rPr>
          <w:sz w:val="25"/>
          <w:szCs w:val="25"/>
        </w:rPr>
        <w:t>Conclusion</w:t>
      </w:r>
    </w:p>
    <w:p w14:paraId="7B5F6AFF" w14:textId="77777777" w:rsidR="000704B7" w:rsidRPr="00E27A8A" w:rsidRDefault="000704B7" w:rsidP="002A5569">
      <w:pPr>
        <w:pStyle w:val="NoSpacing"/>
        <w:spacing w:line="264" w:lineRule="auto"/>
        <w:rPr>
          <w:b/>
          <w:sz w:val="25"/>
          <w:szCs w:val="25"/>
        </w:rPr>
      </w:pPr>
    </w:p>
    <w:p w14:paraId="1698A822" w14:textId="77777777" w:rsidR="00A95B6A" w:rsidRPr="00E27A8A" w:rsidRDefault="008308D6" w:rsidP="002A5569">
      <w:pPr>
        <w:pStyle w:val="NoSpacing"/>
        <w:spacing w:line="264" w:lineRule="auto"/>
        <w:rPr>
          <w:sz w:val="25"/>
          <w:szCs w:val="25"/>
        </w:rPr>
      </w:pPr>
      <w:r w:rsidRPr="00E27A8A">
        <w:rPr>
          <w:sz w:val="25"/>
          <w:szCs w:val="25"/>
        </w:rPr>
        <w:t>The Commission ack</w:t>
      </w:r>
      <w:r w:rsidR="006A3139" w:rsidRPr="00E27A8A">
        <w:rPr>
          <w:sz w:val="25"/>
          <w:szCs w:val="25"/>
        </w:rPr>
        <w:t>nowledges that Avista</w:t>
      </w:r>
      <w:r w:rsidR="00651D3E" w:rsidRPr="00E27A8A">
        <w:rPr>
          <w:sz w:val="25"/>
          <w:szCs w:val="25"/>
        </w:rPr>
        <w:t>’s 2013</w:t>
      </w:r>
      <w:r w:rsidRPr="00E27A8A">
        <w:rPr>
          <w:sz w:val="25"/>
          <w:szCs w:val="25"/>
        </w:rPr>
        <w:t xml:space="preserve"> Integrated Resource Plan complies with WAC 480-100-238</w:t>
      </w:r>
      <w:r w:rsidR="00637A50" w:rsidRPr="00E27A8A">
        <w:rPr>
          <w:sz w:val="25"/>
          <w:szCs w:val="25"/>
        </w:rPr>
        <w:t>.</w:t>
      </w:r>
      <w:r w:rsidR="00756C42" w:rsidRPr="00E27A8A">
        <w:rPr>
          <w:sz w:val="25"/>
          <w:szCs w:val="25"/>
        </w:rPr>
        <w:t xml:space="preserve"> </w:t>
      </w:r>
      <w:r w:rsidR="00DB1908">
        <w:rPr>
          <w:sz w:val="25"/>
          <w:szCs w:val="25"/>
        </w:rPr>
        <w:t xml:space="preserve">Consistent with the discussion above, the </w:t>
      </w:r>
      <w:r w:rsidR="00BB7728">
        <w:rPr>
          <w:sz w:val="25"/>
          <w:szCs w:val="25"/>
        </w:rPr>
        <w:t>Commission</w:t>
      </w:r>
      <w:r w:rsidR="00FA0895">
        <w:rPr>
          <w:sz w:val="25"/>
          <w:szCs w:val="25"/>
        </w:rPr>
        <w:t xml:space="preserve"> expects that Avista’s</w:t>
      </w:r>
      <w:r w:rsidR="00DB1908">
        <w:rPr>
          <w:sz w:val="25"/>
          <w:szCs w:val="25"/>
        </w:rPr>
        <w:t xml:space="preserve"> next IRP will contain further analysis in the areas of carbon pricing,</w:t>
      </w:r>
      <w:r w:rsidR="00BB7728">
        <w:rPr>
          <w:sz w:val="25"/>
          <w:szCs w:val="25"/>
        </w:rPr>
        <w:t xml:space="preserve"> energy storage, energy efficiency modeling,</w:t>
      </w:r>
      <w:r w:rsidR="00DB1908">
        <w:rPr>
          <w:sz w:val="25"/>
          <w:szCs w:val="25"/>
        </w:rPr>
        <w:t xml:space="preserve"> </w:t>
      </w:r>
      <w:r w:rsidR="00BB7728">
        <w:rPr>
          <w:sz w:val="25"/>
          <w:szCs w:val="25"/>
        </w:rPr>
        <w:t>planning margin, portfol</w:t>
      </w:r>
      <w:r w:rsidR="00FA0895">
        <w:rPr>
          <w:sz w:val="25"/>
          <w:szCs w:val="25"/>
        </w:rPr>
        <w:t>io risk analysis</w:t>
      </w:r>
      <w:r w:rsidR="00BB7728">
        <w:rPr>
          <w:sz w:val="25"/>
          <w:szCs w:val="25"/>
        </w:rPr>
        <w:t xml:space="preserve">, and the </w:t>
      </w:r>
      <w:r w:rsidR="00DB1908">
        <w:rPr>
          <w:sz w:val="25"/>
          <w:szCs w:val="25"/>
        </w:rPr>
        <w:t>rate impacts</w:t>
      </w:r>
      <w:r w:rsidR="00BB7728">
        <w:rPr>
          <w:sz w:val="25"/>
          <w:szCs w:val="25"/>
        </w:rPr>
        <w:t xml:space="preserve"> of decreased rel</w:t>
      </w:r>
      <w:r w:rsidR="00DD3522">
        <w:rPr>
          <w:sz w:val="25"/>
          <w:szCs w:val="25"/>
        </w:rPr>
        <w:t>iance on Colstrip units 3 and 4.</w:t>
      </w:r>
      <w:r w:rsidR="00BB7728">
        <w:rPr>
          <w:sz w:val="25"/>
          <w:szCs w:val="25"/>
        </w:rPr>
        <w:t xml:space="preserve"> </w:t>
      </w:r>
    </w:p>
    <w:sectPr w:rsidR="00A95B6A" w:rsidRPr="00E27A8A" w:rsidSect="00457591">
      <w:headerReference w:type="default" r:id="rId12"/>
      <w:pgSz w:w="12240" w:h="15840"/>
      <w:pgMar w:top="1440" w:right="1440" w:bottom="1440" w:left="1440" w:header="1440" w:footer="720" w:gutter="0"/>
      <w:paperSrc w:first="15" w:other="15"/>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D587C8" w15:done="0"/>
  <w15:commentEx w15:paraId="53C6B15D" w15:done="0"/>
  <w15:commentEx w15:paraId="088F0EFC" w15:done="0"/>
  <w15:commentEx w15:paraId="733E96FC" w15:done="0"/>
  <w15:commentEx w15:paraId="43333FA7" w15:done="0"/>
  <w15:commentEx w15:paraId="201DB81F" w15:done="0"/>
  <w15:commentEx w15:paraId="2F2D378F" w15:done="0"/>
  <w15:commentEx w15:paraId="74B9288F" w15:done="0"/>
  <w15:commentEx w15:paraId="53024446" w15:done="0"/>
  <w15:commentEx w15:paraId="370325AF" w15:done="0"/>
  <w15:commentEx w15:paraId="0F493B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B4900" w14:textId="77777777" w:rsidR="00EE0074" w:rsidRDefault="00EE0074" w:rsidP="00300415">
      <w:r>
        <w:separator/>
      </w:r>
    </w:p>
  </w:endnote>
  <w:endnote w:type="continuationSeparator" w:id="0">
    <w:p w14:paraId="326C5A4F" w14:textId="77777777" w:rsidR="00EE0074" w:rsidRDefault="00EE0074" w:rsidP="00300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394DE0" w14:textId="77777777" w:rsidR="00EE0074" w:rsidRDefault="00EE0074" w:rsidP="008E5FDC">
      <w:r>
        <w:separator/>
      </w:r>
    </w:p>
  </w:footnote>
  <w:footnote w:type="continuationSeparator" w:id="0">
    <w:p w14:paraId="2220CC62" w14:textId="77777777" w:rsidR="00EE0074" w:rsidRDefault="00EE0074" w:rsidP="00300415">
      <w:r>
        <w:continuationSeparator/>
      </w:r>
    </w:p>
  </w:footnote>
  <w:footnote w:id="1">
    <w:p w14:paraId="00320B27" w14:textId="77777777" w:rsidR="00F0623D" w:rsidRPr="00882E5C" w:rsidRDefault="00F0623D" w:rsidP="00882E5C">
      <w:pPr>
        <w:pStyle w:val="FootnoteText"/>
        <w:spacing w:after="120"/>
        <w:rPr>
          <w:sz w:val="22"/>
          <w:szCs w:val="22"/>
        </w:rPr>
      </w:pPr>
      <w:r w:rsidRPr="00882E5C">
        <w:rPr>
          <w:rStyle w:val="FootnoteReference"/>
          <w:sz w:val="22"/>
          <w:szCs w:val="22"/>
        </w:rPr>
        <w:footnoteRef/>
      </w:r>
      <w:r w:rsidRPr="00882E5C">
        <w:rPr>
          <w:sz w:val="22"/>
          <w:szCs w:val="22"/>
        </w:rPr>
        <w:t xml:space="preserve"> WAC 480-100-238(2)(a).</w:t>
      </w:r>
    </w:p>
  </w:footnote>
  <w:footnote w:id="2">
    <w:p w14:paraId="1AE28194" w14:textId="77777777" w:rsidR="00F0623D" w:rsidRPr="00882E5C" w:rsidRDefault="00F0623D" w:rsidP="00882E5C">
      <w:pPr>
        <w:pStyle w:val="FootnoteText"/>
        <w:spacing w:after="120"/>
        <w:rPr>
          <w:sz w:val="22"/>
          <w:szCs w:val="22"/>
        </w:rPr>
      </w:pPr>
      <w:r w:rsidRPr="00882E5C">
        <w:rPr>
          <w:rStyle w:val="FootnoteReference"/>
          <w:sz w:val="22"/>
          <w:szCs w:val="22"/>
        </w:rPr>
        <w:footnoteRef/>
      </w:r>
      <w:r w:rsidRPr="00882E5C">
        <w:rPr>
          <w:sz w:val="22"/>
          <w:szCs w:val="22"/>
        </w:rPr>
        <w:t xml:space="preserve"> WAC 480-100-238(2)(b).</w:t>
      </w:r>
    </w:p>
  </w:footnote>
  <w:footnote w:id="3">
    <w:p w14:paraId="7E91DD42" w14:textId="77777777" w:rsidR="00F0623D" w:rsidRPr="00882E5C" w:rsidRDefault="00F0623D" w:rsidP="00882E5C">
      <w:pPr>
        <w:pStyle w:val="FootnoteText"/>
        <w:spacing w:after="120"/>
        <w:rPr>
          <w:sz w:val="22"/>
          <w:szCs w:val="22"/>
        </w:rPr>
      </w:pPr>
      <w:r w:rsidRPr="00882E5C">
        <w:rPr>
          <w:rStyle w:val="FootnoteReference"/>
          <w:sz w:val="22"/>
          <w:szCs w:val="22"/>
        </w:rPr>
        <w:footnoteRef/>
      </w:r>
      <w:r w:rsidRPr="00882E5C">
        <w:rPr>
          <w:sz w:val="22"/>
          <w:szCs w:val="22"/>
        </w:rPr>
        <w:t xml:space="preserve"> The existing 3 MW generators at Nine Mile units 1 and 2 are bing replaced with 8 MW generators. </w:t>
      </w:r>
    </w:p>
  </w:footnote>
  <w:footnote w:id="4">
    <w:p w14:paraId="3CE23B0B" w14:textId="77777777" w:rsidR="00F0623D" w:rsidRPr="00882E5C" w:rsidRDefault="00F0623D" w:rsidP="00882E5C">
      <w:pPr>
        <w:pStyle w:val="FootnoteText"/>
        <w:spacing w:after="120"/>
        <w:rPr>
          <w:sz w:val="22"/>
          <w:szCs w:val="22"/>
        </w:rPr>
      </w:pPr>
      <w:r w:rsidRPr="00882E5C">
        <w:rPr>
          <w:rStyle w:val="FootnoteReference"/>
          <w:sz w:val="22"/>
          <w:szCs w:val="22"/>
        </w:rPr>
        <w:footnoteRef/>
      </w:r>
      <w:r w:rsidRPr="00882E5C">
        <w:rPr>
          <w:sz w:val="22"/>
          <w:szCs w:val="22"/>
        </w:rPr>
        <w:t xml:space="preserve"> This expiring contract is related to the Washington Nuclear Plant No. 3 (WNP-3) settlement agreement signed September 17, 1985. </w:t>
      </w:r>
    </w:p>
  </w:footnote>
  <w:footnote w:id="5">
    <w:p w14:paraId="4DFFD775" w14:textId="77777777" w:rsidR="00F0623D" w:rsidRPr="00882E5C" w:rsidRDefault="00F0623D" w:rsidP="00882E5C">
      <w:pPr>
        <w:pStyle w:val="FootnoteText"/>
        <w:spacing w:after="120"/>
        <w:rPr>
          <w:sz w:val="22"/>
          <w:szCs w:val="22"/>
        </w:rPr>
      </w:pPr>
      <w:r w:rsidRPr="00882E5C">
        <w:rPr>
          <w:rStyle w:val="FootnoteReference"/>
          <w:sz w:val="22"/>
          <w:szCs w:val="22"/>
        </w:rPr>
        <w:footnoteRef/>
      </w:r>
      <w:r w:rsidRPr="00882E5C">
        <w:rPr>
          <w:sz w:val="22"/>
          <w:szCs w:val="22"/>
        </w:rPr>
        <w:t xml:space="preserve"> This table incorporates updates to Avista’s preferred resource strategy acquisition schedule filed with the Commission on December 20, 2013, in Docket UE-121421.</w:t>
      </w:r>
    </w:p>
  </w:footnote>
  <w:footnote w:id="6">
    <w:p w14:paraId="6AF981C3" w14:textId="77777777" w:rsidR="00F0623D" w:rsidRDefault="00F0623D" w:rsidP="00882E5C">
      <w:pPr>
        <w:pStyle w:val="FootnoteText"/>
        <w:spacing w:after="120"/>
      </w:pPr>
      <w:r w:rsidRPr="00882E5C">
        <w:rPr>
          <w:rStyle w:val="FootnoteReference"/>
          <w:sz w:val="22"/>
          <w:szCs w:val="22"/>
        </w:rPr>
        <w:footnoteRef/>
      </w:r>
      <w:r w:rsidRPr="00882E5C">
        <w:rPr>
          <w:sz w:val="22"/>
          <w:szCs w:val="22"/>
        </w:rPr>
        <w:t xml:space="preserve"> The proposed 270 MW combined cycle gas turbine is to replace the Lancaster tolling agreement expiring in 2026.</w:t>
      </w:r>
    </w:p>
  </w:footnote>
  <w:footnote w:id="7">
    <w:p w14:paraId="00F40304" w14:textId="77777777" w:rsidR="00F0623D" w:rsidRPr="00882E5C" w:rsidRDefault="00F0623D" w:rsidP="00882E5C">
      <w:pPr>
        <w:pStyle w:val="FootnoteText"/>
        <w:spacing w:after="120"/>
        <w:rPr>
          <w:sz w:val="22"/>
          <w:szCs w:val="22"/>
        </w:rPr>
      </w:pPr>
      <w:r w:rsidRPr="00882E5C">
        <w:rPr>
          <w:rStyle w:val="FootnoteReference"/>
          <w:sz w:val="22"/>
          <w:szCs w:val="22"/>
        </w:rPr>
        <w:footnoteRef/>
      </w:r>
      <w:r w:rsidRPr="00882E5C">
        <w:rPr>
          <w:sz w:val="22"/>
          <w:szCs w:val="22"/>
        </w:rPr>
        <w:t xml:space="preserve"> The efficient frontier is the list of resource portfolios, each of which representing the lowest cost portfolio for a given level of risk. It is commonly represented graphically as the left boundary, i.e. the “frontier,” of a plot of all possible resource portfolios where portfolio risk is plotted on portfolio cost. Along the efficient frontier, portfolio risk decreases as portfolio cost increases. </w:t>
      </w:r>
    </w:p>
  </w:footnote>
  <w:footnote w:id="8">
    <w:p w14:paraId="2C245698" w14:textId="77777777" w:rsidR="00F0623D" w:rsidRPr="00882E5C" w:rsidRDefault="00F0623D" w:rsidP="00882E5C">
      <w:pPr>
        <w:pStyle w:val="FootnoteText"/>
        <w:spacing w:after="120"/>
        <w:rPr>
          <w:sz w:val="22"/>
          <w:szCs w:val="22"/>
        </w:rPr>
      </w:pPr>
      <w:r w:rsidRPr="00882E5C">
        <w:rPr>
          <w:rStyle w:val="FootnoteReference"/>
          <w:sz w:val="22"/>
          <w:szCs w:val="22"/>
        </w:rPr>
        <w:footnoteRef/>
      </w:r>
      <w:r w:rsidRPr="00882E5C">
        <w:rPr>
          <w:sz w:val="22"/>
          <w:szCs w:val="22"/>
        </w:rPr>
        <w:t xml:space="preserve"> The total planning margin is composed of a basic planning margin of 14 percent (which covers load variations, hydroelectric variability, and resource outages over 1 hour), 6 percent for operating reserves, and 2 percent for ancillary services. The Northwest Power and Conservation Council (NPCC) recommends a 23 percent total planning margin for the region.</w:t>
      </w:r>
    </w:p>
  </w:footnote>
  <w:footnote w:id="9">
    <w:p w14:paraId="091ACA28" w14:textId="3409C136" w:rsidR="00F0623D" w:rsidRPr="00882E5C" w:rsidRDefault="00F0623D" w:rsidP="00882E5C">
      <w:pPr>
        <w:pStyle w:val="FootnoteText"/>
        <w:spacing w:after="120"/>
        <w:rPr>
          <w:sz w:val="22"/>
          <w:szCs w:val="22"/>
        </w:rPr>
      </w:pPr>
      <w:r w:rsidRPr="00882E5C">
        <w:rPr>
          <w:rStyle w:val="FootnoteReference"/>
          <w:sz w:val="22"/>
          <w:szCs w:val="22"/>
        </w:rPr>
        <w:footnoteRef/>
      </w:r>
      <w:r w:rsidRPr="00882E5C">
        <w:rPr>
          <w:sz w:val="22"/>
          <w:szCs w:val="22"/>
        </w:rPr>
        <w:t xml:space="preserve"> A 5 percent LOLP means the utility meets all customer demand in 19 of 20 years, or one loss of load event permitted on a planning basis in 20 years due to insufficient generation. Avista developed its LOLP model to simulate reliability events caused by poor hydro runoff, forced outages, and extreme weather conditions on its </w:t>
      </w:r>
      <w:r>
        <w:rPr>
          <w:sz w:val="22"/>
          <w:szCs w:val="22"/>
        </w:rPr>
        <w:t>s</w:t>
      </w:r>
      <w:r w:rsidRPr="00882E5C">
        <w:rPr>
          <w:sz w:val="22"/>
          <w:szCs w:val="22"/>
        </w:rPr>
        <w:t>ystem, finding that forced outages are the main driver of reliability events.</w:t>
      </w:r>
    </w:p>
  </w:footnote>
  <w:footnote w:id="10">
    <w:p w14:paraId="63CA23B4" w14:textId="77777777" w:rsidR="00F0623D" w:rsidRDefault="00F0623D" w:rsidP="00882E5C">
      <w:pPr>
        <w:pStyle w:val="FootnoteText"/>
        <w:spacing w:after="120"/>
      </w:pPr>
      <w:r w:rsidRPr="00882E5C">
        <w:rPr>
          <w:rStyle w:val="FootnoteReference"/>
          <w:sz w:val="22"/>
          <w:szCs w:val="22"/>
        </w:rPr>
        <w:footnoteRef/>
      </w:r>
      <w:r w:rsidRPr="00882E5C">
        <w:rPr>
          <w:sz w:val="22"/>
          <w:szCs w:val="22"/>
        </w:rPr>
        <w:t xml:space="preserve"> Avista 2013 Electric IRP, Figure 2.20, Page 2-33.</w:t>
      </w:r>
    </w:p>
  </w:footnote>
  <w:footnote w:id="11">
    <w:p w14:paraId="5CC8974E" w14:textId="77777777" w:rsidR="00F0623D" w:rsidRPr="00882E5C" w:rsidRDefault="00F0623D" w:rsidP="00882E5C">
      <w:pPr>
        <w:pStyle w:val="FootnoteText"/>
        <w:spacing w:after="120"/>
        <w:rPr>
          <w:sz w:val="22"/>
          <w:szCs w:val="22"/>
        </w:rPr>
      </w:pPr>
      <w:r w:rsidRPr="00882E5C">
        <w:rPr>
          <w:rStyle w:val="FootnoteReference"/>
          <w:sz w:val="22"/>
          <w:szCs w:val="22"/>
        </w:rPr>
        <w:footnoteRef/>
      </w:r>
      <w:r w:rsidRPr="00882E5C">
        <w:rPr>
          <w:sz w:val="22"/>
          <w:szCs w:val="22"/>
        </w:rPr>
        <w:t xml:space="preserve"> PRiSM, or [P]referred [R]esource [S]trategy Linear Programming [M]odel, is the decision-making model Avista employs to generate potential resource mixes. The model’s objective is to meet resource deficits while accounting for cost, risk, capacity, energy, renewable energy requirements, and other constraints. Further discussion of PRiSM can be found in Avista’s 2013 IRP, pages 8-2 to 8-6. </w:t>
      </w:r>
    </w:p>
  </w:footnote>
  <w:footnote w:id="12">
    <w:p w14:paraId="16616494" w14:textId="77777777" w:rsidR="00F0623D" w:rsidRPr="00882E5C" w:rsidRDefault="00F0623D" w:rsidP="00882E5C">
      <w:pPr>
        <w:pStyle w:val="FootnoteText"/>
        <w:spacing w:after="120"/>
        <w:rPr>
          <w:sz w:val="22"/>
          <w:szCs w:val="22"/>
        </w:rPr>
      </w:pPr>
      <w:r w:rsidRPr="00882E5C">
        <w:rPr>
          <w:rStyle w:val="FootnoteReference"/>
          <w:sz w:val="22"/>
          <w:szCs w:val="22"/>
        </w:rPr>
        <w:footnoteRef/>
      </w:r>
      <w:r w:rsidRPr="00882E5C">
        <w:rPr>
          <w:sz w:val="22"/>
          <w:szCs w:val="22"/>
        </w:rPr>
        <w:t xml:space="preserve"> Docket UE-101482, Avista Corporation’s 2011 Electric Integrated Resource Plan, Attachment to Acknowledgement Letter, page 4 (January 12, 2012).</w:t>
      </w:r>
    </w:p>
  </w:footnote>
  <w:footnote w:id="13">
    <w:p w14:paraId="315C420E" w14:textId="77777777" w:rsidR="00F0623D" w:rsidRPr="00882E5C" w:rsidRDefault="00F0623D" w:rsidP="00882E5C">
      <w:pPr>
        <w:pStyle w:val="FootnoteText"/>
        <w:spacing w:after="120"/>
        <w:rPr>
          <w:sz w:val="22"/>
          <w:szCs w:val="22"/>
        </w:rPr>
      </w:pPr>
      <w:r w:rsidRPr="00882E5C">
        <w:rPr>
          <w:rStyle w:val="FootnoteReference"/>
          <w:sz w:val="22"/>
          <w:szCs w:val="22"/>
        </w:rPr>
        <w:footnoteRef/>
      </w:r>
      <w:r w:rsidRPr="00882E5C">
        <w:rPr>
          <w:sz w:val="22"/>
          <w:szCs w:val="22"/>
        </w:rPr>
        <w:t xml:space="preserve"> Docket UE-101482, Avista Corporation’s 2011 Electric Integrated Resource Plan, Attachment to Acknowledgement Letter, page 4 (January 12, 2012).</w:t>
      </w:r>
    </w:p>
  </w:footnote>
  <w:footnote w:id="14">
    <w:p w14:paraId="3B5EE715" w14:textId="77777777" w:rsidR="00F0623D" w:rsidRPr="00882E5C" w:rsidRDefault="00F0623D" w:rsidP="00882E5C">
      <w:pPr>
        <w:pStyle w:val="FootnoteText"/>
        <w:spacing w:after="120"/>
        <w:rPr>
          <w:sz w:val="22"/>
          <w:szCs w:val="22"/>
        </w:rPr>
      </w:pPr>
      <w:r w:rsidRPr="00882E5C">
        <w:rPr>
          <w:rStyle w:val="FootnoteReference"/>
          <w:sz w:val="22"/>
          <w:szCs w:val="22"/>
        </w:rPr>
        <w:footnoteRef/>
      </w:r>
      <w:r w:rsidRPr="00882E5C">
        <w:rPr>
          <w:sz w:val="22"/>
          <w:szCs w:val="22"/>
        </w:rPr>
        <w:t xml:space="preserve"> The slides presented at the November 7, 2013, technical advisory committee meeting were included in Appendix A to the 2013 IRP.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8F94F" w14:textId="77777777" w:rsidR="00F0623D" w:rsidRPr="00FA039F" w:rsidRDefault="00F0623D" w:rsidP="004D7A3E">
    <w:pPr>
      <w:pStyle w:val="Header"/>
    </w:pPr>
    <w:r>
      <w:t>Avista</w:t>
    </w:r>
    <w:r w:rsidRPr="00FA039F">
      <w:t xml:space="preserve"> IRP Acknowledgment Letter – Attachment</w:t>
    </w:r>
  </w:p>
  <w:p w14:paraId="4BC11D39" w14:textId="77777777" w:rsidR="00F0623D" w:rsidRPr="00FA039F" w:rsidRDefault="00F0623D" w:rsidP="004D7A3E">
    <w:pPr>
      <w:pStyle w:val="Header"/>
    </w:pPr>
    <w:r>
      <w:t>Docket UE-121421</w:t>
    </w:r>
  </w:p>
  <w:p w14:paraId="4A8ADF29" w14:textId="77777777" w:rsidR="00F0623D" w:rsidRPr="00FA039F" w:rsidRDefault="00F0623D" w:rsidP="004D7A3E">
    <w:pPr>
      <w:pStyle w:val="Header"/>
    </w:pPr>
    <w:r w:rsidRPr="00FA039F">
      <w:t xml:space="preserve">Page </w:t>
    </w:r>
    <w:r w:rsidRPr="00FA039F">
      <w:fldChar w:fldCharType="begin"/>
    </w:r>
    <w:r w:rsidRPr="00FA039F">
      <w:instrText xml:space="preserve"> PAGE  \* Arabic  \* MERGEFORMAT </w:instrText>
    </w:r>
    <w:r w:rsidRPr="00FA039F">
      <w:fldChar w:fldCharType="separate"/>
    </w:r>
    <w:r w:rsidR="00C15836">
      <w:t>9</w:t>
    </w:r>
    <w:r w:rsidRPr="00FA039F">
      <w:fldChar w:fldCharType="end"/>
    </w:r>
    <w:r w:rsidRPr="00FA039F">
      <w:t xml:space="preserve"> of </w:t>
    </w:r>
    <w:r w:rsidR="00EE0074">
      <w:fldChar w:fldCharType="begin"/>
    </w:r>
    <w:r w:rsidR="00EE0074">
      <w:instrText xml:space="preserve"> NUMPAGES  \* Arabic  \* MERGEFORMAT </w:instrText>
    </w:r>
    <w:r w:rsidR="00EE0074">
      <w:fldChar w:fldCharType="separate"/>
    </w:r>
    <w:r w:rsidR="00C15836">
      <w:t>9</w:t>
    </w:r>
    <w:r w:rsidR="00EE0074">
      <w:fldChar w:fldCharType="end"/>
    </w:r>
  </w:p>
  <w:p w14:paraId="4C9FFE5D" w14:textId="77777777" w:rsidR="00F0623D" w:rsidRPr="009F59D7" w:rsidRDefault="00F0623D" w:rsidP="004D7A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0523"/>
    <w:multiLevelType w:val="hybridMultilevel"/>
    <w:tmpl w:val="7E66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C1182"/>
    <w:multiLevelType w:val="hybridMultilevel"/>
    <w:tmpl w:val="B208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A24D3B"/>
    <w:multiLevelType w:val="hybridMultilevel"/>
    <w:tmpl w:val="200A8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FC458B"/>
    <w:multiLevelType w:val="hybridMultilevel"/>
    <w:tmpl w:val="38429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5E3ECB"/>
    <w:multiLevelType w:val="hybridMultilevel"/>
    <w:tmpl w:val="F48C2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214723"/>
    <w:multiLevelType w:val="hybridMultilevel"/>
    <w:tmpl w:val="79E4B4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CF3FFC"/>
    <w:multiLevelType w:val="hybridMultilevel"/>
    <w:tmpl w:val="C28CF1BA"/>
    <w:lvl w:ilvl="0" w:tplc="F88CDA28">
      <w:start w:val="201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7400ED"/>
    <w:multiLevelType w:val="hybridMultilevel"/>
    <w:tmpl w:val="55E22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916B3D"/>
    <w:multiLevelType w:val="hybridMultilevel"/>
    <w:tmpl w:val="9CD2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F15720"/>
    <w:multiLevelType w:val="hybridMultilevel"/>
    <w:tmpl w:val="5E36B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7226E9"/>
    <w:multiLevelType w:val="hybridMultilevel"/>
    <w:tmpl w:val="0756B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8D60F5"/>
    <w:multiLevelType w:val="hybridMultilevel"/>
    <w:tmpl w:val="B936F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166453"/>
    <w:multiLevelType w:val="hybridMultilevel"/>
    <w:tmpl w:val="14B83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DF6C89"/>
    <w:multiLevelType w:val="hybridMultilevel"/>
    <w:tmpl w:val="1116F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1C317A"/>
    <w:multiLevelType w:val="hybridMultilevel"/>
    <w:tmpl w:val="E2A22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0B7AA6"/>
    <w:multiLevelType w:val="hybridMultilevel"/>
    <w:tmpl w:val="0B4A7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D22CEE"/>
    <w:multiLevelType w:val="hybridMultilevel"/>
    <w:tmpl w:val="98B6E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E76B7B"/>
    <w:multiLevelType w:val="hybridMultilevel"/>
    <w:tmpl w:val="2C80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DF199A"/>
    <w:multiLevelType w:val="hybridMultilevel"/>
    <w:tmpl w:val="AFD2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9F3871"/>
    <w:multiLevelType w:val="hybridMultilevel"/>
    <w:tmpl w:val="7F2C6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C25008"/>
    <w:multiLevelType w:val="hybridMultilevel"/>
    <w:tmpl w:val="60F4C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9D052C"/>
    <w:multiLevelType w:val="hybridMultilevel"/>
    <w:tmpl w:val="53B23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081E1B"/>
    <w:multiLevelType w:val="hybridMultilevel"/>
    <w:tmpl w:val="40BE2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622799"/>
    <w:multiLevelType w:val="hybridMultilevel"/>
    <w:tmpl w:val="97681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7D055E"/>
    <w:multiLevelType w:val="hybridMultilevel"/>
    <w:tmpl w:val="099A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F3574F"/>
    <w:multiLevelType w:val="hybridMultilevel"/>
    <w:tmpl w:val="BE6CE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E53D0A"/>
    <w:multiLevelType w:val="hybridMultilevel"/>
    <w:tmpl w:val="E1400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2154AE"/>
    <w:multiLevelType w:val="hybridMultilevel"/>
    <w:tmpl w:val="D32E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AC20CE"/>
    <w:multiLevelType w:val="hybridMultilevel"/>
    <w:tmpl w:val="669E5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1A0020"/>
    <w:multiLevelType w:val="hybridMultilevel"/>
    <w:tmpl w:val="F3AEE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2D519B"/>
    <w:multiLevelType w:val="hybridMultilevel"/>
    <w:tmpl w:val="AE100A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BEC5820"/>
    <w:multiLevelType w:val="hybridMultilevel"/>
    <w:tmpl w:val="09B0F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D266BD"/>
    <w:multiLevelType w:val="hybridMultilevel"/>
    <w:tmpl w:val="43DA5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7B18C7"/>
    <w:multiLevelType w:val="hybridMultilevel"/>
    <w:tmpl w:val="98A6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25"/>
  </w:num>
  <w:num w:numId="4">
    <w:abstractNumId w:val="5"/>
  </w:num>
  <w:num w:numId="5">
    <w:abstractNumId w:val="29"/>
  </w:num>
  <w:num w:numId="6">
    <w:abstractNumId w:val="28"/>
  </w:num>
  <w:num w:numId="7">
    <w:abstractNumId w:val="23"/>
  </w:num>
  <w:num w:numId="8">
    <w:abstractNumId w:val="32"/>
  </w:num>
  <w:num w:numId="9">
    <w:abstractNumId w:val="31"/>
  </w:num>
  <w:num w:numId="10">
    <w:abstractNumId w:val="9"/>
  </w:num>
  <w:num w:numId="11">
    <w:abstractNumId w:val="15"/>
  </w:num>
  <w:num w:numId="12">
    <w:abstractNumId w:val="3"/>
  </w:num>
  <w:num w:numId="13">
    <w:abstractNumId w:val="0"/>
  </w:num>
  <w:num w:numId="14">
    <w:abstractNumId w:val="10"/>
  </w:num>
  <w:num w:numId="15">
    <w:abstractNumId w:val="26"/>
  </w:num>
  <w:num w:numId="16">
    <w:abstractNumId w:val="21"/>
  </w:num>
  <w:num w:numId="17">
    <w:abstractNumId w:val="1"/>
  </w:num>
  <w:num w:numId="18">
    <w:abstractNumId w:val="11"/>
  </w:num>
  <w:num w:numId="19">
    <w:abstractNumId w:val="27"/>
  </w:num>
  <w:num w:numId="20">
    <w:abstractNumId w:val="12"/>
  </w:num>
  <w:num w:numId="21">
    <w:abstractNumId w:val="33"/>
  </w:num>
  <w:num w:numId="22">
    <w:abstractNumId w:val="8"/>
  </w:num>
  <w:num w:numId="23">
    <w:abstractNumId w:val="20"/>
  </w:num>
  <w:num w:numId="24">
    <w:abstractNumId w:val="24"/>
  </w:num>
  <w:num w:numId="25">
    <w:abstractNumId w:val="18"/>
  </w:num>
  <w:num w:numId="26">
    <w:abstractNumId w:val="2"/>
  </w:num>
  <w:num w:numId="27">
    <w:abstractNumId w:val="7"/>
  </w:num>
  <w:num w:numId="28">
    <w:abstractNumId w:val="17"/>
  </w:num>
  <w:num w:numId="29">
    <w:abstractNumId w:val="19"/>
  </w:num>
  <w:num w:numId="30">
    <w:abstractNumId w:val="16"/>
  </w:num>
  <w:num w:numId="31">
    <w:abstractNumId w:val="22"/>
  </w:num>
  <w:num w:numId="32">
    <w:abstractNumId w:val="4"/>
  </w:num>
  <w:num w:numId="33">
    <w:abstractNumId w:val="1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31354e309ee14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296"/>
    <w:rsid w:val="00004B4F"/>
    <w:rsid w:val="00011205"/>
    <w:rsid w:val="00011323"/>
    <w:rsid w:val="00013997"/>
    <w:rsid w:val="000155FC"/>
    <w:rsid w:val="0002353E"/>
    <w:rsid w:val="00024CE3"/>
    <w:rsid w:val="00031F7E"/>
    <w:rsid w:val="000369CB"/>
    <w:rsid w:val="00037520"/>
    <w:rsid w:val="000403D8"/>
    <w:rsid w:val="00042D3F"/>
    <w:rsid w:val="00046D2D"/>
    <w:rsid w:val="0005110A"/>
    <w:rsid w:val="000533B6"/>
    <w:rsid w:val="00056AF2"/>
    <w:rsid w:val="000704B7"/>
    <w:rsid w:val="000740AC"/>
    <w:rsid w:val="00075381"/>
    <w:rsid w:val="000800E0"/>
    <w:rsid w:val="00080EB2"/>
    <w:rsid w:val="00082049"/>
    <w:rsid w:val="000821AA"/>
    <w:rsid w:val="00084A52"/>
    <w:rsid w:val="00085B9D"/>
    <w:rsid w:val="00086428"/>
    <w:rsid w:val="00086CB6"/>
    <w:rsid w:val="0008743D"/>
    <w:rsid w:val="000911B9"/>
    <w:rsid w:val="000A4480"/>
    <w:rsid w:val="000B551B"/>
    <w:rsid w:val="000B5F91"/>
    <w:rsid w:val="000B6538"/>
    <w:rsid w:val="000C210D"/>
    <w:rsid w:val="000C429D"/>
    <w:rsid w:val="000C6033"/>
    <w:rsid w:val="000C651A"/>
    <w:rsid w:val="000C6C14"/>
    <w:rsid w:val="000D192C"/>
    <w:rsid w:val="000D2CA6"/>
    <w:rsid w:val="000E1A57"/>
    <w:rsid w:val="000E315B"/>
    <w:rsid w:val="000F0507"/>
    <w:rsid w:val="000F0C82"/>
    <w:rsid w:val="000F3D31"/>
    <w:rsid w:val="000F6B27"/>
    <w:rsid w:val="00100047"/>
    <w:rsid w:val="00107DDC"/>
    <w:rsid w:val="00115C3F"/>
    <w:rsid w:val="00121238"/>
    <w:rsid w:val="00123FC9"/>
    <w:rsid w:val="00124316"/>
    <w:rsid w:val="0013065D"/>
    <w:rsid w:val="001334F4"/>
    <w:rsid w:val="00143EE3"/>
    <w:rsid w:val="001452B8"/>
    <w:rsid w:val="00147026"/>
    <w:rsid w:val="00147200"/>
    <w:rsid w:val="00147B12"/>
    <w:rsid w:val="0015469C"/>
    <w:rsid w:val="00156E35"/>
    <w:rsid w:val="00162E61"/>
    <w:rsid w:val="00164B89"/>
    <w:rsid w:val="00165CDC"/>
    <w:rsid w:val="00166F07"/>
    <w:rsid w:val="0017029C"/>
    <w:rsid w:val="001723B9"/>
    <w:rsid w:val="00174642"/>
    <w:rsid w:val="00176F07"/>
    <w:rsid w:val="0018308F"/>
    <w:rsid w:val="00185148"/>
    <w:rsid w:val="0018597D"/>
    <w:rsid w:val="001907AB"/>
    <w:rsid w:val="00197ED7"/>
    <w:rsid w:val="001B485A"/>
    <w:rsid w:val="001B7265"/>
    <w:rsid w:val="001C084E"/>
    <w:rsid w:val="001C28E7"/>
    <w:rsid w:val="001C2C9A"/>
    <w:rsid w:val="001C6817"/>
    <w:rsid w:val="001C6833"/>
    <w:rsid w:val="001D02C8"/>
    <w:rsid w:val="001D10EA"/>
    <w:rsid w:val="001D2041"/>
    <w:rsid w:val="001D30EA"/>
    <w:rsid w:val="001D487C"/>
    <w:rsid w:val="001D4B54"/>
    <w:rsid w:val="001D52FE"/>
    <w:rsid w:val="001D5FFE"/>
    <w:rsid w:val="001E3A0E"/>
    <w:rsid w:val="001E4C4E"/>
    <w:rsid w:val="001E4C8A"/>
    <w:rsid w:val="001E7F60"/>
    <w:rsid w:val="001F31EF"/>
    <w:rsid w:val="001F5C9D"/>
    <w:rsid w:val="001F6467"/>
    <w:rsid w:val="002013EF"/>
    <w:rsid w:val="00201740"/>
    <w:rsid w:val="002029C5"/>
    <w:rsid w:val="002047A5"/>
    <w:rsid w:val="0020650D"/>
    <w:rsid w:val="002118FA"/>
    <w:rsid w:val="00214698"/>
    <w:rsid w:val="00215080"/>
    <w:rsid w:val="00215C39"/>
    <w:rsid w:val="00226151"/>
    <w:rsid w:val="00230A6C"/>
    <w:rsid w:val="00230B4C"/>
    <w:rsid w:val="00232A88"/>
    <w:rsid w:val="00242583"/>
    <w:rsid w:val="00244862"/>
    <w:rsid w:val="00244CD3"/>
    <w:rsid w:val="00250426"/>
    <w:rsid w:val="00255842"/>
    <w:rsid w:val="002619F0"/>
    <w:rsid w:val="00262D04"/>
    <w:rsid w:val="002660ED"/>
    <w:rsid w:val="00272BD2"/>
    <w:rsid w:val="00277D7A"/>
    <w:rsid w:val="00281CEB"/>
    <w:rsid w:val="0028238F"/>
    <w:rsid w:val="00282497"/>
    <w:rsid w:val="0028585B"/>
    <w:rsid w:val="00286818"/>
    <w:rsid w:val="002876FB"/>
    <w:rsid w:val="00290957"/>
    <w:rsid w:val="00296FA8"/>
    <w:rsid w:val="002A1C2E"/>
    <w:rsid w:val="002A5569"/>
    <w:rsid w:val="002A756B"/>
    <w:rsid w:val="002B1286"/>
    <w:rsid w:val="002B1750"/>
    <w:rsid w:val="002B2B4F"/>
    <w:rsid w:val="002B42F9"/>
    <w:rsid w:val="002C1E95"/>
    <w:rsid w:val="002D0566"/>
    <w:rsid w:val="002D0748"/>
    <w:rsid w:val="002D7221"/>
    <w:rsid w:val="002D770C"/>
    <w:rsid w:val="002E2C20"/>
    <w:rsid w:val="002E5134"/>
    <w:rsid w:val="002E56C5"/>
    <w:rsid w:val="002E5B19"/>
    <w:rsid w:val="002F09C1"/>
    <w:rsid w:val="002F2D2E"/>
    <w:rsid w:val="002F5B81"/>
    <w:rsid w:val="00300415"/>
    <w:rsid w:val="00305E92"/>
    <w:rsid w:val="003103A8"/>
    <w:rsid w:val="00316BF6"/>
    <w:rsid w:val="003403D6"/>
    <w:rsid w:val="00340D28"/>
    <w:rsid w:val="0034348B"/>
    <w:rsid w:val="003458F6"/>
    <w:rsid w:val="00350E44"/>
    <w:rsid w:val="00353C97"/>
    <w:rsid w:val="00355FF0"/>
    <w:rsid w:val="00357E03"/>
    <w:rsid w:val="00363A8B"/>
    <w:rsid w:val="003670A0"/>
    <w:rsid w:val="0037628A"/>
    <w:rsid w:val="00377EFB"/>
    <w:rsid w:val="00384FA4"/>
    <w:rsid w:val="003859E0"/>
    <w:rsid w:val="00385FB0"/>
    <w:rsid w:val="00386316"/>
    <w:rsid w:val="00390B37"/>
    <w:rsid w:val="00390DD9"/>
    <w:rsid w:val="003910AB"/>
    <w:rsid w:val="0039178D"/>
    <w:rsid w:val="00397938"/>
    <w:rsid w:val="003A116A"/>
    <w:rsid w:val="003A6B28"/>
    <w:rsid w:val="003B34EF"/>
    <w:rsid w:val="003B48C9"/>
    <w:rsid w:val="003B654E"/>
    <w:rsid w:val="003C0D71"/>
    <w:rsid w:val="003C36D9"/>
    <w:rsid w:val="003C3844"/>
    <w:rsid w:val="003C7016"/>
    <w:rsid w:val="003D2330"/>
    <w:rsid w:val="003E077C"/>
    <w:rsid w:val="003E44AB"/>
    <w:rsid w:val="003E6D45"/>
    <w:rsid w:val="003F0FF0"/>
    <w:rsid w:val="003F391B"/>
    <w:rsid w:val="003F3E1F"/>
    <w:rsid w:val="003F5600"/>
    <w:rsid w:val="003F638B"/>
    <w:rsid w:val="003F63ED"/>
    <w:rsid w:val="003F736B"/>
    <w:rsid w:val="00400872"/>
    <w:rsid w:val="00400CC6"/>
    <w:rsid w:val="00404D2E"/>
    <w:rsid w:val="0041176D"/>
    <w:rsid w:val="00412E37"/>
    <w:rsid w:val="00420536"/>
    <w:rsid w:val="00423C71"/>
    <w:rsid w:val="00434EE6"/>
    <w:rsid w:val="004373DB"/>
    <w:rsid w:val="00450CB8"/>
    <w:rsid w:val="00451BC6"/>
    <w:rsid w:val="00457591"/>
    <w:rsid w:val="00462E82"/>
    <w:rsid w:val="00464DE3"/>
    <w:rsid w:val="004725A2"/>
    <w:rsid w:val="00472E9B"/>
    <w:rsid w:val="00475F03"/>
    <w:rsid w:val="004779B6"/>
    <w:rsid w:val="00477CB4"/>
    <w:rsid w:val="00480AA4"/>
    <w:rsid w:val="00480D9D"/>
    <w:rsid w:val="00496238"/>
    <w:rsid w:val="004A6634"/>
    <w:rsid w:val="004B0FBD"/>
    <w:rsid w:val="004B362B"/>
    <w:rsid w:val="004B394B"/>
    <w:rsid w:val="004B5C26"/>
    <w:rsid w:val="004C0CEA"/>
    <w:rsid w:val="004C1189"/>
    <w:rsid w:val="004C1B36"/>
    <w:rsid w:val="004C29F9"/>
    <w:rsid w:val="004C3FC9"/>
    <w:rsid w:val="004C7D81"/>
    <w:rsid w:val="004D1C76"/>
    <w:rsid w:val="004D52E3"/>
    <w:rsid w:val="004D709C"/>
    <w:rsid w:val="004D7A3E"/>
    <w:rsid w:val="004E0F0B"/>
    <w:rsid w:val="004E2F32"/>
    <w:rsid w:val="004E3F5F"/>
    <w:rsid w:val="004E49A7"/>
    <w:rsid w:val="004F341D"/>
    <w:rsid w:val="005008A2"/>
    <w:rsid w:val="00500E14"/>
    <w:rsid w:val="00517A1A"/>
    <w:rsid w:val="00525AC6"/>
    <w:rsid w:val="00527ACD"/>
    <w:rsid w:val="00531AC3"/>
    <w:rsid w:val="00535E09"/>
    <w:rsid w:val="00537707"/>
    <w:rsid w:val="00542AA8"/>
    <w:rsid w:val="00543E8F"/>
    <w:rsid w:val="00544012"/>
    <w:rsid w:val="00547B79"/>
    <w:rsid w:val="00547BE1"/>
    <w:rsid w:val="00547BFB"/>
    <w:rsid w:val="0055245B"/>
    <w:rsid w:val="00554715"/>
    <w:rsid w:val="00561B9C"/>
    <w:rsid w:val="00564E45"/>
    <w:rsid w:val="00572124"/>
    <w:rsid w:val="005762D8"/>
    <w:rsid w:val="00577A8F"/>
    <w:rsid w:val="00583C9D"/>
    <w:rsid w:val="005919A4"/>
    <w:rsid w:val="0059212C"/>
    <w:rsid w:val="00592D9E"/>
    <w:rsid w:val="005A00B6"/>
    <w:rsid w:val="005A355F"/>
    <w:rsid w:val="005A6F30"/>
    <w:rsid w:val="005B14B8"/>
    <w:rsid w:val="005B2772"/>
    <w:rsid w:val="005B5EB7"/>
    <w:rsid w:val="005B66D0"/>
    <w:rsid w:val="005C1EF5"/>
    <w:rsid w:val="005C2ABC"/>
    <w:rsid w:val="005C2CFE"/>
    <w:rsid w:val="005C3512"/>
    <w:rsid w:val="005D29F4"/>
    <w:rsid w:val="005D39E4"/>
    <w:rsid w:val="005D5367"/>
    <w:rsid w:val="005D7982"/>
    <w:rsid w:val="005E3E94"/>
    <w:rsid w:val="005E64FF"/>
    <w:rsid w:val="005F0F33"/>
    <w:rsid w:val="005F1430"/>
    <w:rsid w:val="00604C5F"/>
    <w:rsid w:val="00611156"/>
    <w:rsid w:val="00611223"/>
    <w:rsid w:val="00613E86"/>
    <w:rsid w:val="00615DF9"/>
    <w:rsid w:val="00621E85"/>
    <w:rsid w:val="006254DA"/>
    <w:rsid w:val="00633880"/>
    <w:rsid w:val="00635A4B"/>
    <w:rsid w:val="00637A50"/>
    <w:rsid w:val="006429A4"/>
    <w:rsid w:val="00645CFE"/>
    <w:rsid w:val="00651D3E"/>
    <w:rsid w:val="00666C18"/>
    <w:rsid w:val="0067152A"/>
    <w:rsid w:val="00676300"/>
    <w:rsid w:val="006848AA"/>
    <w:rsid w:val="00686A07"/>
    <w:rsid w:val="00686D7A"/>
    <w:rsid w:val="006903FC"/>
    <w:rsid w:val="00691152"/>
    <w:rsid w:val="00694981"/>
    <w:rsid w:val="006960DF"/>
    <w:rsid w:val="00696D41"/>
    <w:rsid w:val="00696F7A"/>
    <w:rsid w:val="006A3139"/>
    <w:rsid w:val="006A7450"/>
    <w:rsid w:val="006B3476"/>
    <w:rsid w:val="006B3C8E"/>
    <w:rsid w:val="006B4790"/>
    <w:rsid w:val="006B6B73"/>
    <w:rsid w:val="006B7209"/>
    <w:rsid w:val="006C6CE4"/>
    <w:rsid w:val="006C77A5"/>
    <w:rsid w:val="006E0D06"/>
    <w:rsid w:val="006E1637"/>
    <w:rsid w:val="006E4BDC"/>
    <w:rsid w:val="006F0BCD"/>
    <w:rsid w:val="006F6611"/>
    <w:rsid w:val="00702075"/>
    <w:rsid w:val="00706F74"/>
    <w:rsid w:val="00711021"/>
    <w:rsid w:val="00723821"/>
    <w:rsid w:val="00723F0B"/>
    <w:rsid w:val="00724E3C"/>
    <w:rsid w:val="00735DA6"/>
    <w:rsid w:val="00737A9A"/>
    <w:rsid w:val="00737C1A"/>
    <w:rsid w:val="0074128A"/>
    <w:rsid w:val="00752D02"/>
    <w:rsid w:val="00752EB9"/>
    <w:rsid w:val="00756C42"/>
    <w:rsid w:val="00757859"/>
    <w:rsid w:val="007629E2"/>
    <w:rsid w:val="007648D7"/>
    <w:rsid w:val="00764EDB"/>
    <w:rsid w:val="00771FD3"/>
    <w:rsid w:val="00773574"/>
    <w:rsid w:val="00773E3E"/>
    <w:rsid w:val="00775DFF"/>
    <w:rsid w:val="007833BF"/>
    <w:rsid w:val="007843B9"/>
    <w:rsid w:val="007863E0"/>
    <w:rsid w:val="007911A7"/>
    <w:rsid w:val="0079266F"/>
    <w:rsid w:val="007950DC"/>
    <w:rsid w:val="00796DF6"/>
    <w:rsid w:val="007A096D"/>
    <w:rsid w:val="007A147B"/>
    <w:rsid w:val="007A3FE9"/>
    <w:rsid w:val="007A552A"/>
    <w:rsid w:val="007A63FB"/>
    <w:rsid w:val="007B20B5"/>
    <w:rsid w:val="007B270E"/>
    <w:rsid w:val="007B2B79"/>
    <w:rsid w:val="007B3296"/>
    <w:rsid w:val="007B3C22"/>
    <w:rsid w:val="007C176A"/>
    <w:rsid w:val="007D1445"/>
    <w:rsid w:val="007D35FC"/>
    <w:rsid w:val="007D635A"/>
    <w:rsid w:val="007E2596"/>
    <w:rsid w:val="007E3B00"/>
    <w:rsid w:val="007F046B"/>
    <w:rsid w:val="007F30F1"/>
    <w:rsid w:val="007F6A09"/>
    <w:rsid w:val="008007BB"/>
    <w:rsid w:val="00801180"/>
    <w:rsid w:val="00805F1E"/>
    <w:rsid w:val="00810ADB"/>
    <w:rsid w:val="00811E00"/>
    <w:rsid w:val="00812C2D"/>
    <w:rsid w:val="00814AAF"/>
    <w:rsid w:val="008229F9"/>
    <w:rsid w:val="008308D6"/>
    <w:rsid w:val="00832CAF"/>
    <w:rsid w:val="00834187"/>
    <w:rsid w:val="00835F11"/>
    <w:rsid w:val="00836D0A"/>
    <w:rsid w:val="00843DC1"/>
    <w:rsid w:val="00846FA4"/>
    <w:rsid w:val="0084785E"/>
    <w:rsid w:val="00851273"/>
    <w:rsid w:val="00853F0C"/>
    <w:rsid w:val="00854C4D"/>
    <w:rsid w:val="00856487"/>
    <w:rsid w:val="00857894"/>
    <w:rsid w:val="0086762D"/>
    <w:rsid w:val="00874BC5"/>
    <w:rsid w:val="0087609F"/>
    <w:rsid w:val="00876D49"/>
    <w:rsid w:val="008776B2"/>
    <w:rsid w:val="0088112D"/>
    <w:rsid w:val="00882625"/>
    <w:rsid w:val="00882E5C"/>
    <w:rsid w:val="00887A62"/>
    <w:rsid w:val="0089156E"/>
    <w:rsid w:val="00893B1C"/>
    <w:rsid w:val="0089608A"/>
    <w:rsid w:val="00897B54"/>
    <w:rsid w:val="008A027C"/>
    <w:rsid w:val="008A3345"/>
    <w:rsid w:val="008A4601"/>
    <w:rsid w:val="008A64AC"/>
    <w:rsid w:val="008B03E9"/>
    <w:rsid w:val="008B0E20"/>
    <w:rsid w:val="008B2A72"/>
    <w:rsid w:val="008B31C4"/>
    <w:rsid w:val="008B478D"/>
    <w:rsid w:val="008B4E18"/>
    <w:rsid w:val="008C291E"/>
    <w:rsid w:val="008C7BB8"/>
    <w:rsid w:val="008D5535"/>
    <w:rsid w:val="008D67BF"/>
    <w:rsid w:val="008D7706"/>
    <w:rsid w:val="008E2FC2"/>
    <w:rsid w:val="008E5FDC"/>
    <w:rsid w:val="008F1247"/>
    <w:rsid w:val="009003A0"/>
    <w:rsid w:val="0090108A"/>
    <w:rsid w:val="00905533"/>
    <w:rsid w:val="00906796"/>
    <w:rsid w:val="009140DE"/>
    <w:rsid w:val="00914195"/>
    <w:rsid w:val="00920E26"/>
    <w:rsid w:val="0092355A"/>
    <w:rsid w:val="009260E6"/>
    <w:rsid w:val="00932BB6"/>
    <w:rsid w:val="00940CFD"/>
    <w:rsid w:val="009441C8"/>
    <w:rsid w:val="00951CE1"/>
    <w:rsid w:val="00953134"/>
    <w:rsid w:val="009538FB"/>
    <w:rsid w:val="00953EC1"/>
    <w:rsid w:val="0095413C"/>
    <w:rsid w:val="0095456E"/>
    <w:rsid w:val="00955036"/>
    <w:rsid w:val="009563C6"/>
    <w:rsid w:val="00957580"/>
    <w:rsid w:val="0096197F"/>
    <w:rsid w:val="00963ED6"/>
    <w:rsid w:val="00966272"/>
    <w:rsid w:val="00966374"/>
    <w:rsid w:val="0097509D"/>
    <w:rsid w:val="009759C2"/>
    <w:rsid w:val="00975DE6"/>
    <w:rsid w:val="00983927"/>
    <w:rsid w:val="00985A55"/>
    <w:rsid w:val="00987A4A"/>
    <w:rsid w:val="009903DB"/>
    <w:rsid w:val="009953F6"/>
    <w:rsid w:val="00995B5E"/>
    <w:rsid w:val="00997094"/>
    <w:rsid w:val="009A0243"/>
    <w:rsid w:val="009A3B46"/>
    <w:rsid w:val="009B03C1"/>
    <w:rsid w:val="009D01E1"/>
    <w:rsid w:val="009D323C"/>
    <w:rsid w:val="009D520E"/>
    <w:rsid w:val="009D5F7C"/>
    <w:rsid w:val="009D6FFA"/>
    <w:rsid w:val="009D7687"/>
    <w:rsid w:val="009E051B"/>
    <w:rsid w:val="009E281E"/>
    <w:rsid w:val="009E7250"/>
    <w:rsid w:val="009E75EC"/>
    <w:rsid w:val="009E77C2"/>
    <w:rsid w:val="009F08A4"/>
    <w:rsid w:val="009F2363"/>
    <w:rsid w:val="009F2CA5"/>
    <w:rsid w:val="009F59D7"/>
    <w:rsid w:val="009F68AD"/>
    <w:rsid w:val="00A0678B"/>
    <w:rsid w:val="00A156A0"/>
    <w:rsid w:val="00A1761F"/>
    <w:rsid w:val="00A31E03"/>
    <w:rsid w:val="00A32723"/>
    <w:rsid w:val="00A32DBB"/>
    <w:rsid w:val="00A33082"/>
    <w:rsid w:val="00A534E5"/>
    <w:rsid w:val="00A56EB1"/>
    <w:rsid w:val="00A57740"/>
    <w:rsid w:val="00A601F1"/>
    <w:rsid w:val="00A60311"/>
    <w:rsid w:val="00A61580"/>
    <w:rsid w:val="00A61895"/>
    <w:rsid w:val="00A61C8E"/>
    <w:rsid w:val="00A7091B"/>
    <w:rsid w:val="00A7374E"/>
    <w:rsid w:val="00A74C4D"/>
    <w:rsid w:val="00A764BB"/>
    <w:rsid w:val="00A7677D"/>
    <w:rsid w:val="00A94AF1"/>
    <w:rsid w:val="00A95B6A"/>
    <w:rsid w:val="00A9756F"/>
    <w:rsid w:val="00AA7A31"/>
    <w:rsid w:val="00AB26C0"/>
    <w:rsid w:val="00AB4E0A"/>
    <w:rsid w:val="00AB68CC"/>
    <w:rsid w:val="00AC052D"/>
    <w:rsid w:val="00AC71AC"/>
    <w:rsid w:val="00AC72A5"/>
    <w:rsid w:val="00AD01A1"/>
    <w:rsid w:val="00AD4DBC"/>
    <w:rsid w:val="00AD7208"/>
    <w:rsid w:val="00AE2A55"/>
    <w:rsid w:val="00AE6AE8"/>
    <w:rsid w:val="00AF143A"/>
    <w:rsid w:val="00AF75C5"/>
    <w:rsid w:val="00B02FE9"/>
    <w:rsid w:val="00B07D91"/>
    <w:rsid w:val="00B1241E"/>
    <w:rsid w:val="00B14B96"/>
    <w:rsid w:val="00B15ABC"/>
    <w:rsid w:val="00B16B98"/>
    <w:rsid w:val="00B16BE2"/>
    <w:rsid w:val="00B1721B"/>
    <w:rsid w:val="00B17683"/>
    <w:rsid w:val="00B209A3"/>
    <w:rsid w:val="00B234C7"/>
    <w:rsid w:val="00B26335"/>
    <w:rsid w:val="00B322A9"/>
    <w:rsid w:val="00B3491E"/>
    <w:rsid w:val="00B34EC9"/>
    <w:rsid w:val="00B35EEB"/>
    <w:rsid w:val="00B42256"/>
    <w:rsid w:val="00B45E91"/>
    <w:rsid w:val="00B512D0"/>
    <w:rsid w:val="00B51CA9"/>
    <w:rsid w:val="00B54DEB"/>
    <w:rsid w:val="00B54E43"/>
    <w:rsid w:val="00B578CF"/>
    <w:rsid w:val="00B6327D"/>
    <w:rsid w:val="00B66E98"/>
    <w:rsid w:val="00B726D3"/>
    <w:rsid w:val="00B72F89"/>
    <w:rsid w:val="00B7428E"/>
    <w:rsid w:val="00B77657"/>
    <w:rsid w:val="00B81916"/>
    <w:rsid w:val="00B91383"/>
    <w:rsid w:val="00B932FE"/>
    <w:rsid w:val="00B936FE"/>
    <w:rsid w:val="00B9552F"/>
    <w:rsid w:val="00BA08C9"/>
    <w:rsid w:val="00BA3A96"/>
    <w:rsid w:val="00BA421C"/>
    <w:rsid w:val="00BA491C"/>
    <w:rsid w:val="00BA730B"/>
    <w:rsid w:val="00BA7D35"/>
    <w:rsid w:val="00BB2B4F"/>
    <w:rsid w:val="00BB7728"/>
    <w:rsid w:val="00BB7CA4"/>
    <w:rsid w:val="00BC241B"/>
    <w:rsid w:val="00BC68D1"/>
    <w:rsid w:val="00BC7A0E"/>
    <w:rsid w:val="00BD2E8B"/>
    <w:rsid w:val="00BD7F24"/>
    <w:rsid w:val="00BE1605"/>
    <w:rsid w:val="00BE1D1A"/>
    <w:rsid w:val="00BE49F0"/>
    <w:rsid w:val="00BF4DE8"/>
    <w:rsid w:val="00BF547B"/>
    <w:rsid w:val="00BF548A"/>
    <w:rsid w:val="00BF77D0"/>
    <w:rsid w:val="00BF7CAD"/>
    <w:rsid w:val="00C0322D"/>
    <w:rsid w:val="00C07A85"/>
    <w:rsid w:val="00C127DF"/>
    <w:rsid w:val="00C15836"/>
    <w:rsid w:val="00C21F7F"/>
    <w:rsid w:val="00C231BE"/>
    <w:rsid w:val="00C27AF8"/>
    <w:rsid w:val="00C321F0"/>
    <w:rsid w:val="00C3433F"/>
    <w:rsid w:val="00C35584"/>
    <w:rsid w:val="00C43175"/>
    <w:rsid w:val="00C45EAB"/>
    <w:rsid w:val="00C4707D"/>
    <w:rsid w:val="00C520F2"/>
    <w:rsid w:val="00C564F8"/>
    <w:rsid w:val="00C56773"/>
    <w:rsid w:val="00C60352"/>
    <w:rsid w:val="00C61867"/>
    <w:rsid w:val="00C666FF"/>
    <w:rsid w:val="00C707CA"/>
    <w:rsid w:val="00C71146"/>
    <w:rsid w:val="00C719D0"/>
    <w:rsid w:val="00C766F9"/>
    <w:rsid w:val="00C95371"/>
    <w:rsid w:val="00CA3ABE"/>
    <w:rsid w:val="00CA6175"/>
    <w:rsid w:val="00CB0307"/>
    <w:rsid w:val="00CB282A"/>
    <w:rsid w:val="00CB3271"/>
    <w:rsid w:val="00CB6682"/>
    <w:rsid w:val="00CB6E80"/>
    <w:rsid w:val="00CC16AF"/>
    <w:rsid w:val="00CD2E88"/>
    <w:rsid w:val="00CD527E"/>
    <w:rsid w:val="00CD6FCC"/>
    <w:rsid w:val="00CE64E3"/>
    <w:rsid w:val="00CE6AF9"/>
    <w:rsid w:val="00CE7C47"/>
    <w:rsid w:val="00CF3174"/>
    <w:rsid w:val="00CF611B"/>
    <w:rsid w:val="00CF6AE4"/>
    <w:rsid w:val="00D007F9"/>
    <w:rsid w:val="00D01012"/>
    <w:rsid w:val="00D07ABB"/>
    <w:rsid w:val="00D13899"/>
    <w:rsid w:val="00D13BBF"/>
    <w:rsid w:val="00D2041C"/>
    <w:rsid w:val="00D218FE"/>
    <w:rsid w:val="00D219ED"/>
    <w:rsid w:val="00D234B4"/>
    <w:rsid w:val="00D27527"/>
    <w:rsid w:val="00D42233"/>
    <w:rsid w:val="00D454ED"/>
    <w:rsid w:val="00D55191"/>
    <w:rsid w:val="00D63CB7"/>
    <w:rsid w:val="00D64CED"/>
    <w:rsid w:val="00D735E9"/>
    <w:rsid w:val="00D73A87"/>
    <w:rsid w:val="00D77F25"/>
    <w:rsid w:val="00D84C09"/>
    <w:rsid w:val="00D8669D"/>
    <w:rsid w:val="00D92B97"/>
    <w:rsid w:val="00D92C18"/>
    <w:rsid w:val="00D95143"/>
    <w:rsid w:val="00DA1A10"/>
    <w:rsid w:val="00DA5DC0"/>
    <w:rsid w:val="00DA5DC6"/>
    <w:rsid w:val="00DA6B11"/>
    <w:rsid w:val="00DB04ED"/>
    <w:rsid w:val="00DB1889"/>
    <w:rsid w:val="00DB1908"/>
    <w:rsid w:val="00DB1C40"/>
    <w:rsid w:val="00DB2F38"/>
    <w:rsid w:val="00DB34E0"/>
    <w:rsid w:val="00DB3E48"/>
    <w:rsid w:val="00DB518F"/>
    <w:rsid w:val="00DB7FAE"/>
    <w:rsid w:val="00DC69B6"/>
    <w:rsid w:val="00DC6E4E"/>
    <w:rsid w:val="00DD06B6"/>
    <w:rsid w:val="00DD3522"/>
    <w:rsid w:val="00DD4881"/>
    <w:rsid w:val="00DD69E1"/>
    <w:rsid w:val="00DE464C"/>
    <w:rsid w:val="00DE4A06"/>
    <w:rsid w:val="00DE68E4"/>
    <w:rsid w:val="00DF243D"/>
    <w:rsid w:val="00DF4DC2"/>
    <w:rsid w:val="00DF55A1"/>
    <w:rsid w:val="00DF6673"/>
    <w:rsid w:val="00DF6B41"/>
    <w:rsid w:val="00E012F9"/>
    <w:rsid w:val="00E02BA2"/>
    <w:rsid w:val="00E03FD0"/>
    <w:rsid w:val="00E0527F"/>
    <w:rsid w:val="00E05547"/>
    <w:rsid w:val="00E13290"/>
    <w:rsid w:val="00E13FC9"/>
    <w:rsid w:val="00E156B9"/>
    <w:rsid w:val="00E165A4"/>
    <w:rsid w:val="00E209F8"/>
    <w:rsid w:val="00E25CA1"/>
    <w:rsid w:val="00E269CC"/>
    <w:rsid w:val="00E27A8A"/>
    <w:rsid w:val="00E325D4"/>
    <w:rsid w:val="00E32A42"/>
    <w:rsid w:val="00E35257"/>
    <w:rsid w:val="00E36529"/>
    <w:rsid w:val="00E422AD"/>
    <w:rsid w:val="00E42EC1"/>
    <w:rsid w:val="00E43229"/>
    <w:rsid w:val="00E43C4A"/>
    <w:rsid w:val="00E47BFA"/>
    <w:rsid w:val="00E533DF"/>
    <w:rsid w:val="00E545BE"/>
    <w:rsid w:val="00E54C03"/>
    <w:rsid w:val="00E57930"/>
    <w:rsid w:val="00E603DE"/>
    <w:rsid w:val="00E80710"/>
    <w:rsid w:val="00E82D62"/>
    <w:rsid w:val="00E83458"/>
    <w:rsid w:val="00E86384"/>
    <w:rsid w:val="00E8714F"/>
    <w:rsid w:val="00E93A42"/>
    <w:rsid w:val="00E940A8"/>
    <w:rsid w:val="00EA0A2E"/>
    <w:rsid w:val="00EA1ACD"/>
    <w:rsid w:val="00EA2AB6"/>
    <w:rsid w:val="00EB0B74"/>
    <w:rsid w:val="00EB4AFA"/>
    <w:rsid w:val="00EB5129"/>
    <w:rsid w:val="00EC1D03"/>
    <w:rsid w:val="00EC2ADB"/>
    <w:rsid w:val="00EC44E3"/>
    <w:rsid w:val="00ED043F"/>
    <w:rsid w:val="00EE0074"/>
    <w:rsid w:val="00EE04CC"/>
    <w:rsid w:val="00EE0D07"/>
    <w:rsid w:val="00EE1CF8"/>
    <w:rsid w:val="00EE63C0"/>
    <w:rsid w:val="00EF7E89"/>
    <w:rsid w:val="00F002A1"/>
    <w:rsid w:val="00F01F59"/>
    <w:rsid w:val="00F04C52"/>
    <w:rsid w:val="00F0623D"/>
    <w:rsid w:val="00F20655"/>
    <w:rsid w:val="00F271FD"/>
    <w:rsid w:val="00F31761"/>
    <w:rsid w:val="00F31970"/>
    <w:rsid w:val="00F322AE"/>
    <w:rsid w:val="00F32472"/>
    <w:rsid w:val="00F34D31"/>
    <w:rsid w:val="00F34E10"/>
    <w:rsid w:val="00F350B9"/>
    <w:rsid w:val="00F357E8"/>
    <w:rsid w:val="00F4564D"/>
    <w:rsid w:val="00F459BD"/>
    <w:rsid w:val="00F52E26"/>
    <w:rsid w:val="00F605B9"/>
    <w:rsid w:val="00F63A6F"/>
    <w:rsid w:val="00F663DD"/>
    <w:rsid w:val="00F67961"/>
    <w:rsid w:val="00F679DD"/>
    <w:rsid w:val="00F72DD8"/>
    <w:rsid w:val="00F75094"/>
    <w:rsid w:val="00F763FD"/>
    <w:rsid w:val="00F77492"/>
    <w:rsid w:val="00F82144"/>
    <w:rsid w:val="00F82C44"/>
    <w:rsid w:val="00F93680"/>
    <w:rsid w:val="00F942E7"/>
    <w:rsid w:val="00F955EC"/>
    <w:rsid w:val="00F955F7"/>
    <w:rsid w:val="00FA039F"/>
    <w:rsid w:val="00FA075E"/>
    <w:rsid w:val="00FA0895"/>
    <w:rsid w:val="00FA164E"/>
    <w:rsid w:val="00FA215B"/>
    <w:rsid w:val="00FB0793"/>
    <w:rsid w:val="00FB2605"/>
    <w:rsid w:val="00FB4EC1"/>
    <w:rsid w:val="00FB6032"/>
    <w:rsid w:val="00FC2044"/>
    <w:rsid w:val="00FC214F"/>
    <w:rsid w:val="00FC7794"/>
    <w:rsid w:val="00FD1CA2"/>
    <w:rsid w:val="00FD66D6"/>
    <w:rsid w:val="00FD70E6"/>
    <w:rsid w:val="00FD733A"/>
    <w:rsid w:val="00FE7635"/>
    <w:rsid w:val="00FE7A9A"/>
    <w:rsid w:val="00FF4863"/>
    <w:rsid w:val="00FF5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6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A3E"/>
    <w:pPr>
      <w:spacing w:after="0" w:line="264" w:lineRule="auto"/>
    </w:pPr>
    <w:rPr>
      <w:rFonts w:ascii="Times New Roman" w:eastAsia="Times New Roman" w:hAnsi="Times New Roman" w:cs="Times New Roman"/>
      <w:noProof/>
      <w:spacing w:val="-5"/>
      <w:sz w:val="25"/>
      <w:szCs w:val="25"/>
    </w:rPr>
  </w:style>
  <w:style w:type="paragraph" w:styleId="Heading1">
    <w:name w:val="heading 1"/>
    <w:basedOn w:val="NoSpacing"/>
    <w:next w:val="NoSpacing"/>
    <w:link w:val="Heading1Char"/>
    <w:uiPriority w:val="9"/>
    <w:qFormat/>
    <w:rsid w:val="001C084E"/>
    <w:pPr>
      <w:keepNext/>
      <w:keepLines/>
      <w:spacing w:before="480"/>
      <w:outlineLvl w:val="0"/>
    </w:pPr>
    <w:rPr>
      <w:rFonts w:eastAsiaTheme="majorEastAsia" w:cstheme="majorBidi"/>
      <w:b/>
      <w:bCs/>
      <w:spacing w:val="0"/>
      <w:szCs w:val="28"/>
      <w:u w:val="single"/>
    </w:rPr>
  </w:style>
  <w:style w:type="paragraph" w:styleId="Heading2">
    <w:name w:val="heading 2"/>
    <w:basedOn w:val="NoSpacing"/>
    <w:next w:val="NoSpacing"/>
    <w:link w:val="Heading2Char"/>
    <w:uiPriority w:val="9"/>
    <w:unhideWhenUsed/>
    <w:qFormat/>
    <w:rsid w:val="001C084E"/>
    <w:pPr>
      <w:keepNext/>
      <w:keepLines/>
      <w:spacing w:before="200"/>
      <w:outlineLvl w:val="1"/>
    </w:pPr>
    <w:rPr>
      <w:rFonts w:eastAsiaTheme="majorEastAsia" w:cstheme="majorBidi"/>
      <w:b/>
      <w:bCs/>
      <w:i/>
      <w:spacing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296"/>
    <w:pPr>
      <w:ind w:left="720"/>
      <w:contextualSpacing/>
    </w:pPr>
  </w:style>
  <w:style w:type="table" w:styleId="TableGrid">
    <w:name w:val="Table Grid"/>
    <w:basedOn w:val="TableNormal"/>
    <w:uiPriority w:val="59"/>
    <w:rsid w:val="00D218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81916"/>
    <w:pPr>
      <w:tabs>
        <w:tab w:val="center" w:pos="4680"/>
        <w:tab w:val="right" w:pos="9360"/>
      </w:tabs>
      <w:spacing w:line="240" w:lineRule="auto"/>
    </w:pPr>
  </w:style>
  <w:style w:type="character" w:customStyle="1" w:styleId="HeaderChar">
    <w:name w:val="Header Char"/>
    <w:basedOn w:val="DefaultParagraphFont"/>
    <w:link w:val="Header"/>
    <w:uiPriority w:val="99"/>
    <w:rsid w:val="00B81916"/>
  </w:style>
  <w:style w:type="paragraph" w:styleId="Footer">
    <w:name w:val="footer"/>
    <w:basedOn w:val="Normal"/>
    <w:link w:val="FooterChar"/>
    <w:uiPriority w:val="99"/>
    <w:unhideWhenUsed/>
    <w:rsid w:val="00B81916"/>
    <w:pPr>
      <w:tabs>
        <w:tab w:val="center" w:pos="4680"/>
        <w:tab w:val="right" w:pos="9360"/>
      </w:tabs>
      <w:spacing w:line="240" w:lineRule="auto"/>
    </w:pPr>
  </w:style>
  <w:style w:type="character" w:customStyle="1" w:styleId="FooterChar">
    <w:name w:val="Footer Char"/>
    <w:basedOn w:val="DefaultParagraphFont"/>
    <w:link w:val="Footer"/>
    <w:uiPriority w:val="99"/>
    <w:rsid w:val="00B81916"/>
  </w:style>
  <w:style w:type="character" w:styleId="CommentReference">
    <w:name w:val="annotation reference"/>
    <w:basedOn w:val="DefaultParagraphFont"/>
    <w:uiPriority w:val="99"/>
    <w:semiHidden/>
    <w:unhideWhenUsed/>
    <w:rsid w:val="009759C2"/>
    <w:rPr>
      <w:sz w:val="16"/>
      <w:szCs w:val="16"/>
    </w:rPr>
  </w:style>
  <w:style w:type="paragraph" w:styleId="CommentText">
    <w:name w:val="annotation text"/>
    <w:basedOn w:val="Normal"/>
    <w:link w:val="CommentTextChar"/>
    <w:uiPriority w:val="99"/>
    <w:unhideWhenUsed/>
    <w:rsid w:val="009759C2"/>
    <w:pPr>
      <w:spacing w:line="240" w:lineRule="auto"/>
    </w:pPr>
    <w:rPr>
      <w:sz w:val="20"/>
      <w:szCs w:val="20"/>
    </w:rPr>
  </w:style>
  <w:style w:type="character" w:customStyle="1" w:styleId="CommentTextChar">
    <w:name w:val="Comment Text Char"/>
    <w:basedOn w:val="DefaultParagraphFont"/>
    <w:link w:val="CommentText"/>
    <w:uiPriority w:val="99"/>
    <w:rsid w:val="009759C2"/>
    <w:rPr>
      <w:sz w:val="20"/>
      <w:szCs w:val="20"/>
    </w:rPr>
  </w:style>
  <w:style w:type="paragraph" w:styleId="CommentSubject">
    <w:name w:val="annotation subject"/>
    <w:basedOn w:val="CommentText"/>
    <w:next w:val="CommentText"/>
    <w:link w:val="CommentSubjectChar"/>
    <w:uiPriority w:val="99"/>
    <w:semiHidden/>
    <w:unhideWhenUsed/>
    <w:rsid w:val="009759C2"/>
    <w:rPr>
      <w:b/>
      <w:bCs/>
    </w:rPr>
  </w:style>
  <w:style w:type="character" w:customStyle="1" w:styleId="CommentSubjectChar">
    <w:name w:val="Comment Subject Char"/>
    <w:basedOn w:val="CommentTextChar"/>
    <w:link w:val="CommentSubject"/>
    <w:uiPriority w:val="99"/>
    <w:semiHidden/>
    <w:rsid w:val="009759C2"/>
    <w:rPr>
      <w:b/>
      <w:bCs/>
      <w:sz w:val="20"/>
      <w:szCs w:val="20"/>
    </w:rPr>
  </w:style>
  <w:style w:type="paragraph" w:styleId="BalloonText">
    <w:name w:val="Balloon Text"/>
    <w:basedOn w:val="Normal"/>
    <w:link w:val="BalloonTextChar"/>
    <w:uiPriority w:val="99"/>
    <w:semiHidden/>
    <w:unhideWhenUsed/>
    <w:rsid w:val="009759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9C2"/>
    <w:rPr>
      <w:rFonts w:ascii="Tahoma" w:hAnsi="Tahoma" w:cs="Tahoma"/>
      <w:sz w:val="16"/>
      <w:szCs w:val="16"/>
    </w:rPr>
  </w:style>
  <w:style w:type="paragraph" w:styleId="FootnoteText">
    <w:name w:val="footnote text"/>
    <w:basedOn w:val="Normal"/>
    <w:link w:val="FootnoteTextChar"/>
    <w:uiPriority w:val="99"/>
    <w:unhideWhenUsed/>
    <w:rsid w:val="00A156A0"/>
    <w:pPr>
      <w:spacing w:line="240" w:lineRule="auto"/>
    </w:pPr>
    <w:rPr>
      <w:sz w:val="20"/>
      <w:szCs w:val="20"/>
    </w:rPr>
  </w:style>
  <w:style w:type="character" w:customStyle="1" w:styleId="FootnoteTextChar">
    <w:name w:val="Footnote Text Char"/>
    <w:basedOn w:val="DefaultParagraphFont"/>
    <w:link w:val="FootnoteText"/>
    <w:uiPriority w:val="99"/>
    <w:rsid w:val="00A156A0"/>
    <w:rPr>
      <w:sz w:val="20"/>
      <w:szCs w:val="20"/>
    </w:rPr>
  </w:style>
  <w:style w:type="character" w:styleId="FootnoteReference">
    <w:name w:val="footnote reference"/>
    <w:basedOn w:val="DefaultParagraphFont"/>
    <w:uiPriority w:val="99"/>
    <w:semiHidden/>
    <w:unhideWhenUsed/>
    <w:rsid w:val="00A156A0"/>
    <w:rPr>
      <w:vertAlign w:val="superscript"/>
    </w:rPr>
  </w:style>
  <w:style w:type="paragraph" w:styleId="NoSpacing">
    <w:name w:val="No Spacing"/>
    <w:uiPriority w:val="1"/>
    <w:qFormat/>
    <w:rsid w:val="008308D6"/>
    <w:pPr>
      <w:spacing w:after="0" w:line="240" w:lineRule="auto"/>
    </w:pPr>
    <w:rPr>
      <w:rFonts w:ascii="Times New Roman" w:eastAsia="Times New Roman" w:hAnsi="Times New Roman" w:cs="Times New Roman"/>
      <w:spacing w:val="-5"/>
      <w:sz w:val="24"/>
      <w:szCs w:val="24"/>
    </w:rPr>
  </w:style>
  <w:style w:type="character" w:styleId="Hyperlink">
    <w:name w:val="Hyperlink"/>
    <w:basedOn w:val="DefaultParagraphFont"/>
    <w:uiPriority w:val="99"/>
    <w:unhideWhenUsed/>
    <w:rsid w:val="00262D04"/>
    <w:rPr>
      <w:color w:val="0000FF" w:themeColor="hyperlink"/>
      <w:u w:val="single"/>
    </w:rPr>
  </w:style>
  <w:style w:type="character" w:styleId="FollowedHyperlink">
    <w:name w:val="FollowedHyperlink"/>
    <w:basedOn w:val="DefaultParagraphFont"/>
    <w:uiPriority w:val="99"/>
    <w:semiHidden/>
    <w:unhideWhenUsed/>
    <w:rsid w:val="00262D04"/>
    <w:rPr>
      <w:color w:val="800080" w:themeColor="followedHyperlink"/>
      <w:u w:val="single"/>
    </w:rPr>
  </w:style>
  <w:style w:type="character" w:customStyle="1" w:styleId="Heading1Char">
    <w:name w:val="Heading 1 Char"/>
    <w:basedOn w:val="DefaultParagraphFont"/>
    <w:link w:val="Heading1"/>
    <w:uiPriority w:val="9"/>
    <w:rsid w:val="001C084E"/>
    <w:rPr>
      <w:rFonts w:ascii="Times New Roman" w:eastAsiaTheme="majorEastAsia" w:hAnsi="Times New Roman" w:cstheme="majorBidi"/>
      <w:b/>
      <w:bCs/>
      <w:sz w:val="24"/>
      <w:szCs w:val="28"/>
      <w:u w:val="single"/>
    </w:rPr>
  </w:style>
  <w:style w:type="character" w:customStyle="1" w:styleId="Heading2Char">
    <w:name w:val="Heading 2 Char"/>
    <w:basedOn w:val="DefaultParagraphFont"/>
    <w:link w:val="Heading2"/>
    <w:uiPriority w:val="9"/>
    <w:rsid w:val="001C084E"/>
    <w:rPr>
      <w:rFonts w:ascii="Times New Roman" w:eastAsiaTheme="majorEastAsia" w:hAnsi="Times New Roman" w:cstheme="majorBidi"/>
      <w:b/>
      <w:bCs/>
      <w:i/>
      <w:sz w:val="24"/>
      <w:szCs w:val="26"/>
    </w:rPr>
  </w:style>
  <w:style w:type="table" w:styleId="LightList-Accent5">
    <w:name w:val="Light List Accent 5"/>
    <w:basedOn w:val="TableNormal"/>
    <w:uiPriority w:val="61"/>
    <w:rsid w:val="00BA730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Revision">
    <w:name w:val="Revision"/>
    <w:hidden/>
    <w:uiPriority w:val="99"/>
    <w:semiHidden/>
    <w:rsid w:val="00666C18"/>
    <w:pPr>
      <w:spacing w:after="0" w:line="240" w:lineRule="auto"/>
    </w:pPr>
  </w:style>
  <w:style w:type="paragraph" w:styleId="EndnoteText">
    <w:name w:val="endnote text"/>
    <w:basedOn w:val="Normal"/>
    <w:link w:val="EndnoteTextChar"/>
    <w:uiPriority w:val="99"/>
    <w:semiHidden/>
    <w:unhideWhenUsed/>
    <w:rsid w:val="00042D3F"/>
    <w:pPr>
      <w:spacing w:line="240" w:lineRule="auto"/>
    </w:pPr>
    <w:rPr>
      <w:sz w:val="20"/>
      <w:szCs w:val="20"/>
    </w:rPr>
  </w:style>
  <w:style w:type="character" w:customStyle="1" w:styleId="EndnoteTextChar">
    <w:name w:val="Endnote Text Char"/>
    <w:basedOn w:val="DefaultParagraphFont"/>
    <w:link w:val="EndnoteText"/>
    <w:uiPriority w:val="99"/>
    <w:semiHidden/>
    <w:rsid w:val="00042D3F"/>
    <w:rPr>
      <w:rFonts w:ascii="Times New Roman" w:eastAsia="Times New Roman" w:hAnsi="Times New Roman" w:cs="Times New Roman"/>
      <w:noProof/>
      <w:spacing w:val="-5"/>
      <w:sz w:val="20"/>
      <w:szCs w:val="20"/>
    </w:rPr>
  </w:style>
  <w:style w:type="character" w:styleId="EndnoteReference">
    <w:name w:val="endnote reference"/>
    <w:basedOn w:val="DefaultParagraphFont"/>
    <w:uiPriority w:val="99"/>
    <w:semiHidden/>
    <w:unhideWhenUsed/>
    <w:rsid w:val="00042D3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A3E"/>
    <w:pPr>
      <w:spacing w:after="0" w:line="264" w:lineRule="auto"/>
    </w:pPr>
    <w:rPr>
      <w:rFonts w:ascii="Times New Roman" w:eastAsia="Times New Roman" w:hAnsi="Times New Roman" w:cs="Times New Roman"/>
      <w:noProof/>
      <w:spacing w:val="-5"/>
      <w:sz w:val="25"/>
      <w:szCs w:val="25"/>
    </w:rPr>
  </w:style>
  <w:style w:type="paragraph" w:styleId="Heading1">
    <w:name w:val="heading 1"/>
    <w:basedOn w:val="NoSpacing"/>
    <w:next w:val="NoSpacing"/>
    <w:link w:val="Heading1Char"/>
    <w:uiPriority w:val="9"/>
    <w:qFormat/>
    <w:rsid w:val="001C084E"/>
    <w:pPr>
      <w:keepNext/>
      <w:keepLines/>
      <w:spacing w:before="480"/>
      <w:outlineLvl w:val="0"/>
    </w:pPr>
    <w:rPr>
      <w:rFonts w:eastAsiaTheme="majorEastAsia" w:cstheme="majorBidi"/>
      <w:b/>
      <w:bCs/>
      <w:spacing w:val="0"/>
      <w:szCs w:val="28"/>
      <w:u w:val="single"/>
    </w:rPr>
  </w:style>
  <w:style w:type="paragraph" w:styleId="Heading2">
    <w:name w:val="heading 2"/>
    <w:basedOn w:val="NoSpacing"/>
    <w:next w:val="NoSpacing"/>
    <w:link w:val="Heading2Char"/>
    <w:uiPriority w:val="9"/>
    <w:unhideWhenUsed/>
    <w:qFormat/>
    <w:rsid w:val="001C084E"/>
    <w:pPr>
      <w:keepNext/>
      <w:keepLines/>
      <w:spacing w:before="200"/>
      <w:outlineLvl w:val="1"/>
    </w:pPr>
    <w:rPr>
      <w:rFonts w:eastAsiaTheme="majorEastAsia" w:cstheme="majorBidi"/>
      <w:b/>
      <w:bCs/>
      <w:i/>
      <w:spacing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296"/>
    <w:pPr>
      <w:ind w:left="720"/>
      <w:contextualSpacing/>
    </w:pPr>
  </w:style>
  <w:style w:type="table" w:styleId="TableGrid">
    <w:name w:val="Table Grid"/>
    <w:basedOn w:val="TableNormal"/>
    <w:uiPriority w:val="59"/>
    <w:rsid w:val="00D218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81916"/>
    <w:pPr>
      <w:tabs>
        <w:tab w:val="center" w:pos="4680"/>
        <w:tab w:val="right" w:pos="9360"/>
      </w:tabs>
      <w:spacing w:line="240" w:lineRule="auto"/>
    </w:pPr>
  </w:style>
  <w:style w:type="character" w:customStyle="1" w:styleId="HeaderChar">
    <w:name w:val="Header Char"/>
    <w:basedOn w:val="DefaultParagraphFont"/>
    <w:link w:val="Header"/>
    <w:uiPriority w:val="99"/>
    <w:rsid w:val="00B81916"/>
  </w:style>
  <w:style w:type="paragraph" w:styleId="Footer">
    <w:name w:val="footer"/>
    <w:basedOn w:val="Normal"/>
    <w:link w:val="FooterChar"/>
    <w:uiPriority w:val="99"/>
    <w:unhideWhenUsed/>
    <w:rsid w:val="00B81916"/>
    <w:pPr>
      <w:tabs>
        <w:tab w:val="center" w:pos="4680"/>
        <w:tab w:val="right" w:pos="9360"/>
      </w:tabs>
      <w:spacing w:line="240" w:lineRule="auto"/>
    </w:pPr>
  </w:style>
  <w:style w:type="character" w:customStyle="1" w:styleId="FooterChar">
    <w:name w:val="Footer Char"/>
    <w:basedOn w:val="DefaultParagraphFont"/>
    <w:link w:val="Footer"/>
    <w:uiPriority w:val="99"/>
    <w:rsid w:val="00B81916"/>
  </w:style>
  <w:style w:type="character" w:styleId="CommentReference">
    <w:name w:val="annotation reference"/>
    <w:basedOn w:val="DefaultParagraphFont"/>
    <w:uiPriority w:val="99"/>
    <w:semiHidden/>
    <w:unhideWhenUsed/>
    <w:rsid w:val="009759C2"/>
    <w:rPr>
      <w:sz w:val="16"/>
      <w:szCs w:val="16"/>
    </w:rPr>
  </w:style>
  <w:style w:type="paragraph" w:styleId="CommentText">
    <w:name w:val="annotation text"/>
    <w:basedOn w:val="Normal"/>
    <w:link w:val="CommentTextChar"/>
    <w:uiPriority w:val="99"/>
    <w:unhideWhenUsed/>
    <w:rsid w:val="009759C2"/>
    <w:pPr>
      <w:spacing w:line="240" w:lineRule="auto"/>
    </w:pPr>
    <w:rPr>
      <w:sz w:val="20"/>
      <w:szCs w:val="20"/>
    </w:rPr>
  </w:style>
  <w:style w:type="character" w:customStyle="1" w:styleId="CommentTextChar">
    <w:name w:val="Comment Text Char"/>
    <w:basedOn w:val="DefaultParagraphFont"/>
    <w:link w:val="CommentText"/>
    <w:uiPriority w:val="99"/>
    <w:rsid w:val="009759C2"/>
    <w:rPr>
      <w:sz w:val="20"/>
      <w:szCs w:val="20"/>
    </w:rPr>
  </w:style>
  <w:style w:type="paragraph" w:styleId="CommentSubject">
    <w:name w:val="annotation subject"/>
    <w:basedOn w:val="CommentText"/>
    <w:next w:val="CommentText"/>
    <w:link w:val="CommentSubjectChar"/>
    <w:uiPriority w:val="99"/>
    <w:semiHidden/>
    <w:unhideWhenUsed/>
    <w:rsid w:val="009759C2"/>
    <w:rPr>
      <w:b/>
      <w:bCs/>
    </w:rPr>
  </w:style>
  <w:style w:type="character" w:customStyle="1" w:styleId="CommentSubjectChar">
    <w:name w:val="Comment Subject Char"/>
    <w:basedOn w:val="CommentTextChar"/>
    <w:link w:val="CommentSubject"/>
    <w:uiPriority w:val="99"/>
    <w:semiHidden/>
    <w:rsid w:val="009759C2"/>
    <w:rPr>
      <w:b/>
      <w:bCs/>
      <w:sz w:val="20"/>
      <w:szCs w:val="20"/>
    </w:rPr>
  </w:style>
  <w:style w:type="paragraph" w:styleId="BalloonText">
    <w:name w:val="Balloon Text"/>
    <w:basedOn w:val="Normal"/>
    <w:link w:val="BalloonTextChar"/>
    <w:uiPriority w:val="99"/>
    <w:semiHidden/>
    <w:unhideWhenUsed/>
    <w:rsid w:val="009759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9C2"/>
    <w:rPr>
      <w:rFonts w:ascii="Tahoma" w:hAnsi="Tahoma" w:cs="Tahoma"/>
      <w:sz w:val="16"/>
      <w:szCs w:val="16"/>
    </w:rPr>
  </w:style>
  <w:style w:type="paragraph" w:styleId="FootnoteText">
    <w:name w:val="footnote text"/>
    <w:basedOn w:val="Normal"/>
    <w:link w:val="FootnoteTextChar"/>
    <w:uiPriority w:val="99"/>
    <w:unhideWhenUsed/>
    <w:rsid w:val="00A156A0"/>
    <w:pPr>
      <w:spacing w:line="240" w:lineRule="auto"/>
    </w:pPr>
    <w:rPr>
      <w:sz w:val="20"/>
      <w:szCs w:val="20"/>
    </w:rPr>
  </w:style>
  <w:style w:type="character" w:customStyle="1" w:styleId="FootnoteTextChar">
    <w:name w:val="Footnote Text Char"/>
    <w:basedOn w:val="DefaultParagraphFont"/>
    <w:link w:val="FootnoteText"/>
    <w:uiPriority w:val="99"/>
    <w:rsid w:val="00A156A0"/>
    <w:rPr>
      <w:sz w:val="20"/>
      <w:szCs w:val="20"/>
    </w:rPr>
  </w:style>
  <w:style w:type="character" w:styleId="FootnoteReference">
    <w:name w:val="footnote reference"/>
    <w:basedOn w:val="DefaultParagraphFont"/>
    <w:uiPriority w:val="99"/>
    <w:semiHidden/>
    <w:unhideWhenUsed/>
    <w:rsid w:val="00A156A0"/>
    <w:rPr>
      <w:vertAlign w:val="superscript"/>
    </w:rPr>
  </w:style>
  <w:style w:type="paragraph" w:styleId="NoSpacing">
    <w:name w:val="No Spacing"/>
    <w:uiPriority w:val="1"/>
    <w:qFormat/>
    <w:rsid w:val="008308D6"/>
    <w:pPr>
      <w:spacing w:after="0" w:line="240" w:lineRule="auto"/>
    </w:pPr>
    <w:rPr>
      <w:rFonts w:ascii="Times New Roman" w:eastAsia="Times New Roman" w:hAnsi="Times New Roman" w:cs="Times New Roman"/>
      <w:spacing w:val="-5"/>
      <w:sz w:val="24"/>
      <w:szCs w:val="24"/>
    </w:rPr>
  </w:style>
  <w:style w:type="character" w:styleId="Hyperlink">
    <w:name w:val="Hyperlink"/>
    <w:basedOn w:val="DefaultParagraphFont"/>
    <w:uiPriority w:val="99"/>
    <w:unhideWhenUsed/>
    <w:rsid w:val="00262D04"/>
    <w:rPr>
      <w:color w:val="0000FF" w:themeColor="hyperlink"/>
      <w:u w:val="single"/>
    </w:rPr>
  </w:style>
  <w:style w:type="character" w:styleId="FollowedHyperlink">
    <w:name w:val="FollowedHyperlink"/>
    <w:basedOn w:val="DefaultParagraphFont"/>
    <w:uiPriority w:val="99"/>
    <w:semiHidden/>
    <w:unhideWhenUsed/>
    <w:rsid w:val="00262D04"/>
    <w:rPr>
      <w:color w:val="800080" w:themeColor="followedHyperlink"/>
      <w:u w:val="single"/>
    </w:rPr>
  </w:style>
  <w:style w:type="character" w:customStyle="1" w:styleId="Heading1Char">
    <w:name w:val="Heading 1 Char"/>
    <w:basedOn w:val="DefaultParagraphFont"/>
    <w:link w:val="Heading1"/>
    <w:uiPriority w:val="9"/>
    <w:rsid w:val="001C084E"/>
    <w:rPr>
      <w:rFonts w:ascii="Times New Roman" w:eastAsiaTheme="majorEastAsia" w:hAnsi="Times New Roman" w:cstheme="majorBidi"/>
      <w:b/>
      <w:bCs/>
      <w:sz w:val="24"/>
      <w:szCs w:val="28"/>
      <w:u w:val="single"/>
    </w:rPr>
  </w:style>
  <w:style w:type="character" w:customStyle="1" w:styleId="Heading2Char">
    <w:name w:val="Heading 2 Char"/>
    <w:basedOn w:val="DefaultParagraphFont"/>
    <w:link w:val="Heading2"/>
    <w:uiPriority w:val="9"/>
    <w:rsid w:val="001C084E"/>
    <w:rPr>
      <w:rFonts w:ascii="Times New Roman" w:eastAsiaTheme="majorEastAsia" w:hAnsi="Times New Roman" w:cstheme="majorBidi"/>
      <w:b/>
      <w:bCs/>
      <w:i/>
      <w:sz w:val="24"/>
      <w:szCs w:val="26"/>
    </w:rPr>
  </w:style>
  <w:style w:type="table" w:styleId="LightList-Accent5">
    <w:name w:val="Light List Accent 5"/>
    <w:basedOn w:val="TableNormal"/>
    <w:uiPriority w:val="61"/>
    <w:rsid w:val="00BA730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Revision">
    <w:name w:val="Revision"/>
    <w:hidden/>
    <w:uiPriority w:val="99"/>
    <w:semiHidden/>
    <w:rsid w:val="00666C18"/>
    <w:pPr>
      <w:spacing w:after="0" w:line="240" w:lineRule="auto"/>
    </w:pPr>
  </w:style>
  <w:style w:type="paragraph" w:styleId="EndnoteText">
    <w:name w:val="endnote text"/>
    <w:basedOn w:val="Normal"/>
    <w:link w:val="EndnoteTextChar"/>
    <w:uiPriority w:val="99"/>
    <w:semiHidden/>
    <w:unhideWhenUsed/>
    <w:rsid w:val="00042D3F"/>
    <w:pPr>
      <w:spacing w:line="240" w:lineRule="auto"/>
    </w:pPr>
    <w:rPr>
      <w:sz w:val="20"/>
      <w:szCs w:val="20"/>
    </w:rPr>
  </w:style>
  <w:style w:type="character" w:customStyle="1" w:styleId="EndnoteTextChar">
    <w:name w:val="Endnote Text Char"/>
    <w:basedOn w:val="DefaultParagraphFont"/>
    <w:link w:val="EndnoteText"/>
    <w:uiPriority w:val="99"/>
    <w:semiHidden/>
    <w:rsid w:val="00042D3F"/>
    <w:rPr>
      <w:rFonts w:ascii="Times New Roman" w:eastAsia="Times New Roman" w:hAnsi="Times New Roman" w:cs="Times New Roman"/>
      <w:noProof/>
      <w:spacing w:val="-5"/>
      <w:sz w:val="20"/>
      <w:szCs w:val="20"/>
    </w:rPr>
  </w:style>
  <w:style w:type="character" w:styleId="EndnoteReference">
    <w:name w:val="endnote reference"/>
    <w:basedOn w:val="DefaultParagraphFont"/>
    <w:uiPriority w:val="99"/>
    <w:semiHidden/>
    <w:unhideWhenUsed/>
    <w:rsid w:val="00042D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747802">
      <w:bodyDiv w:val="1"/>
      <w:marLeft w:val="0"/>
      <w:marRight w:val="0"/>
      <w:marTop w:val="0"/>
      <w:marBottom w:val="0"/>
      <w:divBdr>
        <w:top w:val="none" w:sz="0" w:space="0" w:color="auto"/>
        <w:left w:val="none" w:sz="0" w:space="0" w:color="auto"/>
        <w:bottom w:val="none" w:sz="0" w:space="0" w:color="auto"/>
        <w:right w:val="none" w:sz="0" w:space="0" w:color="auto"/>
      </w:divBdr>
    </w:div>
    <w:div w:id="1187255058">
      <w:bodyDiv w:val="1"/>
      <w:marLeft w:val="0"/>
      <w:marRight w:val="0"/>
      <w:marTop w:val="0"/>
      <w:marBottom w:val="0"/>
      <w:divBdr>
        <w:top w:val="none" w:sz="0" w:space="0" w:color="auto"/>
        <w:left w:val="none" w:sz="0" w:space="0" w:color="auto"/>
        <w:bottom w:val="none" w:sz="0" w:space="0" w:color="auto"/>
        <w:right w:val="none" w:sz="0" w:space="0" w:color="auto"/>
      </w:divBdr>
    </w:div>
    <w:div w:id="1382359597">
      <w:bodyDiv w:val="1"/>
      <w:marLeft w:val="0"/>
      <w:marRight w:val="0"/>
      <w:marTop w:val="0"/>
      <w:marBottom w:val="0"/>
      <w:divBdr>
        <w:top w:val="none" w:sz="0" w:space="0" w:color="auto"/>
        <w:left w:val="none" w:sz="0" w:space="0" w:color="auto"/>
        <w:bottom w:val="none" w:sz="0" w:space="0" w:color="auto"/>
        <w:right w:val="none" w:sz="0" w:space="0" w:color="auto"/>
      </w:divBdr>
      <w:divsChild>
        <w:div w:id="274101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851B3C0DB14934585E7FE65640C4DF2" ma:contentTypeVersion="139" ma:contentTypeDescription="" ma:contentTypeScope="" ma:versionID="e9d382b1f653aa28247d314006c837c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2012-08-30T07:00:00+00:00</OpenedDate>
    <Date1 xmlns="dc463f71-b30c-4ab2-9473-d307f9d35888">2014-03-28T07:00:00+00:00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121421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423AB0-2B3F-4444-A238-FE6725242DE4}"/>
</file>

<file path=customXml/itemProps2.xml><?xml version="1.0" encoding="utf-8"?>
<ds:datastoreItem xmlns:ds="http://schemas.openxmlformats.org/officeDocument/2006/customXml" ds:itemID="{FF4C2F89-605B-4CED-B4DA-54401BB6777C}"/>
</file>

<file path=customXml/itemProps3.xml><?xml version="1.0" encoding="utf-8"?>
<ds:datastoreItem xmlns:ds="http://schemas.openxmlformats.org/officeDocument/2006/customXml" ds:itemID="{C82E74A0-3CF4-4305-9A54-CFA6E0780577}"/>
</file>

<file path=customXml/itemProps4.xml><?xml version="1.0" encoding="utf-8"?>
<ds:datastoreItem xmlns:ds="http://schemas.openxmlformats.org/officeDocument/2006/customXml" ds:itemID="{9B6CD435-6CAE-47C1-A035-FD1702AFF64F}"/>
</file>

<file path=customXml/itemProps5.xml><?xml version="1.0" encoding="utf-8"?>
<ds:datastoreItem xmlns:ds="http://schemas.openxmlformats.org/officeDocument/2006/customXml" ds:itemID="{F727F355-0033-4D2A-A9BD-C019F28ED0DA}"/>
</file>

<file path=docProps/app.xml><?xml version="1.0" encoding="utf-8"?>
<Properties xmlns="http://schemas.openxmlformats.org/officeDocument/2006/extended-properties" xmlns:vt="http://schemas.openxmlformats.org/officeDocument/2006/docPropsVTypes">
  <Template>Normal.dotm</Template>
  <TotalTime>0</TotalTime>
  <Pages>1</Pages>
  <Words>2471</Words>
  <Characters>14089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Kermode</dc:creator>
  <cp:lastModifiedBy>Leisa Fortney</cp:lastModifiedBy>
  <cp:revision>4</cp:revision>
  <cp:lastPrinted>2014-03-28T17:38:00Z</cp:lastPrinted>
  <dcterms:created xsi:type="dcterms:W3CDTF">2014-03-28T17:38:00Z</dcterms:created>
  <dcterms:modified xsi:type="dcterms:W3CDTF">2014-03-28T17:38:00Z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0x0101006E56B4D1795A2E4DB2F0B01679ED314A00E851B3C0DB14934585E7FE65640C4DF2</vt:lpwstr>
  </property>
  <property fmtid="{D5CDD505-2E9C-101B-9397-08002B2CF9AE}" pid="3" name="_docset_NoMedatataSyncRequired">
    <vt:lpwstr>False</vt:lpwstr>
  </property>
</Properties>
</file>