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7D" w:rsidRPr="00420536" w:rsidRDefault="00920E26" w:rsidP="0041176D">
      <w:pPr>
        <w:spacing w:after="0" w:line="240" w:lineRule="auto"/>
        <w:jc w:val="center"/>
        <w:rPr>
          <w:rFonts w:ascii="Times New Roman" w:hAnsi="Times New Roman" w:cs="Times New Roman"/>
          <w:b/>
          <w:sz w:val="24"/>
          <w:szCs w:val="24"/>
        </w:rPr>
      </w:pPr>
      <w:bookmarkStart w:id="0" w:name="_GoBack"/>
      <w:bookmarkEnd w:id="0"/>
      <w:r w:rsidRPr="00420536">
        <w:rPr>
          <w:rFonts w:ascii="Times New Roman" w:hAnsi="Times New Roman" w:cs="Times New Roman"/>
          <w:b/>
          <w:sz w:val="24"/>
          <w:szCs w:val="24"/>
        </w:rPr>
        <w:t>Attachment</w:t>
      </w:r>
    </w:p>
    <w:p w:rsidR="00920E26" w:rsidRPr="00E533DF" w:rsidRDefault="00920E26" w:rsidP="0041176D">
      <w:pPr>
        <w:spacing w:after="0" w:line="240" w:lineRule="auto"/>
        <w:jc w:val="center"/>
        <w:rPr>
          <w:rFonts w:ascii="Times New Roman" w:hAnsi="Times New Roman" w:cs="Times New Roman"/>
          <w:b/>
          <w:sz w:val="24"/>
          <w:szCs w:val="24"/>
        </w:rPr>
      </w:pPr>
    </w:p>
    <w:p w:rsidR="007B3296" w:rsidRPr="0089608A" w:rsidRDefault="00AB4E0A" w:rsidP="0041176D">
      <w:pPr>
        <w:spacing w:after="0" w:line="240" w:lineRule="auto"/>
        <w:jc w:val="center"/>
        <w:rPr>
          <w:rFonts w:ascii="Times New Roman" w:hAnsi="Times New Roman" w:cs="Times New Roman"/>
          <w:b/>
          <w:sz w:val="24"/>
          <w:szCs w:val="24"/>
        </w:rPr>
      </w:pPr>
      <w:r w:rsidRPr="00115C3F">
        <w:rPr>
          <w:rFonts w:ascii="Times New Roman" w:hAnsi="Times New Roman" w:cs="Times New Roman"/>
          <w:b/>
          <w:sz w:val="24"/>
          <w:szCs w:val="24"/>
        </w:rPr>
        <w:t>PacifiCorp</w:t>
      </w:r>
      <w:r w:rsidR="00920E26" w:rsidRPr="00115C3F">
        <w:rPr>
          <w:rFonts w:ascii="Times New Roman" w:hAnsi="Times New Roman" w:cs="Times New Roman"/>
          <w:b/>
          <w:sz w:val="24"/>
          <w:szCs w:val="24"/>
        </w:rPr>
        <w:t xml:space="preserve"> </w:t>
      </w:r>
      <w:r w:rsidRPr="00115C3F">
        <w:rPr>
          <w:rFonts w:ascii="Times New Roman" w:hAnsi="Times New Roman" w:cs="Times New Roman"/>
          <w:b/>
          <w:sz w:val="24"/>
          <w:szCs w:val="24"/>
        </w:rPr>
        <w:t>2011</w:t>
      </w:r>
      <w:r w:rsidR="007B3296" w:rsidRPr="0089608A">
        <w:rPr>
          <w:rFonts w:ascii="Times New Roman" w:hAnsi="Times New Roman" w:cs="Times New Roman"/>
          <w:b/>
          <w:sz w:val="24"/>
          <w:szCs w:val="24"/>
        </w:rPr>
        <w:t xml:space="preserve"> Integrated Resource Plan</w:t>
      </w:r>
      <w:r w:rsidR="005F0F33" w:rsidRPr="0089608A">
        <w:rPr>
          <w:rFonts w:ascii="Times New Roman" w:hAnsi="Times New Roman" w:cs="Times New Roman"/>
          <w:b/>
          <w:sz w:val="24"/>
          <w:szCs w:val="24"/>
        </w:rPr>
        <w:t>,</w:t>
      </w:r>
      <w:r w:rsidR="00920E26" w:rsidRPr="0089608A">
        <w:rPr>
          <w:rFonts w:ascii="Times New Roman" w:hAnsi="Times New Roman" w:cs="Times New Roman"/>
          <w:b/>
          <w:sz w:val="24"/>
          <w:szCs w:val="24"/>
        </w:rPr>
        <w:t xml:space="preserve"> </w:t>
      </w:r>
      <w:r w:rsidR="007A147B">
        <w:rPr>
          <w:rFonts w:ascii="Times New Roman" w:hAnsi="Times New Roman" w:cs="Times New Roman"/>
          <w:b/>
          <w:sz w:val="24"/>
          <w:szCs w:val="24"/>
        </w:rPr>
        <w:t xml:space="preserve">Docket </w:t>
      </w:r>
      <w:r w:rsidR="00920E26" w:rsidRPr="0089608A">
        <w:rPr>
          <w:rFonts w:ascii="Times New Roman" w:hAnsi="Times New Roman" w:cs="Times New Roman"/>
          <w:b/>
          <w:sz w:val="24"/>
          <w:szCs w:val="24"/>
        </w:rPr>
        <w:t>UE-100514</w:t>
      </w:r>
    </w:p>
    <w:p w:rsidR="00920E26" w:rsidRPr="0089608A" w:rsidRDefault="00920E26" w:rsidP="0041176D">
      <w:pPr>
        <w:spacing w:after="0" w:line="240" w:lineRule="auto"/>
        <w:jc w:val="center"/>
        <w:rPr>
          <w:rFonts w:ascii="Times New Roman" w:hAnsi="Times New Roman" w:cs="Times New Roman"/>
          <w:b/>
          <w:sz w:val="24"/>
          <w:szCs w:val="24"/>
        </w:rPr>
      </w:pPr>
    </w:p>
    <w:p w:rsidR="007B3296" w:rsidRPr="00350E44" w:rsidRDefault="007B3296" w:rsidP="0041176D">
      <w:pPr>
        <w:spacing w:after="0" w:line="240" w:lineRule="auto"/>
        <w:jc w:val="center"/>
        <w:rPr>
          <w:rFonts w:ascii="Times New Roman" w:hAnsi="Times New Roman" w:cs="Times New Roman"/>
          <w:b/>
          <w:sz w:val="24"/>
          <w:szCs w:val="24"/>
        </w:rPr>
      </w:pPr>
    </w:p>
    <w:p w:rsidR="0018597D" w:rsidRPr="00420536" w:rsidRDefault="0018597D" w:rsidP="0018597D">
      <w:pPr>
        <w:rPr>
          <w:rFonts w:ascii="Times New Roman" w:hAnsi="Times New Roman" w:cs="Times New Roman"/>
          <w:sz w:val="24"/>
          <w:szCs w:val="24"/>
        </w:rPr>
      </w:pPr>
      <w:r w:rsidRPr="00420536">
        <w:rPr>
          <w:rFonts w:ascii="Times New Roman" w:hAnsi="Times New Roman" w:cs="Times New Roman"/>
          <w:sz w:val="24"/>
          <w:szCs w:val="24"/>
        </w:rPr>
        <w:t xml:space="preserve">As an electric utility in Washington, </w:t>
      </w:r>
      <w:r w:rsidR="007A147B">
        <w:rPr>
          <w:rFonts w:ascii="Times New Roman" w:hAnsi="Times New Roman" w:cs="Times New Roman"/>
          <w:sz w:val="24"/>
          <w:szCs w:val="24"/>
        </w:rPr>
        <w:t>Pacific Power &amp; Light (</w:t>
      </w:r>
      <w:r w:rsidRPr="00420536">
        <w:rPr>
          <w:rFonts w:ascii="Times New Roman" w:hAnsi="Times New Roman" w:cs="Times New Roman"/>
          <w:sz w:val="24"/>
          <w:szCs w:val="24"/>
        </w:rPr>
        <w:t xml:space="preserve">PacifiCorp </w:t>
      </w:r>
      <w:r w:rsidR="007A147B">
        <w:rPr>
          <w:rFonts w:ascii="Times New Roman" w:hAnsi="Times New Roman" w:cs="Times New Roman"/>
          <w:sz w:val="24"/>
          <w:szCs w:val="24"/>
        </w:rPr>
        <w:t xml:space="preserve">or </w:t>
      </w:r>
      <w:r w:rsidRPr="00420536">
        <w:rPr>
          <w:rFonts w:ascii="Times New Roman" w:hAnsi="Times New Roman" w:cs="Times New Roman"/>
          <w:sz w:val="24"/>
          <w:szCs w:val="24"/>
        </w:rPr>
        <w:t xml:space="preserve">Company) has a fundamental responsibility to manage the risks and opportunities associated with acquiring and providing electric energy and service on behalf of its customers.  This responsibility is particularly important in an era of changing load growth </w:t>
      </w:r>
      <w:r w:rsidR="00121238" w:rsidRPr="00420536">
        <w:rPr>
          <w:rFonts w:ascii="Times New Roman" w:hAnsi="Times New Roman" w:cs="Times New Roman"/>
          <w:sz w:val="24"/>
          <w:szCs w:val="24"/>
        </w:rPr>
        <w:t xml:space="preserve">and </w:t>
      </w:r>
      <w:r w:rsidR="00121238">
        <w:rPr>
          <w:rFonts w:ascii="Times New Roman" w:hAnsi="Times New Roman" w:cs="Times New Roman"/>
          <w:sz w:val="24"/>
          <w:szCs w:val="24"/>
        </w:rPr>
        <w:t>the</w:t>
      </w:r>
      <w:r w:rsidRPr="00420536">
        <w:rPr>
          <w:rFonts w:ascii="Times New Roman" w:hAnsi="Times New Roman" w:cs="Times New Roman"/>
          <w:sz w:val="24"/>
          <w:szCs w:val="24"/>
        </w:rPr>
        <w:t xml:space="preserve"> lure of low spot market prices.  The planning requirements specified in WAC 480</w:t>
      </w:r>
      <w:r w:rsidRPr="00420536">
        <w:rPr>
          <w:rFonts w:ascii="Times New Roman" w:hAnsi="Times New Roman" w:cs="Times New Roman"/>
          <w:sz w:val="24"/>
          <w:szCs w:val="24"/>
        </w:rPr>
        <w:noBreakHyphen/>
        <w:t>100-238 are intended to help each utility develop a strategic approach to navigate marketplace opportunities and risks based on that utility’s unique attributes.  Pa</w:t>
      </w:r>
      <w:r w:rsidR="0089608A">
        <w:rPr>
          <w:rFonts w:ascii="Times New Roman" w:hAnsi="Times New Roman" w:cs="Times New Roman"/>
          <w:sz w:val="24"/>
          <w:szCs w:val="24"/>
        </w:rPr>
        <w:t xml:space="preserve">cifiCorp’s </w:t>
      </w:r>
      <w:r w:rsidR="000800E0">
        <w:rPr>
          <w:rFonts w:ascii="Times New Roman" w:hAnsi="Times New Roman" w:cs="Times New Roman"/>
          <w:sz w:val="24"/>
          <w:szCs w:val="24"/>
        </w:rPr>
        <w:t>2011</w:t>
      </w:r>
      <w:r w:rsidRPr="00420536">
        <w:rPr>
          <w:rFonts w:ascii="Times New Roman" w:hAnsi="Times New Roman" w:cs="Times New Roman"/>
          <w:sz w:val="24"/>
          <w:szCs w:val="24"/>
        </w:rPr>
        <w:t xml:space="preserve"> Integrated Resource Plan (Plan) represents such a strategic approach.  As such, it is consistent with the Utilities and Transportation Commission’s (Commission) planning regulations.  </w:t>
      </w:r>
    </w:p>
    <w:p w:rsidR="000A4480" w:rsidRPr="00E533DF" w:rsidRDefault="000A4480">
      <w:pPr>
        <w:rPr>
          <w:rFonts w:ascii="Times New Roman" w:hAnsi="Times New Roman" w:cs="Times New Roman"/>
          <w:b/>
          <w:sz w:val="24"/>
          <w:szCs w:val="24"/>
        </w:rPr>
      </w:pPr>
      <w:r w:rsidRPr="00E533DF">
        <w:rPr>
          <w:rFonts w:ascii="Times New Roman" w:hAnsi="Times New Roman" w:cs="Times New Roman"/>
          <w:b/>
          <w:sz w:val="24"/>
          <w:szCs w:val="24"/>
        </w:rPr>
        <w:t>Resource Needs A</w:t>
      </w:r>
      <w:r w:rsidR="00905533" w:rsidRPr="00E533DF">
        <w:rPr>
          <w:rFonts w:ascii="Times New Roman" w:hAnsi="Times New Roman" w:cs="Times New Roman"/>
          <w:b/>
          <w:sz w:val="24"/>
          <w:szCs w:val="24"/>
        </w:rPr>
        <w:t>ssessment</w:t>
      </w:r>
    </w:p>
    <w:p w:rsidR="00905533" w:rsidRPr="00420536" w:rsidRDefault="001D30EA">
      <w:pPr>
        <w:rPr>
          <w:rFonts w:ascii="Times New Roman" w:hAnsi="Times New Roman" w:cs="Times New Roman"/>
          <w:sz w:val="24"/>
          <w:szCs w:val="24"/>
        </w:rPr>
      </w:pPr>
      <w:r w:rsidRPr="00893B1C">
        <w:rPr>
          <w:rFonts w:ascii="Times New Roman" w:hAnsi="Times New Roman" w:cs="Times New Roman"/>
          <w:sz w:val="24"/>
          <w:szCs w:val="24"/>
        </w:rPr>
        <w:t>PacifiCorp pr</w:t>
      </w:r>
      <w:r w:rsidRPr="00420536">
        <w:rPr>
          <w:rFonts w:ascii="Times New Roman" w:hAnsi="Times New Roman" w:cs="Times New Roman"/>
          <w:sz w:val="24"/>
          <w:szCs w:val="24"/>
        </w:rPr>
        <w:t xml:space="preserve">esented </w:t>
      </w:r>
      <w:r w:rsidR="000800E0">
        <w:rPr>
          <w:rFonts w:ascii="Times New Roman" w:hAnsi="Times New Roman" w:cs="Times New Roman"/>
          <w:sz w:val="24"/>
          <w:szCs w:val="24"/>
        </w:rPr>
        <w:t>its</w:t>
      </w:r>
      <w:r w:rsidR="000A4480" w:rsidRPr="00420536">
        <w:rPr>
          <w:rFonts w:ascii="Times New Roman" w:hAnsi="Times New Roman" w:cs="Times New Roman"/>
          <w:sz w:val="24"/>
          <w:szCs w:val="24"/>
        </w:rPr>
        <w:t xml:space="preserve"> re</w:t>
      </w:r>
      <w:r w:rsidR="00905533" w:rsidRPr="00420536">
        <w:rPr>
          <w:rFonts w:ascii="Times New Roman" w:hAnsi="Times New Roman" w:cs="Times New Roman"/>
          <w:sz w:val="24"/>
          <w:szCs w:val="24"/>
        </w:rPr>
        <w:t>source needs assess</w:t>
      </w:r>
      <w:r w:rsidR="006C77A5" w:rsidRPr="00420536">
        <w:rPr>
          <w:rFonts w:ascii="Times New Roman" w:hAnsi="Times New Roman" w:cs="Times New Roman"/>
          <w:sz w:val="24"/>
          <w:szCs w:val="24"/>
        </w:rPr>
        <w:t xml:space="preserve">ment </w:t>
      </w:r>
      <w:r w:rsidR="000A4480" w:rsidRPr="00420536">
        <w:rPr>
          <w:rFonts w:ascii="Times New Roman" w:hAnsi="Times New Roman" w:cs="Times New Roman"/>
          <w:sz w:val="24"/>
          <w:szCs w:val="24"/>
        </w:rPr>
        <w:t xml:space="preserve">clearly, </w:t>
      </w:r>
      <w:r w:rsidRPr="00420536">
        <w:rPr>
          <w:rFonts w:ascii="Times New Roman" w:hAnsi="Times New Roman" w:cs="Times New Roman"/>
          <w:sz w:val="24"/>
          <w:szCs w:val="24"/>
        </w:rPr>
        <w:t>with in-depth and well-supported descriptions</w:t>
      </w:r>
      <w:r w:rsidR="00905533" w:rsidRPr="00420536">
        <w:rPr>
          <w:rFonts w:ascii="Times New Roman" w:hAnsi="Times New Roman" w:cs="Times New Roman"/>
          <w:sz w:val="24"/>
          <w:szCs w:val="24"/>
        </w:rPr>
        <w:t xml:space="preserve">. The one exception discussed below is the </w:t>
      </w:r>
      <w:r w:rsidR="0034348B">
        <w:rPr>
          <w:rFonts w:ascii="Times New Roman" w:hAnsi="Times New Roman" w:cs="Times New Roman"/>
          <w:sz w:val="24"/>
          <w:szCs w:val="24"/>
        </w:rPr>
        <w:t xml:space="preserve">lack of a clear, concise </w:t>
      </w:r>
      <w:r w:rsidR="00905533" w:rsidRPr="00420536">
        <w:rPr>
          <w:rFonts w:ascii="Times New Roman" w:hAnsi="Times New Roman" w:cs="Times New Roman"/>
          <w:sz w:val="24"/>
          <w:szCs w:val="24"/>
        </w:rPr>
        <w:t xml:space="preserve">assessment of the </w:t>
      </w:r>
      <w:r w:rsidRPr="00420536">
        <w:rPr>
          <w:rFonts w:ascii="Times New Roman" w:hAnsi="Times New Roman" w:cs="Times New Roman"/>
          <w:sz w:val="24"/>
          <w:szCs w:val="24"/>
        </w:rPr>
        <w:t>renewable portfolio standard (</w:t>
      </w:r>
      <w:r w:rsidR="00905533" w:rsidRPr="00420536">
        <w:rPr>
          <w:rFonts w:ascii="Times New Roman" w:hAnsi="Times New Roman" w:cs="Times New Roman"/>
          <w:sz w:val="24"/>
          <w:szCs w:val="24"/>
        </w:rPr>
        <w:t>RPS</w:t>
      </w:r>
      <w:r w:rsidRPr="00420536">
        <w:rPr>
          <w:rFonts w:ascii="Times New Roman" w:hAnsi="Times New Roman" w:cs="Times New Roman"/>
          <w:sz w:val="24"/>
          <w:szCs w:val="24"/>
        </w:rPr>
        <w:t>)</w:t>
      </w:r>
      <w:r w:rsidR="00905533" w:rsidRPr="00420536">
        <w:rPr>
          <w:rFonts w:ascii="Times New Roman" w:hAnsi="Times New Roman" w:cs="Times New Roman"/>
          <w:sz w:val="24"/>
          <w:szCs w:val="24"/>
        </w:rPr>
        <w:t xml:space="preserve"> compliance requirements</w:t>
      </w:r>
      <w:r w:rsidR="0034348B">
        <w:rPr>
          <w:rFonts w:ascii="Times New Roman" w:hAnsi="Times New Roman" w:cs="Times New Roman"/>
          <w:sz w:val="24"/>
          <w:szCs w:val="24"/>
        </w:rPr>
        <w:t xml:space="preserve"> in Washington </w:t>
      </w:r>
      <w:r w:rsidR="007A147B">
        <w:rPr>
          <w:rFonts w:ascii="Times New Roman" w:hAnsi="Times New Roman" w:cs="Times New Roman"/>
          <w:sz w:val="24"/>
          <w:szCs w:val="24"/>
        </w:rPr>
        <w:t>State</w:t>
      </w:r>
      <w:r w:rsidR="0034348B">
        <w:rPr>
          <w:rFonts w:ascii="Times New Roman" w:hAnsi="Times New Roman" w:cs="Times New Roman"/>
          <w:sz w:val="24"/>
          <w:szCs w:val="24"/>
        </w:rPr>
        <w:t>.</w:t>
      </w:r>
    </w:p>
    <w:p w:rsidR="00475F03" w:rsidRPr="00350E44" w:rsidRDefault="00475F03">
      <w:pPr>
        <w:rPr>
          <w:rFonts w:ascii="Times New Roman" w:hAnsi="Times New Roman" w:cs="Times New Roman"/>
          <w:sz w:val="24"/>
          <w:szCs w:val="24"/>
        </w:rPr>
      </w:pPr>
      <w:r w:rsidRPr="00E533DF">
        <w:rPr>
          <w:rFonts w:ascii="Times New Roman" w:hAnsi="Times New Roman" w:cs="Times New Roman"/>
          <w:sz w:val="24"/>
          <w:szCs w:val="24"/>
        </w:rPr>
        <w:t xml:space="preserve">The Plan calls for significant new resources </w:t>
      </w:r>
      <w:r w:rsidR="00215080" w:rsidRPr="00E533DF">
        <w:rPr>
          <w:rFonts w:ascii="Times New Roman" w:hAnsi="Times New Roman" w:cs="Times New Roman"/>
          <w:sz w:val="24"/>
          <w:szCs w:val="24"/>
        </w:rPr>
        <w:t xml:space="preserve">over the next several years </w:t>
      </w:r>
      <w:r w:rsidRPr="00E533DF">
        <w:rPr>
          <w:rFonts w:ascii="Times New Roman" w:hAnsi="Times New Roman" w:cs="Times New Roman"/>
          <w:sz w:val="24"/>
          <w:szCs w:val="24"/>
        </w:rPr>
        <w:t>to offset load growth and the expiration of long-term purchase contracts</w:t>
      </w:r>
      <w:r w:rsidR="00215080" w:rsidRPr="00115C3F">
        <w:rPr>
          <w:rFonts w:ascii="Times New Roman" w:hAnsi="Times New Roman" w:cs="Times New Roman"/>
          <w:sz w:val="24"/>
          <w:szCs w:val="24"/>
        </w:rPr>
        <w:t>.</w:t>
      </w:r>
      <w:r w:rsidRPr="00115C3F">
        <w:rPr>
          <w:rFonts w:ascii="Times New Roman" w:hAnsi="Times New Roman" w:cs="Times New Roman"/>
          <w:sz w:val="24"/>
          <w:szCs w:val="24"/>
        </w:rPr>
        <w:t xml:space="preserve">  </w:t>
      </w:r>
      <w:r w:rsidR="00147B12" w:rsidRPr="00115C3F">
        <w:rPr>
          <w:rFonts w:ascii="Times New Roman" w:hAnsi="Times New Roman" w:cs="Times New Roman"/>
          <w:sz w:val="24"/>
          <w:szCs w:val="24"/>
        </w:rPr>
        <w:t>The Company’s system</w:t>
      </w:r>
      <w:r w:rsidR="001D30EA" w:rsidRPr="0089608A">
        <w:rPr>
          <w:rFonts w:ascii="Times New Roman" w:hAnsi="Times New Roman" w:cs="Times New Roman"/>
          <w:sz w:val="24"/>
          <w:szCs w:val="24"/>
        </w:rPr>
        <w:t>-</w:t>
      </w:r>
      <w:r w:rsidR="00147B12" w:rsidRPr="0089608A">
        <w:rPr>
          <w:rFonts w:ascii="Times New Roman" w:hAnsi="Times New Roman" w:cs="Times New Roman"/>
          <w:sz w:val="24"/>
          <w:szCs w:val="24"/>
        </w:rPr>
        <w:t xml:space="preserve">wide annual capacity deficit is 326 MW in 2011 and 3,852 MW by 2020.  </w:t>
      </w:r>
      <w:r w:rsidR="00215080" w:rsidRPr="00350E44">
        <w:rPr>
          <w:rFonts w:ascii="Times New Roman" w:hAnsi="Times New Roman" w:cs="Times New Roman"/>
          <w:sz w:val="24"/>
          <w:szCs w:val="24"/>
        </w:rPr>
        <w:t xml:space="preserve">The Company’s preferred portfolio calls for 1,190 MWs of firm market purchases and the acquisition of a 625 MW combined-cycle combustion turbine (CCCT) in the Utah territory in by 2014.  The </w:t>
      </w:r>
      <w:r w:rsidR="006C77A5" w:rsidRPr="00350E44">
        <w:rPr>
          <w:rFonts w:ascii="Times New Roman" w:hAnsi="Times New Roman" w:cs="Times New Roman"/>
          <w:sz w:val="24"/>
          <w:szCs w:val="24"/>
        </w:rPr>
        <w:t xml:space="preserve">Plan concludes that </w:t>
      </w:r>
      <w:r w:rsidR="00215080" w:rsidRPr="00350E44">
        <w:rPr>
          <w:rFonts w:ascii="Times New Roman" w:hAnsi="Times New Roman" w:cs="Times New Roman"/>
          <w:sz w:val="24"/>
          <w:szCs w:val="24"/>
        </w:rPr>
        <w:t xml:space="preserve">strategic </w:t>
      </w:r>
      <w:proofErr w:type="gramStart"/>
      <w:r w:rsidR="00215080" w:rsidRPr="00350E44">
        <w:rPr>
          <w:rFonts w:ascii="Times New Roman" w:hAnsi="Times New Roman" w:cs="Times New Roman"/>
          <w:sz w:val="24"/>
          <w:szCs w:val="24"/>
        </w:rPr>
        <w:t>reliance</w:t>
      </w:r>
      <w:proofErr w:type="gramEnd"/>
      <w:r w:rsidR="00215080" w:rsidRPr="00350E44">
        <w:rPr>
          <w:rFonts w:ascii="Times New Roman" w:hAnsi="Times New Roman" w:cs="Times New Roman"/>
          <w:sz w:val="24"/>
          <w:szCs w:val="24"/>
        </w:rPr>
        <w:t xml:space="preserve"> on market purchases can reduce portfolio costs </w:t>
      </w:r>
      <w:r w:rsidR="006C77A5" w:rsidRPr="00350E44">
        <w:rPr>
          <w:rFonts w:ascii="Times New Roman" w:hAnsi="Times New Roman" w:cs="Times New Roman"/>
          <w:sz w:val="24"/>
          <w:szCs w:val="24"/>
        </w:rPr>
        <w:t>under current market projections</w:t>
      </w:r>
      <w:r w:rsidR="000A4480" w:rsidRPr="00350E44">
        <w:rPr>
          <w:rFonts w:ascii="Times New Roman" w:hAnsi="Times New Roman" w:cs="Times New Roman"/>
          <w:sz w:val="24"/>
          <w:szCs w:val="24"/>
        </w:rPr>
        <w:t xml:space="preserve">.  However, </w:t>
      </w:r>
      <w:r w:rsidR="00215080" w:rsidRPr="00350E44">
        <w:rPr>
          <w:rFonts w:ascii="Times New Roman" w:hAnsi="Times New Roman" w:cs="Times New Roman"/>
          <w:sz w:val="24"/>
          <w:szCs w:val="24"/>
        </w:rPr>
        <w:t xml:space="preserve">we caution the Company </w:t>
      </w:r>
      <w:r w:rsidR="00897B54" w:rsidRPr="00350E44">
        <w:rPr>
          <w:rFonts w:ascii="Times New Roman" w:hAnsi="Times New Roman" w:cs="Times New Roman"/>
          <w:sz w:val="24"/>
          <w:szCs w:val="24"/>
        </w:rPr>
        <w:t xml:space="preserve">to have an active risk management program </w:t>
      </w:r>
      <w:r w:rsidR="00B66E98" w:rsidRPr="00350E44">
        <w:rPr>
          <w:rFonts w:ascii="Times New Roman" w:hAnsi="Times New Roman" w:cs="Times New Roman"/>
          <w:sz w:val="24"/>
          <w:szCs w:val="24"/>
        </w:rPr>
        <w:t xml:space="preserve">that is </w:t>
      </w:r>
      <w:r w:rsidR="00215080" w:rsidRPr="00350E44">
        <w:rPr>
          <w:rFonts w:ascii="Times New Roman" w:hAnsi="Times New Roman" w:cs="Times New Roman"/>
          <w:sz w:val="24"/>
          <w:szCs w:val="24"/>
        </w:rPr>
        <w:t xml:space="preserve">vigilant to changes in the </w:t>
      </w:r>
      <w:r w:rsidR="00897B54" w:rsidRPr="00350E44">
        <w:rPr>
          <w:rFonts w:ascii="Times New Roman" w:hAnsi="Times New Roman" w:cs="Times New Roman"/>
          <w:sz w:val="24"/>
          <w:szCs w:val="24"/>
        </w:rPr>
        <w:t xml:space="preserve">actual </w:t>
      </w:r>
      <w:r w:rsidR="00215080" w:rsidRPr="00350E44">
        <w:rPr>
          <w:rFonts w:ascii="Times New Roman" w:hAnsi="Times New Roman" w:cs="Times New Roman"/>
          <w:sz w:val="24"/>
          <w:szCs w:val="24"/>
        </w:rPr>
        <w:t xml:space="preserve">market conditions </w:t>
      </w:r>
      <w:r w:rsidR="00897B54" w:rsidRPr="00350E44">
        <w:rPr>
          <w:rFonts w:ascii="Times New Roman" w:hAnsi="Times New Roman" w:cs="Times New Roman"/>
          <w:sz w:val="24"/>
          <w:szCs w:val="24"/>
        </w:rPr>
        <w:t xml:space="preserve">from those </w:t>
      </w:r>
      <w:r w:rsidR="00215080" w:rsidRPr="00350E44">
        <w:rPr>
          <w:rFonts w:ascii="Times New Roman" w:hAnsi="Times New Roman" w:cs="Times New Roman"/>
          <w:sz w:val="24"/>
          <w:szCs w:val="24"/>
        </w:rPr>
        <w:t>projected in this Plan</w:t>
      </w:r>
      <w:r w:rsidR="00897B54" w:rsidRPr="00350E44">
        <w:rPr>
          <w:rFonts w:ascii="Times New Roman" w:hAnsi="Times New Roman" w:cs="Times New Roman"/>
          <w:sz w:val="24"/>
          <w:szCs w:val="24"/>
        </w:rPr>
        <w:t xml:space="preserve"> that </w:t>
      </w:r>
      <w:r w:rsidR="001D30EA" w:rsidRPr="00350E44">
        <w:rPr>
          <w:rFonts w:ascii="Times New Roman" w:hAnsi="Times New Roman" w:cs="Times New Roman"/>
          <w:sz w:val="24"/>
          <w:szCs w:val="24"/>
        </w:rPr>
        <w:t>ma</w:t>
      </w:r>
      <w:r w:rsidR="001D30EA" w:rsidRPr="00420536">
        <w:rPr>
          <w:rFonts w:ascii="Times New Roman" w:hAnsi="Times New Roman" w:cs="Times New Roman"/>
          <w:sz w:val="24"/>
          <w:szCs w:val="24"/>
        </w:rPr>
        <w:t>y</w:t>
      </w:r>
      <w:r w:rsidR="00897B54" w:rsidRPr="00420536">
        <w:rPr>
          <w:rFonts w:ascii="Times New Roman" w:hAnsi="Times New Roman" w:cs="Times New Roman"/>
          <w:sz w:val="24"/>
          <w:szCs w:val="24"/>
        </w:rPr>
        <w:t xml:space="preserve"> expose the Company to greater risk.  It is the inherent obligation and responsibility of the utility to match active risk management with the long-term</w:t>
      </w:r>
      <w:r w:rsidR="00EE63C0" w:rsidRPr="00E533DF">
        <w:rPr>
          <w:rFonts w:ascii="Times New Roman" w:hAnsi="Times New Roman" w:cs="Times New Roman"/>
          <w:sz w:val="24"/>
          <w:szCs w:val="24"/>
        </w:rPr>
        <w:t xml:space="preserve"> portfolio strategy to maintain</w:t>
      </w:r>
      <w:r w:rsidR="00B66E98" w:rsidRPr="00E533DF">
        <w:rPr>
          <w:rFonts w:ascii="Times New Roman" w:hAnsi="Times New Roman" w:cs="Times New Roman"/>
          <w:sz w:val="24"/>
          <w:szCs w:val="24"/>
        </w:rPr>
        <w:t xml:space="preserve"> </w:t>
      </w:r>
      <w:r w:rsidR="00897B54" w:rsidRPr="00E533DF">
        <w:rPr>
          <w:rFonts w:ascii="Times New Roman" w:hAnsi="Times New Roman" w:cs="Times New Roman"/>
          <w:sz w:val="24"/>
          <w:szCs w:val="24"/>
        </w:rPr>
        <w:t xml:space="preserve">reasonable </w:t>
      </w:r>
      <w:r w:rsidR="005F0F33" w:rsidRPr="00115C3F">
        <w:rPr>
          <w:rFonts w:ascii="Times New Roman" w:hAnsi="Times New Roman" w:cs="Times New Roman"/>
          <w:sz w:val="24"/>
          <w:szCs w:val="24"/>
        </w:rPr>
        <w:t xml:space="preserve">levels of </w:t>
      </w:r>
      <w:r w:rsidR="00897B54" w:rsidRPr="0089608A">
        <w:rPr>
          <w:rFonts w:ascii="Times New Roman" w:hAnsi="Times New Roman" w:cs="Times New Roman"/>
          <w:sz w:val="24"/>
          <w:szCs w:val="24"/>
        </w:rPr>
        <w:t>risk.</w:t>
      </w:r>
      <w:r w:rsidR="00BF77D0" w:rsidRPr="0089608A">
        <w:rPr>
          <w:rFonts w:ascii="Times New Roman" w:hAnsi="Times New Roman" w:cs="Times New Roman"/>
          <w:sz w:val="24"/>
          <w:szCs w:val="24"/>
        </w:rPr>
        <w:t xml:space="preserve">  </w:t>
      </w:r>
    </w:p>
    <w:p w:rsidR="00B66E98" w:rsidRPr="00350E44" w:rsidRDefault="00B66E98">
      <w:pPr>
        <w:rPr>
          <w:rFonts w:ascii="Times New Roman" w:hAnsi="Times New Roman" w:cs="Times New Roman"/>
          <w:sz w:val="24"/>
          <w:szCs w:val="24"/>
        </w:rPr>
      </w:pPr>
      <w:r w:rsidRPr="00350E44">
        <w:rPr>
          <w:rFonts w:ascii="Times New Roman" w:hAnsi="Times New Roman" w:cs="Times New Roman"/>
          <w:sz w:val="24"/>
          <w:szCs w:val="24"/>
        </w:rPr>
        <w:t xml:space="preserve">On a </w:t>
      </w:r>
      <w:r w:rsidR="001D30EA" w:rsidRPr="00420536">
        <w:rPr>
          <w:rFonts w:ascii="Times New Roman" w:hAnsi="Times New Roman" w:cs="Times New Roman"/>
          <w:sz w:val="24"/>
          <w:szCs w:val="24"/>
        </w:rPr>
        <w:t>W</w:t>
      </w:r>
      <w:r w:rsidRPr="00420536">
        <w:rPr>
          <w:rFonts w:ascii="Times New Roman" w:hAnsi="Times New Roman" w:cs="Times New Roman"/>
          <w:sz w:val="24"/>
          <w:szCs w:val="24"/>
        </w:rPr>
        <w:t xml:space="preserve">est </w:t>
      </w:r>
      <w:r w:rsidR="001D30EA" w:rsidRPr="00420536">
        <w:rPr>
          <w:rFonts w:ascii="Times New Roman" w:hAnsi="Times New Roman" w:cs="Times New Roman"/>
          <w:sz w:val="24"/>
          <w:szCs w:val="24"/>
        </w:rPr>
        <w:t>C</w:t>
      </w:r>
      <w:r w:rsidR="00752EB9">
        <w:rPr>
          <w:rFonts w:ascii="Times New Roman" w:hAnsi="Times New Roman" w:cs="Times New Roman"/>
          <w:sz w:val="24"/>
          <w:szCs w:val="24"/>
        </w:rPr>
        <w:t xml:space="preserve">ontrol </w:t>
      </w:r>
      <w:r w:rsidR="005D39E4">
        <w:rPr>
          <w:rFonts w:ascii="Times New Roman" w:hAnsi="Times New Roman" w:cs="Times New Roman"/>
          <w:sz w:val="24"/>
          <w:szCs w:val="24"/>
        </w:rPr>
        <w:t>A</w:t>
      </w:r>
      <w:r w:rsidRPr="00420536">
        <w:rPr>
          <w:rFonts w:ascii="Times New Roman" w:hAnsi="Times New Roman" w:cs="Times New Roman"/>
          <w:sz w:val="24"/>
          <w:szCs w:val="24"/>
        </w:rPr>
        <w:t>rea basis, PacifiCorp is short 5</w:t>
      </w:r>
      <w:r w:rsidR="008C291E" w:rsidRPr="00420536">
        <w:rPr>
          <w:rFonts w:ascii="Times New Roman" w:hAnsi="Times New Roman" w:cs="Times New Roman"/>
          <w:sz w:val="24"/>
          <w:szCs w:val="24"/>
        </w:rPr>
        <w:t>67 MW in 2012 and short only 879 MW in 2020.  The dif</w:t>
      </w:r>
      <w:r w:rsidR="00BF77D0" w:rsidRPr="00420536">
        <w:rPr>
          <w:rFonts w:ascii="Times New Roman" w:hAnsi="Times New Roman" w:cs="Times New Roman"/>
          <w:sz w:val="24"/>
          <w:szCs w:val="24"/>
        </w:rPr>
        <w:t>ference in the rate of growth of</w:t>
      </w:r>
      <w:r w:rsidR="008C291E" w:rsidRPr="00420536">
        <w:rPr>
          <w:rFonts w:ascii="Times New Roman" w:hAnsi="Times New Roman" w:cs="Times New Roman"/>
          <w:sz w:val="24"/>
          <w:szCs w:val="24"/>
        </w:rPr>
        <w:t xml:space="preserve"> capacity need between the </w:t>
      </w:r>
      <w:r w:rsidR="001D30EA" w:rsidRPr="00420536">
        <w:rPr>
          <w:rFonts w:ascii="Times New Roman" w:hAnsi="Times New Roman" w:cs="Times New Roman"/>
          <w:sz w:val="24"/>
          <w:szCs w:val="24"/>
        </w:rPr>
        <w:t>E</w:t>
      </w:r>
      <w:r w:rsidR="008C291E" w:rsidRPr="00420536">
        <w:rPr>
          <w:rFonts w:ascii="Times New Roman" w:hAnsi="Times New Roman" w:cs="Times New Roman"/>
          <w:sz w:val="24"/>
          <w:szCs w:val="24"/>
        </w:rPr>
        <w:t xml:space="preserve">ast and </w:t>
      </w:r>
      <w:r w:rsidR="001D30EA" w:rsidRPr="00420536">
        <w:rPr>
          <w:rFonts w:ascii="Times New Roman" w:hAnsi="Times New Roman" w:cs="Times New Roman"/>
          <w:sz w:val="24"/>
          <w:szCs w:val="24"/>
        </w:rPr>
        <w:t>W</w:t>
      </w:r>
      <w:r w:rsidR="008C291E" w:rsidRPr="00420536">
        <w:rPr>
          <w:rFonts w:ascii="Times New Roman" w:hAnsi="Times New Roman" w:cs="Times New Roman"/>
          <w:sz w:val="24"/>
          <w:szCs w:val="24"/>
        </w:rPr>
        <w:t>est</w:t>
      </w:r>
      <w:r w:rsidR="0089156E" w:rsidRPr="00420536">
        <w:rPr>
          <w:rFonts w:ascii="Times New Roman" w:hAnsi="Times New Roman" w:cs="Times New Roman"/>
          <w:sz w:val="24"/>
          <w:szCs w:val="24"/>
        </w:rPr>
        <w:t xml:space="preserve"> </w:t>
      </w:r>
      <w:r w:rsidR="001D30EA" w:rsidRPr="00420536">
        <w:rPr>
          <w:rFonts w:ascii="Times New Roman" w:hAnsi="Times New Roman" w:cs="Times New Roman"/>
          <w:sz w:val="24"/>
          <w:szCs w:val="24"/>
        </w:rPr>
        <w:t>C</w:t>
      </w:r>
      <w:r w:rsidR="0089156E" w:rsidRPr="00420536">
        <w:rPr>
          <w:rFonts w:ascii="Times New Roman" w:hAnsi="Times New Roman" w:cs="Times New Roman"/>
          <w:sz w:val="24"/>
          <w:szCs w:val="24"/>
        </w:rPr>
        <w:t xml:space="preserve">ontrol </w:t>
      </w:r>
      <w:r w:rsidR="005D39E4">
        <w:rPr>
          <w:rFonts w:ascii="Times New Roman" w:hAnsi="Times New Roman" w:cs="Times New Roman"/>
          <w:sz w:val="24"/>
          <w:szCs w:val="24"/>
        </w:rPr>
        <w:t>A</w:t>
      </w:r>
      <w:r w:rsidR="0089156E" w:rsidRPr="00420536">
        <w:rPr>
          <w:rFonts w:ascii="Times New Roman" w:hAnsi="Times New Roman" w:cs="Times New Roman"/>
          <w:sz w:val="24"/>
          <w:szCs w:val="24"/>
        </w:rPr>
        <w:t xml:space="preserve">reas </w:t>
      </w:r>
      <w:r w:rsidR="00CF6AE4" w:rsidRPr="00420536">
        <w:rPr>
          <w:rFonts w:ascii="Times New Roman" w:hAnsi="Times New Roman" w:cs="Times New Roman"/>
          <w:sz w:val="24"/>
          <w:szCs w:val="24"/>
        </w:rPr>
        <w:t xml:space="preserve">(2.4 percent and 1.4 percent, respectively) </w:t>
      </w:r>
      <w:r w:rsidR="0089156E" w:rsidRPr="00E533DF">
        <w:rPr>
          <w:rFonts w:ascii="Times New Roman" w:hAnsi="Times New Roman" w:cs="Times New Roman"/>
          <w:sz w:val="24"/>
          <w:szCs w:val="24"/>
        </w:rPr>
        <w:t>suggest</w:t>
      </w:r>
      <w:r w:rsidR="00080EB2">
        <w:rPr>
          <w:rFonts w:ascii="Times New Roman" w:hAnsi="Times New Roman" w:cs="Times New Roman"/>
          <w:sz w:val="24"/>
          <w:szCs w:val="24"/>
        </w:rPr>
        <w:t>s</w:t>
      </w:r>
      <w:r w:rsidR="0089156E" w:rsidRPr="00E533DF">
        <w:rPr>
          <w:rFonts w:ascii="Times New Roman" w:hAnsi="Times New Roman" w:cs="Times New Roman"/>
          <w:sz w:val="24"/>
          <w:szCs w:val="24"/>
        </w:rPr>
        <w:t xml:space="preserve"> </w:t>
      </w:r>
      <w:r w:rsidR="006C77A5" w:rsidRPr="00E533DF">
        <w:rPr>
          <w:rFonts w:ascii="Times New Roman" w:hAnsi="Times New Roman" w:cs="Times New Roman"/>
          <w:sz w:val="24"/>
          <w:szCs w:val="24"/>
        </w:rPr>
        <w:t xml:space="preserve">the </w:t>
      </w:r>
      <w:r w:rsidR="00EE63C0" w:rsidRPr="00E533DF">
        <w:rPr>
          <w:rFonts w:ascii="Times New Roman" w:hAnsi="Times New Roman" w:cs="Times New Roman"/>
          <w:sz w:val="24"/>
          <w:szCs w:val="24"/>
        </w:rPr>
        <w:t xml:space="preserve">possibility of </w:t>
      </w:r>
      <w:r w:rsidR="00080EB2">
        <w:rPr>
          <w:rFonts w:ascii="Times New Roman" w:hAnsi="Times New Roman" w:cs="Times New Roman"/>
          <w:sz w:val="24"/>
          <w:szCs w:val="24"/>
        </w:rPr>
        <w:t xml:space="preserve">a </w:t>
      </w:r>
      <w:r w:rsidR="0089156E" w:rsidRPr="00115C3F">
        <w:rPr>
          <w:rFonts w:ascii="Times New Roman" w:hAnsi="Times New Roman" w:cs="Times New Roman"/>
          <w:sz w:val="24"/>
          <w:szCs w:val="24"/>
        </w:rPr>
        <w:t>different approach to managing the resource gap</w:t>
      </w:r>
      <w:r w:rsidR="000800E0">
        <w:rPr>
          <w:rFonts w:ascii="Times New Roman" w:hAnsi="Times New Roman" w:cs="Times New Roman"/>
          <w:sz w:val="24"/>
          <w:szCs w:val="24"/>
        </w:rPr>
        <w:t xml:space="preserve"> in the West C</w:t>
      </w:r>
      <w:r w:rsidR="00EE63C0" w:rsidRPr="0089608A">
        <w:rPr>
          <w:rFonts w:ascii="Times New Roman" w:hAnsi="Times New Roman" w:cs="Times New Roman"/>
          <w:sz w:val="24"/>
          <w:szCs w:val="24"/>
        </w:rPr>
        <w:t xml:space="preserve">ontrol </w:t>
      </w:r>
      <w:r w:rsidR="005D39E4">
        <w:rPr>
          <w:rFonts w:ascii="Times New Roman" w:hAnsi="Times New Roman" w:cs="Times New Roman"/>
          <w:sz w:val="24"/>
          <w:szCs w:val="24"/>
        </w:rPr>
        <w:t>A</w:t>
      </w:r>
      <w:r w:rsidR="00EE63C0" w:rsidRPr="0089608A">
        <w:rPr>
          <w:rFonts w:ascii="Times New Roman" w:hAnsi="Times New Roman" w:cs="Times New Roman"/>
          <w:sz w:val="24"/>
          <w:szCs w:val="24"/>
        </w:rPr>
        <w:t>rea</w:t>
      </w:r>
      <w:r w:rsidR="0089156E" w:rsidRPr="0089608A">
        <w:rPr>
          <w:rFonts w:ascii="Times New Roman" w:hAnsi="Times New Roman" w:cs="Times New Roman"/>
          <w:sz w:val="24"/>
          <w:szCs w:val="24"/>
        </w:rPr>
        <w:t>.</w:t>
      </w:r>
      <w:r w:rsidR="008C291E" w:rsidRPr="00350E44">
        <w:rPr>
          <w:rFonts w:ascii="Times New Roman" w:hAnsi="Times New Roman" w:cs="Times New Roman"/>
          <w:sz w:val="24"/>
          <w:szCs w:val="24"/>
        </w:rPr>
        <w:t xml:space="preserve"> </w:t>
      </w:r>
      <w:r w:rsidR="0089156E" w:rsidRPr="00350E44">
        <w:rPr>
          <w:rFonts w:ascii="Times New Roman" w:hAnsi="Times New Roman" w:cs="Times New Roman"/>
          <w:sz w:val="24"/>
          <w:szCs w:val="24"/>
        </w:rPr>
        <w:t xml:space="preserve"> </w:t>
      </w:r>
      <w:r w:rsidR="006C77A5" w:rsidRPr="00350E44">
        <w:rPr>
          <w:rFonts w:ascii="Times New Roman" w:hAnsi="Times New Roman" w:cs="Times New Roman"/>
          <w:sz w:val="24"/>
          <w:szCs w:val="24"/>
        </w:rPr>
        <w:t xml:space="preserve">We note also that the Washington service territory is only projected to grow at </w:t>
      </w:r>
      <w:r w:rsidR="005F0F33" w:rsidRPr="00350E44">
        <w:rPr>
          <w:rFonts w:ascii="Times New Roman" w:hAnsi="Times New Roman" w:cs="Times New Roman"/>
          <w:sz w:val="24"/>
          <w:szCs w:val="24"/>
        </w:rPr>
        <w:t>0.8</w:t>
      </w:r>
      <w:r w:rsidR="00752EB9">
        <w:rPr>
          <w:rFonts w:ascii="Times New Roman" w:hAnsi="Times New Roman" w:cs="Times New Roman"/>
          <w:sz w:val="24"/>
          <w:szCs w:val="24"/>
        </w:rPr>
        <w:t xml:space="preserve"> percent annually.  </w:t>
      </w:r>
      <w:r w:rsidR="0089156E" w:rsidRPr="00350E44">
        <w:rPr>
          <w:rFonts w:ascii="Times New Roman" w:hAnsi="Times New Roman" w:cs="Times New Roman"/>
          <w:sz w:val="24"/>
          <w:szCs w:val="24"/>
        </w:rPr>
        <w:t xml:space="preserve">PacifiCorp’s next IRP should include </w:t>
      </w:r>
      <w:r w:rsidR="00EE63C0" w:rsidRPr="00350E44">
        <w:rPr>
          <w:rFonts w:ascii="Times New Roman" w:hAnsi="Times New Roman" w:cs="Times New Roman"/>
          <w:sz w:val="24"/>
          <w:szCs w:val="24"/>
        </w:rPr>
        <w:t>analysis of</w:t>
      </w:r>
      <w:r w:rsidR="00BF77D0" w:rsidRPr="00350E44">
        <w:rPr>
          <w:rFonts w:ascii="Times New Roman" w:hAnsi="Times New Roman" w:cs="Times New Roman"/>
          <w:sz w:val="24"/>
          <w:szCs w:val="24"/>
        </w:rPr>
        <w:t xml:space="preserve"> whether </w:t>
      </w:r>
      <w:r w:rsidR="00080EB2">
        <w:rPr>
          <w:rFonts w:ascii="Times New Roman" w:hAnsi="Times New Roman" w:cs="Times New Roman"/>
          <w:sz w:val="24"/>
          <w:szCs w:val="24"/>
        </w:rPr>
        <w:t xml:space="preserve">a </w:t>
      </w:r>
      <w:r w:rsidR="00BF77D0" w:rsidRPr="00350E44">
        <w:rPr>
          <w:rFonts w:ascii="Times New Roman" w:hAnsi="Times New Roman" w:cs="Times New Roman"/>
          <w:sz w:val="24"/>
          <w:szCs w:val="24"/>
        </w:rPr>
        <w:t xml:space="preserve">different approach </w:t>
      </w:r>
      <w:r w:rsidR="005F0F33" w:rsidRPr="00350E44">
        <w:rPr>
          <w:rFonts w:ascii="Times New Roman" w:hAnsi="Times New Roman" w:cs="Times New Roman"/>
          <w:sz w:val="24"/>
          <w:szCs w:val="24"/>
        </w:rPr>
        <w:t xml:space="preserve">for meeting West Control </w:t>
      </w:r>
      <w:r w:rsidR="005D39E4">
        <w:rPr>
          <w:rFonts w:ascii="Times New Roman" w:hAnsi="Times New Roman" w:cs="Times New Roman"/>
          <w:sz w:val="24"/>
          <w:szCs w:val="24"/>
        </w:rPr>
        <w:t>A</w:t>
      </w:r>
      <w:r w:rsidR="005F0F33" w:rsidRPr="00350E44">
        <w:rPr>
          <w:rFonts w:ascii="Times New Roman" w:hAnsi="Times New Roman" w:cs="Times New Roman"/>
          <w:sz w:val="24"/>
          <w:szCs w:val="24"/>
        </w:rPr>
        <w:t xml:space="preserve">rea capacity needs </w:t>
      </w:r>
      <w:r w:rsidR="00080EB2">
        <w:rPr>
          <w:rFonts w:ascii="Times New Roman" w:hAnsi="Times New Roman" w:cs="Times New Roman"/>
          <w:sz w:val="24"/>
          <w:szCs w:val="24"/>
        </w:rPr>
        <w:t>is</w:t>
      </w:r>
      <w:r w:rsidR="00BF77D0" w:rsidRPr="00350E44">
        <w:rPr>
          <w:rFonts w:ascii="Times New Roman" w:hAnsi="Times New Roman" w:cs="Times New Roman"/>
          <w:sz w:val="24"/>
          <w:szCs w:val="24"/>
        </w:rPr>
        <w:t xml:space="preserve"> possible</w:t>
      </w:r>
      <w:r w:rsidR="00080EB2">
        <w:rPr>
          <w:rFonts w:ascii="Times New Roman" w:hAnsi="Times New Roman" w:cs="Times New Roman"/>
          <w:sz w:val="24"/>
          <w:szCs w:val="24"/>
        </w:rPr>
        <w:t>,</w:t>
      </w:r>
      <w:r w:rsidR="00BF77D0" w:rsidRPr="00350E44">
        <w:rPr>
          <w:rFonts w:ascii="Times New Roman" w:hAnsi="Times New Roman" w:cs="Times New Roman"/>
          <w:sz w:val="24"/>
          <w:szCs w:val="24"/>
        </w:rPr>
        <w:t xml:space="preserve"> and </w:t>
      </w:r>
      <w:r w:rsidR="00080EB2">
        <w:rPr>
          <w:rFonts w:ascii="Times New Roman" w:hAnsi="Times New Roman" w:cs="Times New Roman"/>
          <w:sz w:val="24"/>
          <w:szCs w:val="24"/>
        </w:rPr>
        <w:t xml:space="preserve">the Company should </w:t>
      </w:r>
      <w:r w:rsidR="000821AA" w:rsidRPr="00350E44">
        <w:rPr>
          <w:rFonts w:ascii="Times New Roman" w:hAnsi="Times New Roman" w:cs="Times New Roman"/>
          <w:sz w:val="24"/>
          <w:szCs w:val="24"/>
        </w:rPr>
        <w:t>quantify any cost differences between those approaches.</w:t>
      </w:r>
    </w:p>
    <w:p w:rsidR="0089608A" w:rsidRDefault="0034348B">
      <w:pPr>
        <w:rPr>
          <w:rFonts w:ascii="Times New Roman" w:hAnsi="Times New Roman" w:cs="Times New Roman"/>
          <w:sz w:val="24"/>
          <w:szCs w:val="24"/>
        </w:rPr>
      </w:pPr>
      <w:r>
        <w:rPr>
          <w:rFonts w:ascii="Times New Roman" w:hAnsi="Times New Roman" w:cs="Times New Roman"/>
          <w:sz w:val="24"/>
          <w:szCs w:val="24"/>
        </w:rPr>
        <w:t xml:space="preserve">The Plan compares the lower forecasted peak loads used currently to each successive peak load forecast since the onset of the economic recession in the late 2008.  </w:t>
      </w:r>
      <w:r w:rsidR="00757859">
        <w:rPr>
          <w:rFonts w:ascii="Times New Roman" w:hAnsi="Times New Roman" w:cs="Times New Roman"/>
          <w:sz w:val="24"/>
          <w:szCs w:val="24"/>
        </w:rPr>
        <w:t xml:space="preserve">The lower subsequent </w:t>
      </w:r>
      <w:r w:rsidR="00757859">
        <w:rPr>
          <w:rFonts w:ascii="Times New Roman" w:hAnsi="Times New Roman" w:cs="Times New Roman"/>
          <w:sz w:val="24"/>
          <w:szCs w:val="24"/>
        </w:rPr>
        <w:lastRenderedPageBreak/>
        <w:t>forecasts</w:t>
      </w:r>
      <w:r w:rsidR="007A552A">
        <w:rPr>
          <w:rFonts w:ascii="Times New Roman" w:hAnsi="Times New Roman" w:cs="Times New Roman"/>
          <w:sz w:val="24"/>
          <w:szCs w:val="24"/>
        </w:rPr>
        <w:t xml:space="preserve"> can be the result of changes in the</w:t>
      </w:r>
      <w:r w:rsidR="0089608A">
        <w:rPr>
          <w:rFonts w:ascii="Times New Roman" w:hAnsi="Times New Roman" w:cs="Times New Roman"/>
          <w:sz w:val="24"/>
          <w:szCs w:val="24"/>
        </w:rPr>
        <w:t xml:space="preserve"> economic</w:t>
      </w:r>
      <w:r w:rsidR="007A552A">
        <w:rPr>
          <w:rFonts w:ascii="Times New Roman" w:hAnsi="Times New Roman" w:cs="Times New Roman"/>
          <w:sz w:val="24"/>
          <w:szCs w:val="24"/>
        </w:rPr>
        <w:t xml:space="preserve"> fundamental</w:t>
      </w:r>
      <w:r w:rsidR="0089608A">
        <w:rPr>
          <w:rFonts w:ascii="Times New Roman" w:hAnsi="Times New Roman" w:cs="Times New Roman"/>
          <w:sz w:val="24"/>
          <w:szCs w:val="24"/>
        </w:rPr>
        <w:t xml:space="preserve">s used in the load projection. </w:t>
      </w:r>
      <w:r w:rsidR="007A552A">
        <w:rPr>
          <w:rFonts w:ascii="Times New Roman" w:hAnsi="Times New Roman" w:cs="Times New Roman"/>
          <w:sz w:val="24"/>
          <w:szCs w:val="24"/>
        </w:rPr>
        <w:t xml:space="preserve"> </w:t>
      </w:r>
      <w:r w:rsidR="008229F9">
        <w:rPr>
          <w:rFonts w:ascii="Times New Roman" w:hAnsi="Times New Roman" w:cs="Times New Roman"/>
          <w:sz w:val="24"/>
          <w:szCs w:val="24"/>
        </w:rPr>
        <w:t>The Commission believes that the approach the Company takes in its resource strategies in the Action Plan is well-reasoned and reflects an appropriate range of future variables, or so-called regime shifts.  In this analysis, the Company focuses on three variables that can substantially impact the resource mix:  fundamentals-based shifts in natural gas prices, enactment of regulatory policies, and different load trajectories.</w:t>
      </w:r>
    </w:p>
    <w:p w:rsidR="00CB3271" w:rsidRPr="0089608A" w:rsidRDefault="00080EB2">
      <w:pPr>
        <w:rPr>
          <w:rFonts w:ascii="Times New Roman" w:hAnsi="Times New Roman" w:cs="Times New Roman"/>
          <w:sz w:val="24"/>
          <w:szCs w:val="24"/>
        </w:rPr>
      </w:pPr>
      <w:r>
        <w:rPr>
          <w:rFonts w:ascii="Times New Roman" w:hAnsi="Times New Roman" w:cs="Times New Roman"/>
          <w:sz w:val="24"/>
          <w:szCs w:val="24"/>
        </w:rPr>
        <w:t>T</w:t>
      </w:r>
      <w:r w:rsidR="00CB3271" w:rsidRPr="00420536">
        <w:rPr>
          <w:rFonts w:ascii="Times New Roman" w:hAnsi="Times New Roman" w:cs="Times New Roman"/>
          <w:sz w:val="24"/>
          <w:szCs w:val="24"/>
        </w:rPr>
        <w:t xml:space="preserve">he Plan lacks a clear description of the Company’s </w:t>
      </w:r>
      <w:r w:rsidR="00EE63C0" w:rsidRPr="00420536">
        <w:rPr>
          <w:rFonts w:ascii="Times New Roman" w:hAnsi="Times New Roman" w:cs="Times New Roman"/>
          <w:sz w:val="24"/>
          <w:szCs w:val="24"/>
        </w:rPr>
        <w:t xml:space="preserve">resource </w:t>
      </w:r>
      <w:r w:rsidR="003D2330" w:rsidRPr="00420536">
        <w:rPr>
          <w:rFonts w:ascii="Times New Roman" w:hAnsi="Times New Roman" w:cs="Times New Roman"/>
          <w:sz w:val="24"/>
          <w:szCs w:val="24"/>
        </w:rPr>
        <w:t>position</w:t>
      </w:r>
      <w:r w:rsidR="00CB3271" w:rsidRPr="00420536">
        <w:rPr>
          <w:rFonts w:ascii="Times New Roman" w:hAnsi="Times New Roman" w:cs="Times New Roman"/>
          <w:sz w:val="24"/>
          <w:szCs w:val="24"/>
        </w:rPr>
        <w:t xml:space="preserve"> on </w:t>
      </w:r>
      <w:r w:rsidR="00EE63C0" w:rsidRPr="00420536">
        <w:rPr>
          <w:rFonts w:ascii="Times New Roman" w:hAnsi="Times New Roman" w:cs="Times New Roman"/>
          <w:sz w:val="24"/>
          <w:szCs w:val="24"/>
        </w:rPr>
        <w:t xml:space="preserve">meeting RPS requirements. </w:t>
      </w:r>
      <w:r w:rsidR="007A147B">
        <w:rPr>
          <w:rFonts w:ascii="Times New Roman" w:hAnsi="Times New Roman" w:cs="Times New Roman"/>
          <w:sz w:val="24"/>
          <w:szCs w:val="24"/>
        </w:rPr>
        <w:t xml:space="preserve"> </w:t>
      </w:r>
      <w:r w:rsidR="008229F9">
        <w:rPr>
          <w:rFonts w:ascii="Times New Roman" w:hAnsi="Times New Roman" w:cs="Times New Roman"/>
          <w:sz w:val="24"/>
          <w:szCs w:val="24"/>
        </w:rPr>
        <w:t>Although the Company includes in Chapter 8 (Modeling Results) a short section on risk mitigation associated with government compliance obligations, we believe the Company should highlight t</w:t>
      </w:r>
      <w:r w:rsidR="009E7250">
        <w:rPr>
          <w:rFonts w:ascii="Times New Roman" w:hAnsi="Times New Roman" w:cs="Times New Roman"/>
          <w:sz w:val="24"/>
          <w:szCs w:val="24"/>
        </w:rPr>
        <w:t>he section related to comply</w:t>
      </w:r>
      <w:r w:rsidR="00757859">
        <w:rPr>
          <w:rFonts w:ascii="Times New Roman" w:hAnsi="Times New Roman" w:cs="Times New Roman"/>
          <w:sz w:val="24"/>
          <w:szCs w:val="24"/>
        </w:rPr>
        <w:t>ing</w:t>
      </w:r>
      <w:r w:rsidR="008229F9">
        <w:rPr>
          <w:rFonts w:ascii="Times New Roman" w:hAnsi="Times New Roman" w:cs="Times New Roman"/>
          <w:sz w:val="24"/>
          <w:szCs w:val="24"/>
        </w:rPr>
        <w:t xml:space="preserve"> with Washington RPS obligations and explain its strategies in clear, easy-to-understand language.  </w:t>
      </w:r>
      <w:r w:rsidR="009E7250">
        <w:rPr>
          <w:rFonts w:ascii="Times New Roman" w:hAnsi="Times New Roman" w:cs="Times New Roman"/>
          <w:sz w:val="24"/>
          <w:szCs w:val="24"/>
        </w:rPr>
        <w:t>The graphs and analysis in this section describe the forecasted supply of the preferred portfolio and additional RECs in meeting future compliance obligations, but they need more context and explanation.  In particular, t</w:t>
      </w:r>
      <w:r>
        <w:rPr>
          <w:rFonts w:ascii="Times New Roman" w:hAnsi="Times New Roman" w:cs="Times New Roman"/>
          <w:sz w:val="24"/>
          <w:szCs w:val="24"/>
        </w:rPr>
        <w:t>he Commission’s</w:t>
      </w:r>
      <w:r w:rsidR="00EE63C0" w:rsidRPr="00420536">
        <w:rPr>
          <w:rFonts w:ascii="Times New Roman" w:hAnsi="Times New Roman" w:cs="Times New Roman"/>
          <w:sz w:val="24"/>
          <w:szCs w:val="24"/>
        </w:rPr>
        <w:t xml:space="preserve"> </w:t>
      </w:r>
      <w:r w:rsidR="003D2330" w:rsidRPr="00E533DF">
        <w:rPr>
          <w:rFonts w:ascii="Times New Roman" w:hAnsi="Times New Roman" w:cs="Times New Roman"/>
          <w:sz w:val="24"/>
          <w:szCs w:val="24"/>
        </w:rPr>
        <w:t xml:space="preserve">Policy Statement </w:t>
      </w:r>
      <w:r w:rsidR="00EE63C0" w:rsidRPr="00E533DF">
        <w:rPr>
          <w:rFonts w:ascii="Times New Roman" w:hAnsi="Times New Roman" w:cs="Times New Roman"/>
          <w:sz w:val="24"/>
          <w:szCs w:val="24"/>
        </w:rPr>
        <w:t xml:space="preserve">on </w:t>
      </w:r>
      <w:r w:rsidR="00107DDC">
        <w:rPr>
          <w:rFonts w:ascii="Times New Roman" w:hAnsi="Times New Roman" w:cs="Times New Roman"/>
          <w:sz w:val="24"/>
          <w:szCs w:val="24"/>
        </w:rPr>
        <w:t>acquisition of renewable resources</w:t>
      </w:r>
      <w:r w:rsidR="00EE63C0" w:rsidRPr="00E533DF">
        <w:rPr>
          <w:rFonts w:ascii="Times New Roman" w:hAnsi="Times New Roman" w:cs="Times New Roman"/>
          <w:sz w:val="24"/>
          <w:szCs w:val="24"/>
        </w:rPr>
        <w:t xml:space="preserve"> state</w:t>
      </w:r>
      <w:r w:rsidR="00121238">
        <w:rPr>
          <w:rFonts w:ascii="Times New Roman" w:hAnsi="Times New Roman" w:cs="Times New Roman"/>
          <w:sz w:val="24"/>
          <w:szCs w:val="24"/>
        </w:rPr>
        <w:t>s</w:t>
      </w:r>
      <w:r w:rsidR="00EE63C0" w:rsidRPr="00E533DF">
        <w:rPr>
          <w:rFonts w:ascii="Times New Roman" w:hAnsi="Times New Roman" w:cs="Times New Roman"/>
          <w:sz w:val="24"/>
          <w:szCs w:val="24"/>
        </w:rPr>
        <w:t xml:space="preserve"> </w:t>
      </w:r>
      <w:r w:rsidR="003D2330" w:rsidRPr="00E533DF">
        <w:rPr>
          <w:rFonts w:ascii="Times New Roman" w:hAnsi="Times New Roman" w:cs="Times New Roman"/>
          <w:sz w:val="24"/>
          <w:szCs w:val="24"/>
        </w:rPr>
        <w:t xml:space="preserve">that </w:t>
      </w:r>
      <w:r w:rsidR="00107DDC">
        <w:rPr>
          <w:rFonts w:ascii="Times New Roman" w:hAnsi="Times New Roman" w:cs="Times New Roman"/>
          <w:sz w:val="24"/>
          <w:szCs w:val="24"/>
        </w:rPr>
        <w:t>the Energy Independence Act creates a renewable generation or unbundle</w:t>
      </w:r>
      <w:r w:rsidR="009E7250">
        <w:rPr>
          <w:rFonts w:ascii="Times New Roman" w:hAnsi="Times New Roman" w:cs="Times New Roman"/>
          <w:sz w:val="24"/>
          <w:szCs w:val="24"/>
        </w:rPr>
        <w:t>d</w:t>
      </w:r>
      <w:r w:rsidR="00107DDC">
        <w:rPr>
          <w:rFonts w:ascii="Times New Roman" w:hAnsi="Times New Roman" w:cs="Times New Roman"/>
          <w:sz w:val="24"/>
          <w:szCs w:val="24"/>
        </w:rPr>
        <w:t xml:space="preserve"> REC requirement </w:t>
      </w:r>
      <w:r w:rsidR="009E7250">
        <w:rPr>
          <w:rFonts w:ascii="Times New Roman" w:hAnsi="Times New Roman" w:cs="Times New Roman"/>
          <w:sz w:val="24"/>
          <w:szCs w:val="24"/>
        </w:rPr>
        <w:t xml:space="preserve">separate from but equal to </w:t>
      </w:r>
      <w:r w:rsidR="003D2330" w:rsidRPr="00E533DF">
        <w:rPr>
          <w:rFonts w:ascii="Times New Roman" w:hAnsi="Times New Roman" w:cs="Times New Roman"/>
          <w:sz w:val="24"/>
          <w:szCs w:val="24"/>
        </w:rPr>
        <w:t>capacity and energy</w:t>
      </w:r>
      <w:r w:rsidR="00107DDC">
        <w:rPr>
          <w:rFonts w:ascii="Times New Roman" w:hAnsi="Times New Roman" w:cs="Times New Roman"/>
          <w:sz w:val="24"/>
          <w:szCs w:val="24"/>
        </w:rPr>
        <w:t xml:space="preserve"> resource needs</w:t>
      </w:r>
      <w:r w:rsidR="009E7250">
        <w:rPr>
          <w:rFonts w:ascii="Times New Roman" w:hAnsi="Times New Roman" w:cs="Times New Roman"/>
          <w:sz w:val="24"/>
          <w:szCs w:val="24"/>
        </w:rPr>
        <w:t xml:space="preserve"> traditionally included in an IRP</w:t>
      </w:r>
      <w:r w:rsidR="00107DDC">
        <w:rPr>
          <w:rFonts w:ascii="Times New Roman" w:hAnsi="Times New Roman" w:cs="Times New Roman"/>
          <w:sz w:val="24"/>
          <w:szCs w:val="24"/>
        </w:rPr>
        <w:t>.</w:t>
      </w:r>
      <w:r w:rsidR="00983927">
        <w:rPr>
          <w:rStyle w:val="FootnoteReference"/>
          <w:rFonts w:ascii="Times New Roman" w:hAnsi="Times New Roman" w:cs="Times New Roman"/>
          <w:sz w:val="24"/>
          <w:szCs w:val="24"/>
        </w:rPr>
        <w:footnoteReference w:id="1"/>
      </w:r>
      <w:r w:rsidR="003D2330" w:rsidRPr="00E533DF">
        <w:rPr>
          <w:rFonts w:ascii="Times New Roman" w:hAnsi="Times New Roman" w:cs="Times New Roman"/>
          <w:sz w:val="24"/>
          <w:szCs w:val="24"/>
        </w:rPr>
        <w:t xml:space="preserve"> </w:t>
      </w:r>
      <w:r w:rsidR="007A147B">
        <w:rPr>
          <w:rFonts w:ascii="Times New Roman" w:hAnsi="Times New Roman" w:cs="Times New Roman"/>
          <w:sz w:val="24"/>
          <w:szCs w:val="24"/>
        </w:rPr>
        <w:t xml:space="preserve"> </w:t>
      </w:r>
      <w:r w:rsidR="009E7250">
        <w:rPr>
          <w:rFonts w:ascii="Times New Roman" w:hAnsi="Times New Roman" w:cs="Times New Roman"/>
          <w:sz w:val="24"/>
          <w:szCs w:val="24"/>
        </w:rPr>
        <w:t xml:space="preserve">Therefore, the Company should provide more analysis and explanation </w:t>
      </w:r>
      <w:r w:rsidR="007A147B">
        <w:rPr>
          <w:rFonts w:ascii="Times New Roman" w:hAnsi="Times New Roman" w:cs="Times New Roman"/>
          <w:sz w:val="24"/>
          <w:szCs w:val="24"/>
        </w:rPr>
        <w:t xml:space="preserve">of </w:t>
      </w:r>
      <w:r w:rsidR="009E7250">
        <w:rPr>
          <w:rFonts w:ascii="Times New Roman" w:hAnsi="Times New Roman" w:cs="Times New Roman"/>
          <w:sz w:val="24"/>
          <w:szCs w:val="24"/>
        </w:rPr>
        <w:t xml:space="preserve">how it intends to meet the RPS requirements in Washington </w:t>
      </w:r>
      <w:r w:rsidR="00EE63C0" w:rsidRPr="007A552A">
        <w:rPr>
          <w:rFonts w:ascii="Times New Roman" w:hAnsi="Times New Roman" w:cs="Times New Roman"/>
          <w:sz w:val="24"/>
          <w:szCs w:val="24"/>
        </w:rPr>
        <w:t xml:space="preserve">just as it describes the depth of its length </w:t>
      </w:r>
      <w:r w:rsidR="00983927">
        <w:rPr>
          <w:rFonts w:ascii="Times New Roman" w:hAnsi="Times New Roman" w:cs="Times New Roman"/>
          <w:sz w:val="24"/>
          <w:szCs w:val="24"/>
        </w:rPr>
        <w:t xml:space="preserve">(or shortage) </w:t>
      </w:r>
      <w:r w:rsidR="00EE63C0" w:rsidRPr="007A552A">
        <w:rPr>
          <w:rFonts w:ascii="Times New Roman" w:hAnsi="Times New Roman" w:cs="Times New Roman"/>
          <w:sz w:val="24"/>
          <w:szCs w:val="24"/>
        </w:rPr>
        <w:t xml:space="preserve">in </w:t>
      </w:r>
      <w:r w:rsidR="00983927">
        <w:rPr>
          <w:rFonts w:ascii="Times New Roman" w:hAnsi="Times New Roman" w:cs="Times New Roman"/>
          <w:sz w:val="24"/>
          <w:szCs w:val="24"/>
        </w:rPr>
        <w:t xml:space="preserve">meeting </w:t>
      </w:r>
      <w:r w:rsidR="00EE63C0" w:rsidRPr="007A552A">
        <w:rPr>
          <w:rFonts w:ascii="Times New Roman" w:hAnsi="Times New Roman" w:cs="Times New Roman"/>
          <w:sz w:val="24"/>
          <w:szCs w:val="24"/>
        </w:rPr>
        <w:t>capacity and energy</w:t>
      </w:r>
      <w:r w:rsidR="003D2330" w:rsidRPr="0089608A">
        <w:rPr>
          <w:rFonts w:ascii="Times New Roman" w:hAnsi="Times New Roman" w:cs="Times New Roman"/>
          <w:sz w:val="24"/>
          <w:szCs w:val="24"/>
        </w:rPr>
        <w:t xml:space="preserve">. </w:t>
      </w:r>
      <w:r w:rsidR="00CB3271" w:rsidRPr="0089608A">
        <w:rPr>
          <w:rFonts w:ascii="Times New Roman" w:hAnsi="Times New Roman" w:cs="Times New Roman"/>
          <w:sz w:val="24"/>
          <w:szCs w:val="24"/>
        </w:rPr>
        <w:t xml:space="preserve"> </w:t>
      </w:r>
    </w:p>
    <w:p w:rsidR="00147026" w:rsidRPr="0089608A" w:rsidRDefault="00147026">
      <w:pPr>
        <w:rPr>
          <w:rFonts w:ascii="Times New Roman" w:hAnsi="Times New Roman" w:cs="Times New Roman"/>
          <w:b/>
          <w:sz w:val="24"/>
          <w:szCs w:val="24"/>
        </w:rPr>
      </w:pPr>
      <w:r w:rsidRPr="0089608A">
        <w:rPr>
          <w:rFonts w:ascii="Times New Roman" w:hAnsi="Times New Roman" w:cs="Times New Roman"/>
          <w:b/>
          <w:sz w:val="24"/>
          <w:szCs w:val="24"/>
        </w:rPr>
        <w:t>Resource Options</w:t>
      </w:r>
    </w:p>
    <w:p w:rsidR="00B77657" w:rsidRPr="002876FB" w:rsidRDefault="00147026">
      <w:pPr>
        <w:rPr>
          <w:rFonts w:ascii="Times New Roman" w:hAnsi="Times New Roman" w:cs="Times New Roman"/>
          <w:sz w:val="24"/>
          <w:szCs w:val="24"/>
        </w:rPr>
      </w:pPr>
      <w:r w:rsidRPr="00350E44">
        <w:rPr>
          <w:rFonts w:ascii="Times New Roman" w:hAnsi="Times New Roman" w:cs="Times New Roman"/>
          <w:sz w:val="24"/>
          <w:szCs w:val="24"/>
        </w:rPr>
        <w:t xml:space="preserve">The breath of resources considered in the </w:t>
      </w:r>
      <w:r w:rsidR="001D30EA" w:rsidRPr="002876FB">
        <w:rPr>
          <w:rFonts w:ascii="Times New Roman" w:hAnsi="Times New Roman" w:cs="Times New Roman"/>
          <w:sz w:val="24"/>
          <w:szCs w:val="24"/>
        </w:rPr>
        <w:t>P</w:t>
      </w:r>
      <w:r w:rsidRPr="002876FB">
        <w:rPr>
          <w:rFonts w:ascii="Times New Roman" w:hAnsi="Times New Roman" w:cs="Times New Roman"/>
          <w:sz w:val="24"/>
          <w:szCs w:val="24"/>
        </w:rPr>
        <w:t>lan is commendable</w:t>
      </w:r>
      <w:r w:rsidR="001D30EA" w:rsidRPr="002876FB">
        <w:rPr>
          <w:rFonts w:ascii="Times New Roman" w:hAnsi="Times New Roman" w:cs="Times New Roman"/>
          <w:sz w:val="24"/>
          <w:szCs w:val="24"/>
        </w:rPr>
        <w:t>,</w:t>
      </w:r>
      <w:r w:rsidRPr="002876FB">
        <w:rPr>
          <w:rFonts w:ascii="Times New Roman" w:hAnsi="Times New Roman" w:cs="Times New Roman"/>
          <w:sz w:val="24"/>
          <w:szCs w:val="24"/>
        </w:rPr>
        <w:t xml:space="preserve"> but </w:t>
      </w:r>
      <w:r w:rsidR="001D30EA" w:rsidRPr="002876FB">
        <w:rPr>
          <w:rFonts w:ascii="Times New Roman" w:hAnsi="Times New Roman" w:cs="Times New Roman"/>
          <w:sz w:val="24"/>
          <w:szCs w:val="24"/>
        </w:rPr>
        <w:t>the Company should</w:t>
      </w:r>
      <w:r w:rsidR="001C28E7">
        <w:rPr>
          <w:rFonts w:ascii="Times New Roman" w:hAnsi="Times New Roman" w:cs="Times New Roman"/>
          <w:sz w:val="24"/>
          <w:szCs w:val="24"/>
        </w:rPr>
        <w:t xml:space="preserve"> </w:t>
      </w:r>
      <w:r w:rsidR="009E7250">
        <w:rPr>
          <w:rFonts w:ascii="Times New Roman" w:hAnsi="Times New Roman" w:cs="Times New Roman"/>
          <w:sz w:val="24"/>
          <w:szCs w:val="24"/>
        </w:rPr>
        <w:t xml:space="preserve">consider in future </w:t>
      </w:r>
      <w:r w:rsidR="00757859">
        <w:rPr>
          <w:rFonts w:ascii="Times New Roman" w:hAnsi="Times New Roman" w:cs="Times New Roman"/>
          <w:sz w:val="24"/>
          <w:szCs w:val="24"/>
        </w:rPr>
        <w:t>Plans the addition of more</w:t>
      </w:r>
      <w:r w:rsidR="009E7250">
        <w:rPr>
          <w:rFonts w:ascii="Times New Roman" w:hAnsi="Times New Roman" w:cs="Times New Roman"/>
          <w:sz w:val="24"/>
          <w:szCs w:val="24"/>
        </w:rPr>
        <w:t xml:space="preserve"> localized resources, such as anaerobic digesters</w:t>
      </w:r>
      <w:r w:rsidR="00DD69E1" w:rsidRPr="00E533DF">
        <w:rPr>
          <w:rFonts w:ascii="Times New Roman" w:hAnsi="Times New Roman" w:cs="Times New Roman"/>
          <w:sz w:val="24"/>
          <w:szCs w:val="24"/>
        </w:rPr>
        <w:t xml:space="preserve"> t</w:t>
      </w:r>
      <w:r w:rsidR="000821AA" w:rsidRPr="00E533DF">
        <w:rPr>
          <w:rFonts w:ascii="Times New Roman" w:hAnsi="Times New Roman" w:cs="Times New Roman"/>
          <w:sz w:val="24"/>
          <w:szCs w:val="24"/>
        </w:rPr>
        <w:t xml:space="preserve">hat may </w:t>
      </w:r>
      <w:r w:rsidR="007A147B">
        <w:rPr>
          <w:rFonts w:ascii="Times New Roman" w:hAnsi="Times New Roman" w:cs="Times New Roman"/>
          <w:sz w:val="24"/>
          <w:szCs w:val="24"/>
        </w:rPr>
        <w:t>develop</w:t>
      </w:r>
      <w:r w:rsidR="007A147B" w:rsidRPr="00E533DF" w:rsidDel="007A147B">
        <w:rPr>
          <w:rFonts w:ascii="Times New Roman" w:hAnsi="Times New Roman" w:cs="Times New Roman"/>
          <w:sz w:val="24"/>
          <w:szCs w:val="24"/>
        </w:rPr>
        <w:t xml:space="preserve"> </w:t>
      </w:r>
      <w:r w:rsidR="000821AA" w:rsidRPr="00E533DF">
        <w:rPr>
          <w:rFonts w:ascii="Times New Roman" w:hAnsi="Times New Roman" w:cs="Times New Roman"/>
          <w:sz w:val="24"/>
          <w:szCs w:val="24"/>
        </w:rPr>
        <w:t>in Yakama, Grant</w:t>
      </w:r>
      <w:r w:rsidR="00080EB2">
        <w:rPr>
          <w:rFonts w:ascii="Times New Roman" w:hAnsi="Times New Roman" w:cs="Times New Roman"/>
          <w:sz w:val="24"/>
          <w:szCs w:val="24"/>
        </w:rPr>
        <w:t>,</w:t>
      </w:r>
      <w:r w:rsidR="000821AA" w:rsidRPr="00E533DF">
        <w:rPr>
          <w:rFonts w:ascii="Times New Roman" w:hAnsi="Times New Roman" w:cs="Times New Roman"/>
          <w:sz w:val="24"/>
          <w:szCs w:val="24"/>
        </w:rPr>
        <w:t xml:space="preserve"> </w:t>
      </w:r>
      <w:r w:rsidR="00272BD2">
        <w:rPr>
          <w:rFonts w:ascii="Times New Roman" w:hAnsi="Times New Roman" w:cs="Times New Roman"/>
          <w:sz w:val="24"/>
          <w:szCs w:val="24"/>
        </w:rPr>
        <w:t xml:space="preserve">Benton </w:t>
      </w:r>
      <w:r w:rsidR="00DD69E1" w:rsidRPr="00E533DF">
        <w:rPr>
          <w:rFonts w:ascii="Times New Roman" w:hAnsi="Times New Roman" w:cs="Times New Roman"/>
          <w:sz w:val="24"/>
          <w:szCs w:val="24"/>
        </w:rPr>
        <w:t xml:space="preserve">and </w:t>
      </w:r>
      <w:r w:rsidR="00272BD2">
        <w:rPr>
          <w:rFonts w:ascii="Times New Roman" w:hAnsi="Times New Roman" w:cs="Times New Roman"/>
          <w:sz w:val="24"/>
          <w:szCs w:val="24"/>
        </w:rPr>
        <w:t>Franklin</w:t>
      </w:r>
      <w:r w:rsidR="000821AA" w:rsidRPr="00E533DF">
        <w:rPr>
          <w:rFonts w:ascii="Times New Roman" w:hAnsi="Times New Roman" w:cs="Times New Roman"/>
          <w:sz w:val="24"/>
          <w:szCs w:val="24"/>
        </w:rPr>
        <w:t xml:space="preserve"> counties</w:t>
      </w:r>
      <w:r w:rsidR="00DD69E1" w:rsidRPr="00E533DF">
        <w:rPr>
          <w:rFonts w:ascii="Times New Roman" w:hAnsi="Times New Roman" w:cs="Times New Roman"/>
          <w:sz w:val="24"/>
          <w:szCs w:val="24"/>
        </w:rPr>
        <w:t xml:space="preserve">.  </w:t>
      </w:r>
      <w:r w:rsidR="009E7250">
        <w:rPr>
          <w:rFonts w:ascii="Times New Roman" w:hAnsi="Times New Roman" w:cs="Times New Roman"/>
          <w:sz w:val="24"/>
          <w:szCs w:val="24"/>
        </w:rPr>
        <w:t xml:space="preserve">Since the </w:t>
      </w:r>
      <w:r w:rsidR="00EE63C0" w:rsidRPr="002876FB">
        <w:rPr>
          <w:rFonts w:ascii="Times New Roman" w:hAnsi="Times New Roman" w:cs="Times New Roman"/>
          <w:sz w:val="24"/>
          <w:szCs w:val="24"/>
        </w:rPr>
        <w:t xml:space="preserve">Company states that </w:t>
      </w:r>
      <w:r w:rsidR="007A147B">
        <w:rPr>
          <w:rFonts w:ascii="Times New Roman" w:hAnsi="Times New Roman" w:cs="Times New Roman"/>
          <w:sz w:val="24"/>
          <w:szCs w:val="24"/>
        </w:rPr>
        <w:t>W</w:t>
      </w:r>
      <w:r w:rsidR="00CB6E80" w:rsidRPr="002876FB">
        <w:rPr>
          <w:rFonts w:ascii="Times New Roman" w:hAnsi="Times New Roman" w:cs="Times New Roman"/>
          <w:sz w:val="24"/>
          <w:szCs w:val="24"/>
        </w:rPr>
        <w:t xml:space="preserve">est </w:t>
      </w:r>
      <w:r w:rsidR="007A147B">
        <w:rPr>
          <w:rFonts w:ascii="Times New Roman" w:hAnsi="Times New Roman" w:cs="Times New Roman"/>
          <w:sz w:val="24"/>
          <w:szCs w:val="24"/>
        </w:rPr>
        <w:t>C</w:t>
      </w:r>
      <w:r w:rsidR="001D30EA" w:rsidRPr="002876FB">
        <w:rPr>
          <w:rFonts w:ascii="Times New Roman" w:hAnsi="Times New Roman" w:cs="Times New Roman"/>
          <w:sz w:val="24"/>
          <w:szCs w:val="24"/>
        </w:rPr>
        <w:t xml:space="preserve">ontrol </w:t>
      </w:r>
      <w:r w:rsidR="005D39E4">
        <w:rPr>
          <w:rFonts w:ascii="Times New Roman" w:hAnsi="Times New Roman" w:cs="Times New Roman"/>
          <w:sz w:val="24"/>
          <w:szCs w:val="24"/>
        </w:rPr>
        <w:t>A</w:t>
      </w:r>
      <w:r w:rsidR="001D30EA" w:rsidRPr="002876FB">
        <w:rPr>
          <w:rFonts w:ascii="Times New Roman" w:hAnsi="Times New Roman" w:cs="Times New Roman"/>
          <w:sz w:val="24"/>
          <w:szCs w:val="24"/>
        </w:rPr>
        <w:t>rea</w:t>
      </w:r>
      <w:r w:rsidR="00CB6E80" w:rsidRPr="002876FB">
        <w:rPr>
          <w:rFonts w:ascii="Times New Roman" w:hAnsi="Times New Roman" w:cs="Times New Roman"/>
          <w:sz w:val="24"/>
          <w:szCs w:val="24"/>
        </w:rPr>
        <w:t xml:space="preserve"> resource options reflect </w:t>
      </w:r>
      <w:r w:rsidR="009E7250">
        <w:rPr>
          <w:rFonts w:ascii="Times New Roman" w:hAnsi="Times New Roman" w:cs="Times New Roman"/>
          <w:sz w:val="24"/>
          <w:szCs w:val="24"/>
        </w:rPr>
        <w:t xml:space="preserve">its </w:t>
      </w:r>
      <w:r w:rsidR="001D4B54" w:rsidRPr="002876FB">
        <w:rPr>
          <w:rFonts w:ascii="Times New Roman" w:hAnsi="Times New Roman" w:cs="Times New Roman"/>
          <w:sz w:val="24"/>
          <w:szCs w:val="24"/>
        </w:rPr>
        <w:t>recent</w:t>
      </w:r>
      <w:r w:rsidR="00CB6E80" w:rsidRPr="002876FB">
        <w:rPr>
          <w:rFonts w:ascii="Times New Roman" w:hAnsi="Times New Roman" w:cs="Times New Roman"/>
          <w:sz w:val="24"/>
          <w:szCs w:val="24"/>
        </w:rPr>
        <w:t xml:space="preserve"> cost studies and project experience</w:t>
      </w:r>
      <w:r w:rsidR="009E7250">
        <w:rPr>
          <w:rFonts w:ascii="Times New Roman" w:hAnsi="Times New Roman" w:cs="Times New Roman"/>
          <w:sz w:val="24"/>
          <w:szCs w:val="24"/>
        </w:rPr>
        <w:t>, we believe it should monitor opportunities</w:t>
      </w:r>
      <w:r w:rsidR="00D13899">
        <w:rPr>
          <w:rFonts w:ascii="Times New Roman" w:hAnsi="Times New Roman" w:cs="Times New Roman"/>
          <w:sz w:val="24"/>
          <w:szCs w:val="24"/>
        </w:rPr>
        <w:t xml:space="preserve"> to purchase the output of biodigesters in this part of its service territory.</w:t>
      </w:r>
      <w:r w:rsidR="00357E03">
        <w:rPr>
          <w:rFonts w:ascii="Times New Roman" w:hAnsi="Times New Roman" w:cs="Times New Roman"/>
          <w:sz w:val="24"/>
          <w:szCs w:val="24"/>
        </w:rPr>
        <w:t xml:space="preserve">  </w:t>
      </w:r>
      <w:r w:rsidR="008A3345" w:rsidRPr="00115C3F">
        <w:rPr>
          <w:rFonts w:ascii="Times New Roman" w:hAnsi="Times New Roman" w:cs="Times New Roman"/>
          <w:sz w:val="24"/>
          <w:szCs w:val="24"/>
        </w:rPr>
        <w:t xml:space="preserve">We encourage the Company to </w:t>
      </w:r>
      <w:r w:rsidR="007A147B">
        <w:rPr>
          <w:rFonts w:ascii="Times New Roman" w:hAnsi="Times New Roman" w:cs="Times New Roman"/>
          <w:sz w:val="24"/>
          <w:szCs w:val="24"/>
        </w:rPr>
        <w:t>focus on</w:t>
      </w:r>
      <w:r w:rsidR="008A3345" w:rsidRPr="00115C3F">
        <w:rPr>
          <w:rFonts w:ascii="Times New Roman" w:hAnsi="Times New Roman" w:cs="Times New Roman"/>
          <w:sz w:val="24"/>
          <w:szCs w:val="24"/>
        </w:rPr>
        <w:t xml:space="preserve"> anaerobic </w:t>
      </w:r>
      <w:r w:rsidR="008A3345" w:rsidRPr="007A552A">
        <w:rPr>
          <w:rFonts w:ascii="Times New Roman" w:hAnsi="Times New Roman" w:cs="Times New Roman"/>
          <w:sz w:val="24"/>
          <w:szCs w:val="24"/>
        </w:rPr>
        <w:t xml:space="preserve">digester development in its service territory as tax </w:t>
      </w:r>
      <w:r w:rsidR="008A3345" w:rsidRPr="0089608A">
        <w:rPr>
          <w:rFonts w:ascii="Times New Roman" w:hAnsi="Times New Roman" w:cs="Times New Roman"/>
          <w:sz w:val="24"/>
          <w:szCs w:val="24"/>
        </w:rPr>
        <w:t xml:space="preserve">benefits, low interest loans, other assistance and compliance with environmental regulation may cause more anaerobic digester generation development than predicted by the costs assumptions used in the Plan. </w:t>
      </w:r>
      <w:r w:rsidR="007A147B">
        <w:rPr>
          <w:rFonts w:ascii="Times New Roman" w:hAnsi="Times New Roman" w:cs="Times New Roman"/>
          <w:sz w:val="24"/>
          <w:szCs w:val="24"/>
        </w:rPr>
        <w:t xml:space="preserve"> </w:t>
      </w:r>
      <w:r w:rsidR="00EE63C0" w:rsidRPr="002876FB">
        <w:rPr>
          <w:rFonts w:ascii="Times New Roman" w:hAnsi="Times New Roman" w:cs="Times New Roman"/>
          <w:sz w:val="24"/>
          <w:szCs w:val="24"/>
        </w:rPr>
        <w:t>Since t</w:t>
      </w:r>
      <w:r w:rsidR="00D63CB7" w:rsidRPr="002876FB">
        <w:rPr>
          <w:rFonts w:ascii="Times New Roman" w:hAnsi="Times New Roman" w:cs="Times New Roman"/>
          <w:sz w:val="24"/>
          <w:szCs w:val="24"/>
        </w:rPr>
        <w:t xml:space="preserve">he Company is under statutory </w:t>
      </w:r>
      <w:r w:rsidR="00DD69E1" w:rsidRPr="002876FB">
        <w:rPr>
          <w:rFonts w:ascii="Times New Roman" w:hAnsi="Times New Roman" w:cs="Times New Roman"/>
          <w:sz w:val="24"/>
          <w:szCs w:val="24"/>
        </w:rPr>
        <w:t xml:space="preserve">obligation to purchase qualifying generation under </w:t>
      </w:r>
      <w:r w:rsidR="007F6A09">
        <w:rPr>
          <w:rFonts w:ascii="Times New Roman" w:hAnsi="Times New Roman" w:cs="Times New Roman"/>
          <w:sz w:val="24"/>
          <w:szCs w:val="24"/>
        </w:rPr>
        <w:t xml:space="preserve">the federal Public Utilities </w:t>
      </w:r>
      <w:r w:rsidR="00857894">
        <w:rPr>
          <w:rFonts w:ascii="Times New Roman" w:hAnsi="Times New Roman" w:cs="Times New Roman"/>
          <w:sz w:val="24"/>
          <w:szCs w:val="24"/>
        </w:rPr>
        <w:t>R</w:t>
      </w:r>
      <w:r w:rsidR="007F6A09">
        <w:rPr>
          <w:rFonts w:ascii="Times New Roman" w:hAnsi="Times New Roman" w:cs="Times New Roman"/>
          <w:sz w:val="24"/>
          <w:szCs w:val="24"/>
        </w:rPr>
        <w:t xml:space="preserve">egulatory </w:t>
      </w:r>
      <w:r w:rsidR="00857894">
        <w:rPr>
          <w:rFonts w:ascii="Times New Roman" w:hAnsi="Times New Roman" w:cs="Times New Roman"/>
          <w:sz w:val="24"/>
          <w:szCs w:val="24"/>
        </w:rPr>
        <w:t xml:space="preserve">Policy </w:t>
      </w:r>
      <w:r w:rsidR="007F6A09">
        <w:rPr>
          <w:rFonts w:ascii="Times New Roman" w:hAnsi="Times New Roman" w:cs="Times New Roman"/>
          <w:sz w:val="24"/>
          <w:szCs w:val="24"/>
        </w:rPr>
        <w:t xml:space="preserve">Act </w:t>
      </w:r>
      <w:r w:rsidR="00DD69E1" w:rsidRPr="002876FB">
        <w:rPr>
          <w:rFonts w:ascii="Times New Roman" w:hAnsi="Times New Roman" w:cs="Times New Roman"/>
          <w:sz w:val="24"/>
          <w:szCs w:val="24"/>
        </w:rPr>
        <w:t xml:space="preserve">at </w:t>
      </w:r>
      <w:r w:rsidR="00EE63C0" w:rsidRPr="002876FB">
        <w:rPr>
          <w:rFonts w:ascii="Times New Roman" w:hAnsi="Times New Roman" w:cs="Times New Roman"/>
          <w:sz w:val="24"/>
          <w:szCs w:val="24"/>
        </w:rPr>
        <w:t>avoided c</w:t>
      </w:r>
      <w:r w:rsidR="00DC69B6" w:rsidRPr="002876FB">
        <w:rPr>
          <w:rFonts w:ascii="Times New Roman" w:hAnsi="Times New Roman" w:cs="Times New Roman"/>
          <w:sz w:val="24"/>
          <w:szCs w:val="24"/>
        </w:rPr>
        <w:t xml:space="preserve">osts </w:t>
      </w:r>
      <w:r w:rsidR="000F0C82" w:rsidRPr="002876FB">
        <w:rPr>
          <w:rFonts w:ascii="Times New Roman" w:hAnsi="Times New Roman" w:cs="Times New Roman"/>
          <w:sz w:val="24"/>
          <w:szCs w:val="24"/>
        </w:rPr>
        <w:t xml:space="preserve">at the request of a </w:t>
      </w:r>
      <w:r w:rsidR="00EE63C0" w:rsidRPr="002876FB">
        <w:rPr>
          <w:rFonts w:ascii="Times New Roman" w:hAnsi="Times New Roman" w:cs="Times New Roman"/>
          <w:sz w:val="24"/>
          <w:szCs w:val="24"/>
        </w:rPr>
        <w:t>qualifying</w:t>
      </w:r>
      <w:r w:rsidR="00DC69B6" w:rsidRPr="002876FB">
        <w:rPr>
          <w:rFonts w:ascii="Times New Roman" w:hAnsi="Times New Roman" w:cs="Times New Roman"/>
          <w:sz w:val="24"/>
          <w:szCs w:val="24"/>
        </w:rPr>
        <w:t xml:space="preserve"> generator</w:t>
      </w:r>
      <w:r w:rsidR="00EE63C0" w:rsidRPr="002876FB">
        <w:rPr>
          <w:rFonts w:ascii="Times New Roman" w:hAnsi="Times New Roman" w:cs="Times New Roman"/>
          <w:sz w:val="24"/>
          <w:szCs w:val="24"/>
        </w:rPr>
        <w:t xml:space="preserve">, </w:t>
      </w:r>
      <w:r w:rsidR="00DD69E1" w:rsidRPr="002876FB">
        <w:rPr>
          <w:rFonts w:ascii="Times New Roman" w:hAnsi="Times New Roman" w:cs="Times New Roman"/>
          <w:sz w:val="24"/>
          <w:szCs w:val="24"/>
        </w:rPr>
        <w:t xml:space="preserve">the Company will need to be prepared </w:t>
      </w:r>
      <w:r w:rsidR="000821AA" w:rsidRPr="002876FB">
        <w:rPr>
          <w:rFonts w:ascii="Times New Roman" w:hAnsi="Times New Roman" w:cs="Times New Roman"/>
          <w:sz w:val="24"/>
          <w:szCs w:val="24"/>
        </w:rPr>
        <w:t xml:space="preserve">to </w:t>
      </w:r>
      <w:r w:rsidR="00DD69E1" w:rsidRPr="002876FB">
        <w:rPr>
          <w:rFonts w:ascii="Times New Roman" w:hAnsi="Times New Roman" w:cs="Times New Roman"/>
          <w:sz w:val="24"/>
          <w:szCs w:val="24"/>
        </w:rPr>
        <w:t xml:space="preserve">operate its portfolio with </w:t>
      </w:r>
      <w:r w:rsidR="00DC69B6" w:rsidRPr="002876FB">
        <w:rPr>
          <w:rFonts w:ascii="Times New Roman" w:hAnsi="Times New Roman" w:cs="Times New Roman"/>
          <w:sz w:val="24"/>
          <w:szCs w:val="24"/>
        </w:rPr>
        <w:t>those</w:t>
      </w:r>
      <w:r w:rsidR="00DD69E1" w:rsidRPr="002876FB">
        <w:rPr>
          <w:rFonts w:ascii="Times New Roman" w:hAnsi="Times New Roman" w:cs="Times New Roman"/>
          <w:sz w:val="24"/>
          <w:szCs w:val="24"/>
        </w:rPr>
        <w:t xml:space="preserve"> new resource</w:t>
      </w:r>
      <w:r w:rsidR="000F0C82" w:rsidRPr="002876FB">
        <w:rPr>
          <w:rFonts w:ascii="Times New Roman" w:hAnsi="Times New Roman" w:cs="Times New Roman"/>
          <w:sz w:val="24"/>
          <w:szCs w:val="24"/>
        </w:rPr>
        <w:t>s</w:t>
      </w:r>
      <w:r w:rsidR="00DD69E1" w:rsidRPr="002876FB">
        <w:rPr>
          <w:rFonts w:ascii="Times New Roman" w:hAnsi="Times New Roman" w:cs="Times New Roman"/>
          <w:sz w:val="24"/>
          <w:szCs w:val="24"/>
        </w:rPr>
        <w:t xml:space="preserve"> in </w:t>
      </w:r>
      <w:r w:rsidR="007A147B">
        <w:rPr>
          <w:rFonts w:ascii="Times New Roman" w:hAnsi="Times New Roman" w:cs="Times New Roman"/>
          <w:sz w:val="24"/>
          <w:szCs w:val="24"/>
        </w:rPr>
        <w:t>a</w:t>
      </w:r>
      <w:r w:rsidR="00DD69E1" w:rsidRPr="002876FB">
        <w:rPr>
          <w:rFonts w:ascii="Times New Roman" w:hAnsi="Times New Roman" w:cs="Times New Roman"/>
          <w:sz w:val="24"/>
          <w:szCs w:val="24"/>
        </w:rPr>
        <w:t xml:space="preserve"> least</w:t>
      </w:r>
      <w:r w:rsidR="007A147B">
        <w:rPr>
          <w:rFonts w:ascii="Times New Roman" w:hAnsi="Times New Roman" w:cs="Times New Roman"/>
          <w:sz w:val="24"/>
          <w:szCs w:val="24"/>
        </w:rPr>
        <w:t>-</w:t>
      </w:r>
      <w:r w:rsidR="00DD69E1" w:rsidRPr="002876FB">
        <w:rPr>
          <w:rFonts w:ascii="Times New Roman" w:hAnsi="Times New Roman" w:cs="Times New Roman"/>
          <w:sz w:val="24"/>
          <w:szCs w:val="24"/>
        </w:rPr>
        <w:t>cost manner</w:t>
      </w:r>
      <w:r w:rsidR="002876FB">
        <w:rPr>
          <w:rFonts w:ascii="Times New Roman" w:hAnsi="Times New Roman" w:cs="Times New Roman"/>
          <w:sz w:val="24"/>
          <w:szCs w:val="24"/>
        </w:rPr>
        <w:t xml:space="preserve"> should they develop</w:t>
      </w:r>
      <w:r w:rsidR="00DD69E1" w:rsidRPr="002876FB">
        <w:rPr>
          <w:rFonts w:ascii="Times New Roman" w:hAnsi="Times New Roman" w:cs="Times New Roman"/>
          <w:sz w:val="24"/>
          <w:szCs w:val="24"/>
        </w:rPr>
        <w:t>.</w:t>
      </w:r>
      <w:r w:rsidR="00983927">
        <w:rPr>
          <w:rStyle w:val="FootnoteReference"/>
          <w:rFonts w:ascii="Times New Roman" w:hAnsi="Times New Roman" w:cs="Times New Roman"/>
          <w:sz w:val="24"/>
          <w:szCs w:val="24"/>
        </w:rPr>
        <w:footnoteReference w:id="2"/>
      </w:r>
      <w:r w:rsidR="00DD69E1" w:rsidRPr="002876FB">
        <w:rPr>
          <w:rFonts w:ascii="Times New Roman" w:hAnsi="Times New Roman" w:cs="Times New Roman"/>
          <w:sz w:val="24"/>
          <w:szCs w:val="24"/>
        </w:rPr>
        <w:t xml:space="preserve"> </w:t>
      </w:r>
    </w:p>
    <w:p w:rsidR="007A147B" w:rsidRDefault="007A147B">
      <w:pPr>
        <w:rPr>
          <w:rFonts w:ascii="Times New Roman" w:hAnsi="Times New Roman" w:cs="Times New Roman"/>
          <w:b/>
          <w:sz w:val="24"/>
          <w:szCs w:val="24"/>
        </w:rPr>
      </w:pPr>
      <w:r>
        <w:rPr>
          <w:rFonts w:ascii="Times New Roman" w:hAnsi="Times New Roman" w:cs="Times New Roman"/>
          <w:b/>
          <w:sz w:val="24"/>
          <w:szCs w:val="24"/>
        </w:rPr>
        <w:br w:type="page"/>
      </w:r>
    </w:p>
    <w:p w:rsidR="00B77657" w:rsidRPr="00E533DF" w:rsidRDefault="00B77657">
      <w:pPr>
        <w:rPr>
          <w:rFonts w:ascii="Times New Roman" w:hAnsi="Times New Roman" w:cs="Times New Roman"/>
          <w:b/>
          <w:sz w:val="24"/>
          <w:szCs w:val="24"/>
        </w:rPr>
      </w:pPr>
      <w:r w:rsidRPr="00E533DF">
        <w:rPr>
          <w:rFonts w:ascii="Times New Roman" w:hAnsi="Times New Roman" w:cs="Times New Roman"/>
          <w:b/>
          <w:sz w:val="24"/>
          <w:szCs w:val="24"/>
        </w:rPr>
        <w:lastRenderedPageBreak/>
        <w:t>Portfolio selection results</w:t>
      </w:r>
    </w:p>
    <w:p w:rsidR="00EE0D07" w:rsidRPr="00E533DF" w:rsidRDefault="00B77657">
      <w:pPr>
        <w:rPr>
          <w:rFonts w:ascii="Times New Roman" w:hAnsi="Times New Roman" w:cs="Times New Roman"/>
          <w:sz w:val="24"/>
          <w:szCs w:val="24"/>
        </w:rPr>
      </w:pPr>
      <w:r w:rsidRPr="00E533DF">
        <w:rPr>
          <w:rFonts w:ascii="Times New Roman" w:hAnsi="Times New Roman" w:cs="Times New Roman"/>
          <w:sz w:val="24"/>
          <w:szCs w:val="24"/>
        </w:rPr>
        <w:t xml:space="preserve">The Plan’s </w:t>
      </w:r>
      <w:r w:rsidR="000C210D" w:rsidRPr="00E533DF">
        <w:rPr>
          <w:rFonts w:ascii="Times New Roman" w:hAnsi="Times New Roman" w:cs="Times New Roman"/>
          <w:sz w:val="24"/>
          <w:szCs w:val="24"/>
        </w:rPr>
        <w:t>preferred</w:t>
      </w:r>
      <w:r w:rsidRPr="00E533DF">
        <w:rPr>
          <w:rFonts w:ascii="Times New Roman" w:hAnsi="Times New Roman" w:cs="Times New Roman"/>
          <w:sz w:val="24"/>
          <w:szCs w:val="24"/>
        </w:rPr>
        <w:t xml:space="preserve"> portfolio calls for </w:t>
      </w:r>
      <w:r w:rsidR="000C210D" w:rsidRPr="00E533DF">
        <w:rPr>
          <w:rFonts w:ascii="Times New Roman" w:hAnsi="Times New Roman" w:cs="Times New Roman"/>
          <w:sz w:val="24"/>
          <w:szCs w:val="24"/>
        </w:rPr>
        <w:t xml:space="preserve">the addition of 400-600 MWs of </w:t>
      </w:r>
      <w:r w:rsidR="00EE0D07" w:rsidRPr="00E533DF">
        <w:rPr>
          <w:rFonts w:ascii="Times New Roman" w:hAnsi="Times New Roman" w:cs="Times New Roman"/>
          <w:sz w:val="24"/>
          <w:szCs w:val="24"/>
        </w:rPr>
        <w:t>c</w:t>
      </w:r>
      <w:r w:rsidRPr="00E533DF">
        <w:rPr>
          <w:rFonts w:ascii="Times New Roman" w:hAnsi="Times New Roman" w:cs="Times New Roman"/>
          <w:sz w:val="24"/>
          <w:szCs w:val="24"/>
        </w:rPr>
        <w:t>ombined</w:t>
      </w:r>
      <w:r w:rsidRPr="002876FB">
        <w:rPr>
          <w:rFonts w:ascii="Times New Roman" w:hAnsi="Times New Roman" w:cs="Times New Roman"/>
          <w:sz w:val="24"/>
          <w:szCs w:val="24"/>
        </w:rPr>
        <w:t xml:space="preserve"> cycle </w:t>
      </w:r>
      <w:r w:rsidR="000C210D" w:rsidRPr="002876FB">
        <w:rPr>
          <w:rFonts w:ascii="Times New Roman" w:hAnsi="Times New Roman" w:cs="Times New Roman"/>
          <w:sz w:val="24"/>
          <w:szCs w:val="24"/>
        </w:rPr>
        <w:t xml:space="preserve">combustion turbine </w:t>
      </w:r>
      <w:r w:rsidR="00EE0D07" w:rsidRPr="002876FB">
        <w:rPr>
          <w:rFonts w:ascii="Times New Roman" w:hAnsi="Times New Roman" w:cs="Times New Roman"/>
          <w:sz w:val="24"/>
          <w:szCs w:val="24"/>
        </w:rPr>
        <w:t>(CCCT</w:t>
      </w:r>
      <w:r w:rsidR="002876FB">
        <w:rPr>
          <w:rFonts w:ascii="Times New Roman" w:hAnsi="Times New Roman" w:cs="Times New Roman"/>
          <w:sz w:val="24"/>
          <w:szCs w:val="24"/>
        </w:rPr>
        <w:t>)</w:t>
      </w:r>
      <w:r w:rsidR="00EE0D07" w:rsidRPr="002876FB">
        <w:rPr>
          <w:rFonts w:ascii="Times New Roman" w:hAnsi="Times New Roman" w:cs="Times New Roman"/>
          <w:sz w:val="24"/>
          <w:szCs w:val="24"/>
        </w:rPr>
        <w:t xml:space="preserve"> </w:t>
      </w:r>
      <w:r w:rsidR="000C210D" w:rsidRPr="002876FB">
        <w:rPr>
          <w:rFonts w:ascii="Times New Roman" w:hAnsi="Times New Roman" w:cs="Times New Roman"/>
          <w:sz w:val="24"/>
          <w:szCs w:val="24"/>
        </w:rPr>
        <w:t xml:space="preserve">capacity in </w:t>
      </w:r>
      <w:r w:rsidR="0002353E">
        <w:rPr>
          <w:rFonts w:ascii="Times New Roman" w:hAnsi="Times New Roman" w:cs="Times New Roman"/>
          <w:sz w:val="24"/>
          <w:szCs w:val="24"/>
        </w:rPr>
        <w:t xml:space="preserve">each of the </w:t>
      </w:r>
      <w:r w:rsidR="000C210D" w:rsidRPr="002876FB">
        <w:rPr>
          <w:rFonts w:ascii="Times New Roman" w:hAnsi="Times New Roman" w:cs="Times New Roman"/>
          <w:sz w:val="24"/>
          <w:szCs w:val="24"/>
        </w:rPr>
        <w:t>years 2014, 2016</w:t>
      </w:r>
      <w:r w:rsidR="00080EB2">
        <w:rPr>
          <w:rFonts w:ascii="Times New Roman" w:hAnsi="Times New Roman" w:cs="Times New Roman"/>
          <w:sz w:val="24"/>
          <w:szCs w:val="24"/>
        </w:rPr>
        <w:t>,</w:t>
      </w:r>
      <w:r w:rsidR="000C210D" w:rsidRPr="002876FB">
        <w:rPr>
          <w:rFonts w:ascii="Times New Roman" w:hAnsi="Times New Roman" w:cs="Times New Roman"/>
          <w:sz w:val="24"/>
          <w:szCs w:val="24"/>
        </w:rPr>
        <w:t xml:space="preserve"> and 2019.  The 2014 and 2016 plants are modeled in the Utah service area.</w:t>
      </w:r>
      <w:r w:rsidR="000C210D" w:rsidRPr="00420536">
        <w:rPr>
          <w:rFonts w:ascii="Times New Roman" w:hAnsi="Times New Roman" w:cs="Times New Roman"/>
          <w:sz w:val="24"/>
          <w:szCs w:val="24"/>
        </w:rPr>
        <w:t xml:space="preserve"> </w:t>
      </w:r>
      <w:r w:rsidR="00EE0D07" w:rsidRPr="00420536">
        <w:rPr>
          <w:rFonts w:ascii="Times New Roman" w:hAnsi="Times New Roman" w:cs="Times New Roman"/>
          <w:sz w:val="24"/>
          <w:szCs w:val="24"/>
        </w:rPr>
        <w:t xml:space="preserve"> </w:t>
      </w:r>
      <w:r w:rsidR="000C210D" w:rsidRPr="00420536">
        <w:rPr>
          <w:rFonts w:ascii="Times New Roman" w:hAnsi="Times New Roman" w:cs="Times New Roman"/>
          <w:sz w:val="24"/>
          <w:szCs w:val="24"/>
        </w:rPr>
        <w:t xml:space="preserve">The Plan fails to </w:t>
      </w:r>
      <w:r w:rsidR="000821AA" w:rsidRPr="00420536">
        <w:rPr>
          <w:rFonts w:ascii="Times New Roman" w:hAnsi="Times New Roman" w:cs="Times New Roman"/>
          <w:sz w:val="24"/>
          <w:szCs w:val="24"/>
        </w:rPr>
        <w:t xml:space="preserve">clearly and </w:t>
      </w:r>
      <w:r w:rsidR="009D6FFA" w:rsidRPr="00420536">
        <w:rPr>
          <w:rFonts w:ascii="Times New Roman" w:hAnsi="Times New Roman" w:cs="Times New Roman"/>
          <w:sz w:val="24"/>
          <w:szCs w:val="24"/>
        </w:rPr>
        <w:t xml:space="preserve">explicitly </w:t>
      </w:r>
      <w:r w:rsidR="000821AA" w:rsidRPr="00420536">
        <w:rPr>
          <w:rFonts w:ascii="Times New Roman" w:hAnsi="Times New Roman" w:cs="Times New Roman"/>
          <w:sz w:val="24"/>
          <w:szCs w:val="24"/>
        </w:rPr>
        <w:t xml:space="preserve">state </w:t>
      </w:r>
      <w:r w:rsidR="009D6FFA" w:rsidRPr="00420536">
        <w:rPr>
          <w:rFonts w:ascii="Times New Roman" w:hAnsi="Times New Roman" w:cs="Times New Roman"/>
          <w:sz w:val="24"/>
          <w:szCs w:val="24"/>
        </w:rPr>
        <w:t xml:space="preserve">the </w:t>
      </w:r>
      <w:r w:rsidR="00EE63C0" w:rsidRPr="00420536">
        <w:rPr>
          <w:rFonts w:ascii="Times New Roman" w:hAnsi="Times New Roman" w:cs="Times New Roman"/>
          <w:sz w:val="24"/>
          <w:szCs w:val="24"/>
        </w:rPr>
        <w:t xml:space="preserve">location </w:t>
      </w:r>
      <w:r w:rsidR="000821AA" w:rsidRPr="00420536">
        <w:rPr>
          <w:rFonts w:ascii="Times New Roman" w:hAnsi="Times New Roman" w:cs="Times New Roman"/>
          <w:sz w:val="24"/>
          <w:szCs w:val="24"/>
        </w:rPr>
        <w:t>it models</w:t>
      </w:r>
      <w:r w:rsidR="00EE63C0" w:rsidRPr="00E533DF">
        <w:rPr>
          <w:rFonts w:ascii="Times New Roman" w:hAnsi="Times New Roman" w:cs="Times New Roman"/>
          <w:sz w:val="24"/>
          <w:szCs w:val="24"/>
        </w:rPr>
        <w:t xml:space="preserve"> for the </w:t>
      </w:r>
      <w:r w:rsidR="00EE0D07" w:rsidRPr="00E533DF">
        <w:rPr>
          <w:rFonts w:ascii="Times New Roman" w:hAnsi="Times New Roman" w:cs="Times New Roman"/>
          <w:sz w:val="24"/>
          <w:szCs w:val="24"/>
        </w:rPr>
        <w:t>2019 CCCT</w:t>
      </w:r>
      <w:r w:rsidR="009D6FFA" w:rsidRPr="00E533DF">
        <w:rPr>
          <w:rFonts w:ascii="Times New Roman" w:hAnsi="Times New Roman" w:cs="Times New Roman"/>
          <w:sz w:val="24"/>
          <w:szCs w:val="24"/>
        </w:rPr>
        <w:t xml:space="preserve"> additio</w:t>
      </w:r>
      <w:r w:rsidR="00757859">
        <w:rPr>
          <w:rFonts w:ascii="Times New Roman" w:hAnsi="Times New Roman" w:cs="Times New Roman"/>
          <w:sz w:val="24"/>
          <w:szCs w:val="24"/>
        </w:rPr>
        <w:t>n but its location can be deduc</w:t>
      </w:r>
      <w:r w:rsidR="009D6FFA" w:rsidRPr="00E533DF">
        <w:rPr>
          <w:rFonts w:ascii="Times New Roman" w:hAnsi="Times New Roman" w:cs="Times New Roman"/>
          <w:sz w:val="24"/>
          <w:szCs w:val="24"/>
        </w:rPr>
        <w:t xml:space="preserve">ed </w:t>
      </w:r>
      <w:r w:rsidR="000800E0">
        <w:rPr>
          <w:rFonts w:ascii="Times New Roman" w:hAnsi="Times New Roman" w:cs="Times New Roman"/>
          <w:sz w:val="24"/>
          <w:szCs w:val="24"/>
        </w:rPr>
        <w:t>from comparing Figure 4.4 with T</w:t>
      </w:r>
      <w:r w:rsidR="009D6FFA" w:rsidRPr="00E533DF">
        <w:rPr>
          <w:rFonts w:ascii="Times New Roman" w:hAnsi="Times New Roman" w:cs="Times New Roman"/>
          <w:sz w:val="24"/>
          <w:szCs w:val="24"/>
        </w:rPr>
        <w:t>able ES.3</w:t>
      </w:r>
      <w:r w:rsidR="00EE0D07" w:rsidRPr="00E533DF">
        <w:rPr>
          <w:rFonts w:ascii="Times New Roman" w:hAnsi="Times New Roman" w:cs="Times New Roman"/>
          <w:sz w:val="24"/>
          <w:szCs w:val="24"/>
        </w:rPr>
        <w:t xml:space="preserve">. </w:t>
      </w:r>
      <w:r w:rsidR="000C210D" w:rsidRPr="00E533DF">
        <w:rPr>
          <w:rFonts w:ascii="Times New Roman" w:hAnsi="Times New Roman" w:cs="Times New Roman"/>
          <w:sz w:val="24"/>
          <w:szCs w:val="24"/>
        </w:rPr>
        <w:t xml:space="preserve"> </w:t>
      </w:r>
      <w:r w:rsidR="000C210D" w:rsidRPr="002876FB">
        <w:rPr>
          <w:rFonts w:ascii="Times New Roman" w:hAnsi="Times New Roman" w:cs="Times New Roman"/>
          <w:sz w:val="24"/>
          <w:szCs w:val="24"/>
        </w:rPr>
        <w:t>The Plan does not discuss how the CCCT</w:t>
      </w:r>
      <w:r w:rsidR="000F0C82" w:rsidRPr="002876FB">
        <w:rPr>
          <w:rFonts w:ascii="Times New Roman" w:hAnsi="Times New Roman" w:cs="Times New Roman"/>
          <w:sz w:val="24"/>
          <w:szCs w:val="24"/>
        </w:rPr>
        <w:t xml:space="preserve"> resources</w:t>
      </w:r>
      <w:r w:rsidR="000C210D" w:rsidRPr="002876FB">
        <w:rPr>
          <w:rFonts w:ascii="Times New Roman" w:hAnsi="Times New Roman" w:cs="Times New Roman"/>
          <w:sz w:val="24"/>
          <w:szCs w:val="24"/>
        </w:rPr>
        <w:t xml:space="preserve"> called for in the Plan could be used to meet </w:t>
      </w:r>
      <w:r w:rsidR="000F0C82" w:rsidRPr="002876FB">
        <w:rPr>
          <w:rFonts w:ascii="Times New Roman" w:hAnsi="Times New Roman" w:cs="Times New Roman"/>
          <w:sz w:val="24"/>
          <w:szCs w:val="24"/>
        </w:rPr>
        <w:t xml:space="preserve">the </w:t>
      </w:r>
      <w:r w:rsidR="000C210D" w:rsidRPr="002876FB">
        <w:rPr>
          <w:rFonts w:ascii="Times New Roman" w:hAnsi="Times New Roman" w:cs="Times New Roman"/>
          <w:sz w:val="24"/>
          <w:szCs w:val="24"/>
        </w:rPr>
        <w:t xml:space="preserve">capacity needs of the </w:t>
      </w:r>
      <w:r w:rsidR="000F0C82" w:rsidRPr="002876FB">
        <w:rPr>
          <w:rFonts w:ascii="Times New Roman" w:hAnsi="Times New Roman" w:cs="Times New Roman"/>
          <w:sz w:val="24"/>
          <w:szCs w:val="24"/>
        </w:rPr>
        <w:t>E</w:t>
      </w:r>
      <w:r w:rsidR="000C210D" w:rsidRPr="002876FB">
        <w:rPr>
          <w:rFonts w:ascii="Times New Roman" w:hAnsi="Times New Roman" w:cs="Times New Roman"/>
          <w:sz w:val="24"/>
          <w:szCs w:val="24"/>
        </w:rPr>
        <w:t xml:space="preserve">ast and </w:t>
      </w:r>
      <w:r w:rsidR="000F0C82" w:rsidRPr="002876FB">
        <w:rPr>
          <w:rFonts w:ascii="Times New Roman" w:hAnsi="Times New Roman" w:cs="Times New Roman"/>
          <w:sz w:val="24"/>
          <w:szCs w:val="24"/>
        </w:rPr>
        <w:t>W</w:t>
      </w:r>
      <w:r w:rsidR="000C210D" w:rsidRPr="002876FB">
        <w:rPr>
          <w:rFonts w:ascii="Times New Roman" w:hAnsi="Times New Roman" w:cs="Times New Roman"/>
          <w:sz w:val="24"/>
          <w:szCs w:val="24"/>
        </w:rPr>
        <w:t xml:space="preserve">est </w:t>
      </w:r>
      <w:r w:rsidR="000F0C82" w:rsidRPr="002876FB">
        <w:rPr>
          <w:rFonts w:ascii="Times New Roman" w:hAnsi="Times New Roman" w:cs="Times New Roman"/>
          <w:sz w:val="24"/>
          <w:szCs w:val="24"/>
        </w:rPr>
        <w:t>C</w:t>
      </w:r>
      <w:r w:rsidR="000C210D" w:rsidRPr="002876FB">
        <w:rPr>
          <w:rFonts w:ascii="Times New Roman" w:hAnsi="Times New Roman" w:cs="Times New Roman"/>
          <w:sz w:val="24"/>
          <w:szCs w:val="24"/>
        </w:rPr>
        <w:t xml:space="preserve">ontrol </w:t>
      </w:r>
      <w:r w:rsidR="005D39E4">
        <w:rPr>
          <w:rFonts w:ascii="Times New Roman" w:hAnsi="Times New Roman" w:cs="Times New Roman"/>
          <w:sz w:val="24"/>
          <w:szCs w:val="24"/>
        </w:rPr>
        <w:t>A</w:t>
      </w:r>
      <w:r w:rsidR="000C210D" w:rsidRPr="002876FB">
        <w:rPr>
          <w:rFonts w:ascii="Times New Roman" w:hAnsi="Times New Roman" w:cs="Times New Roman"/>
          <w:sz w:val="24"/>
          <w:szCs w:val="24"/>
        </w:rPr>
        <w:t xml:space="preserve">reas under different Gateway project scenarios. </w:t>
      </w:r>
    </w:p>
    <w:p w:rsidR="00757859" w:rsidRDefault="00EE0D07">
      <w:pPr>
        <w:rPr>
          <w:rFonts w:ascii="Times New Roman" w:hAnsi="Times New Roman" w:cs="Times New Roman"/>
          <w:sz w:val="24"/>
          <w:szCs w:val="24"/>
        </w:rPr>
      </w:pPr>
      <w:r w:rsidRPr="00115C3F">
        <w:rPr>
          <w:rFonts w:ascii="Times New Roman" w:hAnsi="Times New Roman" w:cs="Times New Roman"/>
          <w:sz w:val="24"/>
          <w:szCs w:val="24"/>
        </w:rPr>
        <w:t>Similarly, t</w:t>
      </w:r>
      <w:r w:rsidR="006E0D06" w:rsidRPr="00115C3F">
        <w:rPr>
          <w:rFonts w:ascii="Times New Roman" w:hAnsi="Times New Roman" w:cs="Times New Roman"/>
          <w:sz w:val="24"/>
          <w:szCs w:val="24"/>
        </w:rPr>
        <w:t>he use</w:t>
      </w:r>
      <w:r w:rsidR="000F0C82" w:rsidRPr="002876FB">
        <w:rPr>
          <w:rFonts w:ascii="Times New Roman" w:hAnsi="Times New Roman" w:cs="Times New Roman"/>
          <w:sz w:val="24"/>
          <w:szCs w:val="24"/>
        </w:rPr>
        <w:t>s</w:t>
      </w:r>
      <w:r w:rsidR="006E0D06" w:rsidRPr="002876FB">
        <w:rPr>
          <w:rFonts w:ascii="Times New Roman" w:hAnsi="Times New Roman" w:cs="Times New Roman"/>
          <w:sz w:val="24"/>
          <w:szCs w:val="24"/>
        </w:rPr>
        <w:t xml:space="preserve"> and benefits to </w:t>
      </w:r>
      <w:r w:rsidR="00123FC9" w:rsidRPr="002876FB">
        <w:rPr>
          <w:rFonts w:ascii="Times New Roman" w:hAnsi="Times New Roman" w:cs="Times New Roman"/>
          <w:sz w:val="24"/>
          <w:szCs w:val="24"/>
        </w:rPr>
        <w:t>PacifiCorp</w:t>
      </w:r>
      <w:r w:rsidR="006E0D06" w:rsidRPr="002876FB">
        <w:rPr>
          <w:rFonts w:ascii="Times New Roman" w:hAnsi="Times New Roman" w:cs="Times New Roman"/>
          <w:sz w:val="24"/>
          <w:szCs w:val="24"/>
        </w:rPr>
        <w:t xml:space="preserve"> </w:t>
      </w:r>
      <w:r w:rsidR="00F82C44" w:rsidRPr="002876FB">
        <w:rPr>
          <w:rFonts w:ascii="Times New Roman" w:hAnsi="Times New Roman" w:cs="Times New Roman"/>
          <w:sz w:val="24"/>
          <w:szCs w:val="24"/>
        </w:rPr>
        <w:t>ratepayers of the Wallula</w:t>
      </w:r>
      <w:r w:rsidR="000F0C82" w:rsidRPr="002876FB">
        <w:rPr>
          <w:rFonts w:ascii="Times New Roman" w:hAnsi="Times New Roman" w:cs="Times New Roman"/>
          <w:sz w:val="24"/>
          <w:szCs w:val="24"/>
        </w:rPr>
        <w:t>-</w:t>
      </w:r>
      <w:r w:rsidR="00F82C44" w:rsidRPr="002876FB">
        <w:rPr>
          <w:rFonts w:ascii="Times New Roman" w:hAnsi="Times New Roman" w:cs="Times New Roman"/>
          <w:sz w:val="24"/>
          <w:szCs w:val="24"/>
        </w:rPr>
        <w:t>to</w:t>
      </w:r>
      <w:r w:rsidR="000F0C82" w:rsidRPr="002876FB">
        <w:rPr>
          <w:rFonts w:ascii="Times New Roman" w:hAnsi="Times New Roman" w:cs="Times New Roman"/>
          <w:sz w:val="24"/>
          <w:szCs w:val="24"/>
        </w:rPr>
        <w:t>-</w:t>
      </w:r>
      <w:r w:rsidR="00F82C44" w:rsidRPr="002876FB">
        <w:rPr>
          <w:rFonts w:ascii="Times New Roman" w:hAnsi="Times New Roman" w:cs="Times New Roman"/>
          <w:sz w:val="24"/>
          <w:szCs w:val="24"/>
        </w:rPr>
        <w:t>McN</w:t>
      </w:r>
      <w:r w:rsidR="006E0D06" w:rsidRPr="002876FB">
        <w:rPr>
          <w:rFonts w:ascii="Times New Roman" w:hAnsi="Times New Roman" w:cs="Times New Roman"/>
          <w:sz w:val="24"/>
          <w:szCs w:val="24"/>
        </w:rPr>
        <w:t xml:space="preserve">ary line </w:t>
      </w:r>
      <w:r w:rsidR="002876FB">
        <w:rPr>
          <w:rFonts w:ascii="Times New Roman" w:hAnsi="Times New Roman" w:cs="Times New Roman"/>
          <w:sz w:val="24"/>
          <w:szCs w:val="24"/>
        </w:rPr>
        <w:t>are</w:t>
      </w:r>
      <w:r w:rsidR="006E0D06" w:rsidRPr="002876FB">
        <w:rPr>
          <w:rFonts w:ascii="Times New Roman" w:hAnsi="Times New Roman" w:cs="Times New Roman"/>
          <w:sz w:val="24"/>
          <w:szCs w:val="24"/>
        </w:rPr>
        <w:t xml:space="preserve"> not clearly described in the Plan.  </w:t>
      </w:r>
      <w:r w:rsidR="00D13899">
        <w:rPr>
          <w:rFonts w:ascii="Times New Roman" w:hAnsi="Times New Roman" w:cs="Times New Roman"/>
          <w:sz w:val="24"/>
          <w:szCs w:val="24"/>
        </w:rPr>
        <w:t xml:space="preserve">In Chapter 10 (Transmission Expansion Action Plan), the Company briefly describes the several needs that this expansion is meant to satisfy.  These include benefits related to reliability to meet current and expected demand in the Walla Walla area, to address energy constraints on the system, and to facilitate the transmission of variable generating resources to load centers.  While we recognize that the Company is obligated to provide sufficient transmission capacity to interconnect such generators pursuant to FERC policies, the </w:t>
      </w:r>
      <w:r w:rsidR="006E0D06" w:rsidRPr="002876FB">
        <w:rPr>
          <w:rFonts w:ascii="Times New Roman" w:hAnsi="Times New Roman" w:cs="Times New Roman"/>
          <w:sz w:val="24"/>
          <w:szCs w:val="24"/>
        </w:rPr>
        <w:t>IRP</w:t>
      </w:r>
      <w:r w:rsidR="00D13899">
        <w:rPr>
          <w:rFonts w:ascii="Times New Roman" w:hAnsi="Times New Roman" w:cs="Times New Roman"/>
          <w:sz w:val="24"/>
          <w:szCs w:val="24"/>
        </w:rPr>
        <w:t xml:space="preserve"> should conduct a detailed and separate analysis on how this additional transmission capacity benefits native load customers, whether it </w:t>
      </w:r>
      <w:r w:rsidR="001C28E7">
        <w:rPr>
          <w:rFonts w:ascii="Times New Roman" w:hAnsi="Times New Roman" w:cs="Times New Roman"/>
          <w:sz w:val="24"/>
          <w:szCs w:val="24"/>
        </w:rPr>
        <w:t>is</w:t>
      </w:r>
      <w:r w:rsidR="00D13899">
        <w:rPr>
          <w:rFonts w:ascii="Times New Roman" w:hAnsi="Times New Roman" w:cs="Times New Roman"/>
          <w:sz w:val="24"/>
          <w:szCs w:val="24"/>
        </w:rPr>
        <w:t xml:space="preserve"> necessary to meet increased load in this service territory or to provide enhanced reliability.</w:t>
      </w:r>
      <w:r w:rsidR="006E0D06" w:rsidRPr="002876FB">
        <w:rPr>
          <w:rFonts w:ascii="Times New Roman" w:hAnsi="Times New Roman" w:cs="Times New Roman"/>
          <w:sz w:val="24"/>
          <w:szCs w:val="24"/>
        </w:rPr>
        <w:t xml:space="preserve"> </w:t>
      </w:r>
    </w:p>
    <w:p w:rsidR="00757859" w:rsidRDefault="0002353E">
      <w:pPr>
        <w:rPr>
          <w:rFonts w:ascii="Times New Roman" w:hAnsi="Times New Roman" w:cs="Times New Roman"/>
          <w:sz w:val="24"/>
          <w:szCs w:val="24"/>
        </w:rPr>
      </w:pPr>
      <w:r>
        <w:rPr>
          <w:rFonts w:ascii="Times New Roman" w:hAnsi="Times New Roman" w:cs="Times New Roman"/>
          <w:sz w:val="24"/>
          <w:szCs w:val="24"/>
        </w:rPr>
        <w:t>On the question of confidential information, u</w:t>
      </w:r>
      <w:r w:rsidR="00162E61" w:rsidRPr="00E533DF">
        <w:rPr>
          <w:rFonts w:ascii="Times New Roman" w:hAnsi="Times New Roman" w:cs="Times New Roman"/>
          <w:sz w:val="24"/>
          <w:szCs w:val="24"/>
        </w:rPr>
        <w:t>nlike the financial information relating to the interconnection and transmission service request</w:t>
      </w:r>
      <w:r w:rsidR="000F0C82" w:rsidRPr="00E533DF">
        <w:rPr>
          <w:rFonts w:ascii="Times New Roman" w:hAnsi="Times New Roman" w:cs="Times New Roman"/>
          <w:sz w:val="24"/>
          <w:szCs w:val="24"/>
        </w:rPr>
        <w:t>s</w:t>
      </w:r>
      <w:r w:rsidR="000821AA" w:rsidRPr="00E533DF">
        <w:rPr>
          <w:rFonts w:ascii="Times New Roman" w:hAnsi="Times New Roman" w:cs="Times New Roman"/>
          <w:sz w:val="24"/>
          <w:szCs w:val="24"/>
        </w:rPr>
        <w:t xml:space="preserve"> of third parties</w:t>
      </w:r>
      <w:r w:rsidR="00162E61" w:rsidRPr="00E533DF">
        <w:rPr>
          <w:rFonts w:ascii="Times New Roman" w:hAnsi="Times New Roman" w:cs="Times New Roman"/>
          <w:sz w:val="24"/>
          <w:szCs w:val="24"/>
        </w:rPr>
        <w:t>, the financial analysis of native load benefit is not required to be ke</w:t>
      </w:r>
      <w:r w:rsidR="00F82C44" w:rsidRPr="00E533DF">
        <w:rPr>
          <w:rFonts w:ascii="Times New Roman" w:hAnsi="Times New Roman" w:cs="Times New Roman"/>
          <w:sz w:val="24"/>
          <w:szCs w:val="24"/>
        </w:rPr>
        <w:t>pt confidential by any regulatory</w:t>
      </w:r>
      <w:r w:rsidR="00162E61" w:rsidRPr="00E533DF">
        <w:rPr>
          <w:rFonts w:ascii="Times New Roman" w:hAnsi="Times New Roman" w:cs="Times New Roman"/>
          <w:sz w:val="24"/>
          <w:szCs w:val="24"/>
        </w:rPr>
        <w:t xml:space="preserve"> body or contractual obligation.  If </w:t>
      </w:r>
      <w:r w:rsidR="00F82C44" w:rsidRPr="00E533DF">
        <w:rPr>
          <w:rFonts w:ascii="Times New Roman" w:hAnsi="Times New Roman" w:cs="Times New Roman"/>
          <w:sz w:val="24"/>
          <w:szCs w:val="24"/>
        </w:rPr>
        <w:t xml:space="preserve">there is a </w:t>
      </w:r>
      <w:r>
        <w:rPr>
          <w:rFonts w:ascii="Times New Roman" w:hAnsi="Times New Roman" w:cs="Times New Roman"/>
          <w:sz w:val="24"/>
          <w:szCs w:val="24"/>
        </w:rPr>
        <w:t xml:space="preserve">commercial </w:t>
      </w:r>
      <w:r w:rsidR="00F82C44" w:rsidRPr="00E533DF">
        <w:rPr>
          <w:rFonts w:ascii="Times New Roman" w:hAnsi="Times New Roman" w:cs="Times New Roman"/>
          <w:sz w:val="24"/>
          <w:szCs w:val="24"/>
        </w:rPr>
        <w:t xml:space="preserve">need to keep </w:t>
      </w:r>
      <w:r w:rsidR="000F0C82" w:rsidRPr="00E533DF">
        <w:rPr>
          <w:rFonts w:ascii="Times New Roman" w:hAnsi="Times New Roman" w:cs="Times New Roman"/>
          <w:sz w:val="24"/>
          <w:szCs w:val="24"/>
        </w:rPr>
        <w:t xml:space="preserve">such information </w:t>
      </w:r>
      <w:r w:rsidR="00F82C44" w:rsidRPr="00E533DF">
        <w:rPr>
          <w:rFonts w:ascii="Times New Roman" w:hAnsi="Times New Roman" w:cs="Times New Roman"/>
          <w:sz w:val="24"/>
          <w:szCs w:val="24"/>
        </w:rPr>
        <w:t>confidential</w:t>
      </w:r>
      <w:r w:rsidR="000F0C82" w:rsidRPr="00E533DF">
        <w:rPr>
          <w:rFonts w:ascii="Times New Roman" w:hAnsi="Times New Roman" w:cs="Times New Roman"/>
          <w:sz w:val="24"/>
          <w:szCs w:val="24"/>
        </w:rPr>
        <w:t>,</w:t>
      </w:r>
      <w:r w:rsidR="00162E61" w:rsidRPr="00E533DF">
        <w:rPr>
          <w:rFonts w:ascii="Times New Roman" w:hAnsi="Times New Roman" w:cs="Times New Roman"/>
          <w:sz w:val="24"/>
          <w:szCs w:val="24"/>
        </w:rPr>
        <w:t xml:space="preserve"> </w:t>
      </w:r>
      <w:r w:rsidR="00F82C44" w:rsidRPr="00E533DF">
        <w:rPr>
          <w:rFonts w:ascii="Times New Roman" w:hAnsi="Times New Roman" w:cs="Times New Roman"/>
          <w:sz w:val="24"/>
          <w:szCs w:val="24"/>
        </w:rPr>
        <w:t xml:space="preserve">it must still be part of the IRP analysis and preserved with the </w:t>
      </w:r>
      <w:r w:rsidR="000F0C82" w:rsidRPr="00E533DF">
        <w:rPr>
          <w:rFonts w:ascii="Times New Roman" w:hAnsi="Times New Roman" w:cs="Times New Roman"/>
          <w:sz w:val="24"/>
          <w:szCs w:val="24"/>
        </w:rPr>
        <w:t>C</w:t>
      </w:r>
      <w:r w:rsidR="00F82C44" w:rsidRPr="00E533DF">
        <w:rPr>
          <w:rFonts w:ascii="Times New Roman" w:hAnsi="Times New Roman" w:cs="Times New Roman"/>
          <w:sz w:val="24"/>
          <w:szCs w:val="24"/>
        </w:rPr>
        <w:t>ompany’s record.</w:t>
      </w:r>
      <w:r w:rsidR="00162E61" w:rsidRPr="00E533DF">
        <w:rPr>
          <w:rFonts w:ascii="Times New Roman" w:hAnsi="Times New Roman" w:cs="Times New Roman"/>
          <w:sz w:val="24"/>
          <w:szCs w:val="24"/>
        </w:rPr>
        <w:t xml:space="preserve"> </w:t>
      </w:r>
      <w:r w:rsidR="006E0D06" w:rsidRPr="00E533DF">
        <w:rPr>
          <w:rFonts w:ascii="Times New Roman" w:hAnsi="Times New Roman" w:cs="Times New Roman"/>
          <w:sz w:val="24"/>
          <w:szCs w:val="24"/>
        </w:rPr>
        <w:t xml:space="preserve"> </w:t>
      </w:r>
    </w:p>
    <w:p w:rsidR="00CF6AE4" w:rsidRPr="0089608A" w:rsidRDefault="000F0C82">
      <w:pPr>
        <w:rPr>
          <w:rFonts w:ascii="Times New Roman" w:hAnsi="Times New Roman" w:cs="Times New Roman"/>
          <w:sz w:val="24"/>
          <w:szCs w:val="24"/>
        </w:rPr>
      </w:pPr>
      <w:r w:rsidRPr="00E533DF">
        <w:rPr>
          <w:rFonts w:ascii="Times New Roman" w:hAnsi="Times New Roman" w:cs="Times New Roman"/>
          <w:sz w:val="24"/>
          <w:szCs w:val="24"/>
        </w:rPr>
        <w:t>I</w:t>
      </w:r>
      <w:r w:rsidR="00F82C44" w:rsidRPr="00E533DF">
        <w:rPr>
          <w:rFonts w:ascii="Times New Roman" w:hAnsi="Times New Roman" w:cs="Times New Roman"/>
          <w:sz w:val="24"/>
          <w:szCs w:val="24"/>
        </w:rPr>
        <w:t xml:space="preserve">n discussing </w:t>
      </w:r>
      <w:r w:rsidR="000800E0">
        <w:rPr>
          <w:rFonts w:ascii="Times New Roman" w:hAnsi="Times New Roman" w:cs="Times New Roman"/>
          <w:sz w:val="24"/>
          <w:szCs w:val="24"/>
        </w:rPr>
        <w:t xml:space="preserve">the </w:t>
      </w:r>
      <w:r w:rsidR="00F82C44" w:rsidRPr="00E533DF">
        <w:rPr>
          <w:rFonts w:ascii="Times New Roman" w:hAnsi="Times New Roman" w:cs="Times New Roman"/>
          <w:sz w:val="24"/>
          <w:szCs w:val="24"/>
        </w:rPr>
        <w:t xml:space="preserve">Gateway transmission line options west of </w:t>
      </w:r>
      <w:proofErr w:type="gramStart"/>
      <w:r w:rsidR="00F82C44" w:rsidRPr="00E533DF">
        <w:rPr>
          <w:rFonts w:ascii="Times New Roman" w:hAnsi="Times New Roman" w:cs="Times New Roman"/>
          <w:sz w:val="24"/>
          <w:szCs w:val="24"/>
        </w:rPr>
        <w:t>He</w:t>
      </w:r>
      <w:r w:rsidR="0002353E">
        <w:rPr>
          <w:rFonts w:ascii="Times New Roman" w:hAnsi="Times New Roman" w:cs="Times New Roman"/>
          <w:sz w:val="24"/>
          <w:szCs w:val="24"/>
        </w:rPr>
        <w:t>m</w:t>
      </w:r>
      <w:r w:rsidR="00F82C44" w:rsidRPr="00E533DF">
        <w:rPr>
          <w:rFonts w:ascii="Times New Roman" w:hAnsi="Times New Roman" w:cs="Times New Roman"/>
          <w:sz w:val="24"/>
          <w:szCs w:val="24"/>
        </w:rPr>
        <w:t>ingway</w:t>
      </w:r>
      <w:r w:rsidR="00123FC9" w:rsidRPr="00E533DF">
        <w:rPr>
          <w:rFonts w:ascii="Times New Roman" w:hAnsi="Times New Roman" w:cs="Times New Roman"/>
          <w:sz w:val="24"/>
          <w:szCs w:val="24"/>
        </w:rPr>
        <w:t>,</w:t>
      </w:r>
      <w:proofErr w:type="gramEnd"/>
      <w:r w:rsidR="00123FC9" w:rsidRPr="00E533DF">
        <w:rPr>
          <w:rFonts w:ascii="Times New Roman" w:hAnsi="Times New Roman" w:cs="Times New Roman"/>
          <w:sz w:val="24"/>
          <w:szCs w:val="24"/>
        </w:rPr>
        <w:t xml:space="preserve"> </w:t>
      </w:r>
      <w:r w:rsidR="00F82C44" w:rsidRPr="00E533DF">
        <w:rPr>
          <w:rFonts w:ascii="Times New Roman" w:hAnsi="Times New Roman" w:cs="Times New Roman"/>
          <w:sz w:val="24"/>
          <w:szCs w:val="24"/>
        </w:rPr>
        <w:t xml:space="preserve">the Company discusses the </w:t>
      </w:r>
      <w:r w:rsidR="00123FC9" w:rsidRPr="00E533DF">
        <w:rPr>
          <w:rFonts w:ascii="Times New Roman" w:hAnsi="Times New Roman" w:cs="Times New Roman"/>
          <w:sz w:val="24"/>
          <w:szCs w:val="24"/>
        </w:rPr>
        <w:t xml:space="preserve">dependence of the project </w:t>
      </w:r>
      <w:r w:rsidR="00F82C44" w:rsidRPr="00E533DF">
        <w:rPr>
          <w:rFonts w:ascii="Times New Roman" w:hAnsi="Times New Roman" w:cs="Times New Roman"/>
          <w:sz w:val="24"/>
          <w:szCs w:val="24"/>
        </w:rPr>
        <w:t>economics on other regional transmission plans</w:t>
      </w:r>
      <w:r w:rsidR="00123FC9" w:rsidRPr="00115C3F">
        <w:rPr>
          <w:rFonts w:ascii="Times New Roman" w:hAnsi="Times New Roman" w:cs="Times New Roman"/>
          <w:sz w:val="24"/>
          <w:szCs w:val="24"/>
        </w:rPr>
        <w:t>.</w:t>
      </w:r>
      <w:r w:rsidR="0002353E">
        <w:rPr>
          <w:rStyle w:val="FootnoteReference"/>
          <w:rFonts w:ascii="Times New Roman" w:hAnsi="Times New Roman" w:cs="Times New Roman"/>
          <w:sz w:val="24"/>
          <w:szCs w:val="24"/>
        </w:rPr>
        <w:footnoteReference w:id="3"/>
      </w:r>
      <w:r w:rsidR="00123FC9" w:rsidRPr="00115C3F">
        <w:rPr>
          <w:rFonts w:ascii="Times New Roman" w:hAnsi="Times New Roman" w:cs="Times New Roman"/>
          <w:sz w:val="24"/>
          <w:szCs w:val="24"/>
        </w:rPr>
        <w:t xml:space="preserve">  At a minimum, we encourage the Company to participat</w:t>
      </w:r>
      <w:r w:rsidR="00CE64E3">
        <w:rPr>
          <w:rFonts w:ascii="Times New Roman" w:hAnsi="Times New Roman" w:cs="Times New Roman"/>
          <w:sz w:val="24"/>
          <w:szCs w:val="24"/>
        </w:rPr>
        <w:t xml:space="preserve">e actively </w:t>
      </w:r>
      <w:r w:rsidR="00123FC9" w:rsidRPr="00115C3F">
        <w:rPr>
          <w:rFonts w:ascii="Times New Roman" w:hAnsi="Times New Roman" w:cs="Times New Roman"/>
          <w:sz w:val="24"/>
          <w:szCs w:val="24"/>
        </w:rPr>
        <w:t xml:space="preserve">in </w:t>
      </w:r>
      <w:r w:rsidR="00CE64E3">
        <w:rPr>
          <w:rFonts w:ascii="Times New Roman" w:hAnsi="Times New Roman" w:cs="Times New Roman"/>
          <w:sz w:val="24"/>
          <w:szCs w:val="24"/>
        </w:rPr>
        <w:t xml:space="preserve">the various regional and sub-regional </w:t>
      </w:r>
      <w:r w:rsidR="00123FC9" w:rsidRPr="0089608A">
        <w:rPr>
          <w:rFonts w:ascii="Times New Roman" w:hAnsi="Times New Roman" w:cs="Times New Roman"/>
          <w:sz w:val="24"/>
          <w:szCs w:val="24"/>
        </w:rPr>
        <w:t xml:space="preserve">transmission planning </w:t>
      </w:r>
      <w:r w:rsidR="00F32472">
        <w:rPr>
          <w:rFonts w:ascii="Times New Roman" w:hAnsi="Times New Roman" w:cs="Times New Roman"/>
          <w:sz w:val="24"/>
          <w:szCs w:val="24"/>
        </w:rPr>
        <w:t>efforts</w:t>
      </w:r>
      <w:r w:rsidR="00CE64E3">
        <w:rPr>
          <w:rFonts w:ascii="Times New Roman" w:hAnsi="Times New Roman" w:cs="Times New Roman"/>
          <w:sz w:val="24"/>
          <w:szCs w:val="24"/>
        </w:rPr>
        <w:t xml:space="preserve"> currently underway</w:t>
      </w:r>
      <w:r w:rsidR="00F32472">
        <w:rPr>
          <w:rFonts w:ascii="Times New Roman" w:hAnsi="Times New Roman" w:cs="Times New Roman"/>
          <w:sz w:val="24"/>
          <w:szCs w:val="24"/>
        </w:rPr>
        <w:t xml:space="preserve"> that are relevant to Hemmingway </w:t>
      </w:r>
      <w:r w:rsidR="00B54E43" w:rsidRPr="0089608A">
        <w:rPr>
          <w:rFonts w:ascii="Times New Roman" w:hAnsi="Times New Roman" w:cs="Times New Roman"/>
          <w:sz w:val="24"/>
          <w:szCs w:val="24"/>
        </w:rPr>
        <w:t xml:space="preserve">to </w:t>
      </w:r>
      <w:r w:rsidR="00CC16AF" w:rsidRPr="0089608A">
        <w:rPr>
          <w:rFonts w:ascii="Times New Roman" w:hAnsi="Times New Roman" w:cs="Times New Roman"/>
          <w:sz w:val="24"/>
          <w:szCs w:val="24"/>
        </w:rPr>
        <w:t xml:space="preserve">better </w:t>
      </w:r>
      <w:r w:rsidR="00B54E43" w:rsidRPr="0089608A">
        <w:rPr>
          <w:rFonts w:ascii="Times New Roman" w:hAnsi="Times New Roman" w:cs="Times New Roman"/>
          <w:sz w:val="24"/>
          <w:szCs w:val="24"/>
        </w:rPr>
        <w:t>inform its planning.</w:t>
      </w:r>
      <w:r w:rsidR="00123FC9" w:rsidRPr="0089608A">
        <w:rPr>
          <w:rFonts w:ascii="Times New Roman" w:hAnsi="Times New Roman" w:cs="Times New Roman"/>
          <w:sz w:val="24"/>
          <w:szCs w:val="24"/>
        </w:rPr>
        <w:t xml:space="preserve"> </w:t>
      </w:r>
      <w:r w:rsidR="000C210D" w:rsidRPr="0089608A">
        <w:rPr>
          <w:rFonts w:ascii="Times New Roman" w:hAnsi="Times New Roman" w:cs="Times New Roman"/>
          <w:sz w:val="24"/>
          <w:szCs w:val="24"/>
        </w:rPr>
        <w:t xml:space="preserve"> </w:t>
      </w:r>
    </w:p>
    <w:p w:rsidR="00CC16AF" w:rsidRPr="00E533DF" w:rsidRDefault="000F0C82">
      <w:pPr>
        <w:rPr>
          <w:rFonts w:ascii="Times New Roman" w:hAnsi="Times New Roman" w:cs="Times New Roman"/>
          <w:sz w:val="24"/>
          <w:szCs w:val="24"/>
        </w:rPr>
      </w:pPr>
      <w:r w:rsidRPr="0089608A">
        <w:rPr>
          <w:rFonts w:ascii="Times New Roman" w:hAnsi="Times New Roman" w:cs="Times New Roman"/>
          <w:sz w:val="24"/>
          <w:szCs w:val="24"/>
        </w:rPr>
        <w:t>As to the Pl</w:t>
      </w:r>
      <w:r w:rsidRPr="00E533DF">
        <w:rPr>
          <w:rFonts w:ascii="Times New Roman" w:hAnsi="Times New Roman" w:cs="Times New Roman"/>
          <w:sz w:val="24"/>
          <w:szCs w:val="24"/>
        </w:rPr>
        <w:t>an’s evaluation of risk, t</w:t>
      </w:r>
      <w:r w:rsidR="00EE0D07" w:rsidRPr="00E533DF">
        <w:rPr>
          <w:rFonts w:ascii="Times New Roman" w:hAnsi="Times New Roman" w:cs="Times New Roman"/>
          <w:sz w:val="24"/>
          <w:szCs w:val="24"/>
        </w:rPr>
        <w:t xml:space="preserve">he methodology for comparing case results with a graph of the stochastic cost versus upper-tail risk is </w:t>
      </w:r>
      <w:r w:rsidR="000821AA" w:rsidRPr="00E533DF">
        <w:rPr>
          <w:rFonts w:ascii="Times New Roman" w:hAnsi="Times New Roman" w:cs="Times New Roman"/>
          <w:sz w:val="24"/>
          <w:szCs w:val="24"/>
        </w:rPr>
        <w:t xml:space="preserve">a </w:t>
      </w:r>
      <w:r w:rsidR="00EE0D07" w:rsidRPr="00E533DF">
        <w:rPr>
          <w:rFonts w:ascii="Times New Roman" w:hAnsi="Times New Roman" w:cs="Times New Roman"/>
          <w:sz w:val="24"/>
          <w:szCs w:val="24"/>
        </w:rPr>
        <w:t>reasonable</w:t>
      </w:r>
      <w:r w:rsidR="000821AA" w:rsidRPr="00E533DF">
        <w:rPr>
          <w:rFonts w:ascii="Times New Roman" w:hAnsi="Times New Roman" w:cs="Times New Roman"/>
          <w:sz w:val="24"/>
          <w:szCs w:val="24"/>
        </w:rPr>
        <w:t xml:space="preserve"> means of illustrating risk</w:t>
      </w:r>
      <w:r w:rsidR="00EE0D07" w:rsidRPr="00E533DF">
        <w:rPr>
          <w:rFonts w:ascii="Times New Roman" w:hAnsi="Times New Roman" w:cs="Times New Roman"/>
          <w:sz w:val="24"/>
          <w:szCs w:val="24"/>
        </w:rPr>
        <w:t xml:space="preserve">. </w:t>
      </w:r>
      <w:r w:rsidR="000821AA" w:rsidRPr="00E533DF">
        <w:rPr>
          <w:rFonts w:ascii="Times New Roman" w:hAnsi="Times New Roman" w:cs="Times New Roman"/>
          <w:sz w:val="24"/>
          <w:szCs w:val="24"/>
        </w:rPr>
        <w:t xml:space="preserve"> </w:t>
      </w:r>
      <w:r w:rsidR="006B6B73" w:rsidRPr="00E533DF">
        <w:rPr>
          <w:rFonts w:ascii="Times New Roman" w:hAnsi="Times New Roman" w:cs="Times New Roman"/>
          <w:sz w:val="24"/>
          <w:szCs w:val="24"/>
        </w:rPr>
        <w:t>However, i</w:t>
      </w:r>
      <w:r w:rsidR="00EE0D07" w:rsidRPr="00E533DF">
        <w:rPr>
          <w:rFonts w:ascii="Times New Roman" w:hAnsi="Times New Roman" w:cs="Times New Roman"/>
          <w:sz w:val="24"/>
          <w:szCs w:val="24"/>
        </w:rPr>
        <w:t xml:space="preserve">t is and must be accompanied by a discussion of why the </w:t>
      </w:r>
      <w:r w:rsidR="006B6B73" w:rsidRPr="00E533DF">
        <w:rPr>
          <w:rFonts w:ascii="Times New Roman" w:hAnsi="Times New Roman" w:cs="Times New Roman"/>
          <w:sz w:val="24"/>
          <w:szCs w:val="24"/>
        </w:rPr>
        <w:t xml:space="preserve">risk </w:t>
      </w:r>
      <w:r w:rsidR="00EE0D07" w:rsidRPr="00E533DF">
        <w:rPr>
          <w:rFonts w:ascii="Times New Roman" w:hAnsi="Times New Roman" w:cs="Times New Roman"/>
          <w:sz w:val="24"/>
          <w:szCs w:val="24"/>
        </w:rPr>
        <w:t xml:space="preserve">results for each case </w:t>
      </w:r>
      <w:r w:rsidR="008308D6">
        <w:rPr>
          <w:rFonts w:ascii="Times New Roman" w:hAnsi="Times New Roman" w:cs="Times New Roman"/>
          <w:sz w:val="24"/>
          <w:szCs w:val="24"/>
        </w:rPr>
        <w:t>appear</w:t>
      </w:r>
      <w:r w:rsidRPr="00E533DF">
        <w:rPr>
          <w:rFonts w:ascii="Times New Roman" w:hAnsi="Times New Roman" w:cs="Times New Roman"/>
          <w:sz w:val="24"/>
          <w:szCs w:val="24"/>
        </w:rPr>
        <w:t xml:space="preserve"> </w:t>
      </w:r>
      <w:r w:rsidR="00EE0D07" w:rsidRPr="00E533DF">
        <w:rPr>
          <w:rFonts w:ascii="Times New Roman" w:hAnsi="Times New Roman" w:cs="Times New Roman"/>
          <w:sz w:val="24"/>
          <w:szCs w:val="24"/>
        </w:rPr>
        <w:t xml:space="preserve">on the graph where </w:t>
      </w:r>
      <w:r w:rsidR="005D39E4">
        <w:rPr>
          <w:rFonts w:ascii="Times New Roman" w:hAnsi="Times New Roman" w:cs="Times New Roman"/>
          <w:sz w:val="24"/>
          <w:szCs w:val="24"/>
        </w:rPr>
        <w:t>they do</w:t>
      </w:r>
      <w:r w:rsidR="00EE0D07" w:rsidRPr="00E533DF">
        <w:rPr>
          <w:rFonts w:ascii="Times New Roman" w:hAnsi="Times New Roman" w:cs="Times New Roman"/>
          <w:sz w:val="24"/>
          <w:szCs w:val="24"/>
        </w:rPr>
        <w:t xml:space="preserve">.  </w:t>
      </w:r>
    </w:p>
    <w:p w:rsidR="00920E26" w:rsidRPr="00E533DF" w:rsidRDefault="00CC16AF">
      <w:pPr>
        <w:rPr>
          <w:rFonts w:ascii="Times New Roman" w:hAnsi="Times New Roman" w:cs="Times New Roman"/>
          <w:sz w:val="24"/>
          <w:szCs w:val="24"/>
        </w:rPr>
      </w:pPr>
      <w:r w:rsidRPr="00E533DF">
        <w:rPr>
          <w:rFonts w:ascii="Times New Roman" w:hAnsi="Times New Roman" w:cs="Times New Roman"/>
          <w:sz w:val="24"/>
          <w:szCs w:val="24"/>
        </w:rPr>
        <w:t xml:space="preserve">The tail bar </w:t>
      </w:r>
      <w:r w:rsidR="001D02C8" w:rsidRPr="00E533DF">
        <w:rPr>
          <w:rFonts w:ascii="Times New Roman" w:hAnsi="Times New Roman" w:cs="Times New Roman"/>
          <w:sz w:val="24"/>
          <w:szCs w:val="24"/>
        </w:rPr>
        <w:t>analysis</w:t>
      </w:r>
      <w:r w:rsidR="006B6B73" w:rsidRPr="00E533DF">
        <w:rPr>
          <w:rFonts w:ascii="Times New Roman" w:hAnsi="Times New Roman" w:cs="Times New Roman"/>
          <w:sz w:val="24"/>
          <w:szCs w:val="24"/>
        </w:rPr>
        <w:t xml:space="preserve"> of comparing portfolios</w:t>
      </w:r>
      <w:r w:rsidR="00EA1ACD" w:rsidRPr="00E533DF">
        <w:rPr>
          <w:rFonts w:ascii="Times New Roman" w:hAnsi="Times New Roman" w:cs="Times New Roman"/>
          <w:sz w:val="24"/>
          <w:szCs w:val="24"/>
        </w:rPr>
        <w:t xml:space="preserve"> can inform the choice between portfolios</w:t>
      </w:r>
      <w:r w:rsidR="00953EC1">
        <w:rPr>
          <w:rFonts w:ascii="Times New Roman" w:hAnsi="Times New Roman" w:cs="Times New Roman"/>
          <w:sz w:val="24"/>
          <w:szCs w:val="24"/>
        </w:rPr>
        <w:t>.  However,</w:t>
      </w:r>
      <w:r w:rsidR="00EA1ACD" w:rsidRPr="00E533DF">
        <w:rPr>
          <w:rFonts w:ascii="Times New Roman" w:hAnsi="Times New Roman" w:cs="Times New Roman"/>
          <w:sz w:val="24"/>
          <w:szCs w:val="24"/>
        </w:rPr>
        <w:t xml:space="preserve"> it is less clear how it informs </w:t>
      </w:r>
      <w:r w:rsidR="006B6B73" w:rsidRPr="00115C3F">
        <w:rPr>
          <w:rFonts w:ascii="Times New Roman" w:hAnsi="Times New Roman" w:cs="Times New Roman"/>
          <w:sz w:val="24"/>
          <w:szCs w:val="24"/>
        </w:rPr>
        <w:t xml:space="preserve">the </w:t>
      </w:r>
      <w:r w:rsidR="00EA1ACD" w:rsidRPr="007A552A">
        <w:rPr>
          <w:rFonts w:ascii="Times New Roman" w:hAnsi="Times New Roman" w:cs="Times New Roman"/>
          <w:sz w:val="24"/>
          <w:szCs w:val="24"/>
        </w:rPr>
        <w:t>choice of timing of resources within a given portfolio.  The next Plan should contain more analy</w:t>
      </w:r>
      <w:r w:rsidR="000F0C82" w:rsidRPr="00E533DF">
        <w:rPr>
          <w:rFonts w:ascii="Times New Roman" w:hAnsi="Times New Roman" w:cs="Times New Roman"/>
          <w:sz w:val="24"/>
          <w:szCs w:val="24"/>
        </w:rPr>
        <w:t>sis</w:t>
      </w:r>
      <w:r w:rsidR="00EA1ACD" w:rsidRPr="00E533DF">
        <w:rPr>
          <w:rFonts w:ascii="Times New Roman" w:hAnsi="Times New Roman" w:cs="Times New Roman"/>
          <w:sz w:val="24"/>
          <w:szCs w:val="24"/>
        </w:rPr>
        <w:t xml:space="preserve"> and discussion of the timing of the acquisition of the resources called for in the Company’s preferred portfolio. </w:t>
      </w:r>
      <w:r w:rsidR="000F0C82" w:rsidRPr="00E533DF">
        <w:rPr>
          <w:rFonts w:ascii="Times New Roman" w:hAnsi="Times New Roman" w:cs="Times New Roman"/>
          <w:sz w:val="24"/>
          <w:szCs w:val="24"/>
        </w:rPr>
        <w:t xml:space="preserve"> </w:t>
      </w:r>
      <w:r w:rsidR="00EA1ACD" w:rsidRPr="00E533DF">
        <w:rPr>
          <w:rFonts w:ascii="Times New Roman" w:hAnsi="Times New Roman" w:cs="Times New Roman"/>
          <w:sz w:val="24"/>
          <w:szCs w:val="24"/>
        </w:rPr>
        <w:t>For instance</w:t>
      </w:r>
      <w:r w:rsidR="000F0C82" w:rsidRPr="00E533DF">
        <w:rPr>
          <w:rFonts w:ascii="Times New Roman" w:hAnsi="Times New Roman" w:cs="Times New Roman"/>
          <w:sz w:val="24"/>
          <w:szCs w:val="24"/>
        </w:rPr>
        <w:t>,</w:t>
      </w:r>
      <w:r w:rsidR="00115C3F">
        <w:rPr>
          <w:rFonts w:ascii="Times New Roman" w:hAnsi="Times New Roman" w:cs="Times New Roman"/>
          <w:sz w:val="24"/>
          <w:szCs w:val="24"/>
        </w:rPr>
        <w:t xml:space="preserve"> </w:t>
      </w:r>
      <w:r w:rsidR="00EA1ACD" w:rsidRPr="00E533DF">
        <w:rPr>
          <w:rFonts w:ascii="Times New Roman" w:hAnsi="Times New Roman" w:cs="Times New Roman"/>
          <w:sz w:val="24"/>
          <w:szCs w:val="24"/>
        </w:rPr>
        <w:t xml:space="preserve">the Plan could examine how lower load growth </w:t>
      </w:r>
      <w:r w:rsidR="005D39E4">
        <w:rPr>
          <w:rFonts w:ascii="Times New Roman" w:hAnsi="Times New Roman" w:cs="Times New Roman"/>
          <w:sz w:val="24"/>
          <w:szCs w:val="24"/>
        </w:rPr>
        <w:t>a</w:t>
      </w:r>
      <w:r w:rsidR="00EA1ACD" w:rsidRPr="00E533DF">
        <w:rPr>
          <w:rFonts w:ascii="Times New Roman" w:hAnsi="Times New Roman" w:cs="Times New Roman"/>
          <w:sz w:val="24"/>
          <w:szCs w:val="24"/>
        </w:rPr>
        <w:t>ffects resource acquisition or risk</w:t>
      </w:r>
      <w:r w:rsidR="005D39E4">
        <w:rPr>
          <w:rFonts w:ascii="Times New Roman" w:hAnsi="Times New Roman" w:cs="Times New Roman"/>
          <w:sz w:val="24"/>
          <w:szCs w:val="24"/>
        </w:rPr>
        <w:t>-</w:t>
      </w:r>
      <w:r w:rsidR="00EA1ACD" w:rsidRPr="00E533DF">
        <w:rPr>
          <w:rFonts w:ascii="Times New Roman" w:hAnsi="Times New Roman" w:cs="Times New Roman"/>
          <w:sz w:val="24"/>
          <w:szCs w:val="24"/>
        </w:rPr>
        <w:t>to</w:t>
      </w:r>
      <w:r w:rsidR="005D39E4">
        <w:rPr>
          <w:rFonts w:ascii="Times New Roman" w:hAnsi="Times New Roman" w:cs="Times New Roman"/>
          <w:sz w:val="24"/>
          <w:szCs w:val="24"/>
        </w:rPr>
        <w:t>-</w:t>
      </w:r>
      <w:r w:rsidR="00EA1ACD" w:rsidRPr="00E533DF">
        <w:rPr>
          <w:rFonts w:ascii="Times New Roman" w:hAnsi="Times New Roman" w:cs="Times New Roman"/>
          <w:sz w:val="24"/>
          <w:szCs w:val="24"/>
        </w:rPr>
        <w:t xml:space="preserve">market exposure. </w:t>
      </w:r>
    </w:p>
    <w:p w:rsidR="008A3345" w:rsidRDefault="00CE64E3">
      <w:pPr>
        <w:rPr>
          <w:rFonts w:ascii="Times New Roman" w:hAnsi="Times New Roman" w:cs="Times New Roman"/>
          <w:sz w:val="24"/>
          <w:szCs w:val="24"/>
        </w:rPr>
      </w:pPr>
      <w:r>
        <w:rPr>
          <w:rFonts w:ascii="Times New Roman" w:hAnsi="Times New Roman" w:cs="Times New Roman"/>
          <w:sz w:val="24"/>
          <w:szCs w:val="24"/>
        </w:rPr>
        <w:t>In Chapter 8, t</w:t>
      </w:r>
      <w:r w:rsidR="00115C3F" w:rsidRPr="00E533DF">
        <w:rPr>
          <w:rFonts w:ascii="Times New Roman" w:hAnsi="Times New Roman" w:cs="Times New Roman"/>
          <w:sz w:val="24"/>
          <w:szCs w:val="24"/>
        </w:rPr>
        <w:t>he portfolio selection results only include 5 MW of</w:t>
      </w:r>
      <w:r w:rsidR="00953EC1">
        <w:rPr>
          <w:rFonts w:ascii="Times New Roman" w:hAnsi="Times New Roman" w:cs="Times New Roman"/>
          <w:sz w:val="24"/>
          <w:szCs w:val="24"/>
        </w:rPr>
        <w:t xml:space="preserve"> combined heat and power</w:t>
      </w:r>
      <w:r w:rsidR="00115C3F" w:rsidRPr="00E533DF">
        <w:rPr>
          <w:rFonts w:ascii="Times New Roman" w:hAnsi="Times New Roman" w:cs="Times New Roman"/>
          <w:sz w:val="24"/>
          <w:szCs w:val="24"/>
        </w:rPr>
        <w:t xml:space="preserve"> </w:t>
      </w:r>
      <w:r w:rsidR="00953EC1">
        <w:rPr>
          <w:rFonts w:ascii="Times New Roman" w:hAnsi="Times New Roman" w:cs="Times New Roman"/>
          <w:sz w:val="24"/>
          <w:szCs w:val="24"/>
        </w:rPr>
        <w:t>(</w:t>
      </w:r>
      <w:r w:rsidR="00115C3F" w:rsidRPr="00E533DF">
        <w:rPr>
          <w:rFonts w:ascii="Times New Roman" w:hAnsi="Times New Roman" w:cs="Times New Roman"/>
          <w:sz w:val="24"/>
          <w:szCs w:val="24"/>
        </w:rPr>
        <w:t>CHP</w:t>
      </w:r>
      <w:r w:rsidR="00953EC1">
        <w:rPr>
          <w:rFonts w:ascii="Times New Roman" w:hAnsi="Times New Roman" w:cs="Times New Roman"/>
          <w:sz w:val="24"/>
          <w:szCs w:val="24"/>
        </w:rPr>
        <w:t>)</w:t>
      </w:r>
      <w:r w:rsidR="00115C3F" w:rsidRPr="00E533DF">
        <w:rPr>
          <w:rFonts w:ascii="Times New Roman" w:hAnsi="Times New Roman" w:cs="Times New Roman"/>
          <w:sz w:val="24"/>
          <w:szCs w:val="24"/>
        </w:rPr>
        <w:t xml:space="preserve"> biomass </w:t>
      </w:r>
      <w:r w:rsidR="00115C3F" w:rsidRPr="00115C3F">
        <w:rPr>
          <w:rFonts w:ascii="Times New Roman" w:hAnsi="Times New Roman" w:cs="Times New Roman"/>
          <w:sz w:val="24"/>
          <w:szCs w:val="24"/>
        </w:rPr>
        <w:t>generations per year over the 20 year planning horizon</w:t>
      </w:r>
      <w:r>
        <w:rPr>
          <w:rFonts w:ascii="Times New Roman" w:hAnsi="Times New Roman" w:cs="Times New Roman"/>
          <w:sz w:val="24"/>
          <w:szCs w:val="24"/>
        </w:rPr>
        <w:t>, for a total of 104 MW.</w:t>
      </w:r>
      <w:r w:rsidR="008308D6">
        <w:rPr>
          <w:rFonts w:ascii="Times New Roman" w:hAnsi="Times New Roman" w:cs="Times New Roman"/>
          <w:sz w:val="24"/>
          <w:szCs w:val="24"/>
        </w:rPr>
        <w:t xml:space="preserve">  </w:t>
      </w:r>
      <w:r w:rsidR="00920E26" w:rsidRPr="00E533DF">
        <w:rPr>
          <w:rFonts w:ascii="Times New Roman" w:hAnsi="Times New Roman" w:cs="Times New Roman"/>
          <w:sz w:val="24"/>
          <w:szCs w:val="24"/>
        </w:rPr>
        <w:t xml:space="preserve">For the cost estimates of </w:t>
      </w:r>
      <w:r w:rsidR="008308D6">
        <w:rPr>
          <w:rFonts w:ascii="Times New Roman" w:hAnsi="Times New Roman" w:cs="Times New Roman"/>
          <w:sz w:val="24"/>
          <w:szCs w:val="24"/>
        </w:rPr>
        <w:t>CHP, the Company relied</w:t>
      </w:r>
      <w:r w:rsidR="00920E26" w:rsidRPr="00E533DF">
        <w:rPr>
          <w:rFonts w:ascii="Times New Roman" w:hAnsi="Times New Roman" w:cs="Times New Roman"/>
          <w:sz w:val="24"/>
          <w:szCs w:val="24"/>
        </w:rPr>
        <w:t xml:space="preserve"> on the Cadmus report completed in 2010</w:t>
      </w:r>
      <w:r w:rsidR="0015469C" w:rsidRPr="00E533DF">
        <w:rPr>
          <w:rFonts w:ascii="Times New Roman" w:hAnsi="Times New Roman" w:cs="Times New Roman"/>
          <w:sz w:val="24"/>
          <w:szCs w:val="24"/>
        </w:rPr>
        <w:t xml:space="preserve">.  </w:t>
      </w:r>
      <w:r w:rsidR="0015469C" w:rsidRPr="00115C3F">
        <w:rPr>
          <w:rFonts w:ascii="Times New Roman" w:hAnsi="Times New Roman" w:cs="Times New Roman"/>
          <w:sz w:val="24"/>
          <w:szCs w:val="24"/>
        </w:rPr>
        <w:t xml:space="preserve">This estimate may be low because conditions assumed in the Cadmus report that drive the cost of CHP may change.  </w:t>
      </w:r>
      <w:r w:rsidR="003E44AB" w:rsidRPr="00115C3F">
        <w:rPr>
          <w:rFonts w:ascii="Times New Roman" w:hAnsi="Times New Roman" w:cs="Times New Roman"/>
          <w:sz w:val="24"/>
          <w:szCs w:val="24"/>
        </w:rPr>
        <w:t xml:space="preserve">The Company also states that it excluded state specific tax benefits from generation assets.  </w:t>
      </w:r>
      <w:r w:rsidR="0015469C" w:rsidRPr="00115C3F">
        <w:rPr>
          <w:rFonts w:ascii="Times New Roman" w:hAnsi="Times New Roman" w:cs="Times New Roman"/>
          <w:sz w:val="24"/>
          <w:szCs w:val="24"/>
        </w:rPr>
        <w:t xml:space="preserve">Over the next </w:t>
      </w:r>
      <w:r w:rsidR="000F0C82" w:rsidRPr="00E533DF">
        <w:rPr>
          <w:rFonts w:ascii="Times New Roman" w:hAnsi="Times New Roman" w:cs="Times New Roman"/>
          <w:sz w:val="24"/>
          <w:szCs w:val="24"/>
        </w:rPr>
        <w:t xml:space="preserve">two </w:t>
      </w:r>
      <w:r w:rsidR="0015469C" w:rsidRPr="00E533DF">
        <w:rPr>
          <w:rFonts w:ascii="Times New Roman" w:hAnsi="Times New Roman" w:cs="Times New Roman"/>
          <w:sz w:val="24"/>
          <w:szCs w:val="24"/>
        </w:rPr>
        <w:t>years, we encourage the Company to compare the assump</w:t>
      </w:r>
      <w:r w:rsidR="00480D9D" w:rsidRPr="00115C3F">
        <w:rPr>
          <w:rFonts w:ascii="Times New Roman" w:hAnsi="Times New Roman" w:cs="Times New Roman"/>
          <w:sz w:val="24"/>
          <w:szCs w:val="24"/>
        </w:rPr>
        <w:t>tions that created the CHP cost</w:t>
      </w:r>
      <w:r w:rsidR="0015469C" w:rsidRPr="00115C3F">
        <w:rPr>
          <w:rFonts w:ascii="Times New Roman" w:hAnsi="Times New Roman" w:cs="Times New Roman"/>
          <w:sz w:val="24"/>
          <w:szCs w:val="24"/>
        </w:rPr>
        <w:t xml:space="preserve"> estimates to </w:t>
      </w:r>
      <w:r w:rsidR="003E44AB" w:rsidRPr="00115C3F">
        <w:rPr>
          <w:rFonts w:ascii="Times New Roman" w:hAnsi="Times New Roman" w:cs="Times New Roman"/>
          <w:sz w:val="24"/>
          <w:szCs w:val="24"/>
        </w:rPr>
        <w:t xml:space="preserve">conditions in the market to </w:t>
      </w:r>
      <w:r w:rsidR="0015469C" w:rsidRPr="00115C3F">
        <w:rPr>
          <w:rFonts w:ascii="Times New Roman" w:hAnsi="Times New Roman" w:cs="Times New Roman"/>
          <w:sz w:val="24"/>
          <w:szCs w:val="24"/>
        </w:rPr>
        <w:t xml:space="preserve">determine if </w:t>
      </w:r>
      <w:r w:rsidR="003E44AB" w:rsidRPr="00115C3F">
        <w:rPr>
          <w:rFonts w:ascii="Times New Roman" w:hAnsi="Times New Roman" w:cs="Times New Roman"/>
          <w:sz w:val="24"/>
          <w:szCs w:val="24"/>
        </w:rPr>
        <w:t xml:space="preserve">more CHP generation may be available than projected by the portfolio selection model that used the 2010 cost assumptions.  </w:t>
      </w:r>
    </w:p>
    <w:p w:rsidR="00CE64E3" w:rsidRDefault="00CE64E3">
      <w:pPr>
        <w:rPr>
          <w:rFonts w:ascii="Times New Roman" w:hAnsi="Times New Roman" w:cs="Times New Roman"/>
          <w:sz w:val="24"/>
          <w:szCs w:val="24"/>
        </w:rPr>
      </w:pPr>
      <w:r>
        <w:rPr>
          <w:rFonts w:ascii="Times New Roman" w:hAnsi="Times New Roman" w:cs="Times New Roman"/>
          <w:sz w:val="24"/>
          <w:szCs w:val="24"/>
        </w:rPr>
        <w:t>In addition, we encourage the Company to explore in its next Plan the addition of an energy storage option in the Western Control Area.  In general, since energy storage can provide benefits both on the generation and distribution sides, it could provide some benefits in mitigating some of the variability in wind and other renewable generation reso</w:t>
      </w:r>
      <w:r w:rsidR="008308D6">
        <w:rPr>
          <w:rFonts w:ascii="Times New Roman" w:hAnsi="Times New Roman" w:cs="Times New Roman"/>
          <w:sz w:val="24"/>
          <w:szCs w:val="24"/>
        </w:rPr>
        <w:t>urces as they are integrated in</w:t>
      </w:r>
      <w:r>
        <w:rPr>
          <w:rFonts w:ascii="Times New Roman" w:hAnsi="Times New Roman" w:cs="Times New Roman"/>
          <w:sz w:val="24"/>
          <w:szCs w:val="24"/>
        </w:rPr>
        <w:t>to the Company’s distribution system.  We note that the Company plans to proceed with an energy storage demonstration project in Utah as a demand-side resource</w:t>
      </w:r>
      <w:r w:rsidR="00C666FF">
        <w:rPr>
          <w:rFonts w:ascii="Times New Roman" w:hAnsi="Times New Roman" w:cs="Times New Roman"/>
          <w:sz w:val="24"/>
          <w:szCs w:val="24"/>
        </w:rPr>
        <w:t xml:space="preserve"> in its Action Plan</w:t>
      </w:r>
      <w:r>
        <w:rPr>
          <w:rFonts w:ascii="Times New Roman" w:hAnsi="Times New Roman" w:cs="Times New Roman"/>
          <w:sz w:val="24"/>
          <w:szCs w:val="24"/>
        </w:rPr>
        <w:t xml:space="preserve">, and we encourage the Company to consider </w:t>
      </w:r>
      <w:r w:rsidR="00C666FF">
        <w:rPr>
          <w:rFonts w:ascii="Times New Roman" w:hAnsi="Times New Roman" w:cs="Times New Roman"/>
          <w:sz w:val="24"/>
          <w:szCs w:val="24"/>
        </w:rPr>
        <w:t xml:space="preserve">a similar option on the West </w:t>
      </w:r>
      <w:r w:rsidR="008308D6">
        <w:rPr>
          <w:rFonts w:ascii="Times New Roman" w:hAnsi="Times New Roman" w:cs="Times New Roman"/>
          <w:sz w:val="24"/>
          <w:szCs w:val="24"/>
        </w:rPr>
        <w:t xml:space="preserve">Control </w:t>
      </w:r>
      <w:r w:rsidR="005D39E4">
        <w:rPr>
          <w:rFonts w:ascii="Times New Roman" w:hAnsi="Times New Roman" w:cs="Times New Roman"/>
          <w:sz w:val="24"/>
          <w:szCs w:val="24"/>
        </w:rPr>
        <w:t>A</w:t>
      </w:r>
      <w:r w:rsidR="008308D6">
        <w:rPr>
          <w:rFonts w:ascii="Times New Roman" w:hAnsi="Times New Roman" w:cs="Times New Roman"/>
          <w:sz w:val="24"/>
          <w:szCs w:val="24"/>
        </w:rPr>
        <w:t xml:space="preserve">rea </w:t>
      </w:r>
      <w:r w:rsidR="00C666FF">
        <w:rPr>
          <w:rFonts w:ascii="Times New Roman" w:hAnsi="Times New Roman" w:cs="Times New Roman"/>
          <w:sz w:val="24"/>
          <w:szCs w:val="24"/>
        </w:rPr>
        <w:t>as well.</w:t>
      </w:r>
      <w:r>
        <w:rPr>
          <w:rFonts w:ascii="Times New Roman" w:hAnsi="Times New Roman" w:cs="Times New Roman"/>
          <w:sz w:val="24"/>
          <w:szCs w:val="24"/>
        </w:rPr>
        <w:t xml:space="preserve"> </w:t>
      </w:r>
    </w:p>
    <w:p w:rsidR="00480D9D" w:rsidRPr="007A552A" w:rsidRDefault="00480D9D">
      <w:pPr>
        <w:rPr>
          <w:rFonts w:ascii="Times New Roman" w:hAnsi="Times New Roman" w:cs="Times New Roman"/>
          <w:sz w:val="24"/>
          <w:szCs w:val="24"/>
        </w:rPr>
      </w:pPr>
      <w:r w:rsidRPr="00350E44">
        <w:rPr>
          <w:rFonts w:ascii="Times New Roman" w:hAnsi="Times New Roman" w:cs="Times New Roman"/>
          <w:sz w:val="24"/>
          <w:szCs w:val="24"/>
        </w:rPr>
        <w:t xml:space="preserve">The Company models upgrades to specific coal facilities to determine </w:t>
      </w:r>
      <w:r w:rsidR="00D77F25" w:rsidRPr="00350E44">
        <w:rPr>
          <w:rFonts w:ascii="Times New Roman" w:hAnsi="Times New Roman" w:cs="Times New Roman"/>
          <w:sz w:val="24"/>
          <w:szCs w:val="24"/>
        </w:rPr>
        <w:t>if an</w:t>
      </w:r>
      <w:r w:rsidRPr="00350E44">
        <w:rPr>
          <w:rFonts w:ascii="Times New Roman" w:hAnsi="Times New Roman" w:cs="Times New Roman"/>
          <w:sz w:val="24"/>
          <w:szCs w:val="24"/>
        </w:rPr>
        <w:t xml:space="preserve"> individual upgrade is cost</w:t>
      </w:r>
      <w:r w:rsidR="00C666FF">
        <w:rPr>
          <w:rFonts w:ascii="Times New Roman" w:hAnsi="Times New Roman" w:cs="Times New Roman"/>
          <w:sz w:val="24"/>
          <w:szCs w:val="24"/>
        </w:rPr>
        <w:t>-</w:t>
      </w:r>
      <w:r w:rsidRPr="00350E44">
        <w:rPr>
          <w:rFonts w:ascii="Times New Roman" w:hAnsi="Times New Roman" w:cs="Times New Roman"/>
          <w:sz w:val="24"/>
          <w:szCs w:val="24"/>
        </w:rPr>
        <w:t>effective.  The next IRP should examine on the basis of the coal plant life cycle the risk of stranded upgrade costs if</w:t>
      </w:r>
      <w:r w:rsidR="00835F11" w:rsidRPr="00350E44">
        <w:rPr>
          <w:rFonts w:ascii="Times New Roman" w:hAnsi="Times New Roman" w:cs="Times New Roman"/>
          <w:sz w:val="24"/>
          <w:szCs w:val="24"/>
        </w:rPr>
        <w:t xml:space="preserve"> the cost of </w:t>
      </w:r>
      <w:r w:rsidR="00115C3F">
        <w:rPr>
          <w:rFonts w:ascii="Times New Roman" w:hAnsi="Times New Roman" w:cs="Times New Roman"/>
          <w:sz w:val="24"/>
          <w:szCs w:val="24"/>
        </w:rPr>
        <w:t xml:space="preserve">the </w:t>
      </w:r>
      <w:r w:rsidR="00835F11" w:rsidRPr="00115C3F">
        <w:rPr>
          <w:rFonts w:ascii="Times New Roman" w:hAnsi="Times New Roman" w:cs="Times New Roman"/>
          <w:sz w:val="24"/>
          <w:szCs w:val="24"/>
        </w:rPr>
        <w:t xml:space="preserve">operation of the </w:t>
      </w:r>
      <w:r w:rsidRPr="00115C3F">
        <w:rPr>
          <w:rFonts w:ascii="Times New Roman" w:hAnsi="Times New Roman" w:cs="Times New Roman"/>
          <w:sz w:val="24"/>
          <w:szCs w:val="24"/>
        </w:rPr>
        <w:t xml:space="preserve">plant </w:t>
      </w:r>
      <w:r w:rsidR="00835F11" w:rsidRPr="00115C3F">
        <w:rPr>
          <w:rFonts w:ascii="Times New Roman" w:hAnsi="Times New Roman" w:cs="Times New Roman"/>
          <w:sz w:val="24"/>
          <w:szCs w:val="24"/>
        </w:rPr>
        <w:t>warrant</w:t>
      </w:r>
      <w:r w:rsidR="006B6B73" w:rsidRPr="00115C3F">
        <w:rPr>
          <w:rFonts w:ascii="Times New Roman" w:hAnsi="Times New Roman" w:cs="Times New Roman"/>
          <w:sz w:val="24"/>
          <w:szCs w:val="24"/>
        </w:rPr>
        <w:t>s</w:t>
      </w:r>
      <w:r w:rsidR="00835F11" w:rsidRPr="00115C3F">
        <w:rPr>
          <w:rFonts w:ascii="Times New Roman" w:hAnsi="Times New Roman" w:cs="Times New Roman"/>
          <w:sz w:val="24"/>
          <w:szCs w:val="24"/>
        </w:rPr>
        <w:t xml:space="preserve"> a</w:t>
      </w:r>
      <w:r w:rsidR="00C666FF">
        <w:rPr>
          <w:rFonts w:ascii="Times New Roman" w:hAnsi="Times New Roman" w:cs="Times New Roman"/>
          <w:sz w:val="24"/>
          <w:szCs w:val="24"/>
        </w:rPr>
        <w:t xml:space="preserve">n accelerated shutdown due to projected regulations </w:t>
      </w:r>
      <w:r w:rsidR="005D39E4">
        <w:rPr>
          <w:rFonts w:ascii="Times New Roman" w:hAnsi="Times New Roman" w:cs="Times New Roman"/>
          <w:sz w:val="24"/>
          <w:szCs w:val="24"/>
        </w:rPr>
        <w:t xml:space="preserve">from the federal EPA </w:t>
      </w:r>
      <w:r w:rsidR="00C666FF">
        <w:rPr>
          <w:rFonts w:ascii="Times New Roman" w:hAnsi="Times New Roman" w:cs="Times New Roman"/>
          <w:sz w:val="24"/>
          <w:szCs w:val="24"/>
        </w:rPr>
        <w:t xml:space="preserve">on coal-fired generation </w:t>
      </w:r>
      <w:r w:rsidR="008308D6">
        <w:rPr>
          <w:rFonts w:ascii="Times New Roman" w:hAnsi="Times New Roman" w:cs="Times New Roman"/>
          <w:sz w:val="24"/>
          <w:szCs w:val="24"/>
        </w:rPr>
        <w:t>or other causes</w:t>
      </w:r>
      <w:r w:rsidR="00C666FF">
        <w:rPr>
          <w:rFonts w:ascii="Times New Roman" w:hAnsi="Times New Roman" w:cs="Times New Roman"/>
          <w:sz w:val="24"/>
          <w:szCs w:val="24"/>
        </w:rPr>
        <w:t>.  While we do not wish to opine on the likelihood of such EPA regulations at this time, we believe such analysis of the costs of such upgrades is consistent with some of the trigger events outlined in its resource acquisition path in Chapter 9.</w:t>
      </w:r>
      <w:r w:rsidR="00835F11" w:rsidRPr="00C127DF">
        <w:rPr>
          <w:rFonts w:ascii="Times New Roman" w:hAnsi="Times New Roman" w:cs="Times New Roman"/>
          <w:sz w:val="24"/>
          <w:szCs w:val="24"/>
        </w:rPr>
        <w:t xml:space="preserve"> </w:t>
      </w:r>
    </w:p>
    <w:p w:rsidR="001D02C8" w:rsidRDefault="004D1C76">
      <w:pPr>
        <w:rPr>
          <w:rFonts w:ascii="Times New Roman" w:hAnsi="Times New Roman" w:cs="Times New Roman"/>
          <w:sz w:val="24"/>
          <w:szCs w:val="24"/>
        </w:rPr>
      </w:pPr>
      <w:r w:rsidRPr="007A552A">
        <w:rPr>
          <w:rFonts w:ascii="Times New Roman" w:hAnsi="Times New Roman" w:cs="Times New Roman"/>
          <w:sz w:val="24"/>
          <w:szCs w:val="24"/>
        </w:rPr>
        <w:t xml:space="preserve">Through 2030, the Plan identifies Class Two </w:t>
      </w:r>
      <w:r w:rsidR="000F0C82" w:rsidRPr="007A552A">
        <w:rPr>
          <w:rFonts w:ascii="Times New Roman" w:hAnsi="Times New Roman" w:cs="Times New Roman"/>
          <w:sz w:val="24"/>
          <w:szCs w:val="24"/>
        </w:rPr>
        <w:t>demand-sid</w:t>
      </w:r>
      <w:r w:rsidR="000F0C82" w:rsidRPr="00E533DF">
        <w:rPr>
          <w:rFonts w:ascii="Times New Roman" w:hAnsi="Times New Roman" w:cs="Times New Roman"/>
          <w:sz w:val="24"/>
          <w:szCs w:val="24"/>
        </w:rPr>
        <w:t>e management (</w:t>
      </w:r>
      <w:r w:rsidRPr="00E533DF">
        <w:rPr>
          <w:rFonts w:ascii="Times New Roman" w:hAnsi="Times New Roman" w:cs="Times New Roman"/>
          <w:sz w:val="24"/>
          <w:szCs w:val="24"/>
        </w:rPr>
        <w:t>DSM</w:t>
      </w:r>
      <w:r w:rsidR="000F0C82" w:rsidRPr="00E533DF">
        <w:rPr>
          <w:rFonts w:ascii="Times New Roman" w:hAnsi="Times New Roman" w:cs="Times New Roman"/>
          <w:sz w:val="24"/>
          <w:szCs w:val="24"/>
        </w:rPr>
        <w:t>)</w:t>
      </w:r>
      <w:r w:rsidRPr="00E533DF">
        <w:rPr>
          <w:rFonts w:ascii="Times New Roman" w:hAnsi="Times New Roman" w:cs="Times New Roman"/>
          <w:sz w:val="24"/>
          <w:szCs w:val="24"/>
        </w:rPr>
        <w:t xml:space="preserve"> energy efficiency as the single largest resource type </w:t>
      </w:r>
      <w:r w:rsidR="006B6B73" w:rsidRPr="00115C3F">
        <w:rPr>
          <w:rFonts w:ascii="Times New Roman" w:hAnsi="Times New Roman" w:cs="Times New Roman"/>
          <w:sz w:val="24"/>
          <w:szCs w:val="24"/>
        </w:rPr>
        <w:t xml:space="preserve">to acquire, </w:t>
      </w:r>
      <w:r w:rsidRPr="007A552A">
        <w:rPr>
          <w:rFonts w:ascii="Times New Roman" w:hAnsi="Times New Roman" w:cs="Times New Roman"/>
          <w:sz w:val="24"/>
          <w:szCs w:val="24"/>
        </w:rPr>
        <w:t>on an average capacity basis</w:t>
      </w:r>
      <w:r w:rsidR="006B6B73" w:rsidRPr="007A552A">
        <w:rPr>
          <w:rFonts w:ascii="Times New Roman" w:hAnsi="Times New Roman" w:cs="Times New Roman"/>
          <w:sz w:val="24"/>
          <w:szCs w:val="24"/>
        </w:rPr>
        <w:t>.</w:t>
      </w:r>
      <w:r w:rsidR="008308D6">
        <w:rPr>
          <w:rFonts w:ascii="Times New Roman" w:hAnsi="Times New Roman" w:cs="Times New Roman"/>
          <w:sz w:val="24"/>
          <w:szCs w:val="24"/>
        </w:rPr>
        <w:t xml:space="preserve">  </w:t>
      </w:r>
      <w:r w:rsidRPr="007A552A">
        <w:rPr>
          <w:rFonts w:ascii="Times New Roman" w:hAnsi="Times New Roman" w:cs="Times New Roman"/>
          <w:sz w:val="24"/>
          <w:szCs w:val="24"/>
        </w:rPr>
        <w:t xml:space="preserve">We consider this encouraging.  IRP plans should </w:t>
      </w:r>
      <w:r w:rsidR="005F0F33" w:rsidRPr="0089608A">
        <w:rPr>
          <w:rFonts w:ascii="Times New Roman" w:hAnsi="Times New Roman" w:cs="Times New Roman"/>
          <w:sz w:val="24"/>
          <w:szCs w:val="24"/>
        </w:rPr>
        <w:t>consider</w:t>
      </w:r>
      <w:r w:rsidRPr="0089608A">
        <w:rPr>
          <w:rFonts w:ascii="Times New Roman" w:hAnsi="Times New Roman" w:cs="Times New Roman"/>
          <w:sz w:val="24"/>
          <w:szCs w:val="24"/>
        </w:rPr>
        <w:t xml:space="preserve"> publicly available analysis </w:t>
      </w:r>
      <w:r w:rsidR="005F0F33" w:rsidRPr="0089608A">
        <w:rPr>
          <w:rFonts w:ascii="Times New Roman" w:hAnsi="Times New Roman" w:cs="Times New Roman"/>
          <w:sz w:val="24"/>
          <w:szCs w:val="24"/>
        </w:rPr>
        <w:t>and guide the Company in fulfilling its regulatory obligations</w:t>
      </w:r>
      <w:r w:rsidR="006B6B73" w:rsidRPr="0089608A">
        <w:rPr>
          <w:rFonts w:ascii="Times New Roman" w:hAnsi="Times New Roman" w:cs="Times New Roman"/>
          <w:sz w:val="24"/>
          <w:szCs w:val="24"/>
        </w:rPr>
        <w:t>.  We encourage the C</w:t>
      </w:r>
      <w:r w:rsidR="005F0F33" w:rsidRPr="0089608A">
        <w:rPr>
          <w:rFonts w:ascii="Times New Roman" w:hAnsi="Times New Roman" w:cs="Times New Roman"/>
          <w:sz w:val="24"/>
          <w:szCs w:val="24"/>
        </w:rPr>
        <w:t xml:space="preserve">ompany to detail any differences in its DSM analysis </w:t>
      </w:r>
      <w:r w:rsidR="006B6B73" w:rsidRPr="0089608A">
        <w:rPr>
          <w:rFonts w:ascii="Times New Roman" w:hAnsi="Times New Roman" w:cs="Times New Roman"/>
          <w:sz w:val="24"/>
          <w:szCs w:val="24"/>
        </w:rPr>
        <w:t xml:space="preserve">method </w:t>
      </w:r>
      <w:r w:rsidR="005F0F33" w:rsidRPr="0089608A">
        <w:rPr>
          <w:rFonts w:ascii="Times New Roman" w:hAnsi="Times New Roman" w:cs="Times New Roman"/>
          <w:sz w:val="24"/>
          <w:szCs w:val="24"/>
        </w:rPr>
        <w:t>and the conservation methods of the Northwest Power and Conservation Counsel.</w:t>
      </w:r>
    </w:p>
    <w:p w:rsidR="00C666FF" w:rsidRDefault="00C666FF">
      <w:pPr>
        <w:rPr>
          <w:rFonts w:ascii="Times New Roman" w:hAnsi="Times New Roman" w:cs="Times New Roman"/>
          <w:sz w:val="24"/>
          <w:szCs w:val="24"/>
        </w:rPr>
      </w:pPr>
      <w:r>
        <w:rPr>
          <w:rFonts w:ascii="Times New Roman" w:hAnsi="Times New Roman" w:cs="Times New Roman"/>
          <w:sz w:val="24"/>
          <w:szCs w:val="24"/>
        </w:rPr>
        <w:t>We appreciate the analysis the Company has undertaken in Chapter 9 using trigger events to inform the planning scenarios, and different possible outcomes, in both the near-term and</w:t>
      </w:r>
      <w:r w:rsidR="008308D6">
        <w:rPr>
          <w:rFonts w:ascii="Times New Roman" w:hAnsi="Times New Roman" w:cs="Times New Roman"/>
          <w:sz w:val="24"/>
          <w:szCs w:val="24"/>
        </w:rPr>
        <w:t xml:space="preserve"> the longer-term as it plans</w:t>
      </w:r>
      <w:r>
        <w:rPr>
          <w:rFonts w:ascii="Times New Roman" w:hAnsi="Times New Roman" w:cs="Times New Roman"/>
          <w:sz w:val="24"/>
          <w:szCs w:val="24"/>
        </w:rPr>
        <w:t xml:space="preserve"> the acquisition of new resources.  One of the fundamental purposes of the IRP is to describe possible future scenarios based on a range of assumptions and uncertainties in areas such as natural gas and other fuel prices, potential changes in environmental regulations, and higher or lower load forecasts.  The use of trigger events is a useful mechanism in describing such variables and uncertainties, and how they might affect the resource acquisition path of the Company.  We encourage the Company to monitor closely these variables as it develops the next Plan, and update </w:t>
      </w:r>
      <w:r w:rsidR="00887A62">
        <w:rPr>
          <w:rFonts w:ascii="Times New Roman" w:hAnsi="Times New Roman" w:cs="Times New Roman"/>
          <w:sz w:val="24"/>
          <w:szCs w:val="24"/>
        </w:rPr>
        <w:t>the trigger events in a dynamic way.</w:t>
      </w:r>
    </w:p>
    <w:p w:rsidR="008308D6" w:rsidRDefault="008308D6" w:rsidP="008308D6">
      <w:pPr>
        <w:pStyle w:val="NoSpacing"/>
        <w:rPr>
          <w:b/>
        </w:rPr>
      </w:pPr>
      <w:r>
        <w:rPr>
          <w:b/>
        </w:rPr>
        <w:t>Conclusion</w:t>
      </w:r>
    </w:p>
    <w:p w:rsidR="000704B7" w:rsidRPr="000704B7" w:rsidRDefault="000704B7" w:rsidP="008308D6">
      <w:pPr>
        <w:pStyle w:val="NoSpacing"/>
        <w:rPr>
          <w:b/>
        </w:rPr>
      </w:pPr>
    </w:p>
    <w:p w:rsidR="008308D6" w:rsidRPr="000704B7" w:rsidRDefault="008308D6" w:rsidP="000704B7">
      <w:pPr>
        <w:rPr>
          <w:rFonts w:ascii="Times New Roman" w:hAnsi="Times New Roman" w:cs="Times New Roman"/>
          <w:sz w:val="24"/>
          <w:szCs w:val="24"/>
        </w:rPr>
      </w:pPr>
      <w:r w:rsidRPr="000704B7">
        <w:rPr>
          <w:rFonts w:ascii="Times New Roman" w:hAnsi="Times New Roman" w:cs="Times New Roman"/>
          <w:sz w:val="24"/>
          <w:szCs w:val="24"/>
        </w:rPr>
        <w:t xml:space="preserve">The Commission acknowledges that PacifiCorp’s 2011 Integrated Resource Plan complies with WAC 480-100-238.  </w:t>
      </w:r>
    </w:p>
    <w:sectPr w:rsidR="008308D6" w:rsidRPr="000704B7" w:rsidSect="000704B7">
      <w:footerReference w:type="default" r:id="rId8"/>
      <w:pgSz w:w="12240" w:h="15840"/>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FF" w:rsidRDefault="00775DFF" w:rsidP="00B81916">
      <w:pPr>
        <w:spacing w:after="0" w:line="240" w:lineRule="auto"/>
      </w:pPr>
      <w:r>
        <w:separator/>
      </w:r>
    </w:p>
  </w:endnote>
  <w:endnote w:type="continuationSeparator" w:id="0">
    <w:p w:rsidR="00775DFF" w:rsidRDefault="00775DFF" w:rsidP="00B8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516"/>
      <w:docPartObj>
        <w:docPartGallery w:val="Page Numbers (Bottom of Page)"/>
        <w:docPartUnique/>
      </w:docPartObj>
    </w:sdtPr>
    <w:sdtEndPr/>
    <w:sdtContent>
      <w:p w:rsidR="00757859" w:rsidRDefault="005D39E4">
        <w:pPr>
          <w:pStyle w:val="Footer"/>
          <w:jc w:val="right"/>
        </w:pPr>
        <w:r>
          <w:fldChar w:fldCharType="begin"/>
        </w:r>
        <w:r>
          <w:instrText xml:space="preserve"> PAGE   \* MERGEFORMAT </w:instrText>
        </w:r>
        <w:r>
          <w:fldChar w:fldCharType="separate"/>
        </w:r>
        <w:r w:rsidR="001D2041">
          <w:rPr>
            <w:noProof/>
          </w:rPr>
          <w:t>1</w:t>
        </w:r>
        <w:r>
          <w:rPr>
            <w:noProof/>
          </w:rPr>
          <w:fldChar w:fldCharType="end"/>
        </w:r>
      </w:p>
    </w:sdtContent>
  </w:sdt>
  <w:p w:rsidR="00757859" w:rsidRDefault="00757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FF" w:rsidRDefault="00775DFF" w:rsidP="00B81916">
      <w:pPr>
        <w:spacing w:after="0" w:line="240" w:lineRule="auto"/>
      </w:pPr>
      <w:r>
        <w:separator/>
      </w:r>
    </w:p>
  </w:footnote>
  <w:footnote w:type="continuationSeparator" w:id="0">
    <w:p w:rsidR="00775DFF" w:rsidRDefault="00775DFF" w:rsidP="00B81916">
      <w:pPr>
        <w:spacing w:after="0" w:line="240" w:lineRule="auto"/>
      </w:pPr>
      <w:r>
        <w:continuationSeparator/>
      </w:r>
    </w:p>
  </w:footnote>
  <w:footnote w:id="1">
    <w:p w:rsidR="00757859" w:rsidRPr="00EF7E89" w:rsidRDefault="00757859" w:rsidP="00EF7E89">
      <w:pPr>
        <w:pStyle w:val="FootnoteText"/>
        <w:spacing w:after="120"/>
        <w:rPr>
          <w:rFonts w:ascii="Times New Roman" w:hAnsi="Times New Roman" w:cs="Times New Roman"/>
          <w:sz w:val="22"/>
          <w:szCs w:val="22"/>
        </w:rPr>
      </w:pPr>
      <w:r w:rsidRPr="00EF7E89">
        <w:rPr>
          <w:rStyle w:val="FootnoteReference"/>
          <w:rFonts w:ascii="Times New Roman" w:hAnsi="Times New Roman" w:cs="Times New Roman"/>
          <w:sz w:val="22"/>
          <w:szCs w:val="22"/>
        </w:rPr>
        <w:footnoteRef/>
      </w:r>
      <w:r w:rsidRPr="00EF7E89">
        <w:rPr>
          <w:rFonts w:ascii="Times New Roman" w:hAnsi="Times New Roman" w:cs="Times New Roman"/>
          <w:sz w:val="22"/>
          <w:szCs w:val="22"/>
        </w:rPr>
        <w:t xml:space="preserve"> </w:t>
      </w:r>
      <w:proofErr w:type="gramStart"/>
      <w:r w:rsidRPr="00EF7E89">
        <w:rPr>
          <w:rFonts w:ascii="Times New Roman" w:hAnsi="Times New Roman" w:cs="Times New Roman"/>
          <w:sz w:val="22"/>
          <w:szCs w:val="22"/>
        </w:rPr>
        <w:t>Report and Policy Statement Concerning Acquisition of Renewable Resources by Investor-owned Utilities, Docket UE-100849, January 3, 2011</w:t>
      </w:r>
      <w:r w:rsidR="000704B7">
        <w:rPr>
          <w:rFonts w:ascii="Times New Roman" w:hAnsi="Times New Roman" w:cs="Times New Roman"/>
          <w:sz w:val="22"/>
          <w:szCs w:val="22"/>
        </w:rPr>
        <w:t>.</w:t>
      </w:r>
      <w:proofErr w:type="gramEnd"/>
    </w:p>
  </w:footnote>
  <w:footnote w:id="2">
    <w:p w:rsidR="00757859" w:rsidRPr="00EF7E89" w:rsidRDefault="00757859" w:rsidP="00EF7E89">
      <w:pPr>
        <w:pStyle w:val="FootnoteText"/>
        <w:spacing w:after="120"/>
        <w:rPr>
          <w:rFonts w:ascii="Times New Roman" w:hAnsi="Times New Roman" w:cs="Times New Roman"/>
          <w:sz w:val="22"/>
          <w:szCs w:val="22"/>
        </w:rPr>
      </w:pPr>
      <w:r w:rsidRPr="00EF7E89">
        <w:rPr>
          <w:rStyle w:val="FootnoteReference"/>
          <w:rFonts w:ascii="Times New Roman" w:hAnsi="Times New Roman" w:cs="Times New Roman"/>
          <w:sz w:val="22"/>
          <w:szCs w:val="22"/>
        </w:rPr>
        <w:footnoteRef/>
      </w:r>
      <w:r w:rsidRPr="00EF7E89">
        <w:rPr>
          <w:rFonts w:ascii="Times New Roman" w:hAnsi="Times New Roman" w:cs="Times New Roman"/>
          <w:sz w:val="22"/>
          <w:szCs w:val="22"/>
        </w:rPr>
        <w:t xml:space="preserve"> </w:t>
      </w:r>
      <w:r w:rsidRPr="007A147B">
        <w:rPr>
          <w:rFonts w:ascii="Times New Roman" w:hAnsi="Times New Roman" w:cs="Times New Roman"/>
          <w:sz w:val="22"/>
          <w:szCs w:val="22"/>
        </w:rPr>
        <w:t>16 U.S.C. § 824a</w:t>
      </w:r>
      <w:r w:rsidRPr="007A147B">
        <w:rPr>
          <w:rFonts w:ascii="Times New Roman" w:hAnsi="Times New Roman" w:cs="Times New Roman"/>
          <w:sz w:val="22"/>
          <w:szCs w:val="22"/>
        </w:rPr>
        <w:noBreakHyphen/>
      </w:r>
      <w:proofErr w:type="gramStart"/>
      <w:r w:rsidRPr="007A147B">
        <w:rPr>
          <w:rFonts w:ascii="Times New Roman" w:hAnsi="Times New Roman" w:cs="Times New Roman"/>
          <w:sz w:val="22"/>
          <w:szCs w:val="22"/>
        </w:rPr>
        <w:t>3(</w:t>
      </w:r>
      <w:proofErr w:type="gramEnd"/>
      <w:r w:rsidRPr="007A147B">
        <w:rPr>
          <w:rFonts w:ascii="Times New Roman" w:hAnsi="Times New Roman" w:cs="Times New Roman"/>
          <w:sz w:val="22"/>
          <w:szCs w:val="22"/>
        </w:rPr>
        <w:t>a); 18 C.F.R. Part 292.</w:t>
      </w:r>
    </w:p>
  </w:footnote>
  <w:footnote w:id="3">
    <w:p w:rsidR="00757859" w:rsidRPr="00EF7E89" w:rsidRDefault="00757859" w:rsidP="00EF7E89">
      <w:pPr>
        <w:pStyle w:val="FootnoteText"/>
        <w:spacing w:after="120"/>
        <w:rPr>
          <w:rFonts w:ascii="Times New Roman" w:hAnsi="Times New Roman" w:cs="Times New Roman"/>
          <w:sz w:val="22"/>
          <w:szCs w:val="22"/>
        </w:rPr>
      </w:pPr>
      <w:r w:rsidRPr="00EF7E89">
        <w:rPr>
          <w:rStyle w:val="FootnoteReference"/>
          <w:rFonts w:ascii="Times New Roman" w:hAnsi="Times New Roman" w:cs="Times New Roman"/>
          <w:sz w:val="22"/>
          <w:szCs w:val="22"/>
        </w:rPr>
        <w:footnoteRef/>
      </w:r>
      <w:r w:rsidRPr="00EF7E89">
        <w:rPr>
          <w:rFonts w:ascii="Times New Roman" w:hAnsi="Times New Roman" w:cs="Times New Roman"/>
          <w:sz w:val="22"/>
          <w:szCs w:val="22"/>
        </w:rPr>
        <w:t xml:space="preserve"> PacifiCorp 2011 IRP, Page 288.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523"/>
    <w:multiLevelType w:val="hybridMultilevel"/>
    <w:tmpl w:val="7E6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1182"/>
    <w:multiLevelType w:val="hybridMultilevel"/>
    <w:tmpl w:val="B20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D3B"/>
    <w:multiLevelType w:val="hybridMultilevel"/>
    <w:tmpl w:val="200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C458B"/>
    <w:multiLevelType w:val="hybridMultilevel"/>
    <w:tmpl w:val="384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4723"/>
    <w:multiLevelType w:val="hybridMultilevel"/>
    <w:tmpl w:val="79E4B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CF3FFC"/>
    <w:multiLevelType w:val="hybridMultilevel"/>
    <w:tmpl w:val="C28CF1BA"/>
    <w:lvl w:ilvl="0" w:tplc="F88CDA28">
      <w:start w:val="20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16B3D"/>
    <w:multiLevelType w:val="hybridMultilevel"/>
    <w:tmpl w:val="9C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15720"/>
    <w:multiLevelType w:val="hybridMultilevel"/>
    <w:tmpl w:val="5E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226E9"/>
    <w:multiLevelType w:val="hybridMultilevel"/>
    <w:tmpl w:val="0756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D60F5"/>
    <w:multiLevelType w:val="hybridMultilevel"/>
    <w:tmpl w:val="B93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66453"/>
    <w:multiLevelType w:val="hybridMultilevel"/>
    <w:tmpl w:val="14B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F6C89"/>
    <w:multiLevelType w:val="hybridMultilevel"/>
    <w:tmpl w:val="111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B7AA6"/>
    <w:multiLevelType w:val="hybridMultilevel"/>
    <w:tmpl w:val="0B4A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F199A"/>
    <w:multiLevelType w:val="hybridMultilevel"/>
    <w:tmpl w:val="AF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25008"/>
    <w:multiLevelType w:val="hybridMultilevel"/>
    <w:tmpl w:val="60F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D052C"/>
    <w:multiLevelType w:val="hybridMultilevel"/>
    <w:tmpl w:val="53B2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22799"/>
    <w:multiLevelType w:val="hybridMultilevel"/>
    <w:tmpl w:val="9768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7D055E"/>
    <w:multiLevelType w:val="hybridMultilevel"/>
    <w:tmpl w:val="099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F3574F"/>
    <w:multiLevelType w:val="hybridMultilevel"/>
    <w:tmpl w:val="BE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53D0A"/>
    <w:multiLevelType w:val="hybridMultilevel"/>
    <w:tmpl w:val="E14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2154AE"/>
    <w:multiLevelType w:val="hybridMultilevel"/>
    <w:tmpl w:val="D32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C20CE"/>
    <w:multiLevelType w:val="hybridMultilevel"/>
    <w:tmpl w:val="669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A0020"/>
    <w:multiLevelType w:val="hybridMultilevel"/>
    <w:tmpl w:val="F3AEE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C5820"/>
    <w:multiLevelType w:val="hybridMultilevel"/>
    <w:tmpl w:val="09B0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266BD"/>
    <w:multiLevelType w:val="hybridMultilevel"/>
    <w:tmpl w:val="43D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7B18C7"/>
    <w:multiLevelType w:val="hybridMultilevel"/>
    <w:tmpl w:val="98A6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8"/>
  </w:num>
  <w:num w:numId="4">
    <w:abstractNumId w:val="4"/>
  </w:num>
  <w:num w:numId="5">
    <w:abstractNumId w:val="22"/>
  </w:num>
  <w:num w:numId="6">
    <w:abstractNumId w:val="21"/>
  </w:num>
  <w:num w:numId="7">
    <w:abstractNumId w:val="16"/>
  </w:num>
  <w:num w:numId="8">
    <w:abstractNumId w:val="24"/>
  </w:num>
  <w:num w:numId="9">
    <w:abstractNumId w:val="23"/>
  </w:num>
  <w:num w:numId="10">
    <w:abstractNumId w:val="7"/>
  </w:num>
  <w:num w:numId="11">
    <w:abstractNumId w:val="12"/>
  </w:num>
  <w:num w:numId="12">
    <w:abstractNumId w:val="3"/>
  </w:num>
  <w:num w:numId="13">
    <w:abstractNumId w:val="0"/>
  </w:num>
  <w:num w:numId="14">
    <w:abstractNumId w:val="8"/>
  </w:num>
  <w:num w:numId="15">
    <w:abstractNumId w:val="19"/>
  </w:num>
  <w:num w:numId="16">
    <w:abstractNumId w:val="15"/>
  </w:num>
  <w:num w:numId="17">
    <w:abstractNumId w:val="1"/>
  </w:num>
  <w:num w:numId="18">
    <w:abstractNumId w:val="9"/>
  </w:num>
  <w:num w:numId="19">
    <w:abstractNumId w:val="20"/>
  </w:num>
  <w:num w:numId="20">
    <w:abstractNumId w:val="10"/>
  </w:num>
  <w:num w:numId="21">
    <w:abstractNumId w:val="25"/>
  </w:num>
  <w:num w:numId="22">
    <w:abstractNumId w:val="6"/>
  </w:num>
  <w:num w:numId="23">
    <w:abstractNumId w:val="14"/>
  </w:num>
  <w:num w:numId="24">
    <w:abstractNumId w:val="17"/>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96"/>
    <w:rsid w:val="00011205"/>
    <w:rsid w:val="000155FC"/>
    <w:rsid w:val="0002353E"/>
    <w:rsid w:val="00024CE3"/>
    <w:rsid w:val="00046D2D"/>
    <w:rsid w:val="000533B6"/>
    <w:rsid w:val="000704B7"/>
    <w:rsid w:val="000740AC"/>
    <w:rsid w:val="000800E0"/>
    <w:rsid w:val="00080EB2"/>
    <w:rsid w:val="000821AA"/>
    <w:rsid w:val="00084A52"/>
    <w:rsid w:val="000911B9"/>
    <w:rsid w:val="000A4480"/>
    <w:rsid w:val="000C210D"/>
    <w:rsid w:val="000D192C"/>
    <w:rsid w:val="000F0C82"/>
    <w:rsid w:val="000F3D31"/>
    <w:rsid w:val="00107DDC"/>
    <w:rsid w:val="00115C3F"/>
    <w:rsid w:val="00121238"/>
    <w:rsid w:val="00123FC9"/>
    <w:rsid w:val="00124316"/>
    <w:rsid w:val="0013065D"/>
    <w:rsid w:val="00147026"/>
    <w:rsid w:val="00147B12"/>
    <w:rsid w:val="0015469C"/>
    <w:rsid w:val="00156E35"/>
    <w:rsid w:val="00162E61"/>
    <w:rsid w:val="00166F07"/>
    <w:rsid w:val="0018308F"/>
    <w:rsid w:val="00185148"/>
    <w:rsid w:val="0018597D"/>
    <w:rsid w:val="00197ED7"/>
    <w:rsid w:val="001C28E7"/>
    <w:rsid w:val="001D02C8"/>
    <w:rsid w:val="001D2041"/>
    <w:rsid w:val="001D30EA"/>
    <w:rsid w:val="001D4B54"/>
    <w:rsid w:val="001D5FFE"/>
    <w:rsid w:val="001E4C8A"/>
    <w:rsid w:val="002013EF"/>
    <w:rsid w:val="002047A5"/>
    <w:rsid w:val="00215080"/>
    <w:rsid w:val="00215C39"/>
    <w:rsid w:val="00230A6C"/>
    <w:rsid w:val="00232A88"/>
    <w:rsid w:val="00244862"/>
    <w:rsid w:val="00244CD3"/>
    <w:rsid w:val="002660ED"/>
    <w:rsid w:val="00272BD2"/>
    <w:rsid w:val="002876FB"/>
    <w:rsid w:val="00290957"/>
    <w:rsid w:val="002B2B4F"/>
    <w:rsid w:val="002D0566"/>
    <w:rsid w:val="002D7221"/>
    <w:rsid w:val="002E2C20"/>
    <w:rsid w:val="002E5B19"/>
    <w:rsid w:val="002F5B81"/>
    <w:rsid w:val="00305E92"/>
    <w:rsid w:val="0034348B"/>
    <w:rsid w:val="00350E44"/>
    <w:rsid w:val="00357E03"/>
    <w:rsid w:val="0037628A"/>
    <w:rsid w:val="003859E0"/>
    <w:rsid w:val="00386316"/>
    <w:rsid w:val="003A6B28"/>
    <w:rsid w:val="003B654E"/>
    <w:rsid w:val="003C3844"/>
    <w:rsid w:val="003D2330"/>
    <w:rsid w:val="003E44AB"/>
    <w:rsid w:val="003E6D45"/>
    <w:rsid w:val="00400872"/>
    <w:rsid w:val="00404D2E"/>
    <w:rsid w:val="0041176D"/>
    <w:rsid w:val="00420536"/>
    <w:rsid w:val="004373DB"/>
    <w:rsid w:val="00472E9B"/>
    <w:rsid w:val="00475F03"/>
    <w:rsid w:val="004779B6"/>
    <w:rsid w:val="00480D9D"/>
    <w:rsid w:val="00496238"/>
    <w:rsid w:val="004B0FBD"/>
    <w:rsid w:val="004C7D81"/>
    <w:rsid w:val="004D1C76"/>
    <w:rsid w:val="004D709C"/>
    <w:rsid w:val="00544012"/>
    <w:rsid w:val="0055245B"/>
    <w:rsid w:val="00554715"/>
    <w:rsid w:val="005A355F"/>
    <w:rsid w:val="005B14B8"/>
    <w:rsid w:val="005B66D0"/>
    <w:rsid w:val="005C1EF5"/>
    <w:rsid w:val="005D29F4"/>
    <w:rsid w:val="005D39E4"/>
    <w:rsid w:val="005E3E94"/>
    <w:rsid w:val="005F0F33"/>
    <w:rsid w:val="005F1430"/>
    <w:rsid w:val="00604C5F"/>
    <w:rsid w:val="00611223"/>
    <w:rsid w:val="00615DF9"/>
    <w:rsid w:val="006B6B73"/>
    <w:rsid w:val="006B7209"/>
    <w:rsid w:val="006C77A5"/>
    <w:rsid w:val="006E0D06"/>
    <w:rsid w:val="006E1637"/>
    <w:rsid w:val="006F0BCD"/>
    <w:rsid w:val="00706F74"/>
    <w:rsid w:val="00752EB9"/>
    <w:rsid w:val="00757859"/>
    <w:rsid w:val="00775DFF"/>
    <w:rsid w:val="007843B9"/>
    <w:rsid w:val="007A147B"/>
    <w:rsid w:val="007A552A"/>
    <w:rsid w:val="007B270E"/>
    <w:rsid w:val="007B3296"/>
    <w:rsid w:val="007D635A"/>
    <w:rsid w:val="007E3B00"/>
    <w:rsid w:val="007F6A09"/>
    <w:rsid w:val="00801180"/>
    <w:rsid w:val="00810ADB"/>
    <w:rsid w:val="00811E00"/>
    <w:rsid w:val="008229F9"/>
    <w:rsid w:val="008308D6"/>
    <w:rsid w:val="00835F11"/>
    <w:rsid w:val="00851273"/>
    <w:rsid w:val="00857894"/>
    <w:rsid w:val="00874BC5"/>
    <w:rsid w:val="0087609F"/>
    <w:rsid w:val="0088112D"/>
    <w:rsid w:val="00887A62"/>
    <w:rsid w:val="0089156E"/>
    <w:rsid w:val="00893B1C"/>
    <w:rsid w:val="0089608A"/>
    <w:rsid w:val="00897B54"/>
    <w:rsid w:val="008A027C"/>
    <w:rsid w:val="008A3345"/>
    <w:rsid w:val="008C291E"/>
    <w:rsid w:val="008C7BB8"/>
    <w:rsid w:val="00905533"/>
    <w:rsid w:val="00920E26"/>
    <w:rsid w:val="0092355A"/>
    <w:rsid w:val="00932BB6"/>
    <w:rsid w:val="00951CE1"/>
    <w:rsid w:val="00953EC1"/>
    <w:rsid w:val="0095456E"/>
    <w:rsid w:val="0096197F"/>
    <w:rsid w:val="00963ED6"/>
    <w:rsid w:val="00966272"/>
    <w:rsid w:val="009759C2"/>
    <w:rsid w:val="00983927"/>
    <w:rsid w:val="00985A55"/>
    <w:rsid w:val="009903DB"/>
    <w:rsid w:val="00995B5E"/>
    <w:rsid w:val="009B03C1"/>
    <w:rsid w:val="009D323C"/>
    <w:rsid w:val="009D520E"/>
    <w:rsid w:val="009D6FFA"/>
    <w:rsid w:val="009D7687"/>
    <w:rsid w:val="009E281E"/>
    <w:rsid w:val="009E7250"/>
    <w:rsid w:val="009E77C2"/>
    <w:rsid w:val="009F08A4"/>
    <w:rsid w:val="009F68AD"/>
    <w:rsid w:val="00A156A0"/>
    <w:rsid w:val="00A31E03"/>
    <w:rsid w:val="00A32DBB"/>
    <w:rsid w:val="00A56EB1"/>
    <w:rsid w:val="00A60311"/>
    <w:rsid w:val="00A74C4D"/>
    <w:rsid w:val="00A94AF1"/>
    <w:rsid w:val="00A9756F"/>
    <w:rsid w:val="00AA7A31"/>
    <w:rsid w:val="00AB4E0A"/>
    <w:rsid w:val="00AC71AC"/>
    <w:rsid w:val="00AD7208"/>
    <w:rsid w:val="00AE6AE8"/>
    <w:rsid w:val="00AF75C5"/>
    <w:rsid w:val="00B07D91"/>
    <w:rsid w:val="00B15ABC"/>
    <w:rsid w:val="00B16B98"/>
    <w:rsid w:val="00B16BE2"/>
    <w:rsid w:val="00B209A3"/>
    <w:rsid w:val="00B234C7"/>
    <w:rsid w:val="00B34EC9"/>
    <w:rsid w:val="00B54E43"/>
    <w:rsid w:val="00B578CF"/>
    <w:rsid w:val="00B66E98"/>
    <w:rsid w:val="00B77657"/>
    <w:rsid w:val="00B81916"/>
    <w:rsid w:val="00BA08C9"/>
    <w:rsid w:val="00BB2B4F"/>
    <w:rsid w:val="00BC68D1"/>
    <w:rsid w:val="00BC7A0E"/>
    <w:rsid w:val="00BD7F24"/>
    <w:rsid w:val="00BE1605"/>
    <w:rsid w:val="00BE49F0"/>
    <w:rsid w:val="00BF77D0"/>
    <w:rsid w:val="00C0322D"/>
    <w:rsid w:val="00C127DF"/>
    <w:rsid w:val="00C35584"/>
    <w:rsid w:val="00C43175"/>
    <w:rsid w:val="00C4707D"/>
    <w:rsid w:val="00C666FF"/>
    <w:rsid w:val="00CB0307"/>
    <w:rsid w:val="00CB282A"/>
    <w:rsid w:val="00CB3271"/>
    <w:rsid w:val="00CB6682"/>
    <w:rsid w:val="00CB6E80"/>
    <w:rsid w:val="00CC16AF"/>
    <w:rsid w:val="00CE64E3"/>
    <w:rsid w:val="00CF611B"/>
    <w:rsid w:val="00CF6AE4"/>
    <w:rsid w:val="00D07ABB"/>
    <w:rsid w:val="00D13899"/>
    <w:rsid w:val="00D2041C"/>
    <w:rsid w:val="00D218FE"/>
    <w:rsid w:val="00D219ED"/>
    <w:rsid w:val="00D42233"/>
    <w:rsid w:val="00D63CB7"/>
    <w:rsid w:val="00D64CED"/>
    <w:rsid w:val="00D77F25"/>
    <w:rsid w:val="00DA5DC0"/>
    <w:rsid w:val="00DA5DC6"/>
    <w:rsid w:val="00DB7FAE"/>
    <w:rsid w:val="00DC69B6"/>
    <w:rsid w:val="00DD06B6"/>
    <w:rsid w:val="00DD69E1"/>
    <w:rsid w:val="00DE4A06"/>
    <w:rsid w:val="00DF6B41"/>
    <w:rsid w:val="00E012F9"/>
    <w:rsid w:val="00E02BA2"/>
    <w:rsid w:val="00E03FD0"/>
    <w:rsid w:val="00E05547"/>
    <w:rsid w:val="00E13FC9"/>
    <w:rsid w:val="00E25CA1"/>
    <w:rsid w:val="00E269CC"/>
    <w:rsid w:val="00E325D4"/>
    <w:rsid w:val="00E32A42"/>
    <w:rsid w:val="00E533DF"/>
    <w:rsid w:val="00E57930"/>
    <w:rsid w:val="00E603DE"/>
    <w:rsid w:val="00E82D62"/>
    <w:rsid w:val="00E940A8"/>
    <w:rsid w:val="00EA0A2E"/>
    <w:rsid w:val="00EA1ACD"/>
    <w:rsid w:val="00EC44E3"/>
    <w:rsid w:val="00EE0D07"/>
    <w:rsid w:val="00EE63C0"/>
    <w:rsid w:val="00EF7E89"/>
    <w:rsid w:val="00F002A1"/>
    <w:rsid w:val="00F32472"/>
    <w:rsid w:val="00F350B9"/>
    <w:rsid w:val="00F679DD"/>
    <w:rsid w:val="00F75094"/>
    <w:rsid w:val="00F82C44"/>
    <w:rsid w:val="00F93680"/>
    <w:rsid w:val="00FA075E"/>
    <w:rsid w:val="00FB0793"/>
    <w:rsid w:val="00FC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1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916"/>
  </w:style>
  <w:style w:type="paragraph" w:styleId="Footer">
    <w:name w:val="footer"/>
    <w:basedOn w:val="Normal"/>
    <w:link w:val="FooterChar"/>
    <w:uiPriority w:val="99"/>
    <w:unhideWhenUsed/>
    <w:rsid w:val="00B8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semiHidden/>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semiHidden/>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semiHidden/>
    <w:unhideWhenUsed/>
    <w:rsid w:val="00A1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1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916"/>
  </w:style>
  <w:style w:type="paragraph" w:styleId="Footer">
    <w:name w:val="footer"/>
    <w:basedOn w:val="Normal"/>
    <w:link w:val="FooterChar"/>
    <w:uiPriority w:val="99"/>
    <w:unhideWhenUsed/>
    <w:rsid w:val="00B8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semiHidden/>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semiHidden/>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semiHidden/>
    <w:unhideWhenUsed/>
    <w:rsid w:val="00A1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2010-03-31T07:00:00+00:00</OpenedDate>
    <Date1 xmlns="dc463f71-b30c-4ab2-9473-d307f9d35888">2011-11-15T08:00:00+00:00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8BBB24DA97344A8CD589F6DF75958" ma:contentTypeVersion="131" ma:contentTypeDescription="" ma:contentTypeScope="" ma:versionID="3b079cc14f9079414280451759446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BE8C64-0F6D-4366-9A0B-13DB460B8ED7}"/>
</file>

<file path=customXml/itemProps2.xml><?xml version="1.0" encoding="utf-8"?>
<ds:datastoreItem xmlns:ds="http://schemas.openxmlformats.org/officeDocument/2006/customXml" ds:itemID="{5318E8B5-8AA6-4BAE-A778-40775CFEA211}"/>
</file>

<file path=customXml/itemProps3.xml><?xml version="1.0" encoding="utf-8"?>
<ds:datastoreItem xmlns:ds="http://schemas.openxmlformats.org/officeDocument/2006/customXml" ds:itemID="{6214B0D5-618D-4C58-9EFD-BD235D1A0E9D}"/>
</file>

<file path=customXml/itemProps4.xml><?xml version="1.0" encoding="utf-8"?>
<ds:datastoreItem xmlns:ds="http://schemas.openxmlformats.org/officeDocument/2006/customXml" ds:itemID="{7A511C7E-0056-41FE-BD46-A355A270210D}"/>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2011-11-15T23:09:00Z</dcterms:created>
  <dcterms:modified xsi:type="dcterms:W3CDTF">2011-11-15T23:09:00Z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0x0101006E56B4D1795A2E4DB2F0B01679ED314A00F2E8BBB24DA97344A8CD589F6DF75958</vt:lpwstr>
  </property>
  <property fmtid="{D5CDD505-2E9C-101B-9397-08002B2CF9AE}" pid="3" name="_docset_NoMedatataSyncRequired">
    <vt:lpwstr>False</vt:lpwstr>
  </property>
</Properties>
</file>