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12B84" w14:textId="77777777" w:rsidR="00C33AB0" w:rsidRPr="00546F21" w:rsidRDefault="00C33AB0" w:rsidP="00B802A6">
      <w:pPr>
        <w:pStyle w:val="Header"/>
        <w:tabs>
          <w:tab w:val="clear" w:pos="4320"/>
          <w:tab w:val="clear" w:pos="8640"/>
        </w:tabs>
        <w:spacing w:line="240" w:lineRule="exact"/>
        <w:jc w:val="center"/>
        <w:rPr>
          <w:rFonts w:ascii="Times New Roman" w:hAnsi="Times New Roman"/>
          <w:b/>
        </w:rPr>
      </w:pPr>
    </w:p>
    <w:p w14:paraId="5CFF5AF1" w14:textId="77777777" w:rsidR="00C33AB0" w:rsidRPr="00546F21" w:rsidRDefault="00C33AB0" w:rsidP="00B802A6">
      <w:pPr>
        <w:pStyle w:val="Header"/>
        <w:tabs>
          <w:tab w:val="clear" w:pos="4320"/>
          <w:tab w:val="clear" w:pos="8640"/>
        </w:tabs>
        <w:spacing w:line="240" w:lineRule="exact"/>
        <w:jc w:val="center"/>
        <w:rPr>
          <w:rFonts w:ascii="Times New Roman" w:hAnsi="Times New Roman"/>
          <w:b/>
        </w:rPr>
      </w:pPr>
    </w:p>
    <w:p w14:paraId="4B50B048" w14:textId="77777777" w:rsidR="00B802A6" w:rsidRPr="00546F21" w:rsidRDefault="00413A6A" w:rsidP="00B802A6">
      <w:pPr>
        <w:pStyle w:val="Header"/>
        <w:tabs>
          <w:tab w:val="clear" w:pos="4320"/>
          <w:tab w:val="clear" w:pos="8640"/>
        </w:tabs>
        <w:spacing w:line="240" w:lineRule="exact"/>
        <w:jc w:val="center"/>
        <w:rPr>
          <w:rFonts w:ascii="Times New Roman" w:hAnsi="Times New Roman"/>
          <w:b/>
        </w:rPr>
      </w:pPr>
      <w:r w:rsidRPr="00546F21">
        <w:rPr>
          <w:rFonts w:ascii="Times New Roman" w:hAnsi="Times New Roman"/>
          <w:b/>
        </w:rPr>
        <w:t>BEFORE THE WASHINGTON</w:t>
      </w:r>
    </w:p>
    <w:p w14:paraId="7187A719" w14:textId="77777777" w:rsidR="00413A6A" w:rsidRPr="00546F21" w:rsidRDefault="00413A6A" w:rsidP="00B802A6">
      <w:pPr>
        <w:pStyle w:val="Header"/>
        <w:tabs>
          <w:tab w:val="clear" w:pos="4320"/>
          <w:tab w:val="clear" w:pos="8640"/>
        </w:tabs>
        <w:spacing w:line="240" w:lineRule="exact"/>
        <w:jc w:val="center"/>
        <w:rPr>
          <w:rFonts w:ascii="Times New Roman" w:hAnsi="Times New Roman"/>
        </w:rPr>
      </w:pPr>
      <w:r w:rsidRPr="00546F21">
        <w:rPr>
          <w:rFonts w:ascii="Times New Roman" w:hAnsi="Times New Roman"/>
          <w:b/>
        </w:rPr>
        <w:t>UTILITIES AND TRANSPORTATION COMMISSION</w:t>
      </w:r>
    </w:p>
    <w:p w14:paraId="7C226E54" w14:textId="77777777" w:rsidR="00413A6A" w:rsidRPr="00546F21" w:rsidRDefault="00413A6A" w:rsidP="00B802A6">
      <w:pPr>
        <w:pStyle w:val="Header"/>
        <w:spacing w:line="240" w:lineRule="exact"/>
        <w:jc w:val="center"/>
        <w:rPr>
          <w:rFonts w:ascii="Times New Roman" w:hAnsi="Times New Roman"/>
        </w:rPr>
      </w:pPr>
    </w:p>
    <w:p w14:paraId="4FEF7D48" w14:textId="77777777" w:rsidR="00413A6A" w:rsidRPr="00546F21" w:rsidRDefault="00413A6A" w:rsidP="00B802A6">
      <w:pPr>
        <w:pStyle w:val="Header"/>
        <w:spacing w:line="240" w:lineRule="exact"/>
        <w:rPr>
          <w:rFonts w:ascii="Times New Roman" w:hAnsi="Times New Roman"/>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413A6A" w:rsidRPr="00546F21" w14:paraId="26D828E7" w14:textId="77777777" w:rsidTr="002F15AA">
        <w:tc>
          <w:tcPr>
            <w:tcW w:w="4590" w:type="dxa"/>
            <w:tcBorders>
              <w:top w:val="single" w:sz="6" w:space="0" w:color="FFFFFF"/>
              <w:left w:val="single" w:sz="6" w:space="0" w:color="FFFFFF"/>
              <w:bottom w:val="single" w:sz="7" w:space="0" w:color="000000"/>
              <w:right w:val="single" w:sz="6" w:space="0" w:color="FFFFFF"/>
            </w:tcBorders>
          </w:tcPr>
          <w:p w14:paraId="31A61B3C" w14:textId="77777777" w:rsidR="00413A6A" w:rsidRPr="00546F21" w:rsidRDefault="00413A6A" w:rsidP="00B802A6">
            <w:pPr>
              <w:pStyle w:val="Header"/>
              <w:tabs>
                <w:tab w:val="left" w:pos="681"/>
                <w:tab w:val="left" w:pos="1401"/>
              </w:tabs>
              <w:spacing w:line="240" w:lineRule="exact"/>
              <w:rPr>
                <w:rFonts w:ascii="Times New Roman" w:hAnsi="Times New Roman"/>
                <w:b/>
              </w:rPr>
            </w:pPr>
            <w:r w:rsidRPr="00546F21">
              <w:rPr>
                <w:rFonts w:ascii="Times New Roman" w:hAnsi="Times New Roman"/>
                <w:b/>
              </w:rPr>
              <w:t>In the Matter of the Petition of</w:t>
            </w:r>
            <w:r w:rsidRPr="00546F21">
              <w:rPr>
                <w:rFonts w:ascii="Times New Roman" w:hAnsi="Times New Roman"/>
                <w:b/>
              </w:rPr>
              <w:br/>
            </w:r>
            <w:r w:rsidRPr="00546F21">
              <w:rPr>
                <w:rFonts w:ascii="Times New Roman" w:hAnsi="Times New Roman"/>
                <w:b/>
              </w:rPr>
              <w:br/>
              <w:t>PUGET SOUND ENERGY, INC.</w:t>
            </w:r>
            <w:r w:rsidRPr="00546F21">
              <w:rPr>
                <w:rFonts w:ascii="Times New Roman" w:hAnsi="Times New Roman"/>
                <w:b/>
              </w:rPr>
              <w:br/>
            </w:r>
            <w:r w:rsidRPr="00546F21">
              <w:rPr>
                <w:rFonts w:ascii="Times New Roman" w:hAnsi="Times New Roman"/>
                <w:b/>
              </w:rPr>
              <w:br/>
              <w:t>For an Accounting Order Approving the Allocation of Proceeds of the Sale of Certain Assets to Public Utility District #1 of Jefferson County.</w:t>
            </w:r>
          </w:p>
          <w:p w14:paraId="4C6F8BBC" w14:textId="77777777" w:rsidR="00413A6A" w:rsidRPr="00546F21" w:rsidRDefault="00413A6A" w:rsidP="00B802A6">
            <w:pPr>
              <w:pStyle w:val="Header"/>
              <w:tabs>
                <w:tab w:val="left" w:pos="681"/>
                <w:tab w:val="left" w:pos="1401"/>
              </w:tabs>
              <w:spacing w:line="240" w:lineRule="exact"/>
              <w:rPr>
                <w:rFonts w:ascii="Times New Roman" w:hAnsi="Times New Roman"/>
                <w:b/>
              </w:rPr>
            </w:pPr>
          </w:p>
        </w:tc>
        <w:tc>
          <w:tcPr>
            <w:tcW w:w="4590" w:type="dxa"/>
            <w:tcBorders>
              <w:top w:val="single" w:sz="6" w:space="0" w:color="FFFFFF"/>
              <w:left w:val="single" w:sz="7" w:space="0" w:color="000000"/>
              <w:bottom w:val="single" w:sz="6" w:space="0" w:color="FFFFFF"/>
              <w:right w:val="single" w:sz="6" w:space="0" w:color="FFFFFF"/>
            </w:tcBorders>
          </w:tcPr>
          <w:p w14:paraId="6E509B50" w14:textId="77777777" w:rsidR="00413A6A" w:rsidRPr="00546F21" w:rsidRDefault="00413A6A" w:rsidP="00B802A6">
            <w:pPr>
              <w:pStyle w:val="Header"/>
              <w:spacing w:line="240" w:lineRule="exact"/>
              <w:ind w:left="416"/>
              <w:rPr>
                <w:rFonts w:ascii="Times New Roman" w:hAnsi="Times New Roman"/>
                <w:b/>
              </w:rPr>
            </w:pPr>
            <w:r w:rsidRPr="00546F21">
              <w:rPr>
                <w:rFonts w:ascii="Times New Roman" w:hAnsi="Times New Roman"/>
                <w:b/>
              </w:rPr>
              <w:t>DOCKET UE-132027</w:t>
            </w:r>
          </w:p>
          <w:p w14:paraId="25633B1C" w14:textId="77777777" w:rsidR="00413A6A" w:rsidRPr="00546F21" w:rsidRDefault="00413A6A" w:rsidP="00B802A6">
            <w:pPr>
              <w:pStyle w:val="Header"/>
              <w:spacing w:line="240" w:lineRule="exact"/>
              <w:ind w:left="416"/>
              <w:rPr>
                <w:rFonts w:ascii="Times New Roman" w:hAnsi="Times New Roman"/>
                <w:b/>
              </w:rPr>
            </w:pPr>
          </w:p>
          <w:p w14:paraId="6ADF5C23" w14:textId="77777777" w:rsidR="00B802A6" w:rsidRPr="00546F21" w:rsidRDefault="00B802A6" w:rsidP="00B802A6">
            <w:pPr>
              <w:pStyle w:val="BodyTextIndent2"/>
              <w:spacing w:line="240" w:lineRule="exact"/>
              <w:ind w:left="416"/>
              <w:rPr>
                <w:rFonts w:ascii="Times New Roman" w:hAnsi="Times New Roman"/>
                <w:b/>
              </w:rPr>
            </w:pPr>
          </w:p>
          <w:p w14:paraId="15DEA90C" w14:textId="77777777" w:rsidR="00B802A6" w:rsidRPr="00546F21" w:rsidRDefault="00B802A6" w:rsidP="00B802A6">
            <w:pPr>
              <w:pStyle w:val="BodyTextIndent2"/>
              <w:spacing w:line="240" w:lineRule="exact"/>
              <w:ind w:left="416"/>
              <w:rPr>
                <w:rFonts w:ascii="Times New Roman" w:hAnsi="Times New Roman"/>
                <w:b/>
              </w:rPr>
            </w:pPr>
          </w:p>
          <w:p w14:paraId="1A07EE6E" w14:textId="77777777" w:rsidR="00B802A6" w:rsidRPr="00546F21" w:rsidRDefault="00B802A6" w:rsidP="00B802A6">
            <w:pPr>
              <w:pStyle w:val="BodyTextIndent2"/>
              <w:spacing w:line="240" w:lineRule="exact"/>
              <w:ind w:left="416"/>
              <w:rPr>
                <w:rFonts w:ascii="Times New Roman" w:hAnsi="Times New Roman"/>
                <w:b/>
              </w:rPr>
            </w:pPr>
          </w:p>
          <w:p w14:paraId="3D52A6DC" w14:textId="77777777" w:rsidR="00413A6A" w:rsidRPr="00546F21" w:rsidRDefault="00413A6A" w:rsidP="00B802A6">
            <w:pPr>
              <w:pStyle w:val="Header"/>
              <w:spacing w:line="240" w:lineRule="exact"/>
              <w:ind w:left="416"/>
              <w:rPr>
                <w:rFonts w:ascii="Times New Roman" w:hAnsi="Times New Roman"/>
                <w:b/>
              </w:rPr>
            </w:pPr>
          </w:p>
        </w:tc>
      </w:tr>
    </w:tbl>
    <w:p w14:paraId="4DA5FDBC" w14:textId="77777777" w:rsidR="00413A6A" w:rsidRPr="00546F21" w:rsidRDefault="00413A6A" w:rsidP="00413A6A">
      <w:pPr>
        <w:pStyle w:val="Header"/>
        <w:spacing w:line="480" w:lineRule="auto"/>
        <w:rPr>
          <w:rFonts w:ascii="Times New Roman" w:hAnsi="Times New Roman"/>
        </w:rPr>
      </w:pPr>
    </w:p>
    <w:p w14:paraId="7403EAA3" w14:textId="77777777" w:rsidR="00B802A6" w:rsidRPr="00546F21" w:rsidRDefault="00B802A6" w:rsidP="00B802A6">
      <w:pPr>
        <w:pStyle w:val="BodyTextIndent2"/>
        <w:spacing w:line="240" w:lineRule="exact"/>
        <w:ind w:left="0"/>
        <w:jc w:val="center"/>
        <w:rPr>
          <w:rFonts w:ascii="Times New Roman" w:hAnsi="Times New Roman"/>
        </w:rPr>
      </w:pPr>
    </w:p>
    <w:p w14:paraId="554D6B25" w14:textId="77777777" w:rsidR="00C33AB0" w:rsidRPr="00546F21" w:rsidRDefault="00C33AB0" w:rsidP="00B802A6">
      <w:pPr>
        <w:pStyle w:val="BodyTextIndent2"/>
        <w:spacing w:line="240" w:lineRule="exact"/>
        <w:ind w:left="0"/>
        <w:jc w:val="center"/>
        <w:rPr>
          <w:rFonts w:ascii="Times New Roman" w:hAnsi="Times New Roman"/>
        </w:rPr>
      </w:pPr>
    </w:p>
    <w:p w14:paraId="16145511" w14:textId="77777777" w:rsidR="00B802A6" w:rsidRPr="00546F21" w:rsidRDefault="00B802A6" w:rsidP="00B802A6">
      <w:pPr>
        <w:pStyle w:val="BodyTextIndent2"/>
        <w:spacing w:line="240" w:lineRule="exact"/>
        <w:ind w:left="0"/>
        <w:jc w:val="center"/>
        <w:rPr>
          <w:rFonts w:ascii="Times New Roman" w:hAnsi="Times New Roman"/>
        </w:rPr>
      </w:pPr>
    </w:p>
    <w:p w14:paraId="251032DC" w14:textId="77777777" w:rsidR="00B802A6" w:rsidRPr="00546F21" w:rsidRDefault="00C870A1" w:rsidP="00B802A6">
      <w:pPr>
        <w:pStyle w:val="BodyTextIndent2"/>
        <w:spacing w:line="240" w:lineRule="exact"/>
        <w:ind w:left="0"/>
        <w:jc w:val="center"/>
        <w:rPr>
          <w:rFonts w:ascii="Times New Roman" w:hAnsi="Times New Roman"/>
          <w:b/>
        </w:rPr>
      </w:pPr>
      <w:r>
        <w:rPr>
          <w:rFonts w:ascii="Times New Roman" w:hAnsi="Times New Roman"/>
          <w:b/>
        </w:rPr>
        <w:t>REPLY</w:t>
      </w:r>
      <w:r w:rsidR="00B802A6" w:rsidRPr="00546F21">
        <w:rPr>
          <w:rFonts w:ascii="Times New Roman" w:hAnsi="Times New Roman"/>
          <w:b/>
        </w:rPr>
        <w:t xml:space="preserve"> BRIEF ON BEHALF OF COMMISSION STAFF</w:t>
      </w:r>
    </w:p>
    <w:p w14:paraId="797BF8E9" w14:textId="77777777" w:rsidR="00C33AB0" w:rsidRPr="00546F21" w:rsidRDefault="00C33AB0" w:rsidP="00B802A6">
      <w:pPr>
        <w:pStyle w:val="BodyTextIndent2"/>
        <w:spacing w:line="240" w:lineRule="exact"/>
        <w:ind w:left="0"/>
        <w:jc w:val="center"/>
        <w:rPr>
          <w:rFonts w:ascii="Times New Roman" w:hAnsi="Times New Roman"/>
          <w:b/>
        </w:rPr>
      </w:pPr>
    </w:p>
    <w:p w14:paraId="2408FE6E" w14:textId="77777777" w:rsidR="00C33AB0" w:rsidRPr="00546F21" w:rsidRDefault="00C33AB0" w:rsidP="00B802A6">
      <w:pPr>
        <w:pStyle w:val="BodyTextIndent2"/>
        <w:spacing w:line="240" w:lineRule="exact"/>
        <w:ind w:left="0"/>
        <w:jc w:val="center"/>
        <w:rPr>
          <w:rFonts w:ascii="Times New Roman" w:hAnsi="Times New Roman"/>
          <w:b/>
        </w:rPr>
      </w:pPr>
    </w:p>
    <w:p w14:paraId="08157823" w14:textId="77777777" w:rsidR="00C33AB0" w:rsidRPr="00546F21" w:rsidRDefault="00C33AB0" w:rsidP="00B802A6">
      <w:pPr>
        <w:pStyle w:val="BodyTextIndent2"/>
        <w:spacing w:line="240" w:lineRule="exact"/>
        <w:ind w:left="0"/>
        <w:jc w:val="center"/>
        <w:rPr>
          <w:rFonts w:ascii="Times New Roman" w:hAnsi="Times New Roman"/>
          <w:b/>
        </w:rPr>
      </w:pPr>
    </w:p>
    <w:p w14:paraId="3AAE96B4" w14:textId="77777777" w:rsidR="00C33AB0" w:rsidRPr="00546F21" w:rsidRDefault="00C33AB0" w:rsidP="00B802A6">
      <w:pPr>
        <w:pStyle w:val="BodyTextIndent2"/>
        <w:spacing w:line="240" w:lineRule="exact"/>
        <w:ind w:left="0"/>
        <w:jc w:val="center"/>
        <w:rPr>
          <w:rFonts w:ascii="Times New Roman" w:hAnsi="Times New Roman"/>
          <w:b/>
        </w:rPr>
      </w:pPr>
    </w:p>
    <w:p w14:paraId="56D855E0" w14:textId="77777777" w:rsidR="00C33AB0" w:rsidRPr="00546F21" w:rsidRDefault="00C33AB0" w:rsidP="00B802A6">
      <w:pPr>
        <w:pStyle w:val="BodyTextIndent2"/>
        <w:spacing w:line="240" w:lineRule="exact"/>
        <w:ind w:left="0"/>
        <w:jc w:val="center"/>
        <w:rPr>
          <w:rFonts w:ascii="Times New Roman" w:hAnsi="Times New Roman"/>
          <w:b/>
        </w:rPr>
      </w:pPr>
    </w:p>
    <w:p w14:paraId="44634E16" w14:textId="77777777" w:rsidR="00C33AB0" w:rsidRPr="00546F21" w:rsidRDefault="00C33AB0" w:rsidP="00B802A6">
      <w:pPr>
        <w:pStyle w:val="BodyTextIndent2"/>
        <w:spacing w:line="240" w:lineRule="exact"/>
        <w:ind w:left="0"/>
        <w:jc w:val="center"/>
        <w:rPr>
          <w:rFonts w:ascii="Times New Roman" w:hAnsi="Times New Roman"/>
          <w:b/>
        </w:rPr>
      </w:pPr>
    </w:p>
    <w:p w14:paraId="30B7886C" w14:textId="77777777" w:rsidR="00C33AB0" w:rsidRPr="00546F21" w:rsidRDefault="00C33AB0" w:rsidP="00B802A6">
      <w:pPr>
        <w:pStyle w:val="BodyTextIndent2"/>
        <w:spacing w:line="240" w:lineRule="exact"/>
        <w:ind w:left="0"/>
        <w:jc w:val="center"/>
        <w:rPr>
          <w:rFonts w:ascii="Times New Roman" w:hAnsi="Times New Roman"/>
          <w:b/>
        </w:rPr>
      </w:pPr>
    </w:p>
    <w:p w14:paraId="0BF95654" w14:textId="77777777" w:rsidR="00C33AB0" w:rsidRPr="00546F21" w:rsidRDefault="00C33AB0" w:rsidP="00B802A6">
      <w:pPr>
        <w:pStyle w:val="BodyTextIndent2"/>
        <w:spacing w:line="240" w:lineRule="exact"/>
        <w:ind w:left="0"/>
        <w:jc w:val="center"/>
        <w:rPr>
          <w:rFonts w:ascii="Times New Roman" w:hAnsi="Times New Roman"/>
          <w:b/>
        </w:rPr>
      </w:pPr>
    </w:p>
    <w:p w14:paraId="777185BE" w14:textId="77777777" w:rsidR="00B802A6" w:rsidRPr="00546F21" w:rsidRDefault="00B802A6" w:rsidP="00B802A6">
      <w:pPr>
        <w:pStyle w:val="BodyTextIndent2"/>
        <w:spacing w:line="240" w:lineRule="exact"/>
        <w:ind w:left="0"/>
        <w:jc w:val="center"/>
        <w:rPr>
          <w:rFonts w:ascii="Times New Roman" w:hAnsi="Times New Roman"/>
          <w:b/>
        </w:rPr>
      </w:pPr>
    </w:p>
    <w:p w14:paraId="5924B0D3" w14:textId="77777777" w:rsidR="00B802A6" w:rsidRPr="00546F21" w:rsidRDefault="00B802A6" w:rsidP="00B802A6">
      <w:pPr>
        <w:pStyle w:val="BodyTextIndent2"/>
        <w:spacing w:line="240" w:lineRule="exact"/>
        <w:ind w:left="0"/>
        <w:jc w:val="center"/>
        <w:rPr>
          <w:rFonts w:ascii="Times New Roman" w:hAnsi="Times New Roman"/>
          <w:b/>
        </w:rPr>
      </w:pPr>
    </w:p>
    <w:p w14:paraId="6FA07095" w14:textId="77777777" w:rsidR="00B802A6" w:rsidRPr="00546F21" w:rsidRDefault="00B802A6" w:rsidP="00B802A6">
      <w:pPr>
        <w:ind w:left="3600" w:firstLine="720"/>
        <w:rPr>
          <w:rFonts w:eastAsia="Times New Roman" w:cs="Times New Roman"/>
          <w:b/>
          <w:bCs/>
          <w:szCs w:val="24"/>
        </w:rPr>
      </w:pPr>
      <w:r w:rsidRPr="00546F21">
        <w:rPr>
          <w:rFonts w:eastAsia="Times New Roman" w:cs="Times New Roman"/>
          <w:b/>
          <w:bCs/>
          <w:szCs w:val="24"/>
        </w:rPr>
        <w:t>June 1</w:t>
      </w:r>
      <w:r w:rsidR="00C870A1">
        <w:rPr>
          <w:rFonts w:eastAsia="Times New Roman" w:cs="Times New Roman"/>
          <w:b/>
          <w:bCs/>
          <w:szCs w:val="24"/>
        </w:rPr>
        <w:t>7</w:t>
      </w:r>
      <w:r w:rsidRPr="00546F21">
        <w:rPr>
          <w:rFonts w:eastAsia="Times New Roman" w:cs="Times New Roman"/>
          <w:b/>
          <w:bCs/>
          <w:szCs w:val="24"/>
        </w:rPr>
        <w:t>, 2014</w:t>
      </w:r>
    </w:p>
    <w:p w14:paraId="790BED7A" w14:textId="77777777" w:rsidR="00B802A6" w:rsidRPr="00546F21" w:rsidRDefault="00B802A6" w:rsidP="00B802A6">
      <w:pPr>
        <w:rPr>
          <w:rFonts w:eastAsia="Times New Roman" w:cs="Times New Roman"/>
          <w:b/>
          <w:bCs/>
          <w:szCs w:val="24"/>
        </w:rPr>
      </w:pPr>
    </w:p>
    <w:p w14:paraId="59A24A25" w14:textId="77777777" w:rsidR="00B802A6" w:rsidRPr="00546F21" w:rsidRDefault="00B802A6" w:rsidP="00B802A6">
      <w:pPr>
        <w:rPr>
          <w:rFonts w:eastAsia="Times New Roman" w:cs="Times New Roman"/>
          <w:b/>
          <w:bCs/>
          <w:szCs w:val="24"/>
        </w:rPr>
      </w:pPr>
      <w:r w:rsidRPr="00546F21">
        <w:rPr>
          <w:rFonts w:eastAsia="Times New Roman" w:cs="Times New Roman"/>
          <w:b/>
          <w:bCs/>
          <w:szCs w:val="24"/>
        </w:rPr>
        <w:tab/>
      </w:r>
      <w:r w:rsidRPr="00546F21">
        <w:rPr>
          <w:rFonts w:eastAsia="Times New Roman" w:cs="Times New Roman"/>
          <w:b/>
          <w:bCs/>
          <w:szCs w:val="24"/>
        </w:rPr>
        <w:tab/>
      </w:r>
      <w:r w:rsidRPr="00546F21">
        <w:rPr>
          <w:rFonts w:eastAsia="Times New Roman" w:cs="Times New Roman"/>
          <w:b/>
          <w:bCs/>
          <w:szCs w:val="24"/>
        </w:rPr>
        <w:tab/>
      </w:r>
      <w:r w:rsidRPr="00546F21">
        <w:rPr>
          <w:rFonts w:eastAsia="Times New Roman" w:cs="Times New Roman"/>
          <w:b/>
          <w:bCs/>
          <w:szCs w:val="24"/>
        </w:rPr>
        <w:tab/>
      </w:r>
      <w:r w:rsidRPr="00546F21">
        <w:rPr>
          <w:rFonts w:eastAsia="Times New Roman" w:cs="Times New Roman"/>
          <w:b/>
          <w:bCs/>
          <w:szCs w:val="24"/>
        </w:rPr>
        <w:tab/>
      </w:r>
      <w:r w:rsidRPr="00546F21">
        <w:rPr>
          <w:rFonts w:eastAsia="Times New Roman" w:cs="Times New Roman"/>
          <w:b/>
          <w:bCs/>
          <w:szCs w:val="24"/>
        </w:rPr>
        <w:tab/>
        <w:t>ROBERT W. FERGUSON</w:t>
      </w:r>
    </w:p>
    <w:p w14:paraId="42034BC7" w14:textId="77777777" w:rsidR="00B802A6" w:rsidRPr="00546F21" w:rsidRDefault="00B802A6" w:rsidP="00B802A6">
      <w:pPr>
        <w:rPr>
          <w:rFonts w:eastAsia="Times New Roman" w:cs="Times New Roman"/>
          <w:b/>
          <w:bCs/>
          <w:szCs w:val="24"/>
        </w:rPr>
      </w:pPr>
      <w:r w:rsidRPr="00546F21">
        <w:rPr>
          <w:rFonts w:eastAsia="Times New Roman" w:cs="Times New Roman"/>
          <w:b/>
          <w:bCs/>
          <w:szCs w:val="24"/>
        </w:rPr>
        <w:tab/>
      </w:r>
      <w:r w:rsidRPr="00546F21">
        <w:rPr>
          <w:rFonts w:eastAsia="Times New Roman" w:cs="Times New Roman"/>
          <w:b/>
          <w:bCs/>
          <w:szCs w:val="24"/>
        </w:rPr>
        <w:tab/>
      </w:r>
      <w:r w:rsidRPr="00546F21">
        <w:rPr>
          <w:rFonts w:eastAsia="Times New Roman" w:cs="Times New Roman"/>
          <w:b/>
          <w:bCs/>
          <w:szCs w:val="24"/>
        </w:rPr>
        <w:tab/>
      </w:r>
      <w:r w:rsidRPr="00546F21">
        <w:rPr>
          <w:rFonts w:eastAsia="Times New Roman" w:cs="Times New Roman"/>
          <w:b/>
          <w:bCs/>
          <w:szCs w:val="24"/>
        </w:rPr>
        <w:tab/>
      </w:r>
      <w:r w:rsidRPr="00546F21">
        <w:rPr>
          <w:rFonts w:eastAsia="Times New Roman" w:cs="Times New Roman"/>
          <w:b/>
          <w:bCs/>
          <w:szCs w:val="24"/>
        </w:rPr>
        <w:tab/>
      </w:r>
      <w:r w:rsidRPr="00546F21">
        <w:rPr>
          <w:rFonts w:eastAsia="Times New Roman" w:cs="Times New Roman"/>
          <w:b/>
          <w:bCs/>
          <w:szCs w:val="24"/>
        </w:rPr>
        <w:tab/>
        <w:t xml:space="preserve">Attorney General </w:t>
      </w:r>
    </w:p>
    <w:p w14:paraId="137EDF12" w14:textId="77777777" w:rsidR="00B802A6" w:rsidRPr="00546F21" w:rsidRDefault="00B802A6" w:rsidP="00B802A6">
      <w:pPr>
        <w:rPr>
          <w:rFonts w:eastAsia="Times New Roman" w:cs="Times New Roman"/>
          <w:b/>
          <w:bCs/>
          <w:szCs w:val="24"/>
        </w:rPr>
      </w:pPr>
    </w:p>
    <w:p w14:paraId="05407DD9" w14:textId="77777777" w:rsidR="00B802A6" w:rsidRPr="00546F21" w:rsidRDefault="00B802A6" w:rsidP="00B802A6">
      <w:pPr>
        <w:rPr>
          <w:rFonts w:eastAsia="Times New Roman" w:cs="Times New Roman"/>
          <w:b/>
          <w:szCs w:val="24"/>
        </w:rPr>
      </w:pPr>
      <w:r w:rsidRPr="00546F21">
        <w:rPr>
          <w:rFonts w:eastAsia="Times New Roman" w:cs="Times New Roman"/>
          <w:b/>
          <w:bCs/>
          <w:szCs w:val="24"/>
        </w:rPr>
        <w:tab/>
      </w:r>
      <w:r w:rsidRPr="00546F21">
        <w:rPr>
          <w:rFonts w:eastAsia="Times New Roman" w:cs="Times New Roman"/>
          <w:b/>
          <w:bCs/>
          <w:szCs w:val="24"/>
        </w:rPr>
        <w:tab/>
      </w:r>
      <w:r w:rsidRPr="00546F21">
        <w:rPr>
          <w:rFonts w:eastAsia="Times New Roman" w:cs="Times New Roman"/>
          <w:b/>
          <w:bCs/>
          <w:szCs w:val="24"/>
        </w:rPr>
        <w:tab/>
      </w:r>
      <w:r w:rsidRPr="00546F21">
        <w:rPr>
          <w:rFonts w:eastAsia="Times New Roman" w:cs="Times New Roman"/>
          <w:b/>
          <w:bCs/>
          <w:szCs w:val="24"/>
        </w:rPr>
        <w:tab/>
      </w:r>
      <w:r w:rsidRPr="00546F21">
        <w:rPr>
          <w:rFonts w:eastAsia="Times New Roman" w:cs="Times New Roman"/>
          <w:b/>
          <w:bCs/>
          <w:szCs w:val="24"/>
        </w:rPr>
        <w:tab/>
      </w:r>
      <w:r w:rsidRPr="00546F21">
        <w:rPr>
          <w:rFonts w:eastAsia="Times New Roman" w:cs="Times New Roman"/>
          <w:b/>
          <w:bCs/>
          <w:szCs w:val="24"/>
        </w:rPr>
        <w:tab/>
        <w:t>DONALD T. TROTTER</w:t>
      </w:r>
    </w:p>
    <w:p w14:paraId="1628AC2D" w14:textId="77777777" w:rsidR="00B802A6" w:rsidRPr="00546F21" w:rsidRDefault="00B802A6" w:rsidP="00B802A6">
      <w:pPr>
        <w:rPr>
          <w:rFonts w:eastAsia="Times New Roman" w:cs="Times New Roman"/>
          <w:b/>
          <w:szCs w:val="24"/>
        </w:rPr>
      </w:pP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t xml:space="preserve">Assistant Attorney General </w:t>
      </w:r>
    </w:p>
    <w:p w14:paraId="3161F29F" w14:textId="77777777" w:rsidR="00B802A6" w:rsidRPr="00546F21" w:rsidRDefault="00B802A6" w:rsidP="00B802A6">
      <w:pPr>
        <w:rPr>
          <w:rFonts w:eastAsia="Times New Roman" w:cs="Times New Roman"/>
          <w:b/>
          <w:szCs w:val="24"/>
        </w:rPr>
      </w:pP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t xml:space="preserve">Office of the Attorney General </w:t>
      </w:r>
    </w:p>
    <w:p w14:paraId="15A5810D" w14:textId="77777777" w:rsidR="00B802A6" w:rsidRPr="00546F21" w:rsidRDefault="00B802A6" w:rsidP="00B802A6">
      <w:pPr>
        <w:rPr>
          <w:rFonts w:eastAsia="Times New Roman" w:cs="Times New Roman"/>
          <w:b/>
          <w:szCs w:val="24"/>
        </w:rPr>
      </w:pP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t>Utilities &amp; Transportation Division</w:t>
      </w:r>
    </w:p>
    <w:p w14:paraId="0954878C" w14:textId="77777777" w:rsidR="00B802A6" w:rsidRPr="00546F21" w:rsidRDefault="00B802A6" w:rsidP="00B802A6">
      <w:pPr>
        <w:rPr>
          <w:rFonts w:eastAsia="Times New Roman" w:cs="Times New Roman"/>
          <w:b/>
          <w:szCs w:val="24"/>
        </w:rPr>
      </w:pP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t xml:space="preserve"> </w:t>
      </w:r>
    </w:p>
    <w:p w14:paraId="0AE0C5B4" w14:textId="77777777" w:rsidR="00B802A6" w:rsidRPr="00546F21" w:rsidRDefault="00B802A6" w:rsidP="00B802A6">
      <w:pPr>
        <w:rPr>
          <w:rFonts w:eastAsia="Times New Roman" w:cs="Times New Roman"/>
          <w:b/>
          <w:szCs w:val="24"/>
        </w:rPr>
      </w:pP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t>1400 S Evergreen Park Drive S.W.</w:t>
      </w:r>
    </w:p>
    <w:p w14:paraId="6C0D3493" w14:textId="77777777" w:rsidR="00B802A6" w:rsidRPr="00546F21" w:rsidRDefault="00B802A6" w:rsidP="00B802A6">
      <w:pPr>
        <w:rPr>
          <w:rFonts w:eastAsia="Times New Roman" w:cs="Times New Roman"/>
          <w:b/>
          <w:szCs w:val="24"/>
        </w:rPr>
      </w:pP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t>P.O. Box 40128</w:t>
      </w:r>
    </w:p>
    <w:p w14:paraId="51A6CF5B" w14:textId="77777777" w:rsidR="00B802A6" w:rsidRPr="00546F21" w:rsidRDefault="00B802A6" w:rsidP="00B802A6">
      <w:pPr>
        <w:rPr>
          <w:rFonts w:eastAsia="Times New Roman" w:cs="Times New Roman"/>
          <w:b/>
          <w:szCs w:val="24"/>
        </w:rPr>
      </w:pP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t xml:space="preserve">Olympia, WA  98504-0128 </w:t>
      </w:r>
    </w:p>
    <w:p w14:paraId="076DBBE4" w14:textId="77777777" w:rsidR="00B802A6" w:rsidRPr="00165C88" w:rsidRDefault="00B802A6" w:rsidP="00B802A6">
      <w:pPr>
        <w:rPr>
          <w:rFonts w:eastAsia="Times New Roman" w:cs="Times New Roman"/>
          <w:b/>
          <w:szCs w:val="24"/>
        </w:rPr>
      </w:pP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r>
      <w:r w:rsidRPr="00546F21">
        <w:rPr>
          <w:rFonts w:eastAsia="Times New Roman" w:cs="Times New Roman"/>
          <w:b/>
          <w:szCs w:val="24"/>
        </w:rPr>
        <w:tab/>
        <w:t>(360) 664-1189</w:t>
      </w:r>
    </w:p>
    <w:p w14:paraId="17CDC78A" w14:textId="77777777" w:rsidR="00B802A6" w:rsidRPr="00165C88" w:rsidRDefault="00B802A6" w:rsidP="00B802A6">
      <w:pPr>
        <w:rPr>
          <w:rFonts w:eastAsia="Times New Roman" w:cs="Times New Roman"/>
          <w:b/>
          <w:szCs w:val="24"/>
        </w:rPr>
      </w:pPr>
    </w:p>
    <w:p w14:paraId="4C6CA4F7" w14:textId="77777777" w:rsidR="00B802A6" w:rsidRPr="00165C88" w:rsidRDefault="00B802A6" w:rsidP="00B802A6">
      <w:pPr>
        <w:rPr>
          <w:rFonts w:eastAsia="Times New Roman" w:cs="Times New Roman"/>
          <w:b/>
          <w:bCs/>
          <w:szCs w:val="24"/>
        </w:rPr>
        <w:sectPr w:rsidR="00B802A6" w:rsidRPr="00165C88" w:rsidSect="002F15AA">
          <w:footerReference w:type="default" r:id="rId12"/>
          <w:pgSz w:w="12240" w:h="15840"/>
          <w:pgMar w:top="1440" w:right="1440" w:bottom="1440" w:left="1440" w:header="720" w:footer="720" w:gutter="0"/>
          <w:cols w:space="720"/>
          <w:titlePg/>
          <w:docGrid w:linePitch="360"/>
        </w:sectPr>
      </w:pPr>
    </w:p>
    <w:p w14:paraId="7F017B88" w14:textId="77777777" w:rsidR="00B52872" w:rsidRPr="00165C88" w:rsidRDefault="00B52872" w:rsidP="00B52872">
      <w:pPr>
        <w:tabs>
          <w:tab w:val="left" w:pos="720"/>
          <w:tab w:val="left" w:pos="1440"/>
          <w:tab w:val="left" w:pos="2160"/>
        </w:tabs>
        <w:jc w:val="center"/>
        <w:rPr>
          <w:rFonts w:eastAsia="Times New Roman" w:cs="Times New Roman"/>
          <w:b/>
          <w:bCs/>
          <w:szCs w:val="24"/>
        </w:rPr>
      </w:pPr>
      <w:r>
        <w:rPr>
          <w:rFonts w:eastAsia="Times New Roman" w:cs="Times New Roman"/>
          <w:b/>
          <w:bCs/>
          <w:szCs w:val="24"/>
        </w:rPr>
        <w:lastRenderedPageBreak/>
        <w:t>TABLE OF CONTENTS</w:t>
      </w:r>
    </w:p>
    <w:p w14:paraId="76ED0E82" w14:textId="77777777" w:rsidR="00B52872" w:rsidRPr="00165C88" w:rsidRDefault="00B52872" w:rsidP="00B52872">
      <w:pPr>
        <w:tabs>
          <w:tab w:val="left" w:pos="720"/>
          <w:tab w:val="left" w:pos="1440"/>
          <w:tab w:val="left" w:pos="2160"/>
          <w:tab w:val="right" w:leader="dot" w:pos="9180"/>
        </w:tabs>
        <w:rPr>
          <w:rFonts w:eastAsia="Times New Roman" w:cs="Times New Roman"/>
          <w:b/>
          <w:bCs/>
          <w:szCs w:val="24"/>
        </w:rPr>
      </w:pPr>
    </w:p>
    <w:p w14:paraId="7F528609" w14:textId="77777777" w:rsidR="00B52872" w:rsidRDefault="00B52872" w:rsidP="00B52872">
      <w:pPr>
        <w:pStyle w:val="ListParagraph"/>
        <w:tabs>
          <w:tab w:val="left" w:pos="720"/>
          <w:tab w:val="left" w:pos="1440"/>
          <w:tab w:val="left" w:pos="2160"/>
          <w:tab w:val="right" w:leader="dot" w:pos="9180"/>
        </w:tabs>
        <w:ind w:left="0"/>
      </w:pPr>
      <w:r>
        <w:t>I.</w:t>
      </w:r>
      <w:r>
        <w:tab/>
      </w:r>
      <w:r w:rsidRPr="00E62A47">
        <w:t>INTRODUCTION</w:t>
      </w:r>
      <w:r>
        <w:t xml:space="preserve"> </w:t>
      </w:r>
      <w:r>
        <w:tab/>
        <w:t>1</w:t>
      </w:r>
    </w:p>
    <w:p w14:paraId="1BED0E5E" w14:textId="77777777" w:rsidR="00B52872" w:rsidRDefault="00B52872" w:rsidP="00B52872">
      <w:pPr>
        <w:pStyle w:val="ListParagraph"/>
        <w:tabs>
          <w:tab w:val="left" w:pos="720"/>
          <w:tab w:val="left" w:pos="1440"/>
          <w:tab w:val="left" w:pos="2160"/>
          <w:tab w:val="right" w:leader="dot" w:pos="9180"/>
        </w:tabs>
        <w:ind w:left="0"/>
      </w:pPr>
    </w:p>
    <w:p w14:paraId="704CF2CE" w14:textId="77777777" w:rsidR="00B52872" w:rsidRDefault="00B52872" w:rsidP="00B52872">
      <w:pPr>
        <w:pStyle w:val="ListParagraph"/>
        <w:tabs>
          <w:tab w:val="left" w:pos="720"/>
          <w:tab w:val="left" w:pos="1440"/>
          <w:tab w:val="left" w:pos="2160"/>
          <w:tab w:val="right" w:leader="dot" w:pos="9180"/>
        </w:tabs>
        <w:ind w:left="0"/>
      </w:pPr>
      <w:r>
        <w:t>II.</w:t>
      </w:r>
      <w:r>
        <w:tab/>
        <w:t xml:space="preserve">ARGUMENT </w:t>
      </w:r>
      <w:r>
        <w:tab/>
      </w:r>
      <w:r>
        <w:tab/>
        <w:t>1</w:t>
      </w:r>
    </w:p>
    <w:p w14:paraId="530BADB0" w14:textId="77777777" w:rsidR="00B52872" w:rsidRDefault="00B52872" w:rsidP="00B52872">
      <w:pPr>
        <w:pStyle w:val="ListParagraph"/>
        <w:tabs>
          <w:tab w:val="left" w:pos="720"/>
          <w:tab w:val="left" w:pos="1440"/>
          <w:tab w:val="left" w:pos="2160"/>
          <w:tab w:val="right" w:leader="dot" w:pos="9180"/>
        </w:tabs>
        <w:ind w:left="0"/>
      </w:pPr>
    </w:p>
    <w:p w14:paraId="021325AA" w14:textId="77777777" w:rsidR="00B52872" w:rsidRDefault="00B52872" w:rsidP="00B52872">
      <w:pPr>
        <w:pStyle w:val="ListParagraph"/>
        <w:tabs>
          <w:tab w:val="left" w:pos="720"/>
          <w:tab w:val="left" w:pos="1440"/>
          <w:tab w:val="left" w:pos="2160"/>
          <w:tab w:val="right" w:leader="dot" w:pos="9180"/>
        </w:tabs>
        <w:ind w:left="0"/>
      </w:pPr>
      <w:r>
        <w:tab/>
        <w:t>A.</w:t>
      </w:r>
      <w:r>
        <w:tab/>
      </w:r>
      <w:r w:rsidRPr="00E62A47">
        <w:t>PSE Fails</w:t>
      </w:r>
      <w:r>
        <w:t xml:space="preserve"> to Justify a Different Regulatory Treatment for a</w:t>
      </w:r>
      <w:r w:rsidRPr="00E62A47">
        <w:t xml:space="preserve"> Sale Under </w:t>
      </w:r>
    </w:p>
    <w:p w14:paraId="33988D60" w14:textId="77777777" w:rsidR="00B52872" w:rsidRDefault="00B52872" w:rsidP="00B52872">
      <w:pPr>
        <w:pStyle w:val="ListParagraph"/>
        <w:tabs>
          <w:tab w:val="left" w:pos="720"/>
          <w:tab w:val="left" w:pos="1440"/>
          <w:tab w:val="left" w:pos="2160"/>
          <w:tab w:val="right" w:leader="dot" w:pos="9180"/>
        </w:tabs>
        <w:ind w:left="0"/>
      </w:pPr>
      <w:r>
        <w:tab/>
      </w:r>
      <w:r>
        <w:tab/>
      </w:r>
      <w:r w:rsidRPr="00E62A47">
        <w:t>Threat of Condemnation</w:t>
      </w:r>
      <w:r w:rsidR="00DA1FF4">
        <w:t>,</w:t>
      </w:r>
      <w:r>
        <w:t xml:space="preserve"> Compared to a Voluntary Sale </w:t>
      </w:r>
      <w:r>
        <w:tab/>
        <w:t>1</w:t>
      </w:r>
    </w:p>
    <w:p w14:paraId="7E747291" w14:textId="77777777" w:rsidR="00B52872" w:rsidRDefault="00B52872" w:rsidP="00B52872">
      <w:pPr>
        <w:pStyle w:val="ListParagraph"/>
        <w:tabs>
          <w:tab w:val="left" w:pos="720"/>
          <w:tab w:val="left" w:pos="1440"/>
          <w:tab w:val="left" w:pos="2160"/>
          <w:tab w:val="right" w:leader="dot" w:pos="9180"/>
        </w:tabs>
        <w:ind w:left="0"/>
      </w:pPr>
    </w:p>
    <w:p w14:paraId="545C1B96" w14:textId="77777777" w:rsidR="00B52872" w:rsidRDefault="00B52872" w:rsidP="00B52872">
      <w:pPr>
        <w:pStyle w:val="ListParagraph"/>
        <w:tabs>
          <w:tab w:val="left" w:pos="720"/>
          <w:tab w:val="left" w:pos="1440"/>
          <w:tab w:val="left" w:pos="2160"/>
          <w:tab w:val="right" w:leader="dot" w:pos="9180"/>
        </w:tabs>
        <w:ind w:left="0"/>
      </w:pPr>
      <w:r>
        <w:tab/>
        <w:t>B.</w:t>
      </w:r>
      <w:r>
        <w:tab/>
      </w:r>
      <w:r w:rsidRPr="00E62A47">
        <w:t xml:space="preserve">The Commission Should Not Adopt the Policy of the California </w:t>
      </w:r>
    </w:p>
    <w:p w14:paraId="6C9B2D85" w14:textId="77777777" w:rsidR="00B52872" w:rsidRDefault="00B52872" w:rsidP="00B52872">
      <w:pPr>
        <w:pStyle w:val="ListParagraph"/>
        <w:tabs>
          <w:tab w:val="left" w:pos="720"/>
          <w:tab w:val="left" w:pos="1440"/>
          <w:tab w:val="left" w:pos="2160"/>
          <w:tab w:val="right" w:leader="dot" w:pos="9180"/>
        </w:tabs>
        <w:ind w:left="0"/>
      </w:pPr>
      <w:r>
        <w:tab/>
      </w:r>
      <w:r>
        <w:tab/>
      </w:r>
      <w:r w:rsidRPr="00E62A47">
        <w:t>Commission</w:t>
      </w:r>
      <w:r>
        <w:t xml:space="preserve"> </w:t>
      </w:r>
      <w:r>
        <w:tab/>
        <w:t>2</w:t>
      </w:r>
    </w:p>
    <w:p w14:paraId="182E33F7" w14:textId="77777777" w:rsidR="00B52872" w:rsidRDefault="00B52872" w:rsidP="00B52872">
      <w:pPr>
        <w:pStyle w:val="ListParagraph"/>
        <w:tabs>
          <w:tab w:val="left" w:pos="720"/>
          <w:tab w:val="left" w:pos="1440"/>
          <w:tab w:val="left" w:pos="2160"/>
          <w:tab w:val="right" w:leader="dot" w:pos="9180"/>
        </w:tabs>
        <w:ind w:left="0"/>
      </w:pPr>
    </w:p>
    <w:p w14:paraId="3F8C4CE4" w14:textId="77777777" w:rsidR="00B52872" w:rsidRDefault="00B52872" w:rsidP="00B52872">
      <w:pPr>
        <w:pStyle w:val="ListParagraph"/>
        <w:tabs>
          <w:tab w:val="left" w:pos="720"/>
          <w:tab w:val="left" w:pos="1440"/>
          <w:tab w:val="left" w:pos="2160"/>
          <w:tab w:val="right" w:leader="dot" w:pos="9180"/>
        </w:tabs>
        <w:ind w:left="0"/>
      </w:pPr>
      <w:r>
        <w:tab/>
        <w:t>C.</w:t>
      </w:r>
      <w:r>
        <w:tab/>
        <w:t xml:space="preserve">Partial versus Total Liquidation </w:t>
      </w:r>
      <w:r>
        <w:tab/>
        <w:t>4</w:t>
      </w:r>
    </w:p>
    <w:p w14:paraId="046EAF95" w14:textId="77777777" w:rsidR="00B52872" w:rsidRDefault="00B52872" w:rsidP="00B52872">
      <w:pPr>
        <w:pStyle w:val="ListParagraph"/>
        <w:tabs>
          <w:tab w:val="left" w:pos="720"/>
          <w:tab w:val="left" w:pos="1440"/>
          <w:tab w:val="left" w:pos="2160"/>
          <w:tab w:val="right" w:leader="dot" w:pos="9180"/>
        </w:tabs>
        <w:ind w:left="0"/>
      </w:pPr>
    </w:p>
    <w:p w14:paraId="2552980F" w14:textId="77777777" w:rsidR="00B52872" w:rsidRDefault="00B52872" w:rsidP="00B52872">
      <w:pPr>
        <w:pStyle w:val="ListParagraph"/>
        <w:tabs>
          <w:tab w:val="left" w:pos="720"/>
          <w:tab w:val="left" w:pos="1440"/>
          <w:tab w:val="left" w:pos="2160"/>
          <w:tab w:val="right" w:leader="dot" w:pos="9180"/>
        </w:tabs>
        <w:ind w:left="0"/>
        <w:rPr>
          <w:rFonts w:cs="Times New Roman"/>
          <w:szCs w:val="24"/>
        </w:rPr>
      </w:pPr>
      <w:r>
        <w:tab/>
        <w:t>D.</w:t>
      </w:r>
      <w:r>
        <w:tab/>
      </w:r>
      <w:r w:rsidRPr="00E62A47">
        <w:rPr>
          <w:rFonts w:cs="Times New Roman"/>
          <w:szCs w:val="24"/>
        </w:rPr>
        <w:t xml:space="preserve">PSE Shareholders Are Benefited, Not Harmed, from Staff’s Proposal </w:t>
      </w:r>
    </w:p>
    <w:p w14:paraId="6CA04260" w14:textId="77777777" w:rsidR="00B52872" w:rsidRDefault="00B52872" w:rsidP="00B52872">
      <w:pPr>
        <w:pStyle w:val="ListParagraph"/>
        <w:tabs>
          <w:tab w:val="left" w:pos="720"/>
          <w:tab w:val="left" w:pos="1440"/>
          <w:tab w:val="left" w:pos="2160"/>
          <w:tab w:val="right" w:leader="dot" w:pos="9180"/>
        </w:tabs>
        <w:ind w:left="0"/>
        <w:rPr>
          <w:rFonts w:cs="Times New Roman"/>
          <w:szCs w:val="24"/>
        </w:rPr>
      </w:pPr>
      <w:r>
        <w:rPr>
          <w:rFonts w:cs="Times New Roman"/>
          <w:szCs w:val="24"/>
        </w:rPr>
        <w:tab/>
      </w:r>
      <w:r>
        <w:rPr>
          <w:rFonts w:cs="Times New Roman"/>
          <w:szCs w:val="24"/>
        </w:rPr>
        <w:tab/>
      </w:r>
      <w:r w:rsidRPr="00E62A47">
        <w:rPr>
          <w:rFonts w:cs="Times New Roman"/>
          <w:szCs w:val="24"/>
        </w:rPr>
        <w:t>to Share the Gain with Customers</w:t>
      </w:r>
      <w:r>
        <w:rPr>
          <w:rFonts w:cs="Times New Roman"/>
          <w:szCs w:val="24"/>
        </w:rPr>
        <w:t xml:space="preserve"> </w:t>
      </w:r>
      <w:r>
        <w:rPr>
          <w:rFonts w:cs="Times New Roman"/>
          <w:szCs w:val="24"/>
        </w:rPr>
        <w:tab/>
        <w:t>5</w:t>
      </w:r>
    </w:p>
    <w:p w14:paraId="5B1F4F4A" w14:textId="77777777" w:rsidR="00B52872" w:rsidRDefault="00B52872" w:rsidP="00B52872">
      <w:pPr>
        <w:pStyle w:val="ListParagraph"/>
        <w:tabs>
          <w:tab w:val="left" w:pos="720"/>
          <w:tab w:val="left" w:pos="1440"/>
          <w:tab w:val="left" w:pos="2160"/>
          <w:tab w:val="right" w:leader="dot" w:pos="9180"/>
        </w:tabs>
        <w:ind w:left="0"/>
        <w:rPr>
          <w:rFonts w:cs="Times New Roman"/>
          <w:szCs w:val="24"/>
        </w:rPr>
      </w:pPr>
    </w:p>
    <w:p w14:paraId="5B31B1CF" w14:textId="77777777" w:rsidR="00B52872" w:rsidRDefault="00B52872" w:rsidP="00B52872">
      <w:pPr>
        <w:pStyle w:val="ListParagraph"/>
        <w:tabs>
          <w:tab w:val="left" w:pos="720"/>
          <w:tab w:val="left" w:pos="1440"/>
          <w:tab w:val="left" w:pos="2160"/>
          <w:tab w:val="right" w:leader="dot" w:pos="9180"/>
        </w:tabs>
        <w:ind w:left="0"/>
        <w:rPr>
          <w:rFonts w:cs="Times New Roman"/>
          <w:szCs w:val="24"/>
        </w:rPr>
      </w:pPr>
      <w:r>
        <w:rPr>
          <w:rFonts w:cs="Times New Roman"/>
          <w:szCs w:val="24"/>
        </w:rPr>
        <w:tab/>
        <w:t>E.</w:t>
      </w:r>
      <w:r>
        <w:rPr>
          <w:rFonts w:cs="Times New Roman"/>
          <w:szCs w:val="24"/>
        </w:rPr>
        <w:tab/>
      </w:r>
      <w:r w:rsidRPr="00E62A47">
        <w:rPr>
          <w:rFonts w:cs="Times New Roman"/>
          <w:szCs w:val="24"/>
        </w:rPr>
        <w:t>PSE’s Customer Benefit Analysis is Seriously Flawed</w:t>
      </w:r>
      <w:r>
        <w:rPr>
          <w:rFonts w:cs="Times New Roman"/>
          <w:szCs w:val="24"/>
        </w:rPr>
        <w:t xml:space="preserve"> </w:t>
      </w:r>
      <w:r>
        <w:rPr>
          <w:rFonts w:cs="Times New Roman"/>
          <w:szCs w:val="24"/>
        </w:rPr>
        <w:tab/>
        <w:t>6</w:t>
      </w:r>
    </w:p>
    <w:p w14:paraId="1C7F2991" w14:textId="77777777" w:rsidR="00B52872" w:rsidRDefault="00B52872" w:rsidP="00B52872">
      <w:pPr>
        <w:pStyle w:val="ListParagraph"/>
        <w:tabs>
          <w:tab w:val="left" w:pos="720"/>
          <w:tab w:val="left" w:pos="1440"/>
          <w:tab w:val="left" w:pos="2160"/>
          <w:tab w:val="right" w:leader="dot" w:pos="9180"/>
        </w:tabs>
        <w:ind w:left="0"/>
        <w:rPr>
          <w:rFonts w:cs="Times New Roman"/>
          <w:szCs w:val="24"/>
        </w:rPr>
      </w:pPr>
    </w:p>
    <w:p w14:paraId="556A7192" w14:textId="77777777" w:rsidR="00B52872" w:rsidRDefault="00B52872" w:rsidP="00B52872">
      <w:pPr>
        <w:pStyle w:val="ListParagraph"/>
        <w:tabs>
          <w:tab w:val="left" w:pos="720"/>
          <w:tab w:val="left" w:pos="1440"/>
          <w:tab w:val="left" w:pos="2160"/>
          <w:tab w:val="right" w:leader="dot" w:pos="9180"/>
        </w:tabs>
        <w:ind w:left="1440" w:hanging="1440"/>
      </w:pPr>
      <w:r>
        <w:rPr>
          <w:rFonts w:cs="Times New Roman"/>
          <w:szCs w:val="24"/>
        </w:rPr>
        <w:tab/>
        <w:t>F.</w:t>
      </w:r>
      <w:r>
        <w:rPr>
          <w:rFonts w:cs="Times New Roman"/>
          <w:szCs w:val="24"/>
        </w:rPr>
        <w:tab/>
      </w:r>
      <w:r w:rsidRPr="00E62A47">
        <w:t xml:space="preserve">The Record Refutes PSE’s </w:t>
      </w:r>
      <w:r>
        <w:t xml:space="preserve">Suggestion that the Sale to </w:t>
      </w:r>
      <w:r w:rsidR="008F0188">
        <w:t>J</w:t>
      </w:r>
      <w:r>
        <w:t xml:space="preserve">PUD should be </w:t>
      </w:r>
    </w:p>
    <w:p w14:paraId="6F93DC55" w14:textId="77777777" w:rsidR="00B52872" w:rsidRDefault="00B52872" w:rsidP="00B52872">
      <w:pPr>
        <w:pStyle w:val="ListParagraph"/>
        <w:tabs>
          <w:tab w:val="left" w:pos="720"/>
          <w:tab w:val="left" w:pos="1440"/>
          <w:tab w:val="left" w:pos="2160"/>
          <w:tab w:val="right" w:leader="dot" w:pos="9180"/>
        </w:tabs>
        <w:ind w:left="1440" w:hanging="1440"/>
        <w:rPr>
          <w:rFonts w:cs="Times New Roman"/>
          <w:szCs w:val="24"/>
        </w:rPr>
      </w:pPr>
      <w:r>
        <w:rPr>
          <w:rFonts w:cs="Times New Roman"/>
          <w:szCs w:val="24"/>
        </w:rPr>
        <w:tab/>
      </w:r>
      <w:r>
        <w:rPr>
          <w:rFonts w:cs="Times New Roman"/>
          <w:szCs w:val="24"/>
        </w:rPr>
        <w:tab/>
      </w:r>
      <w:r>
        <w:t xml:space="preserve">Treated </w:t>
      </w:r>
      <w:r w:rsidRPr="00E62A47">
        <w:t>“Just Like Conservation”</w:t>
      </w:r>
      <w:r w:rsidR="00DA1FF4">
        <w:tab/>
        <w:t>7</w:t>
      </w:r>
    </w:p>
    <w:p w14:paraId="1678911B" w14:textId="77777777" w:rsidR="00B52872" w:rsidRDefault="00B52872" w:rsidP="00B52872">
      <w:pPr>
        <w:pStyle w:val="ListParagraph"/>
        <w:tabs>
          <w:tab w:val="left" w:pos="720"/>
          <w:tab w:val="left" w:pos="1440"/>
          <w:tab w:val="left" w:pos="2160"/>
          <w:tab w:val="right" w:leader="dot" w:pos="9180"/>
        </w:tabs>
        <w:ind w:left="0"/>
      </w:pPr>
    </w:p>
    <w:p w14:paraId="2A6385C3" w14:textId="77777777" w:rsidR="00B52872" w:rsidRDefault="00B52872" w:rsidP="00B52872">
      <w:pPr>
        <w:pStyle w:val="ListParagraph"/>
        <w:tabs>
          <w:tab w:val="left" w:pos="720"/>
          <w:tab w:val="left" w:pos="1440"/>
          <w:tab w:val="left" w:pos="2160"/>
          <w:tab w:val="right" w:leader="dot" w:pos="9180"/>
        </w:tabs>
        <w:ind w:left="0"/>
      </w:pPr>
      <w:r>
        <w:tab/>
        <w:t>G.</w:t>
      </w:r>
      <w:r>
        <w:tab/>
      </w:r>
      <w:r w:rsidRPr="00E62A47">
        <w:t>PSE’s Accumulated Depreciation Argument Misses the Point</w:t>
      </w:r>
      <w:r>
        <w:t xml:space="preserve"> </w:t>
      </w:r>
      <w:r>
        <w:tab/>
        <w:t>8</w:t>
      </w:r>
    </w:p>
    <w:p w14:paraId="470F5238" w14:textId="77777777" w:rsidR="00B52872" w:rsidRDefault="00B52872" w:rsidP="00B52872">
      <w:pPr>
        <w:pStyle w:val="ListParagraph"/>
        <w:tabs>
          <w:tab w:val="left" w:pos="720"/>
          <w:tab w:val="left" w:pos="1440"/>
          <w:tab w:val="left" w:pos="2160"/>
          <w:tab w:val="left" w:leader="dot" w:pos="9180"/>
        </w:tabs>
        <w:ind w:left="0"/>
      </w:pPr>
    </w:p>
    <w:p w14:paraId="31D21A04" w14:textId="77777777" w:rsidR="00B52872" w:rsidRDefault="00B52872" w:rsidP="00B52872">
      <w:pPr>
        <w:pStyle w:val="ListParagraph"/>
        <w:tabs>
          <w:tab w:val="left" w:pos="720"/>
          <w:tab w:val="left" w:pos="1440"/>
          <w:tab w:val="left" w:pos="2160"/>
          <w:tab w:val="left" w:leader="dot" w:pos="9180"/>
        </w:tabs>
        <w:ind w:left="0"/>
      </w:pPr>
      <w:r>
        <w:tab/>
        <w:t>H.</w:t>
      </w:r>
      <w:r>
        <w:tab/>
      </w:r>
      <w:r w:rsidRPr="00E62A47">
        <w:t xml:space="preserve">PSE’s Argument on Regulatory Assets Confirms Staff’s </w:t>
      </w:r>
    </w:p>
    <w:p w14:paraId="643CE5F7" w14:textId="77777777" w:rsidR="00B52872" w:rsidRDefault="00B52872" w:rsidP="00B52872">
      <w:pPr>
        <w:pStyle w:val="ListParagraph"/>
        <w:tabs>
          <w:tab w:val="left" w:pos="720"/>
          <w:tab w:val="left" w:pos="1440"/>
          <w:tab w:val="left" w:pos="2160"/>
          <w:tab w:val="right" w:leader="dot" w:pos="9180"/>
        </w:tabs>
        <w:ind w:left="0"/>
      </w:pPr>
      <w:r>
        <w:tab/>
      </w:r>
      <w:r>
        <w:tab/>
      </w:r>
      <w:r w:rsidRPr="00E62A47">
        <w:t>Risk/Reward Analysis</w:t>
      </w:r>
      <w:r>
        <w:t xml:space="preserve"> </w:t>
      </w:r>
      <w:r>
        <w:tab/>
        <w:t>9</w:t>
      </w:r>
    </w:p>
    <w:p w14:paraId="0F4F1EC2" w14:textId="77777777" w:rsidR="00B52872" w:rsidRDefault="00B52872" w:rsidP="00B52872">
      <w:pPr>
        <w:pStyle w:val="ListParagraph"/>
        <w:tabs>
          <w:tab w:val="left" w:pos="720"/>
          <w:tab w:val="left" w:pos="1440"/>
          <w:tab w:val="left" w:pos="2160"/>
          <w:tab w:val="right" w:leader="dot" w:pos="9180"/>
        </w:tabs>
        <w:ind w:left="0"/>
      </w:pPr>
    </w:p>
    <w:p w14:paraId="695BACC6" w14:textId="77777777" w:rsidR="00B52872" w:rsidRDefault="00B52872" w:rsidP="00B52872">
      <w:pPr>
        <w:pStyle w:val="ListParagraph"/>
        <w:tabs>
          <w:tab w:val="left" w:pos="720"/>
          <w:tab w:val="left" w:pos="1440"/>
          <w:tab w:val="left" w:pos="2160"/>
          <w:tab w:val="right" w:leader="dot" w:pos="9180"/>
        </w:tabs>
        <w:ind w:left="0"/>
      </w:pPr>
      <w:r>
        <w:t>III.</w:t>
      </w:r>
      <w:r>
        <w:tab/>
        <w:t xml:space="preserve">CONCLUSION </w:t>
      </w:r>
      <w:r>
        <w:tab/>
        <w:t>10</w:t>
      </w:r>
    </w:p>
    <w:p w14:paraId="7D001FE3" w14:textId="77777777" w:rsidR="00B52872" w:rsidRDefault="00B52872" w:rsidP="00B52872">
      <w:pPr>
        <w:pStyle w:val="ListParagraph"/>
        <w:tabs>
          <w:tab w:val="left" w:pos="720"/>
          <w:tab w:val="left" w:pos="1440"/>
          <w:tab w:val="left" w:pos="2160"/>
          <w:tab w:val="left" w:leader="dot" w:pos="9180"/>
        </w:tabs>
        <w:ind w:left="0"/>
      </w:pPr>
    </w:p>
    <w:p w14:paraId="08D44041" w14:textId="77777777" w:rsidR="00B52872" w:rsidRDefault="00B52872" w:rsidP="00B52872">
      <w:pPr>
        <w:pStyle w:val="ListParagraph"/>
        <w:tabs>
          <w:tab w:val="left" w:pos="720"/>
          <w:tab w:val="left" w:pos="1440"/>
          <w:tab w:val="left" w:pos="2160"/>
          <w:tab w:val="left" w:leader="dot" w:pos="9180"/>
        </w:tabs>
        <w:ind w:left="0"/>
      </w:pPr>
    </w:p>
    <w:p w14:paraId="51B1A998" w14:textId="77777777" w:rsidR="00274589" w:rsidRDefault="00274589">
      <w:r>
        <w:br w:type="page"/>
      </w:r>
    </w:p>
    <w:p w14:paraId="27C41DF6" w14:textId="77777777" w:rsidR="00D62C1F" w:rsidRDefault="00D62C1F" w:rsidP="00274589">
      <w:pPr>
        <w:pStyle w:val="ListParagraph"/>
        <w:tabs>
          <w:tab w:val="left" w:pos="720"/>
          <w:tab w:val="left" w:pos="1440"/>
          <w:tab w:val="left" w:pos="2160"/>
          <w:tab w:val="left" w:leader="dot" w:pos="9180"/>
        </w:tabs>
        <w:ind w:left="0"/>
        <w:jc w:val="center"/>
        <w:rPr>
          <w:b/>
        </w:rPr>
      </w:pPr>
    </w:p>
    <w:p w14:paraId="29BE35DE" w14:textId="77777777" w:rsidR="00274589" w:rsidRPr="00E62A47" w:rsidRDefault="00274589" w:rsidP="00274589">
      <w:pPr>
        <w:pStyle w:val="ListParagraph"/>
        <w:tabs>
          <w:tab w:val="left" w:pos="720"/>
          <w:tab w:val="left" w:pos="1440"/>
          <w:tab w:val="left" w:pos="2160"/>
          <w:tab w:val="left" w:leader="dot" w:pos="9180"/>
        </w:tabs>
        <w:ind w:left="0"/>
        <w:jc w:val="center"/>
        <w:rPr>
          <w:b/>
        </w:rPr>
      </w:pPr>
      <w:r w:rsidRPr="00E62A47">
        <w:rPr>
          <w:b/>
        </w:rPr>
        <w:t>TABLE OF AUTHORITIES</w:t>
      </w:r>
    </w:p>
    <w:p w14:paraId="012554C7" w14:textId="77777777" w:rsidR="00274589" w:rsidRDefault="00274589" w:rsidP="00274589">
      <w:pPr>
        <w:pStyle w:val="ListParagraph"/>
        <w:tabs>
          <w:tab w:val="left" w:pos="720"/>
          <w:tab w:val="left" w:pos="1440"/>
          <w:tab w:val="left" w:pos="2160"/>
          <w:tab w:val="left" w:leader="dot" w:pos="9180"/>
        </w:tabs>
        <w:ind w:left="0"/>
      </w:pPr>
    </w:p>
    <w:p w14:paraId="10320294" w14:textId="77777777" w:rsidR="00D62C1F" w:rsidRDefault="00D62C1F" w:rsidP="00274589">
      <w:pPr>
        <w:pStyle w:val="ListParagraph"/>
        <w:tabs>
          <w:tab w:val="left" w:pos="720"/>
          <w:tab w:val="left" w:pos="1440"/>
          <w:tab w:val="left" w:pos="2160"/>
          <w:tab w:val="left" w:leader="dot" w:pos="9180"/>
        </w:tabs>
        <w:ind w:left="0"/>
      </w:pPr>
    </w:p>
    <w:p w14:paraId="6999A8A7" w14:textId="77777777" w:rsidR="00274589" w:rsidRPr="003831A4" w:rsidRDefault="00274589" w:rsidP="00274589">
      <w:pPr>
        <w:pStyle w:val="ListParagraph"/>
        <w:tabs>
          <w:tab w:val="left" w:pos="720"/>
          <w:tab w:val="left" w:pos="1440"/>
          <w:tab w:val="left" w:pos="2160"/>
          <w:tab w:val="left" w:leader="dot" w:pos="9180"/>
        </w:tabs>
        <w:ind w:left="0"/>
        <w:jc w:val="center"/>
        <w:rPr>
          <w:b/>
        </w:rPr>
      </w:pPr>
      <w:r w:rsidRPr="003831A4">
        <w:rPr>
          <w:b/>
        </w:rPr>
        <w:t>Table of Cases</w:t>
      </w:r>
    </w:p>
    <w:p w14:paraId="46E7FF8C" w14:textId="77777777" w:rsidR="00274589" w:rsidRDefault="00274589" w:rsidP="00274589">
      <w:pPr>
        <w:pStyle w:val="ListParagraph"/>
        <w:tabs>
          <w:tab w:val="left" w:pos="720"/>
          <w:tab w:val="left" w:pos="1440"/>
          <w:tab w:val="left" w:pos="2160"/>
          <w:tab w:val="left" w:leader="dot" w:pos="9180"/>
        </w:tabs>
        <w:ind w:left="0"/>
      </w:pPr>
    </w:p>
    <w:p w14:paraId="4D437D2B" w14:textId="77777777" w:rsidR="00274589" w:rsidRDefault="00274589" w:rsidP="00274589">
      <w:pPr>
        <w:pStyle w:val="ListParagraph"/>
        <w:tabs>
          <w:tab w:val="left" w:pos="720"/>
          <w:tab w:val="left" w:pos="1440"/>
          <w:tab w:val="left" w:pos="2160"/>
          <w:tab w:val="left" w:leader="dot" w:pos="9180"/>
        </w:tabs>
        <w:ind w:left="0"/>
      </w:pPr>
      <w:r w:rsidRPr="002623CC">
        <w:rPr>
          <w:rFonts w:cs="Times New Roman"/>
          <w:i/>
          <w:szCs w:val="24"/>
        </w:rPr>
        <w:t xml:space="preserve">City of Omaha v. Omaha Water Co., </w:t>
      </w:r>
      <w:r w:rsidRPr="002623CC">
        <w:rPr>
          <w:rFonts w:cs="Times New Roman"/>
          <w:szCs w:val="24"/>
        </w:rPr>
        <w:t>218, U.S. 180 (1910)</w:t>
      </w:r>
      <w:r>
        <w:rPr>
          <w:rFonts w:cs="Times New Roman"/>
          <w:szCs w:val="24"/>
        </w:rPr>
        <w:t xml:space="preserve"> </w:t>
      </w:r>
      <w:r>
        <w:rPr>
          <w:rFonts w:cs="Times New Roman"/>
          <w:szCs w:val="24"/>
        </w:rPr>
        <w:tab/>
      </w:r>
      <w:r w:rsidR="00090D9B">
        <w:rPr>
          <w:rFonts w:cs="Times New Roman"/>
          <w:szCs w:val="24"/>
        </w:rPr>
        <w:t>2</w:t>
      </w:r>
    </w:p>
    <w:p w14:paraId="3125B642" w14:textId="77777777" w:rsidR="00274589" w:rsidRDefault="00274589" w:rsidP="00274589">
      <w:pPr>
        <w:pStyle w:val="ListParagraph"/>
        <w:tabs>
          <w:tab w:val="left" w:pos="720"/>
          <w:tab w:val="left" w:pos="1440"/>
          <w:tab w:val="left" w:pos="2160"/>
          <w:tab w:val="left" w:leader="dot" w:pos="9180"/>
        </w:tabs>
        <w:ind w:left="0"/>
      </w:pPr>
    </w:p>
    <w:p w14:paraId="0ECDE170" w14:textId="77777777" w:rsidR="00274589" w:rsidRDefault="00274589" w:rsidP="00274589">
      <w:pPr>
        <w:pStyle w:val="ListParagraph"/>
        <w:tabs>
          <w:tab w:val="left" w:pos="720"/>
          <w:tab w:val="left" w:pos="1440"/>
          <w:tab w:val="left" w:pos="2160"/>
          <w:tab w:val="left" w:leader="dot" w:pos="9180"/>
        </w:tabs>
        <w:ind w:left="0"/>
      </w:pPr>
      <w:r w:rsidRPr="002623CC">
        <w:rPr>
          <w:rFonts w:cs="Times New Roman"/>
          <w:i/>
          <w:szCs w:val="24"/>
        </w:rPr>
        <w:t xml:space="preserve">Kimball </w:t>
      </w:r>
      <w:r w:rsidR="00090D9B">
        <w:rPr>
          <w:rFonts w:cs="Times New Roman"/>
          <w:i/>
          <w:szCs w:val="24"/>
        </w:rPr>
        <w:t>L</w:t>
      </w:r>
      <w:r w:rsidRPr="002623CC">
        <w:rPr>
          <w:rFonts w:cs="Times New Roman"/>
          <w:i/>
          <w:szCs w:val="24"/>
        </w:rPr>
        <w:t>aundry Co. v. United States</w:t>
      </w:r>
      <w:r w:rsidRPr="002623CC">
        <w:rPr>
          <w:rFonts w:cs="Times New Roman"/>
          <w:szCs w:val="24"/>
        </w:rPr>
        <w:t>, 338 U.S. 1 (1949)</w:t>
      </w:r>
      <w:r>
        <w:rPr>
          <w:rFonts w:cs="Times New Roman"/>
          <w:szCs w:val="24"/>
        </w:rPr>
        <w:t xml:space="preserve"> </w:t>
      </w:r>
      <w:r>
        <w:rPr>
          <w:rFonts w:cs="Times New Roman"/>
          <w:szCs w:val="24"/>
        </w:rPr>
        <w:tab/>
      </w:r>
      <w:r w:rsidR="00090D9B">
        <w:rPr>
          <w:rFonts w:cs="Times New Roman"/>
          <w:szCs w:val="24"/>
        </w:rPr>
        <w:t>2</w:t>
      </w:r>
    </w:p>
    <w:p w14:paraId="0B4E48E7" w14:textId="77777777" w:rsidR="00274589" w:rsidRDefault="00274589" w:rsidP="00274589">
      <w:pPr>
        <w:pStyle w:val="ListParagraph"/>
        <w:tabs>
          <w:tab w:val="left" w:pos="720"/>
          <w:tab w:val="left" w:pos="1440"/>
          <w:tab w:val="left" w:pos="2160"/>
          <w:tab w:val="left" w:leader="dot" w:pos="9180"/>
        </w:tabs>
        <w:ind w:left="0"/>
      </w:pPr>
    </w:p>
    <w:p w14:paraId="554F76C5" w14:textId="77777777" w:rsidR="00274589" w:rsidRDefault="00274589" w:rsidP="00274589">
      <w:pPr>
        <w:pStyle w:val="ListParagraph"/>
        <w:tabs>
          <w:tab w:val="left" w:pos="720"/>
          <w:tab w:val="left" w:pos="1440"/>
          <w:tab w:val="left" w:pos="2160"/>
          <w:tab w:val="left" w:leader="dot" w:pos="9180"/>
        </w:tabs>
        <w:ind w:left="0"/>
        <w:rPr>
          <w:rFonts w:cs="Times New Roman"/>
          <w:szCs w:val="24"/>
        </w:rPr>
      </w:pPr>
      <w:r w:rsidRPr="002623CC">
        <w:rPr>
          <w:rFonts w:cs="Times New Roman"/>
          <w:i/>
          <w:szCs w:val="24"/>
        </w:rPr>
        <w:t>Narragansett Elec. Co. v. Burke</w:t>
      </w:r>
      <w:r w:rsidRPr="002623CC">
        <w:rPr>
          <w:rFonts w:cs="Times New Roman"/>
          <w:szCs w:val="24"/>
        </w:rPr>
        <w:t>, 415 A.2d 177 (R.I. 1980)</w:t>
      </w:r>
      <w:r>
        <w:rPr>
          <w:rFonts w:cs="Times New Roman"/>
          <w:szCs w:val="24"/>
        </w:rPr>
        <w:t xml:space="preserve"> </w:t>
      </w:r>
      <w:r>
        <w:rPr>
          <w:rFonts w:cs="Times New Roman"/>
          <w:szCs w:val="24"/>
        </w:rPr>
        <w:tab/>
      </w:r>
      <w:r w:rsidR="009E6A36">
        <w:rPr>
          <w:rFonts w:cs="Times New Roman"/>
          <w:szCs w:val="24"/>
        </w:rPr>
        <w:t>10</w:t>
      </w:r>
    </w:p>
    <w:p w14:paraId="648C4DE3" w14:textId="77777777" w:rsidR="00274589" w:rsidRDefault="00274589" w:rsidP="00274589">
      <w:pPr>
        <w:pStyle w:val="ListParagraph"/>
        <w:tabs>
          <w:tab w:val="left" w:pos="720"/>
          <w:tab w:val="left" w:pos="1440"/>
          <w:tab w:val="left" w:pos="2160"/>
          <w:tab w:val="left" w:leader="dot" w:pos="9180"/>
        </w:tabs>
        <w:ind w:left="0"/>
      </w:pPr>
    </w:p>
    <w:p w14:paraId="7594F400" w14:textId="77777777" w:rsidR="00274589" w:rsidRDefault="00274589" w:rsidP="00274589">
      <w:pPr>
        <w:pStyle w:val="ListParagraph"/>
        <w:tabs>
          <w:tab w:val="left" w:pos="720"/>
          <w:tab w:val="left" w:pos="1440"/>
          <w:tab w:val="left" w:pos="2160"/>
          <w:tab w:val="left" w:leader="dot" w:pos="9180"/>
        </w:tabs>
        <w:ind w:left="0"/>
      </w:pPr>
    </w:p>
    <w:p w14:paraId="6E618B79" w14:textId="77777777" w:rsidR="00D62C1F" w:rsidRDefault="00D62C1F" w:rsidP="00274589">
      <w:pPr>
        <w:pStyle w:val="ListParagraph"/>
        <w:tabs>
          <w:tab w:val="left" w:pos="720"/>
          <w:tab w:val="left" w:pos="1440"/>
          <w:tab w:val="left" w:pos="2160"/>
          <w:tab w:val="left" w:leader="dot" w:pos="9180"/>
        </w:tabs>
        <w:ind w:left="0"/>
      </w:pPr>
    </w:p>
    <w:p w14:paraId="2F309B51" w14:textId="77777777" w:rsidR="00274589" w:rsidRDefault="00274589" w:rsidP="00274589">
      <w:pPr>
        <w:pStyle w:val="ListParagraph"/>
        <w:tabs>
          <w:tab w:val="left" w:pos="720"/>
          <w:tab w:val="left" w:pos="1440"/>
          <w:tab w:val="left" w:pos="2160"/>
          <w:tab w:val="left" w:leader="dot" w:pos="9180"/>
        </w:tabs>
        <w:ind w:left="0"/>
        <w:jc w:val="center"/>
        <w:rPr>
          <w:b/>
        </w:rPr>
      </w:pPr>
      <w:r>
        <w:rPr>
          <w:b/>
        </w:rPr>
        <w:t>Table of Administrative Cases</w:t>
      </w:r>
    </w:p>
    <w:p w14:paraId="76C33DBA" w14:textId="77777777" w:rsidR="00274589" w:rsidRDefault="00274589" w:rsidP="00274589">
      <w:pPr>
        <w:pStyle w:val="ListParagraph"/>
        <w:tabs>
          <w:tab w:val="left" w:pos="720"/>
          <w:tab w:val="left" w:pos="1440"/>
          <w:tab w:val="left" w:pos="2160"/>
          <w:tab w:val="left" w:leader="dot" w:pos="9180"/>
        </w:tabs>
        <w:ind w:left="0"/>
      </w:pPr>
    </w:p>
    <w:p w14:paraId="3B23F777" w14:textId="37C498DE" w:rsidR="00274589" w:rsidRDefault="00274589" w:rsidP="00F020AD">
      <w:pPr>
        <w:pStyle w:val="ListParagraph"/>
        <w:tabs>
          <w:tab w:val="left" w:pos="720"/>
          <w:tab w:val="left" w:pos="1440"/>
          <w:tab w:val="left" w:pos="2160"/>
          <w:tab w:val="left" w:leader="dot" w:pos="9180"/>
        </w:tabs>
        <w:ind w:left="0" w:right="-180"/>
        <w:rPr>
          <w:rFonts w:cs="Times New Roman"/>
          <w:szCs w:val="24"/>
        </w:rPr>
      </w:pPr>
      <w:r w:rsidRPr="002623CC">
        <w:rPr>
          <w:rFonts w:cs="Times New Roman"/>
          <w:i/>
          <w:szCs w:val="24"/>
        </w:rPr>
        <w:t>Allocation of Gains from Sales of Energy, Telecomm</w:t>
      </w:r>
      <w:r w:rsidR="00DA1FF4">
        <w:rPr>
          <w:rFonts w:cs="Times New Roman"/>
          <w:i/>
          <w:szCs w:val="24"/>
        </w:rPr>
        <w:t>.</w:t>
      </w:r>
      <w:r w:rsidRPr="002623CC">
        <w:rPr>
          <w:rFonts w:cs="Times New Roman"/>
          <w:i/>
          <w:szCs w:val="24"/>
        </w:rPr>
        <w:t>, and Water Util</w:t>
      </w:r>
      <w:r w:rsidR="00DA1FF4">
        <w:rPr>
          <w:rFonts w:cs="Times New Roman"/>
          <w:i/>
          <w:szCs w:val="24"/>
        </w:rPr>
        <w:t>.</w:t>
      </w:r>
      <w:r w:rsidRPr="002623CC">
        <w:rPr>
          <w:rFonts w:cs="Times New Roman"/>
          <w:i/>
          <w:szCs w:val="24"/>
        </w:rPr>
        <w:t xml:space="preserve"> Assets, </w:t>
      </w:r>
      <w:r w:rsidRPr="002623CC">
        <w:rPr>
          <w:rFonts w:cs="Times New Roman"/>
          <w:szCs w:val="24"/>
        </w:rPr>
        <w:t>Rulemaking 04</w:t>
      </w:r>
      <w:r w:rsidR="00F020AD">
        <w:rPr>
          <w:rFonts w:cs="Times New Roman"/>
          <w:szCs w:val="24"/>
        </w:rPr>
        <w:t>-9-3</w:t>
      </w:r>
      <w:r w:rsidRPr="002623CC">
        <w:rPr>
          <w:rFonts w:cs="Times New Roman"/>
          <w:szCs w:val="24"/>
        </w:rPr>
        <w:t xml:space="preserve">, </w:t>
      </w:r>
    </w:p>
    <w:p w14:paraId="6DD96379" w14:textId="77777777" w:rsidR="00274589" w:rsidRDefault="00274589" w:rsidP="00274589">
      <w:pPr>
        <w:pStyle w:val="ListParagraph"/>
        <w:tabs>
          <w:tab w:val="left" w:pos="720"/>
          <w:tab w:val="left" w:pos="1440"/>
          <w:tab w:val="left" w:pos="2160"/>
          <w:tab w:val="left" w:leader="dot" w:pos="9180"/>
        </w:tabs>
        <w:ind w:left="0"/>
        <w:rPr>
          <w:rFonts w:cs="Times New Roman"/>
          <w:szCs w:val="24"/>
        </w:rPr>
      </w:pPr>
      <w:r>
        <w:rPr>
          <w:rFonts w:cs="Times New Roman"/>
          <w:szCs w:val="24"/>
        </w:rPr>
        <w:tab/>
      </w:r>
      <w:r w:rsidRPr="002623CC">
        <w:rPr>
          <w:rFonts w:cs="Times New Roman"/>
          <w:szCs w:val="24"/>
        </w:rPr>
        <w:t>249 Pub. Util. Rep. (PUR) 4</w:t>
      </w:r>
      <w:r w:rsidRPr="002623CC">
        <w:rPr>
          <w:rFonts w:cs="Times New Roman"/>
          <w:szCs w:val="24"/>
          <w:vertAlign w:val="superscript"/>
        </w:rPr>
        <w:t>th</w:t>
      </w:r>
      <w:r>
        <w:rPr>
          <w:rFonts w:cs="Times New Roman"/>
          <w:szCs w:val="24"/>
        </w:rPr>
        <w:t xml:space="preserve"> 478 </w:t>
      </w:r>
      <w:r w:rsidRPr="002623CC">
        <w:rPr>
          <w:rFonts w:cs="Times New Roman"/>
          <w:szCs w:val="24"/>
        </w:rPr>
        <w:t>(Cal. PUC 2006)</w:t>
      </w:r>
      <w:r>
        <w:rPr>
          <w:rFonts w:cs="Times New Roman"/>
          <w:szCs w:val="24"/>
        </w:rPr>
        <w:t xml:space="preserve"> </w:t>
      </w:r>
      <w:r>
        <w:rPr>
          <w:rFonts w:cs="Times New Roman"/>
          <w:szCs w:val="24"/>
        </w:rPr>
        <w:tab/>
      </w:r>
      <w:r w:rsidR="00090D9B">
        <w:rPr>
          <w:rFonts w:cs="Times New Roman"/>
          <w:szCs w:val="24"/>
        </w:rPr>
        <w:t>3</w:t>
      </w:r>
    </w:p>
    <w:p w14:paraId="47CA1197" w14:textId="77777777" w:rsidR="00274589" w:rsidRDefault="00274589" w:rsidP="00274589">
      <w:pPr>
        <w:pStyle w:val="ListParagraph"/>
        <w:tabs>
          <w:tab w:val="left" w:pos="720"/>
          <w:tab w:val="left" w:pos="1440"/>
          <w:tab w:val="left" w:pos="2160"/>
          <w:tab w:val="left" w:leader="dot" w:pos="9180"/>
        </w:tabs>
        <w:ind w:left="0"/>
      </w:pPr>
    </w:p>
    <w:p w14:paraId="2E11B8C8" w14:textId="77777777" w:rsidR="00274589" w:rsidRDefault="00274589" w:rsidP="00274589">
      <w:pPr>
        <w:pStyle w:val="ListParagraph"/>
        <w:tabs>
          <w:tab w:val="left" w:pos="720"/>
          <w:tab w:val="left" w:pos="1440"/>
          <w:tab w:val="left" w:pos="2160"/>
          <w:tab w:val="left" w:leader="dot" w:pos="9180"/>
        </w:tabs>
        <w:ind w:left="0"/>
        <w:rPr>
          <w:rFonts w:cs="Times New Roman"/>
          <w:i/>
          <w:szCs w:val="24"/>
        </w:rPr>
      </w:pPr>
      <w:r w:rsidRPr="002623CC">
        <w:rPr>
          <w:rFonts w:cs="Times New Roman"/>
          <w:i/>
          <w:szCs w:val="24"/>
        </w:rPr>
        <w:t>Application of Cent</w:t>
      </w:r>
      <w:r w:rsidR="00DA1FF4">
        <w:rPr>
          <w:rFonts w:cs="Times New Roman"/>
          <w:i/>
          <w:szCs w:val="24"/>
        </w:rPr>
        <w:t>.</w:t>
      </w:r>
      <w:r w:rsidRPr="002623CC">
        <w:rPr>
          <w:rFonts w:cs="Times New Roman"/>
          <w:i/>
          <w:szCs w:val="24"/>
        </w:rPr>
        <w:t xml:space="preserve"> Maine Power, Inc., </w:t>
      </w:r>
    </w:p>
    <w:p w14:paraId="78EA8BD9" w14:textId="77777777" w:rsidR="00274589" w:rsidRDefault="00274589" w:rsidP="00274589">
      <w:pPr>
        <w:pStyle w:val="ListParagraph"/>
        <w:tabs>
          <w:tab w:val="left" w:pos="720"/>
          <w:tab w:val="left" w:pos="1440"/>
          <w:tab w:val="left" w:pos="2160"/>
          <w:tab w:val="left" w:leader="dot" w:pos="9180"/>
        </w:tabs>
        <w:ind w:left="0"/>
        <w:rPr>
          <w:rFonts w:cs="Times New Roman"/>
          <w:szCs w:val="24"/>
        </w:rPr>
      </w:pPr>
      <w:r>
        <w:rPr>
          <w:rFonts w:cs="Times New Roman"/>
          <w:i/>
          <w:szCs w:val="24"/>
        </w:rPr>
        <w:tab/>
      </w:r>
      <w:r w:rsidRPr="002623CC">
        <w:rPr>
          <w:rFonts w:cs="Times New Roman"/>
          <w:szCs w:val="24"/>
        </w:rPr>
        <w:t>26 Pub. Util. Re. (PUR) 4</w:t>
      </w:r>
      <w:r w:rsidRPr="002623CC">
        <w:rPr>
          <w:rFonts w:cs="Times New Roman"/>
          <w:szCs w:val="24"/>
          <w:vertAlign w:val="superscript"/>
        </w:rPr>
        <w:t>th</w:t>
      </w:r>
      <w:r w:rsidRPr="002623CC">
        <w:rPr>
          <w:rFonts w:cs="Times New Roman"/>
          <w:szCs w:val="24"/>
        </w:rPr>
        <w:t xml:space="preserve"> 388 (Maine PUC 1978)</w:t>
      </w:r>
      <w:r>
        <w:rPr>
          <w:rFonts w:cs="Times New Roman"/>
          <w:szCs w:val="24"/>
        </w:rPr>
        <w:t xml:space="preserve"> </w:t>
      </w:r>
      <w:r>
        <w:rPr>
          <w:rFonts w:cs="Times New Roman"/>
          <w:szCs w:val="24"/>
        </w:rPr>
        <w:tab/>
      </w:r>
      <w:r w:rsidR="00090D9B">
        <w:rPr>
          <w:rFonts w:cs="Times New Roman"/>
          <w:szCs w:val="24"/>
        </w:rPr>
        <w:t>9</w:t>
      </w:r>
    </w:p>
    <w:p w14:paraId="5903F0B4" w14:textId="77777777" w:rsidR="00274589" w:rsidRDefault="00274589" w:rsidP="00274589">
      <w:pPr>
        <w:pStyle w:val="ListParagraph"/>
        <w:tabs>
          <w:tab w:val="left" w:pos="720"/>
          <w:tab w:val="left" w:pos="1440"/>
          <w:tab w:val="left" w:pos="2160"/>
          <w:tab w:val="left" w:leader="dot" w:pos="9180"/>
        </w:tabs>
        <w:ind w:left="0"/>
      </w:pPr>
    </w:p>
    <w:p w14:paraId="07360063" w14:textId="77777777" w:rsidR="00274589" w:rsidRPr="002623CC" w:rsidRDefault="00274589" w:rsidP="00274589">
      <w:pPr>
        <w:pStyle w:val="BodyTextIndent2"/>
        <w:spacing w:line="240" w:lineRule="exact"/>
        <w:ind w:left="0"/>
        <w:rPr>
          <w:rFonts w:ascii="Times New Roman" w:hAnsi="Times New Roman"/>
          <w:i/>
        </w:rPr>
      </w:pPr>
      <w:r w:rsidRPr="002623CC">
        <w:rPr>
          <w:rFonts w:ascii="Times New Roman" w:hAnsi="Times New Roman"/>
          <w:i/>
        </w:rPr>
        <w:t xml:space="preserve">Application of Puget Sound Energy, Inc. for Approval of the Proposed Sale of PSE’s Share </w:t>
      </w:r>
    </w:p>
    <w:p w14:paraId="3DB98505" w14:textId="77777777" w:rsidR="00274589" w:rsidRDefault="00274589" w:rsidP="00274589">
      <w:pPr>
        <w:pStyle w:val="BodyTextIndent2"/>
        <w:spacing w:line="240" w:lineRule="exact"/>
        <w:ind w:left="0"/>
        <w:rPr>
          <w:rFonts w:ascii="Times New Roman" w:hAnsi="Times New Roman"/>
        </w:rPr>
      </w:pPr>
      <w:r w:rsidRPr="002623CC">
        <w:rPr>
          <w:rFonts w:ascii="Times New Roman" w:hAnsi="Times New Roman"/>
          <w:i/>
        </w:rPr>
        <w:t>of the Centralia Facilities, and Authorization to Amortize Gain Over a Five-Year Period</w:t>
      </w:r>
      <w:r>
        <w:rPr>
          <w:rFonts w:ascii="Times New Roman" w:hAnsi="Times New Roman"/>
        </w:rPr>
        <w:t xml:space="preserve">, </w:t>
      </w:r>
    </w:p>
    <w:p w14:paraId="1130ED5B" w14:textId="77777777" w:rsidR="00274589" w:rsidRDefault="00274589" w:rsidP="00274589">
      <w:pPr>
        <w:pStyle w:val="BodyTextIndent2"/>
        <w:spacing w:line="240" w:lineRule="exact"/>
        <w:ind w:left="0"/>
        <w:rPr>
          <w:rFonts w:ascii="Times New Roman" w:hAnsi="Times New Roman"/>
        </w:rPr>
      </w:pPr>
      <w:r>
        <w:rPr>
          <w:rFonts w:ascii="Times New Roman" w:hAnsi="Times New Roman"/>
        </w:rPr>
        <w:tab/>
      </w:r>
      <w:r w:rsidRPr="002623CC">
        <w:rPr>
          <w:rFonts w:ascii="Times New Roman" w:hAnsi="Times New Roman"/>
        </w:rPr>
        <w:t>Docket UE-991409 et al., 2</w:t>
      </w:r>
      <w:r w:rsidRPr="002623CC">
        <w:rPr>
          <w:rFonts w:ascii="Times New Roman" w:hAnsi="Times New Roman"/>
          <w:vertAlign w:val="superscript"/>
        </w:rPr>
        <w:t>nd</w:t>
      </w:r>
      <w:r w:rsidRPr="002623CC">
        <w:rPr>
          <w:rFonts w:ascii="Times New Roman" w:hAnsi="Times New Roman"/>
        </w:rPr>
        <w:t xml:space="preserve"> Supplemental Order, Order Approving Sale </w:t>
      </w:r>
    </w:p>
    <w:p w14:paraId="1D0E7C0D" w14:textId="77777777" w:rsidR="00274589" w:rsidRDefault="00274589" w:rsidP="00090D9B">
      <w:pPr>
        <w:pStyle w:val="ListParagraph"/>
        <w:tabs>
          <w:tab w:val="left" w:pos="720"/>
          <w:tab w:val="left" w:pos="1440"/>
          <w:tab w:val="left" w:pos="2160"/>
          <w:tab w:val="right" w:leader="dot" w:pos="9180"/>
        </w:tabs>
        <w:ind w:left="0"/>
      </w:pPr>
      <w:r>
        <w:rPr>
          <w:rFonts w:cs="Times New Roman"/>
          <w:szCs w:val="24"/>
        </w:rPr>
        <w:tab/>
      </w:r>
      <w:r w:rsidRPr="002623CC">
        <w:rPr>
          <w:rFonts w:cs="Times New Roman"/>
          <w:szCs w:val="24"/>
        </w:rPr>
        <w:t>with Conditions (March 6, 2000) (</w:t>
      </w:r>
      <w:r w:rsidRPr="002623CC">
        <w:rPr>
          <w:rFonts w:cs="Times New Roman"/>
          <w:i/>
          <w:szCs w:val="24"/>
        </w:rPr>
        <w:t>Centralia Case</w:t>
      </w:r>
      <w:r w:rsidRPr="002623CC">
        <w:rPr>
          <w:rFonts w:cs="Times New Roman"/>
          <w:szCs w:val="24"/>
        </w:rPr>
        <w:t>)</w:t>
      </w:r>
      <w:r>
        <w:rPr>
          <w:rFonts w:cs="Times New Roman"/>
          <w:szCs w:val="24"/>
        </w:rPr>
        <w:t xml:space="preserve"> </w:t>
      </w:r>
      <w:r>
        <w:rPr>
          <w:rFonts w:cs="Times New Roman"/>
          <w:szCs w:val="24"/>
        </w:rPr>
        <w:tab/>
      </w:r>
      <w:r w:rsidR="00090D9B">
        <w:rPr>
          <w:rFonts w:cs="Times New Roman"/>
          <w:szCs w:val="24"/>
        </w:rPr>
        <w:t>6, 8, 9</w:t>
      </w:r>
    </w:p>
    <w:p w14:paraId="4FB9B6D8" w14:textId="77777777" w:rsidR="00274589" w:rsidRDefault="00274589" w:rsidP="00274589">
      <w:pPr>
        <w:pStyle w:val="ListParagraph"/>
        <w:tabs>
          <w:tab w:val="left" w:pos="720"/>
          <w:tab w:val="left" w:pos="1440"/>
          <w:tab w:val="left" w:pos="2160"/>
          <w:tab w:val="left" w:leader="dot" w:pos="9180"/>
        </w:tabs>
        <w:ind w:left="0"/>
      </w:pPr>
    </w:p>
    <w:p w14:paraId="22A8582F" w14:textId="77777777" w:rsidR="00274589" w:rsidRDefault="00274589" w:rsidP="00274589">
      <w:pPr>
        <w:pStyle w:val="ListParagraph"/>
        <w:tabs>
          <w:tab w:val="left" w:pos="720"/>
          <w:tab w:val="left" w:pos="1440"/>
          <w:tab w:val="left" w:pos="2160"/>
          <w:tab w:val="left" w:leader="dot" w:pos="9180"/>
        </w:tabs>
        <w:ind w:left="0"/>
        <w:rPr>
          <w:rFonts w:cs="Times New Roman"/>
          <w:i/>
          <w:szCs w:val="24"/>
        </w:rPr>
      </w:pPr>
      <w:r w:rsidRPr="002623CC">
        <w:rPr>
          <w:rFonts w:cs="Times New Roman"/>
          <w:i/>
          <w:szCs w:val="24"/>
        </w:rPr>
        <w:t>Petition of Puget Sound Energy, Inc., for a Declaratory Order Regarding the Transfer of Assets to Jefferson Cy</w:t>
      </w:r>
      <w:r w:rsidR="00DA1FF4">
        <w:rPr>
          <w:rFonts w:cs="Times New Roman"/>
          <w:i/>
          <w:szCs w:val="24"/>
        </w:rPr>
        <w:t>.</w:t>
      </w:r>
      <w:r w:rsidRPr="002623CC">
        <w:rPr>
          <w:rFonts w:cs="Times New Roman"/>
          <w:i/>
          <w:szCs w:val="24"/>
        </w:rPr>
        <w:t xml:space="preserve"> Pub</w:t>
      </w:r>
      <w:r w:rsidR="00DA1FF4">
        <w:rPr>
          <w:rFonts w:cs="Times New Roman"/>
          <w:i/>
          <w:szCs w:val="24"/>
        </w:rPr>
        <w:t>.</w:t>
      </w:r>
      <w:r w:rsidRPr="002623CC">
        <w:rPr>
          <w:rFonts w:cs="Times New Roman"/>
          <w:i/>
          <w:szCs w:val="24"/>
        </w:rPr>
        <w:t xml:space="preserve"> Util</w:t>
      </w:r>
      <w:r w:rsidR="00DA1FF4">
        <w:rPr>
          <w:rFonts w:cs="Times New Roman"/>
          <w:i/>
          <w:szCs w:val="24"/>
        </w:rPr>
        <w:t>.</w:t>
      </w:r>
      <w:r w:rsidRPr="002623CC">
        <w:rPr>
          <w:rFonts w:cs="Times New Roman"/>
          <w:i/>
          <w:szCs w:val="24"/>
        </w:rPr>
        <w:t xml:space="preserve"> Dist</w:t>
      </w:r>
      <w:r w:rsidR="00DA1FF4">
        <w:rPr>
          <w:rFonts w:cs="Times New Roman"/>
          <w:i/>
          <w:szCs w:val="24"/>
        </w:rPr>
        <w:t>.</w:t>
      </w:r>
      <w:r w:rsidRPr="002623CC">
        <w:rPr>
          <w:rFonts w:cs="Times New Roman"/>
          <w:i/>
          <w:szCs w:val="24"/>
        </w:rPr>
        <w:t xml:space="preserve">, </w:t>
      </w:r>
    </w:p>
    <w:p w14:paraId="2F4BC324" w14:textId="77777777" w:rsidR="00274589" w:rsidRDefault="00274589" w:rsidP="00274589">
      <w:pPr>
        <w:pStyle w:val="ListParagraph"/>
        <w:tabs>
          <w:tab w:val="left" w:pos="720"/>
          <w:tab w:val="left" w:pos="1440"/>
          <w:tab w:val="left" w:pos="2160"/>
          <w:tab w:val="left" w:leader="dot" w:pos="9180"/>
        </w:tabs>
        <w:ind w:left="0"/>
        <w:rPr>
          <w:rFonts w:cs="Times New Roman"/>
          <w:szCs w:val="24"/>
        </w:rPr>
      </w:pPr>
      <w:r>
        <w:rPr>
          <w:rFonts w:cs="Times New Roman"/>
          <w:i/>
          <w:szCs w:val="24"/>
        </w:rPr>
        <w:tab/>
      </w:r>
      <w:r w:rsidRPr="002623CC">
        <w:rPr>
          <w:rFonts w:cs="Times New Roman"/>
          <w:szCs w:val="24"/>
        </w:rPr>
        <w:t xml:space="preserve">Docket U-101217, Order 03, Final Order Approving and Adopting </w:t>
      </w:r>
    </w:p>
    <w:p w14:paraId="0889FB2C" w14:textId="77777777" w:rsidR="00274589" w:rsidRDefault="00274589" w:rsidP="00274589">
      <w:pPr>
        <w:pStyle w:val="ListParagraph"/>
        <w:tabs>
          <w:tab w:val="left" w:pos="720"/>
          <w:tab w:val="left" w:pos="1440"/>
          <w:tab w:val="left" w:pos="2160"/>
          <w:tab w:val="left" w:leader="dot" w:pos="9180"/>
        </w:tabs>
        <w:ind w:left="0"/>
        <w:rPr>
          <w:rFonts w:cs="Times New Roman"/>
          <w:szCs w:val="24"/>
        </w:rPr>
      </w:pPr>
      <w:r>
        <w:rPr>
          <w:rFonts w:cs="Times New Roman"/>
          <w:szCs w:val="24"/>
        </w:rPr>
        <w:tab/>
      </w:r>
      <w:r w:rsidRPr="002623CC">
        <w:rPr>
          <w:rFonts w:cs="Times New Roman"/>
          <w:szCs w:val="24"/>
        </w:rPr>
        <w:t xml:space="preserve">Settlement Agreement; Granting Petition of Declaratory Judgment </w:t>
      </w:r>
    </w:p>
    <w:p w14:paraId="30757837" w14:textId="77777777" w:rsidR="00274589" w:rsidRDefault="00274589" w:rsidP="00274589">
      <w:pPr>
        <w:pStyle w:val="ListParagraph"/>
        <w:tabs>
          <w:tab w:val="left" w:pos="720"/>
          <w:tab w:val="left" w:pos="1440"/>
          <w:tab w:val="left" w:pos="2160"/>
          <w:tab w:val="left" w:leader="dot" w:pos="9180"/>
        </w:tabs>
        <w:ind w:left="0"/>
      </w:pPr>
      <w:r>
        <w:rPr>
          <w:rFonts w:cs="Times New Roman"/>
          <w:szCs w:val="24"/>
        </w:rPr>
        <w:tab/>
      </w:r>
      <w:r w:rsidRPr="002623CC">
        <w:rPr>
          <w:rFonts w:cs="Times New Roman"/>
          <w:szCs w:val="24"/>
        </w:rPr>
        <w:t>(February 1, 2011) (</w:t>
      </w:r>
      <w:r w:rsidRPr="00D62C1F">
        <w:rPr>
          <w:rFonts w:cs="Times New Roman"/>
          <w:i/>
          <w:szCs w:val="24"/>
        </w:rPr>
        <w:t>Declaratory Order</w:t>
      </w:r>
      <w:r w:rsidRPr="002623CC">
        <w:rPr>
          <w:rFonts w:cs="Times New Roman"/>
          <w:szCs w:val="24"/>
        </w:rPr>
        <w:t>)</w:t>
      </w:r>
      <w:r>
        <w:rPr>
          <w:rFonts w:cs="Times New Roman"/>
          <w:szCs w:val="24"/>
        </w:rPr>
        <w:t xml:space="preserve"> </w:t>
      </w:r>
      <w:r>
        <w:rPr>
          <w:rFonts w:cs="Times New Roman"/>
          <w:szCs w:val="24"/>
        </w:rPr>
        <w:tab/>
      </w:r>
      <w:r w:rsidR="00DA1FF4">
        <w:rPr>
          <w:rFonts w:cs="Times New Roman"/>
          <w:szCs w:val="24"/>
        </w:rPr>
        <w:t>1-</w:t>
      </w:r>
      <w:r w:rsidR="00090D9B">
        <w:rPr>
          <w:rFonts w:cs="Times New Roman"/>
          <w:szCs w:val="24"/>
        </w:rPr>
        <w:t>2</w:t>
      </w:r>
    </w:p>
    <w:p w14:paraId="2591966C" w14:textId="77777777" w:rsidR="00274589" w:rsidRDefault="00274589" w:rsidP="00274589">
      <w:pPr>
        <w:pStyle w:val="ListParagraph"/>
        <w:tabs>
          <w:tab w:val="left" w:pos="720"/>
          <w:tab w:val="left" w:pos="1440"/>
          <w:tab w:val="left" w:pos="2160"/>
          <w:tab w:val="left" w:leader="dot" w:pos="9180"/>
        </w:tabs>
        <w:ind w:left="0"/>
      </w:pPr>
    </w:p>
    <w:p w14:paraId="5D4468CD" w14:textId="77777777" w:rsidR="00274589" w:rsidRDefault="00274589" w:rsidP="00274589">
      <w:pPr>
        <w:pStyle w:val="ListParagraph"/>
        <w:tabs>
          <w:tab w:val="left" w:pos="720"/>
          <w:tab w:val="left" w:pos="1440"/>
          <w:tab w:val="left" w:pos="2160"/>
          <w:tab w:val="left" w:leader="dot" w:pos="9180"/>
        </w:tabs>
        <w:ind w:left="0"/>
        <w:rPr>
          <w:rFonts w:cs="Times New Roman"/>
          <w:szCs w:val="24"/>
        </w:rPr>
      </w:pPr>
      <w:r w:rsidRPr="002623CC">
        <w:rPr>
          <w:rFonts w:cs="Times New Roman"/>
          <w:i/>
          <w:szCs w:val="24"/>
        </w:rPr>
        <w:t>Ratemaking Treatment of Capital Gains from the Sale of a Pub. Util</w:t>
      </w:r>
      <w:r w:rsidR="00DA1FF4">
        <w:rPr>
          <w:rFonts w:cs="Times New Roman"/>
          <w:i/>
          <w:szCs w:val="24"/>
        </w:rPr>
        <w:t>.</w:t>
      </w:r>
      <w:r w:rsidRPr="002623CC">
        <w:rPr>
          <w:rFonts w:cs="Times New Roman"/>
          <w:i/>
          <w:szCs w:val="24"/>
        </w:rPr>
        <w:t xml:space="preserve"> Distribution Sys. Serving an Area Annexed by a Municipality or Pub. Entity</w:t>
      </w:r>
      <w:r w:rsidRPr="002623CC">
        <w:rPr>
          <w:rFonts w:cs="Times New Roman"/>
          <w:szCs w:val="24"/>
        </w:rPr>
        <w:t xml:space="preserve">, </w:t>
      </w:r>
    </w:p>
    <w:p w14:paraId="247569D3" w14:textId="77777777" w:rsidR="00274589" w:rsidRDefault="00274589" w:rsidP="00090D9B">
      <w:pPr>
        <w:pStyle w:val="ListParagraph"/>
        <w:tabs>
          <w:tab w:val="left" w:pos="720"/>
          <w:tab w:val="left" w:pos="1440"/>
          <w:tab w:val="left" w:pos="2160"/>
          <w:tab w:val="right" w:leader="dot" w:pos="9180"/>
        </w:tabs>
        <w:ind w:left="0"/>
      </w:pPr>
      <w:r>
        <w:rPr>
          <w:rFonts w:cs="Times New Roman"/>
          <w:szCs w:val="24"/>
        </w:rPr>
        <w:tab/>
      </w:r>
      <w:r w:rsidRPr="002623CC">
        <w:rPr>
          <w:rFonts w:cs="Times New Roman"/>
          <w:szCs w:val="24"/>
        </w:rPr>
        <w:t>104 Pub. Util. Rep. (PUR) 4</w:t>
      </w:r>
      <w:r w:rsidRPr="002623CC">
        <w:rPr>
          <w:rFonts w:cs="Times New Roman"/>
          <w:szCs w:val="24"/>
          <w:vertAlign w:val="superscript"/>
        </w:rPr>
        <w:t>th</w:t>
      </w:r>
      <w:r w:rsidRPr="002623CC">
        <w:rPr>
          <w:rFonts w:cs="Times New Roman"/>
          <w:szCs w:val="24"/>
        </w:rPr>
        <w:t xml:space="preserve"> 157 (Cal. PUC 1989) (</w:t>
      </w:r>
      <w:r w:rsidRPr="002623CC">
        <w:rPr>
          <w:rFonts w:cs="Times New Roman"/>
          <w:i/>
          <w:szCs w:val="24"/>
        </w:rPr>
        <w:t>City of Redding II</w:t>
      </w:r>
      <w:r w:rsidRPr="002623CC">
        <w:rPr>
          <w:rFonts w:cs="Times New Roman"/>
          <w:szCs w:val="24"/>
        </w:rPr>
        <w:t>)</w:t>
      </w:r>
      <w:r>
        <w:rPr>
          <w:rFonts w:cs="Times New Roman"/>
          <w:szCs w:val="24"/>
        </w:rPr>
        <w:t xml:space="preserve"> </w:t>
      </w:r>
      <w:r>
        <w:rPr>
          <w:rFonts w:cs="Times New Roman"/>
          <w:szCs w:val="24"/>
        </w:rPr>
        <w:tab/>
      </w:r>
      <w:r w:rsidR="00090D9B">
        <w:rPr>
          <w:rFonts w:cs="Times New Roman"/>
          <w:szCs w:val="24"/>
        </w:rPr>
        <w:t>2-4</w:t>
      </w:r>
    </w:p>
    <w:p w14:paraId="476985F7" w14:textId="77777777" w:rsidR="00274589" w:rsidRDefault="00274589" w:rsidP="00274589">
      <w:pPr>
        <w:pStyle w:val="ListParagraph"/>
        <w:tabs>
          <w:tab w:val="left" w:pos="720"/>
          <w:tab w:val="left" w:pos="1440"/>
          <w:tab w:val="left" w:pos="2160"/>
          <w:tab w:val="left" w:leader="dot" w:pos="9180"/>
        </w:tabs>
        <w:ind w:left="0"/>
      </w:pPr>
    </w:p>
    <w:p w14:paraId="3645250E" w14:textId="77777777" w:rsidR="00274589" w:rsidRDefault="00274589" w:rsidP="00274589">
      <w:pPr>
        <w:pStyle w:val="ListParagraph"/>
        <w:tabs>
          <w:tab w:val="left" w:pos="720"/>
          <w:tab w:val="left" w:pos="1440"/>
          <w:tab w:val="left" w:pos="2160"/>
          <w:tab w:val="left" w:leader="dot" w:pos="9180"/>
        </w:tabs>
        <w:ind w:left="0"/>
        <w:rPr>
          <w:rFonts w:cs="Times New Roman"/>
          <w:szCs w:val="24"/>
        </w:rPr>
      </w:pPr>
      <w:r w:rsidRPr="002623CC">
        <w:rPr>
          <w:rFonts w:cs="Times New Roman"/>
          <w:i/>
          <w:szCs w:val="24"/>
        </w:rPr>
        <w:t>Utilities &amp; Transp. Comm’n v. Puget Sound Power &amp; Light Co</w:t>
      </w:r>
      <w:r w:rsidRPr="002623CC">
        <w:rPr>
          <w:rFonts w:cs="Times New Roman"/>
          <w:szCs w:val="24"/>
        </w:rPr>
        <w:t xml:space="preserve">., </w:t>
      </w:r>
    </w:p>
    <w:p w14:paraId="15AB5923" w14:textId="77777777" w:rsidR="00274589" w:rsidRDefault="00274589" w:rsidP="00274589">
      <w:pPr>
        <w:pStyle w:val="ListParagraph"/>
        <w:tabs>
          <w:tab w:val="left" w:pos="720"/>
          <w:tab w:val="left" w:pos="1440"/>
          <w:tab w:val="left" w:pos="2160"/>
          <w:tab w:val="left" w:leader="dot" w:pos="9180"/>
        </w:tabs>
        <w:ind w:left="0"/>
        <w:rPr>
          <w:rFonts w:cs="Times New Roman"/>
          <w:szCs w:val="24"/>
        </w:rPr>
      </w:pPr>
      <w:r>
        <w:rPr>
          <w:rFonts w:cs="Times New Roman"/>
          <w:szCs w:val="24"/>
        </w:rPr>
        <w:tab/>
      </w:r>
      <w:r w:rsidR="003A2577">
        <w:rPr>
          <w:rFonts w:cs="Times New Roman"/>
          <w:szCs w:val="24"/>
        </w:rPr>
        <w:t>Cause U-85-53, Second</w:t>
      </w:r>
      <w:r w:rsidR="003A2577" w:rsidRPr="002623CC">
        <w:rPr>
          <w:rFonts w:cs="Times New Roman"/>
          <w:szCs w:val="24"/>
        </w:rPr>
        <w:t xml:space="preserve"> Supplemental Order, </w:t>
      </w:r>
    </w:p>
    <w:p w14:paraId="69875F64" w14:textId="77777777" w:rsidR="00274589" w:rsidRDefault="00274589" w:rsidP="00274589">
      <w:pPr>
        <w:pStyle w:val="ListParagraph"/>
        <w:tabs>
          <w:tab w:val="left" w:pos="720"/>
          <w:tab w:val="left" w:pos="1440"/>
          <w:tab w:val="left" w:pos="2160"/>
          <w:tab w:val="left" w:leader="dot" w:pos="9180"/>
        </w:tabs>
        <w:ind w:left="0"/>
      </w:pPr>
      <w:r>
        <w:rPr>
          <w:rFonts w:cs="Times New Roman"/>
          <w:szCs w:val="24"/>
        </w:rPr>
        <w:tab/>
      </w:r>
      <w:r w:rsidRPr="002623CC">
        <w:rPr>
          <w:rFonts w:cs="Times New Roman"/>
          <w:szCs w:val="24"/>
        </w:rPr>
        <w:t>74 Pub. Util. Rep. (PUR) 4</w:t>
      </w:r>
      <w:r w:rsidRPr="002623CC">
        <w:rPr>
          <w:rFonts w:cs="Times New Roman"/>
          <w:szCs w:val="24"/>
          <w:vertAlign w:val="superscript"/>
        </w:rPr>
        <w:t>th</w:t>
      </w:r>
      <w:r>
        <w:rPr>
          <w:rFonts w:cs="Times New Roman"/>
          <w:szCs w:val="24"/>
        </w:rPr>
        <w:t xml:space="preserve"> 536 </w:t>
      </w:r>
      <w:r w:rsidRPr="002623CC">
        <w:rPr>
          <w:rFonts w:cs="Times New Roman"/>
          <w:szCs w:val="24"/>
        </w:rPr>
        <w:t>(1986)</w:t>
      </w:r>
      <w:r>
        <w:rPr>
          <w:rFonts w:cs="Times New Roman"/>
          <w:szCs w:val="24"/>
        </w:rPr>
        <w:t xml:space="preserve"> </w:t>
      </w:r>
      <w:r>
        <w:rPr>
          <w:rFonts w:cs="Times New Roman"/>
          <w:szCs w:val="24"/>
        </w:rPr>
        <w:tab/>
      </w:r>
      <w:r w:rsidR="00D62C1F">
        <w:rPr>
          <w:rFonts w:cs="Times New Roman"/>
          <w:szCs w:val="24"/>
        </w:rPr>
        <w:t>2</w:t>
      </w:r>
    </w:p>
    <w:p w14:paraId="09636AB4" w14:textId="77777777" w:rsidR="00274589" w:rsidRDefault="00274589" w:rsidP="00274589">
      <w:pPr>
        <w:pStyle w:val="ListParagraph"/>
        <w:tabs>
          <w:tab w:val="left" w:pos="720"/>
          <w:tab w:val="left" w:pos="1440"/>
          <w:tab w:val="left" w:pos="2160"/>
          <w:tab w:val="left" w:leader="dot" w:pos="9180"/>
        </w:tabs>
        <w:ind w:left="0"/>
      </w:pPr>
    </w:p>
    <w:p w14:paraId="46013A08" w14:textId="77777777" w:rsidR="00274589" w:rsidRDefault="00274589" w:rsidP="00274589">
      <w:pPr>
        <w:pStyle w:val="ListParagraph"/>
        <w:tabs>
          <w:tab w:val="left" w:pos="720"/>
          <w:tab w:val="left" w:pos="1440"/>
          <w:tab w:val="left" w:pos="2160"/>
          <w:tab w:val="left" w:leader="dot" w:pos="9180"/>
        </w:tabs>
        <w:ind w:left="0"/>
      </w:pPr>
    </w:p>
    <w:p w14:paraId="381C190D" w14:textId="77777777" w:rsidR="00D62C1F" w:rsidRDefault="00D62C1F">
      <w:pPr>
        <w:rPr>
          <w:b/>
        </w:rPr>
      </w:pPr>
      <w:r>
        <w:rPr>
          <w:b/>
        </w:rPr>
        <w:br w:type="page"/>
      </w:r>
    </w:p>
    <w:p w14:paraId="28F9E0E4" w14:textId="77777777" w:rsidR="00274589" w:rsidRDefault="00274589" w:rsidP="00274589">
      <w:pPr>
        <w:pStyle w:val="ListParagraph"/>
        <w:tabs>
          <w:tab w:val="left" w:pos="720"/>
          <w:tab w:val="left" w:pos="1440"/>
          <w:tab w:val="left" w:pos="2160"/>
          <w:tab w:val="left" w:leader="dot" w:pos="9180"/>
        </w:tabs>
        <w:ind w:left="0"/>
        <w:jc w:val="center"/>
      </w:pPr>
      <w:r>
        <w:rPr>
          <w:b/>
        </w:rPr>
        <w:lastRenderedPageBreak/>
        <w:t>Statues and Rules</w:t>
      </w:r>
    </w:p>
    <w:p w14:paraId="15354427" w14:textId="77777777" w:rsidR="00274589" w:rsidRDefault="00274589" w:rsidP="00274589">
      <w:pPr>
        <w:pStyle w:val="ListParagraph"/>
        <w:tabs>
          <w:tab w:val="left" w:pos="720"/>
          <w:tab w:val="left" w:pos="1440"/>
          <w:tab w:val="left" w:pos="2160"/>
          <w:tab w:val="left" w:leader="dot" w:pos="9180"/>
        </w:tabs>
        <w:ind w:left="0"/>
      </w:pPr>
    </w:p>
    <w:p w14:paraId="37843DEC" w14:textId="77777777" w:rsidR="00274589" w:rsidRDefault="00274589" w:rsidP="00274589">
      <w:pPr>
        <w:pStyle w:val="ListParagraph"/>
        <w:tabs>
          <w:tab w:val="left" w:pos="720"/>
          <w:tab w:val="left" w:leader="dot" w:pos="9180"/>
        </w:tabs>
        <w:ind w:left="0"/>
        <w:rPr>
          <w:rFonts w:cs="Times New Roman"/>
          <w:szCs w:val="24"/>
        </w:rPr>
      </w:pPr>
      <w:r w:rsidRPr="002623CC">
        <w:rPr>
          <w:rFonts w:cs="Times New Roman"/>
          <w:szCs w:val="24"/>
        </w:rPr>
        <w:t>RCW 19.280.010(9)</w:t>
      </w:r>
      <w:r>
        <w:rPr>
          <w:rFonts w:cs="Times New Roman"/>
          <w:szCs w:val="24"/>
        </w:rPr>
        <w:t xml:space="preserve"> </w:t>
      </w:r>
      <w:r>
        <w:rPr>
          <w:rFonts w:cs="Times New Roman"/>
          <w:szCs w:val="24"/>
        </w:rPr>
        <w:tab/>
      </w:r>
      <w:r w:rsidR="00D62C1F">
        <w:rPr>
          <w:rFonts w:cs="Times New Roman"/>
          <w:szCs w:val="24"/>
        </w:rPr>
        <w:t>7</w:t>
      </w:r>
    </w:p>
    <w:p w14:paraId="67485196" w14:textId="77777777" w:rsidR="00D62C1F" w:rsidRDefault="00D62C1F" w:rsidP="00274589">
      <w:pPr>
        <w:pStyle w:val="ListParagraph"/>
        <w:tabs>
          <w:tab w:val="left" w:pos="720"/>
          <w:tab w:val="left" w:leader="dot" w:pos="9180"/>
        </w:tabs>
        <w:ind w:left="0"/>
        <w:rPr>
          <w:rFonts w:cs="Times New Roman"/>
          <w:szCs w:val="24"/>
        </w:rPr>
      </w:pPr>
    </w:p>
    <w:p w14:paraId="5C6ED2F0" w14:textId="77777777" w:rsidR="00D62C1F" w:rsidRDefault="00DA1FF4" w:rsidP="00274589">
      <w:pPr>
        <w:pStyle w:val="ListParagraph"/>
        <w:tabs>
          <w:tab w:val="left" w:pos="720"/>
          <w:tab w:val="left" w:leader="dot" w:pos="9180"/>
        </w:tabs>
        <w:ind w:left="0"/>
      </w:pPr>
      <w:r>
        <w:rPr>
          <w:rFonts w:cs="Times New Roman"/>
          <w:szCs w:val="24"/>
        </w:rPr>
        <w:t>RCW 19.280</w:t>
      </w:r>
      <w:r w:rsidR="00D62C1F">
        <w:rPr>
          <w:rFonts w:cs="Times New Roman"/>
          <w:szCs w:val="24"/>
        </w:rPr>
        <w:t xml:space="preserve">.030 </w:t>
      </w:r>
      <w:r w:rsidR="00D62C1F">
        <w:rPr>
          <w:rFonts w:cs="Times New Roman"/>
          <w:szCs w:val="24"/>
        </w:rPr>
        <w:tab/>
        <w:t>7</w:t>
      </w:r>
    </w:p>
    <w:p w14:paraId="229F2D29" w14:textId="77777777" w:rsidR="00274589" w:rsidRDefault="00274589" w:rsidP="00274589">
      <w:pPr>
        <w:pStyle w:val="ListParagraph"/>
        <w:tabs>
          <w:tab w:val="left" w:pos="720"/>
          <w:tab w:val="left" w:pos="1440"/>
          <w:tab w:val="left" w:pos="2160"/>
          <w:tab w:val="left" w:leader="dot" w:pos="9180"/>
        </w:tabs>
        <w:ind w:left="0"/>
      </w:pPr>
    </w:p>
    <w:p w14:paraId="4F944DEB" w14:textId="77777777" w:rsidR="00274589" w:rsidRDefault="00274589" w:rsidP="00274589">
      <w:pPr>
        <w:pStyle w:val="ListParagraph"/>
        <w:tabs>
          <w:tab w:val="left" w:pos="720"/>
          <w:tab w:val="left" w:pos="1440"/>
          <w:tab w:val="left" w:leader="dot" w:pos="9180"/>
        </w:tabs>
        <w:ind w:left="0"/>
        <w:rPr>
          <w:rFonts w:cs="Times New Roman"/>
          <w:szCs w:val="24"/>
        </w:rPr>
      </w:pPr>
      <w:r>
        <w:rPr>
          <w:rFonts w:cs="Times New Roman"/>
          <w:szCs w:val="24"/>
        </w:rPr>
        <w:t xml:space="preserve">RCW 19.285.040(1) </w:t>
      </w:r>
      <w:r>
        <w:rPr>
          <w:rFonts w:cs="Times New Roman"/>
          <w:szCs w:val="24"/>
        </w:rPr>
        <w:tab/>
      </w:r>
      <w:r w:rsidR="00D62C1F">
        <w:rPr>
          <w:rFonts w:cs="Times New Roman"/>
          <w:szCs w:val="24"/>
        </w:rPr>
        <w:t>7</w:t>
      </w:r>
    </w:p>
    <w:p w14:paraId="077E09EA" w14:textId="77777777" w:rsidR="00274589" w:rsidRDefault="00274589" w:rsidP="00274589">
      <w:pPr>
        <w:pStyle w:val="ListParagraph"/>
        <w:tabs>
          <w:tab w:val="left" w:pos="720"/>
          <w:tab w:val="left" w:pos="1440"/>
          <w:tab w:val="left" w:leader="dot" w:pos="9180"/>
        </w:tabs>
        <w:ind w:left="0"/>
      </w:pPr>
    </w:p>
    <w:p w14:paraId="094F0BCF" w14:textId="77777777" w:rsidR="00274589" w:rsidRDefault="00274589" w:rsidP="00274589">
      <w:pPr>
        <w:pStyle w:val="ListParagraph"/>
        <w:tabs>
          <w:tab w:val="left" w:pos="720"/>
          <w:tab w:val="left" w:pos="1440"/>
          <w:tab w:val="left" w:leader="dot" w:pos="9180"/>
        </w:tabs>
        <w:ind w:left="0"/>
      </w:pPr>
      <w:r>
        <w:t xml:space="preserve">RCW 80.12.020(2) </w:t>
      </w:r>
      <w:r>
        <w:tab/>
        <w:t>1</w:t>
      </w:r>
    </w:p>
    <w:p w14:paraId="3884C7B6" w14:textId="77777777" w:rsidR="00274589" w:rsidRDefault="00274589" w:rsidP="00274589">
      <w:pPr>
        <w:pStyle w:val="ListParagraph"/>
        <w:tabs>
          <w:tab w:val="left" w:pos="720"/>
          <w:tab w:val="left" w:pos="1440"/>
          <w:tab w:val="left" w:pos="2160"/>
          <w:tab w:val="left" w:leader="dot" w:pos="9180"/>
        </w:tabs>
        <w:ind w:left="0"/>
      </w:pPr>
    </w:p>
    <w:p w14:paraId="58EE5DD8" w14:textId="77777777" w:rsidR="00274589" w:rsidRDefault="00274589" w:rsidP="00274589">
      <w:pPr>
        <w:pStyle w:val="ListParagraph"/>
        <w:tabs>
          <w:tab w:val="left" w:pos="720"/>
          <w:tab w:val="left" w:pos="1440"/>
          <w:tab w:val="left" w:pos="2160"/>
          <w:tab w:val="left" w:leader="dot" w:pos="9180"/>
        </w:tabs>
        <w:ind w:left="0"/>
      </w:pPr>
    </w:p>
    <w:p w14:paraId="4B93014F" w14:textId="77777777" w:rsidR="00274589" w:rsidRDefault="00274589" w:rsidP="00274589">
      <w:pPr>
        <w:pStyle w:val="ListParagraph"/>
        <w:tabs>
          <w:tab w:val="left" w:pos="720"/>
          <w:tab w:val="left" w:pos="1440"/>
          <w:tab w:val="left" w:pos="2160"/>
          <w:tab w:val="left" w:leader="dot" w:pos="9180"/>
        </w:tabs>
        <w:ind w:left="0"/>
        <w:jc w:val="center"/>
      </w:pPr>
      <w:r>
        <w:rPr>
          <w:b/>
        </w:rPr>
        <w:t>Secondary Sources</w:t>
      </w:r>
    </w:p>
    <w:p w14:paraId="61A6055F" w14:textId="77777777" w:rsidR="00274589" w:rsidRDefault="00274589" w:rsidP="00274589">
      <w:pPr>
        <w:pStyle w:val="ListParagraph"/>
        <w:tabs>
          <w:tab w:val="left" w:pos="720"/>
          <w:tab w:val="left" w:pos="1440"/>
          <w:tab w:val="left" w:pos="2160"/>
          <w:tab w:val="left" w:leader="dot" w:pos="9180"/>
        </w:tabs>
        <w:ind w:left="0"/>
      </w:pPr>
    </w:p>
    <w:p w14:paraId="3928E6E7" w14:textId="77777777" w:rsidR="00274589" w:rsidRDefault="00274589" w:rsidP="00274589">
      <w:pPr>
        <w:pStyle w:val="ListParagraph"/>
        <w:tabs>
          <w:tab w:val="left" w:pos="720"/>
          <w:tab w:val="left" w:pos="1440"/>
          <w:tab w:val="left" w:pos="2160"/>
          <w:tab w:val="left" w:leader="dot" w:pos="9180"/>
        </w:tabs>
        <w:ind w:left="0"/>
        <w:rPr>
          <w:rFonts w:cs="Times New Roman"/>
          <w:szCs w:val="24"/>
        </w:rPr>
      </w:pPr>
      <w:r w:rsidRPr="002623CC">
        <w:rPr>
          <w:rFonts w:cs="Times New Roman"/>
          <w:szCs w:val="24"/>
        </w:rPr>
        <w:t xml:space="preserve">26 </w:t>
      </w:r>
      <w:r w:rsidRPr="00DA1FF4">
        <w:rPr>
          <w:rFonts w:cs="Times New Roman"/>
          <w:szCs w:val="24"/>
        </w:rPr>
        <w:t>Am. Jur. 2d</w:t>
      </w:r>
      <w:r w:rsidRPr="002623CC">
        <w:rPr>
          <w:rFonts w:cs="Times New Roman"/>
          <w:szCs w:val="24"/>
        </w:rPr>
        <w:t xml:space="preserve">, </w:t>
      </w:r>
      <w:r w:rsidRPr="002623CC">
        <w:rPr>
          <w:rFonts w:cs="Times New Roman"/>
          <w:i/>
          <w:szCs w:val="24"/>
        </w:rPr>
        <w:t xml:space="preserve">Eminent Domain </w:t>
      </w:r>
      <w:r w:rsidRPr="002623CC">
        <w:rPr>
          <w:rFonts w:cs="Times New Roman"/>
          <w:szCs w:val="24"/>
        </w:rPr>
        <w:t>§ 298 (1996)</w:t>
      </w:r>
      <w:r>
        <w:rPr>
          <w:rFonts w:cs="Times New Roman"/>
          <w:szCs w:val="24"/>
        </w:rPr>
        <w:t xml:space="preserve"> </w:t>
      </w:r>
      <w:r>
        <w:rPr>
          <w:rFonts w:cs="Times New Roman"/>
          <w:szCs w:val="24"/>
        </w:rPr>
        <w:tab/>
      </w:r>
      <w:r w:rsidR="00D62C1F">
        <w:rPr>
          <w:rFonts w:cs="Times New Roman"/>
          <w:szCs w:val="24"/>
        </w:rPr>
        <w:t>2</w:t>
      </w:r>
    </w:p>
    <w:p w14:paraId="712EFA24" w14:textId="77777777" w:rsidR="00274589" w:rsidRDefault="00274589" w:rsidP="00274589">
      <w:pPr>
        <w:pStyle w:val="ListParagraph"/>
        <w:tabs>
          <w:tab w:val="left" w:pos="720"/>
          <w:tab w:val="left" w:pos="1440"/>
          <w:tab w:val="left" w:pos="2160"/>
          <w:tab w:val="left" w:leader="dot" w:pos="9180"/>
        </w:tabs>
        <w:ind w:left="0"/>
        <w:rPr>
          <w:rFonts w:cs="Times New Roman"/>
          <w:szCs w:val="24"/>
        </w:rPr>
      </w:pPr>
    </w:p>
    <w:p w14:paraId="323F2932" w14:textId="77777777" w:rsidR="00274589" w:rsidRDefault="00274589" w:rsidP="00274589">
      <w:pPr>
        <w:pStyle w:val="ListParagraph"/>
        <w:tabs>
          <w:tab w:val="left" w:pos="720"/>
          <w:tab w:val="left" w:pos="1440"/>
          <w:tab w:val="left" w:pos="2160"/>
          <w:tab w:val="left" w:leader="dot" w:pos="9180"/>
        </w:tabs>
        <w:ind w:left="0"/>
      </w:pPr>
    </w:p>
    <w:p w14:paraId="3C1C2F38" w14:textId="77777777" w:rsidR="00B52872" w:rsidRDefault="00B52872" w:rsidP="00B52872">
      <w:pPr>
        <w:pStyle w:val="ListParagraph"/>
        <w:tabs>
          <w:tab w:val="left" w:pos="720"/>
          <w:tab w:val="left" w:pos="1440"/>
          <w:tab w:val="left" w:pos="2160"/>
          <w:tab w:val="left" w:leader="dot" w:pos="9180"/>
        </w:tabs>
        <w:ind w:left="0"/>
      </w:pPr>
    </w:p>
    <w:p w14:paraId="204C38D5" w14:textId="77777777" w:rsidR="00B52872" w:rsidRDefault="00B52872" w:rsidP="00B52872">
      <w:pPr>
        <w:pStyle w:val="ListParagraph"/>
        <w:tabs>
          <w:tab w:val="left" w:pos="720"/>
          <w:tab w:val="left" w:pos="1440"/>
          <w:tab w:val="left" w:pos="2160"/>
          <w:tab w:val="left" w:leader="dot" w:pos="9180"/>
        </w:tabs>
        <w:ind w:left="0"/>
      </w:pPr>
    </w:p>
    <w:p w14:paraId="272D13C7" w14:textId="77777777" w:rsidR="00B52872" w:rsidRDefault="00B52872" w:rsidP="00B52872">
      <w:pPr>
        <w:pStyle w:val="ListParagraph"/>
        <w:tabs>
          <w:tab w:val="left" w:pos="720"/>
          <w:tab w:val="left" w:pos="1440"/>
          <w:tab w:val="left" w:pos="2160"/>
          <w:tab w:val="left" w:leader="dot" w:pos="9180"/>
        </w:tabs>
        <w:ind w:left="0"/>
      </w:pPr>
    </w:p>
    <w:p w14:paraId="075C8F50" w14:textId="77777777" w:rsidR="00B52872" w:rsidRDefault="00B52872" w:rsidP="00B52872">
      <w:pPr>
        <w:sectPr w:rsidR="00B52872" w:rsidSect="00B52872">
          <w:footerReference w:type="default" r:id="rId13"/>
          <w:pgSz w:w="12240" w:h="15840"/>
          <w:pgMar w:top="1440" w:right="1440" w:bottom="1440" w:left="1440" w:header="720" w:footer="720" w:gutter="0"/>
          <w:pgNumType w:fmt="lowerRoman" w:start="1"/>
          <w:cols w:space="720"/>
          <w:docGrid w:linePitch="360"/>
        </w:sectPr>
      </w:pPr>
    </w:p>
    <w:p w14:paraId="04F2B79F" w14:textId="77777777" w:rsidR="00184AC7" w:rsidRPr="00184AC7" w:rsidRDefault="00B52872" w:rsidP="00B52872">
      <w:pPr>
        <w:pStyle w:val="ListParagraph"/>
        <w:spacing w:line="240" w:lineRule="exact"/>
        <w:ind w:left="0"/>
        <w:jc w:val="center"/>
        <w:rPr>
          <w:b/>
        </w:rPr>
      </w:pPr>
      <w:r>
        <w:rPr>
          <w:b/>
        </w:rPr>
        <w:lastRenderedPageBreak/>
        <w:t>I.</w:t>
      </w:r>
      <w:r>
        <w:rPr>
          <w:b/>
        </w:rPr>
        <w:tab/>
      </w:r>
      <w:r w:rsidR="00445198" w:rsidRPr="00184AC7">
        <w:rPr>
          <w:b/>
        </w:rPr>
        <w:t>INTRODUCTION</w:t>
      </w:r>
    </w:p>
    <w:p w14:paraId="6E7B1425" w14:textId="77777777" w:rsidR="00184AC7" w:rsidRPr="00184AC7" w:rsidRDefault="00184AC7" w:rsidP="00184AC7">
      <w:pPr>
        <w:pStyle w:val="ListParagraph"/>
        <w:ind w:left="0"/>
        <w:rPr>
          <w:b/>
        </w:rPr>
      </w:pPr>
    </w:p>
    <w:p w14:paraId="02C0B0ED" w14:textId="77777777" w:rsidR="00B63888" w:rsidRPr="006E7290" w:rsidRDefault="00184AC7" w:rsidP="00184AC7">
      <w:pPr>
        <w:pStyle w:val="ListParagraph"/>
        <w:numPr>
          <w:ilvl w:val="0"/>
          <w:numId w:val="25"/>
        </w:numPr>
        <w:spacing w:line="480" w:lineRule="auto"/>
        <w:rPr>
          <w:b/>
        </w:rPr>
      </w:pPr>
      <w:r>
        <w:tab/>
      </w:r>
      <w:r w:rsidR="00503D9C">
        <w:t>Staff’s Initial Brief</w:t>
      </w:r>
      <w:r w:rsidR="00503D9C">
        <w:rPr>
          <w:rStyle w:val="FootnoteReference"/>
        </w:rPr>
        <w:footnoteReference w:id="1"/>
      </w:r>
      <w:r w:rsidR="00503D9C">
        <w:t xml:space="preserve"> responds to </w:t>
      </w:r>
      <w:r w:rsidR="00122218">
        <w:t>most</w:t>
      </w:r>
      <w:r w:rsidR="00D5708B">
        <w:t xml:space="preserve"> </w:t>
      </w:r>
      <w:r w:rsidR="00B63888">
        <w:t xml:space="preserve">of </w:t>
      </w:r>
      <w:r w:rsidR="00165C88">
        <w:t xml:space="preserve">the arguments </w:t>
      </w:r>
      <w:r w:rsidR="00122218">
        <w:t>offered</w:t>
      </w:r>
      <w:r w:rsidR="00165C88">
        <w:t xml:space="preserve"> by Puget Sound Energy, Inc. (Company or PSE) in its Post-Hearing Brief.</w:t>
      </w:r>
      <w:r w:rsidR="00165C88">
        <w:rPr>
          <w:rStyle w:val="FootnoteReference"/>
        </w:rPr>
        <w:footnoteReference w:id="2"/>
      </w:r>
      <w:r w:rsidR="00503D9C">
        <w:t xml:space="preserve">  We address the exceptions in this Reply</w:t>
      </w:r>
      <w:r w:rsidR="009D327B">
        <w:t xml:space="preserve">, but </w:t>
      </w:r>
      <w:r w:rsidR="00626062">
        <w:t xml:space="preserve">one </w:t>
      </w:r>
      <w:r w:rsidR="009D327B">
        <w:t>item merit</w:t>
      </w:r>
      <w:r w:rsidR="00626062">
        <w:t>s</w:t>
      </w:r>
      <w:r w:rsidR="009D327B">
        <w:t xml:space="preserve"> special attention now</w:t>
      </w:r>
      <w:r w:rsidR="00503D9C">
        <w:t xml:space="preserve">.  </w:t>
      </w:r>
    </w:p>
    <w:p w14:paraId="355033B6" w14:textId="77777777" w:rsidR="0081343D" w:rsidRPr="0081343D" w:rsidRDefault="00626062" w:rsidP="00C870A1">
      <w:pPr>
        <w:pStyle w:val="ListParagraph"/>
        <w:numPr>
          <w:ilvl w:val="0"/>
          <w:numId w:val="25"/>
        </w:numPr>
        <w:spacing w:line="480" w:lineRule="auto"/>
        <w:rPr>
          <w:b/>
        </w:rPr>
      </w:pPr>
      <w:r>
        <w:tab/>
      </w:r>
      <w:r w:rsidR="009D327B">
        <w:t xml:space="preserve">PSE’s analysis is </w:t>
      </w:r>
      <w:r>
        <w:t xml:space="preserve">premised </w:t>
      </w:r>
      <w:r w:rsidR="009D327B">
        <w:t xml:space="preserve">on the </w:t>
      </w:r>
      <w:r w:rsidR="00B63888">
        <w:t xml:space="preserve">false </w:t>
      </w:r>
      <w:r w:rsidR="009D327B">
        <w:t>assumption that “[t]here is no presumption, or a past practice, that customers bear losses for sales of property when the sale is below book value</w:t>
      </w:r>
      <w:r w:rsidR="002B67BB">
        <w:t>.</w:t>
      </w:r>
      <w:r w:rsidR="009D327B">
        <w:t>”</w:t>
      </w:r>
      <w:r w:rsidR="009D327B">
        <w:rPr>
          <w:rStyle w:val="FootnoteReference"/>
        </w:rPr>
        <w:footnoteReference w:id="3"/>
      </w:r>
      <w:r w:rsidR="009D327B">
        <w:t xml:space="preserve"> </w:t>
      </w:r>
      <w:r w:rsidR="002B67BB">
        <w:t xml:space="preserve"> </w:t>
      </w:r>
      <w:r>
        <w:t xml:space="preserve">That assumption is thoroughly refuted by </w:t>
      </w:r>
      <w:r w:rsidR="009D327B">
        <w:t xml:space="preserve">the </w:t>
      </w:r>
      <w:r w:rsidR="00D5708B">
        <w:t xml:space="preserve">many </w:t>
      </w:r>
      <w:r w:rsidR="009D327B">
        <w:t xml:space="preserve">examples </w:t>
      </w:r>
      <w:r w:rsidR="00122218">
        <w:t xml:space="preserve">of past practices </w:t>
      </w:r>
      <w:r w:rsidR="00D5708B">
        <w:t xml:space="preserve">where </w:t>
      </w:r>
      <w:r w:rsidR="00FC2EC2">
        <w:t>customers</w:t>
      </w:r>
      <w:r w:rsidR="00D5708B">
        <w:t xml:space="preserve"> have borne </w:t>
      </w:r>
      <w:r w:rsidR="009D327B">
        <w:t>capital losses (</w:t>
      </w:r>
      <w:r w:rsidR="0081343D">
        <w:t xml:space="preserve">including </w:t>
      </w:r>
      <w:r w:rsidR="009D327B">
        <w:t>value reductions) due</w:t>
      </w:r>
      <w:r w:rsidR="00122218">
        <w:t>, for example,</w:t>
      </w:r>
      <w:r w:rsidR="009D327B">
        <w:t xml:space="preserve"> to </w:t>
      </w:r>
      <w:r w:rsidR="0081343D">
        <w:t xml:space="preserve">plant </w:t>
      </w:r>
      <w:r w:rsidR="009D327B">
        <w:t xml:space="preserve">obsolescence, </w:t>
      </w:r>
      <w:r w:rsidR="0081343D">
        <w:t xml:space="preserve">plant </w:t>
      </w:r>
      <w:r w:rsidR="009D327B">
        <w:t>abandonment and environmental damage</w:t>
      </w:r>
      <w:r w:rsidR="00D5708B">
        <w:t>, among others</w:t>
      </w:r>
      <w:r>
        <w:t>.</w:t>
      </w:r>
      <w:r w:rsidR="009D327B">
        <w:rPr>
          <w:rStyle w:val="FootnoteReference"/>
        </w:rPr>
        <w:footnoteReference w:id="4"/>
      </w:r>
    </w:p>
    <w:p w14:paraId="586EDDDE" w14:textId="77777777" w:rsidR="00392E5E" w:rsidRDefault="00D5708B" w:rsidP="00392E5E">
      <w:pPr>
        <w:pStyle w:val="ListParagraph"/>
        <w:numPr>
          <w:ilvl w:val="0"/>
          <w:numId w:val="25"/>
        </w:numPr>
        <w:spacing w:line="480" w:lineRule="auto"/>
        <w:rPr>
          <w:b/>
        </w:rPr>
      </w:pPr>
      <w:r>
        <w:tab/>
      </w:r>
      <w:r w:rsidR="00FE676C">
        <w:t xml:space="preserve">This </w:t>
      </w:r>
      <w:r w:rsidR="00626062">
        <w:t xml:space="preserve">is </w:t>
      </w:r>
      <w:r w:rsidR="006219CC">
        <w:t>yet</w:t>
      </w:r>
      <w:r w:rsidR="00626062">
        <w:t xml:space="preserve"> another example </w:t>
      </w:r>
      <w:r w:rsidR="00FC2EC2">
        <w:t xml:space="preserve">that </w:t>
      </w:r>
      <w:r w:rsidR="00172B1A">
        <w:t>prov</w:t>
      </w:r>
      <w:r w:rsidR="00FC2EC2">
        <w:t>es</w:t>
      </w:r>
      <w:r w:rsidR="00172B1A">
        <w:t xml:space="preserve"> </w:t>
      </w:r>
      <w:r w:rsidR="0081343D">
        <w:t xml:space="preserve">PSE’s theory is out of touch with the reality of </w:t>
      </w:r>
      <w:r w:rsidR="00736E19">
        <w:t xml:space="preserve">regulation in this state, </w:t>
      </w:r>
      <w:r w:rsidR="00BC326B">
        <w:t xml:space="preserve">in which </w:t>
      </w:r>
      <w:r w:rsidR="0081343D">
        <w:t>PSE customers shoulder ownership risk</w:t>
      </w:r>
      <w:r w:rsidR="00BC326B">
        <w:t xml:space="preserve">; </w:t>
      </w:r>
      <w:r w:rsidR="006D2F92">
        <w:t>that is</w:t>
      </w:r>
      <w:r w:rsidR="00B63888">
        <w:t xml:space="preserve"> </w:t>
      </w:r>
      <w:r w:rsidR="00123DAC">
        <w:t xml:space="preserve">one reason </w:t>
      </w:r>
      <w:r w:rsidR="00B63888">
        <w:t xml:space="preserve">why </w:t>
      </w:r>
      <w:r w:rsidR="00FC2EC2">
        <w:t>customers</w:t>
      </w:r>
      <w:r w:rsidR="00B63888">
        <w:t xml:space="preserve"> are entitled to the gain on sale</w:t>
      </w:r>
      <w:r>
        <w:t xml:space="preserve"> in this case</w:t>
      </w:r>
      <w:r w:rsidR="0081343D">
        <w:t>.</w:t>
      </w:r>
      <w:r w:rsidR="003404B7">
        <w:t xml:space="preserve">  The Commission should reject PSE’s theory for th</w:t>
      </w:r>
      <w:r w:rsidR="00172B1A">
        <w:t>is</w:t>
      </w:r>
      <w:r w:rsidR="003404B7">
        <w:t xml:space="preserve"> reason, a</w:t>
      </w:r>
      <w:r w:rsidR="00172B1A">
        <w:t xml:space="preserve">nd </w:t>
      </w:r>
      <w:r w:rsidR="00BC326B">
        <w:t xml:space="preserve">for </w:t>
      </w:r>
      <w:r w:rsidR="003404B7">
        <w:t>the additional reasons set forth below.</w:t>
      </w:r>
    </w:p>
    <w:p w14:paraId="0D373F96" w14:textId="0168D6FB" w:rsidR="0099206A" w:rsidRPr="00392E5E" w:rsidRDefault="00392E5E" w:rsidP="00392E5E">
      <w:pPr>
        <w:pStyle w:val="ListParagraph"/>
        <w:spacing w:line="480" w:lineRule="auto"/>
        <w:ind w:left="0"/>
        <w:jc w:val="center"/>
        <w:rPr>
          <w:b/>
        </w:rPr>
      </w:pPr>
      <w:r>
        <w:rPr>
          <w:b/>
        </w:rPr>
        <w:t>II.</w:t>
      </w:r>
      <w:r>
        <w:rPr>
          <w:b/>
        </w:rPr>
        <w:tab/>
      </w:r>
      <w:r w:rsidR="00743282" w:rsidRPr="00392E5E">
        <w:rPr>
          <w:b/>
        </w:rPr>
        <w:t>ARGUMENT</w:t>
      </w:r>
    </w:p>
    <w:p w14:paraId="5ACA08EB" w14:textId="77777777" w:rsidR="00165C88" w:rsidRPr="00A577A7" w:rsidRDefault="00A577A7" w:rsidP="00184AC7">
      <w:pPr>
        <w:spacing w:line="240" w:lineRule="exact"/>
        <w:ind w:left="720" w:hanging="720"/>
        <w:rPr>
          <w:b/>
        </w:rPr>
      </w:pPr>
      <w:r w:rsidRPr="001D567A">
        <w:rPr>
          <w:b/>
        </w:rPr>
        <w:t>A</w:t>
      </w:r>
      <w:r w:rsidR="008C6A65" w:rsidRPr="001D567A">
        <w:rPr>
          <w:b/>
        </w:rPr>
        <w:t>.</w:t>
      </w:r>
      <w:r w:rsidR="008C6A65" w:rsidRPr="001D567A">
        <w:rPr>
          <w:b/>
        </w:rPr>
        <w:tab/>
      </w:r>
      <w:r w:rsidR="00165C88" w:rsidRPr="00A577A7">
        <w:rPr>
          <w:b/>
        </w:rPr>
        <w:t>PSE Fail</w:t>
      </w:r>
      <w:r>
        <w:rPr>
          <w:b/>
        </w:rPr>
        <w:t>s</w:t>
      </w:r>
      <w:r w:rsidR="00165C88" w:rsidRPr="00A577A7">
        <w:rPr>
          <w:b/>
        </w:rPr>
        <w:t xml:space="preserve"> to </w:t>
      </w:r>
      <w:r w:rsidR="00626062">
        <w:rPr>
          <w:b/>
        </w:rPr>
        <w:t xml:space="preserve">Justify a Different Regulatory Treatment for </w:t>
      </w:r>
      <w:r w:rsidR="008C6A65" w:rsidRPr="00A577A7">
        <w:rPr>
          <w:b/>
        </w:rPr>
        <w:t xml:space="preserve">a </w:t>
      </w:r>
      <w:r w:rsidR="00165C88" w:rsidRPr="00A577A7">
        <w:rPr>
          <w:b/>
        </w:rPr>
        <w:t xml:space="preserve">Sale </w:t>
      </w:r>
      <w:r w:rsidR="008C6A65" w:rsidRPr="00A577A7">
        <w:rPr>
          <w:b/>
        </w:rPr>
        <w:t>Under Threat of Condemnation</w:t>
      </w:r>
      <w:r w:rsidR="00123DAC">
        <w:rPr>
          <w:b/>
        </w:rPr>
        <w:t>, Compared to</w:t>
      </w:r>
      <w:r w:rsidR="00626062">
        <w:rPr>
          <w:b/>
        </w:rPr>
        <w:t xml:space="preserve"> a Voluntary Sale</w:t>
      </w:r>
      <w:r w:rsidR="002B67BB">
        <w:rPr>
          <w:b/>
        </w:rPr>
        <w:t xml:space="preserve"> </w:t>
      </w:r>
    </w:p>
    <w:p w14:paraId="13C51131" w14:textId="77777777" w:rsidR="008C6A65" w:rsidRPr="00165C88" w:rsidRDefault="008C6A65" w:rsidP="008C6A65">
      <w:pPr>
        <w:pStyle w:val="ListParagraph"/>
        <w:ind w:left="1440" w:hanging="720"/>
        <w:rPr>
          <w:b/>
        </w:rPr>
      </w:pPr>
    </w:p>
    <w:p w14:paraId="0A3134E9" w14:textId="77777777" w:rsidR="00417915" w:rsidRDefault="008C6A65" w:rsidP="00152F78">
      <w:pPr>
        <w:pStyle w:val="ListParagraph"/>
        <w:numPr>
          <w:ilvl w:val="0"/>
          <w:numId w:val="25"/>
        </w:numPr>
        <w:spacing w:line="480" w:lineRule="auto"/>
      </w:pPr>
      <w:r>
        <w:tab/>
        <w:t xml:space="preserve">PSE </w:t>
      </w:r>
      <w:r w:rsidR="0081343D">
        <w:t>insists</w:t>
      </w:r>
      <w:r>
        <w:t xml:space="preserve"> this case is </w:t>
      </w:r>
      <w:r w:rsidR="00895764">
        <w:t>unique</w:t>
      </w:r>
      <w:r>
        <w:t xml:space="preserve"> because it involves a sale under threat of condemnation, and because the sale is “deemed approved as a matter of law.”</w:t>
      </w:r>
      <w:r>
        <w:rPr>
          <w:rStyle w:val="FootnoteReference"/>
        </w:rPr>
        <w:footnoteReference w:id="5"/>
      </w:r>
      <w:r>
        <w:t xml:space="preserve">  Neither argument holds water.  </w:t>
      </w:r>
      <w:r w:rsidR="00A577A7">
        <w:t xml:space="preserve">While PSE </w:t>
      </w:r>
      <w:r w:rsidR="00B63888">
        <w:t>support</w:t>
      </w:r>
      <w:r w:rsidR="00122218">
        <w:t>s its “deemed approved” argument with</w:t>
      </w:r>
      <w:r w:rsidR="00B63888">
        <w:t xml:space="preserve"> </w:t>
      </w:r>
      <w:r>
        <w:t>RCW 80.12.020</w:t>
      </w:r>
      <w:r w:rsidR="005D0B2D">
        <w:t>(2)</w:t>
      </w:r>
      <w:r>
        <w:t xml:space="preserve"> and the Commission’s Declaratory Order in Docket UE-101217</w:t>
      </w:r>
      <w:r w:rsidR="00122218">
        <w:t>,</w:t>
      </w:r>
      <w:r w:rsidR="00122218">
        <w:rPr>
          <w:rStyle w:val="FootnoteReference"/>
        </w:rPr>
        <w:footnoteReference w:id="6"/>
      </w:r>
      <w:r w:rsidR="00122218">
        <w:t xml:space="preserve"> </w:t>
      </w:r>
      <w:r w:rsidR="00895764">
        <w:t>t</w:t>
      </w:r>
      <w:r w:rsidR="00E12514">
        <w:t>h</w:t>
      </w:r>
      <w:r w:rsidR="00A577A7">
        <w:t xml:space="preserve">ose sources </w:t>
      </w:r>
      <w:r w:rsidR="00122218">
        <w:t xml:space="preserve">simply </w:t>
      </w:r>
      <w:r w:rsidR="00E12514">
        <w:t xml:space="preserve">“exempt” </w:t>
      </w:r>
      <w:r w:rsidR="00122218">
        <w:t xml:space="preserve">the </w:t>
      </w:r>
      <w:r w:rsidR="00122218">
        <w:lastRenderedPageBreak/>
        <w:t xml:space="preserve">JPUD transaction </w:t>
      </w:r>
      <w:r w:rsidR="00E12514">
        <w:t xml:space="preserve">from </w:t>
      </w:r>
      <w:r w:rsidR="00122218">
        <w:t xml:space="preserve">the </w:t>
      </w:r>
      <w:r w:rsidR="00E12514">
        <w:t>Commission approval</w:t>
      </w:r>
      <w:r w:rsidR="00122218">
        <w:t xml:space="preserve"> requirement.  In</w:t>
      </w:r>
      <w:r w:rsidR="00BC326B">
        <w:t xml:space="preserve"> fact, </w:t>
      </w:r>
      <w:r w:rsidR="00A5125F">
        <w:t xml:space="preserve">that </w:t>
      </w:r>
      <w:r w:rsidR="00BC326B">
        <w:t xml:space="preserve">is </w:t>
      </w:r>
      <w:r w:rsidR="00122218">
        <w:t xml:space="preserve">precisely </w:t>
      </w:r>
      <w:r w:rsidR="00BC326B">
        <w:t xml:space="preserve">what </w:t>
      </w:r>
      <w:r w:rsidR="00736E19">
        <w:t xml:space="preserve">the </w:t>
      </w:r>
      <w:r w:rsidR="00E12514">
        <w:t>Commission</w:t>
      </w:r>
      <w:r w:rsidR="005D0B2D">
        <w:t xml:space="preserve"> conclu</w:t>
      </w:r>
      <w:r w:rsidR="00BC326B">
        <w:t>ded</w:t>
      </w:r>
      <w:r w:rsidR="005D0B2D">
        <w:t xml:space="preserve"> </w:t>
      </w:r>
      <w:r w:rsidR="00E12514">
        <w:t>in its Declaratory Order.</w:t>
      </w:r>
      <w:r w:rsidR="00B62E99">
        <w:rPr>
          <w:rStyle w:val="FootnoteReference"/>
        </w:rPr>
        <w:footnoteReference w:id="7"/>
      </w:r>
    </w:p>
    <w:p w14:paraId="1CC77349" w14:textId="77777777" w:rsidR="00895764" w:rsidRDefault="00417915" w:rsidP="00B62E99">
      <w:pPr>
        <w:pStyle w:val="ListParagraph"/>
        <w:numPr>
          <w:ilvl w:val="0"/>
          <w:numId w:val="25"/>
        </w:numPr>
        <w:spacing w:line="480" w:lineRule="auto"/>
      </w:pPr>
      <w:r>
        <w:tab/>
      </w:r>
      <w:r w:rsidR="00626062">
        <w:t xml:space="preserve">As Staff </w:t>
      </w:r>
      <w:r w:rsidR="00FC2EC2">
        <w:t xml:space="preserve">has </w:t>
      </w:r>
      <w:r w:rsidR="00626062">
        <w:t>explained, t</w:t>
      </w:r>
      <w:r w:rsidR="00BE39AD">
        <w:t xml:space="preserve">he Commission </w:t>
      </w:r>
      <w:r w:rsidR="00626062">
        <w:t xml:space="preserve">has the </w:t>
      </w:r>
      <w:r w:rsidR="00BE39AD">
        <w:t xml:space="preserve">authority to </w:t>
      </w:r>
      <w:r w:rsidR="006219CC">
        <w:t>apply the same “public interest” test and “risk/reward” principle here as in a voluntary sale.</w:t>
      </w:r>
      <w:r w:rsidR="00626062">
        <w:rPr>
          <w:rStyle w:val="FootnoteReference"/>
        </w:rPr>
        <w:footnoteReference w:id="8"/>
      </w:r>
      <w:r>
        <w:t xml:space="preserve">  </w:t>
      </w:r>
      <w:r w:rsidR="00FC2EC2">
        <w:t xml:space="preserve">In addition, voluntary </w:t>
      </w:r>
      <w:r w:rsidR="00895764">
        <w:t xml:space="preserve">and </w:t>
      </w:r>
      <w:r w:rsidR="006F272F">
        <w:t>involuntary</w:t>
      </w:r>
      <w:r w:rsidR="00C71DAA">
        <w:t xml:space="preserve"> sales </w:t>
      </w:r>
      <w:r w:rsidR="00895764">
        <w:t xml:space="preserve">share </w:t>
      </w:r>
      <w:r w:rsidR="00C71DAA">
        <w:t xml:space="preserve">the </w:t>
      </w:r>
      <w:r w:rsidR="00895764">
        <w:t xml:space="preserve">same </w:t>
      </w:r>
      <w:r w:rsidR="00C71DAA">
        <w:t>basic standard for assessing the value of the sale</w:t>
      </w:r>
      <w:r w:rsidR="00BE39AD">
        <w:t>:</w:t>
      </w:r>
      <w:r w:rsidR="00C71DAA">
        <w:t xml:space="preserve"> </w:t>
      </w:r>
      <w:r w:rsidR="006F272F">
        <w:t xml:space="preserve">fair market value is </w:t>
      </w:r>
      <w:r w:rsidR="00743282">
        <w:t>the</w:t>
      </w:r>
      <w:r w:rsidR="006F272F">
        <w:t xml:space="preserve"> guidepost </w:t>
      </w:r>
      <w:r w:rsidR="00C71DAA">
        <w:t>in each context</w:t>
      </w:r>
      <w:r w:rsidR="006F272F">
        <w:t>.</w:t>
      </w:r>
      <w:r w:rsidR="006F272F">
        <w:rPr>
          <w:rStyle w:val="FootnoteReference"/>
        </w:rPr>
        <w:footnoteReference w:id="9"/>
      </w:r>
      <w:r w:rsidR="006F272F">
        <w:t xml:space="preserve"> </w:t>
      </w:r>
      <w:r w:rsidR="00136D6A">
        <w:t xml:space="preserve"> </w:t>
      </w:r>
      <w:r w:rsidR="00626062">
        <w:t>More</w:t>
      </w:r>
      <w:r w:rsidR="00BC326B">
        <w:t xml:space="preserve"> importantly, </w:t>
      </w:r>
      <w:r w:rsidR="00FC2EC2">
        <w:t>the same balance of “risks and rewards” applies to each type of sale</w:t>
      </w:r>
      <w:r w:rsidR="006219CC">
        <w:t xml:space="preserve">; </w:t>
      </w:r>
      <w:r w:rsidR="003404B7" w:rsidRPr="008414AD">
        <w:rPr>
          <w:rFonts w:cs="Times New Roman"/>
          <w:szCs w:val="24"/>
        </w:rPr>
        <w:t xml:space="preserve">a forced sale does not change the fact that </w:t>
      </w:r>
      <w:r w:rsidR="00BE39AD" w:rsidRPr="00B62E99">
        <w:rPr>
          <w:rFonts w:cs="Times New Roman"/>
          <w:szCs w:val="24"/>
        </w:rPr>
        <w:t xml:space="preserve">PSE’s </w:t>
      </w:r>
      <w:r w:rsidR="003404B7" w:rsidRPr="00B62E99">
        <w:rPr>
          <w:rFonts w:cs="Times New Roman"/>
          <w:szCs w:val="24"/>
        </w:rPr>
        <w:t xml:space="preserve">customers </w:t>
      </w:r>
      <w:r w:rsidR="00BE39AD" w:rsidRPr="00B62E99">
        <w:rPr>
          <w:rFonts w:cs="Times New Roman"/>
          <w:szCs w:val="24"/>
        </w:rPr>
        <w:t xml:space="preserve">have and will </w:t>
      </w:r>
      <w:r w:rsidR="003404B7" w:rsidRPr="00B62E99">
        <w:rPr>
          <w:rFonts w:cs="Times New Roman"/>
          <w:szCs w:val="24"/>
        </w:rPr>
        <w:t>continue to bear the risk of capital los</w:t>
      </w:r>
      <w:r w:rsidR="00BE39AD" w:rsidRPr="00B62E99">
        <w:rPr>
          <w:rFonts w:cs="Times New Roman"/>
          <w:szCs w:val="24"/>
        </w:rPr>
        <w:t>s for utility property.</w:t>
      </w:r>
    </w:p>
    <w:p w14:paraId="2A9E8A8B" w14:textId="77777777" w:rsidR="00417915" w:rsidRPr="00B62E99" w:rsidRDefault="00895764" w:rsidP="0099206A">
      <w:pPr>
        <w:pStyle w:val="ListParagraph"/>
        <w:numPr>
          <w:ilvl w:val="0"/>
          <w:numId w:val="25"/>
        </w:numPr>
        <w:spacing w:line="480" w:lineRule="auto"/>
        <w:rPr>
          <w:b/>
        </w:rPr>
      </w:pPr>
      <w:r>
        <w:tab/>
      </w:r>
      <w:r w:rsidR="00743282">
        <w:t xml:space="preserve">The </w:t>
      </w:r>
      <w:r w:rsidR="00736E19">
        <w:t xml:space="preserve">problem </w:t>
      </w:r>
      <w:r w:rsidR="00743282">
        <w:t xml:space="preserve">is </w:t>
      </w:r>
      <w:r w:rsidR="00626062">
        <w:t xml:space="preserve">obvious:  </w:t>
      </w:r>
      <w:r w:rsidR="00136D6A">
        <w:t xml:space="preserve">PSE </w:t>
      </w:r>
      <w:r w:rsidR="00A577A7">
        <w:t xml:space="preserve">is </w:t>
      </w:r>
      <w:r>
        <w:t xml:space="preserve">inappropriately conflating </w:t>
      </w:r>
      <w:r w:rsidR="00136D6A">
        <w:t xml:space="preserve">the </w:t>
      </w:r>
      <w:r w:rsidR="003404B7">
        <w:t xml:space="preserve">issue of </w:t>
      </w:r>
      <w:r w:rsidR="00136D6A">
        <w:t>determin</w:t>
      </w:r>
      <w:r w:rsidR="003404B7">
        <w:t>ing</w:t>
      </w:r>
      <w:r w:rsidR="00A577A7">
        <w:t xml:space="preserve"> </w:t>
      </w:r>
      <w:r w:rsidR="00136D6A">
        <w:t>fair market value</w:t>
      </w:r>
      <w:r w:rsidR="00136D6A">
        <w:rPr>
          <w:rStyle w:val="FootnoteReference"/>
        </w:rPr>
        <w:footnoteReference w:id="10"/>
      </w:r>
      <w:r w:rsidR="00136D6A">
        <w:t xml:space="preserve"> with the issue of who is entitled to the gain on sale of regulated utility property.  These </w:t>
      </w:r>
      <w:r w:rsidR="003404B7">
        <w:t xml:space="preserve">are </w:t>
      </w:r>
      <w:r w:rsidR="008842F5">
        <w:t>different issues</w:t>
      </w:r>
      <w:r w:rsidR="003404B7">
        <w:t xml:space="preserve">; the </w:t>
      </w:r>
      <w:r w:rsidR="00136D6A">
        <w:t xml:space="preserve">first </w:t>
      </w:r>
      <w:r>
        <w:t xml:space="preserve">involves calculating </w:t>
      </w:r>
      <w:r w:rsidR="00136D6A">
        <w:t>fair market value</w:t>
      </w:r>
      <w:r w:rsidR="00DE1863">
        <w:t xml:space="preserve"> using various factors</w:t>
      </w:r>
      <w:r w:rsidR="00136D6A">
        <w:t xml:space="preserve">, </w:t>
      </w:r>
      <w:r w:rsidR="00DE1863">
        <w:t xml:space="preserve">while </w:t>
      </w:r>
      <w:r w:rsidR="00136D6A">
        <w:t xml:space="preserve">the second </w:t>
      </w:r>
      <w:r>
        <w:t>is</w:t>
      </w:r>
      <w:r w:rsidR="00136D6A">
        <w:t xml:space="preserve"> based on the public interest and the </w:t>
      </w:r>
      <w:r w:rsidR="00BE39AD">
        <w:t xml:space="preserve">application of the </w:t>
      </w:r>
      <w:r w:rsidR="00136D6A">
        <w:t>risk/reward principle.</w:t>
      </w:r>
      <w:r w:rsidR="0081343D">
        <w:t xml:space="preserve">  </w:t>
      </w:r>
      <w:r w:rsidR="003404B7">
        <w:t xml:space="preserve">PSE does not keep these issues separate, and </w:t>
      </w:r>
      <w:r w:rsidR="008842F5">
        <w:t xml:space="preserve">a </w:t>
      </w:r>
      <w:r w:rsidR="003404B7">
        <w:t xml:space="preserve">defective </w:t>
      </w:r>
      <w:r w:rsidR="008842F5">
        <w:t xml:space="preserve">analysis is the </w:t>
      </w:r>
      <w:r w:rsidR="003404B7">
        <w:t>result</w:t>
      </w:r>
      <w:r w:rsidR="0081343D">
        <w:t>.</w:t>
      </w:r>
    </w:p>
    <w:p w14:paraId="1F35B3DD" w14:textId="77777777" w:rsidR="005E355F" w:rsidRDefault="003D15B7" w:rsidP="00910E85">
      <w:pPr>
        <w:spacing w:line="480" w:lineRule="auto"/>
      </w:pPr>
      <w:r>
        <w:rPr>
          <w:b/>
        </w:rPr>
        <w:t>B</w:t>
      </w:r>
      <w:r w:rsidR="008A0FC1" w:rsidRPr="003D15B7">
        <w:rPr>
          <w:b/>
        </w:rPr>
        <w:t>.</w:t>
      </w:r>
      <w:r w:rsidR="008A0FC1" w:rsidRPr="003D15B7">
        <w:rPr>
          <w:b/>
        </w:rPr>
        <w:tab/>
        <w:t>The Commission Should Not A</w:t>
      </w:r>
      <w:r w:rsidR="003404B7" w:rsidRPr="003D15B7">
        <w:rPr>
          <w:b/>
        </w:rPr>
        <w:t xml:space="preserve">dopt the Policy of the </w:t>
      </w:r>
      <w:r w:rsidR="008A0FC1" w:rsidRPr="003D15B7">
        <w:rPr>
          <w:b/>
        </w:rPr>
        <w:t>California</w:t>
      </w:r>
      <w:r w:rsidR="003404B7" w:rsidRPr="003D15B7">
        <w:rPr>
          <w:b/>
        </w:rPr>
        <w:t xml:space="preserve"> Commission</w:t>
      </w:r>
      <w:r w:rsidR="008A0FC1" w:rsidRPr="003D15B7">
        <w:rPr>
          <w:b/>
          <w:i/>
        </w:rPr>
        <w:t xml:space="preserve"> </w:t>
      </w:r>
    </w:p>
    <w:p w14:paraId="6A41F60E" w14:textId="77777777" w:rsidR="00DD2494" w:rsidRDefault="005E355F" w:rsidP="008414AD">
      <w:pPr>
        <w:pStyle w:val="ListParagraph"/>
        <w:numPr>
          <w:ilvl w:val="0"/>
          <w:numId w:val="25"/>
        </w:numPr>
        <w:spacing w:line="480" w:lineRule="auto"/>
      </w:pPr>
      <w:r>
        <w:tab/>
      </w:r>
      <w:r w:rsidR="00445198">
        <w:t xml:space="preserve">PSE </w:t>
      </w:r>
      <w:r w:rsidR="00A577A7">
        <w:t xml:space="preserve">relies </w:t>
      </w:r>
      <w:r w:rsidR="008842F5">
        <w:t xml:space="preserve">heavily </w:t>
      </w:r>
      <w:r w:rsidR="00A577A7">
        <w:t xml:space="preserve">on </w:t>
      </w:r>
      <w:r w:rsidR="00DD2494">
        <w:t xml:space="preserve">a policy decision of the </w:t>
      </w:r>
      <w:r w:rsidR="00A577A7">
        <w:t xml:space="preserve">California Public Utility Commission (CPUC) in </w:t>
      </w:r>
      <w:r w:rsidR="00A577A7" w:rsidRPr="00895764">
        <w:rPr>
          <w:i/>
        </w:rPr>
        <w:t xml:space="preserve">City of </w:t>
      </w:r>
      <w:r w:rsidR="00445198" w:rsidRPr="00895764">
        <w:rPr>
          <w:i/>
        </w:rPr>
        <w:t>Redding II</w:t>
      </w:r>
      <w:r w:rsidR="004F2B03">
        <w:rPr>
          <w:rStyle w:val="FootnoteReference"/>
        </w:rPr>
        <w:footnoteReference w:id="11"/>
      </w:r>
      <w:r w:rsidR="00DD2494">
        <w:t xml:space="preserve"> to give shareholders 100 percent of the gain on sales due to </w:t>
      </w:r>
      <w:r w:rsidR="00DD2494">
        <w:lastRenderedPageBreak/>
        <w:t>municipalization.</w:t>
      </w:r>
      <w:r w:rsidR="00AF3039">
        <w:rPr>
          <w:rStyle w:val="FootnoteReference"/>
        </w:rPr>
        <w:footnoteReference w:id="12"/>
      </w:r>
      <w:r w:rsidR="00DD2494">
        <w:t xml:space="preserve">  The CPUC</w:t>
      </w:r>
      <w:r w:rsidR="00172B1A">
        <w:t xml:space="preserve">’s decision was based </w:t>
      </w:r>
      <w:r w:rsidR="00DD2494">
        <w:t xml:space="preserve">on the </w:t>
      </w:r>
      <w:r w:rsidR="00172B1A">
        <w:t>premise</w:t>
      </w:r>
      <w:r w:rsidR="00DD2494">
        <w:t xml:space="preserve"> that </w:t>
      </w:r>
      <w:r w:rsidR="00DD2494" w:rsidRPr="00743282">
        <w:rPr>
          <w:u w:val="single"/>
        </w:rPr>
        <w:t>investors</w:t>
      </w:r>
      <w:r w:rsidR="00DD2494">
        <w:t xml:space="preserve"> bear</w:t>
      </w:r>
      <w:r w:rsidR="00DD2494" w:rsidRPr="004F2B03">
        <w:t xml:space="preserve"> </w:t>
      </w:r>
      <w:r w:rsidR="00DD2494">
        <w:t>“general financial risk” of making the investment in utility property, and thus, “they should be assigned the rewards.”</w:t>
      </w:r>
      <w:r w:rsidR="00DD2494">
        <w:rPr>
          <w:rStyle w:val="FootnoteReference"/>
        </w:rPr>
        <w:footnoteReference w:id="13"/>
      </w:r>
    </w:p>
    <w:p w14:paraId="7F896FF1" w14:textId="77777777" w:rsidR="00743282" w:rsidRDefault="00DD2494" w:rsidP="00152F78">
      <w:pPr>
        <w:pStyle w:val="ListParagraph"/>
        <w:numPr>
          <w:ilvl w:val="0"/>
          <w:numId w:val="25"/>
        </w:numPr>
        <w:spacing w:line="480" w:lineRule="auto"/>
      </w:pPr>
      <w:r>
        <w:tab/>
        <w:t xml:space="preserve">The </w:t>
      </w:r>
      <w:r w:rsidR="008842F5">
        <w:t xml:space="preserve">Company </w:t>
      </w:r>
      <w:r w:rsidR="00743282">
        <w:t xml:space="preserve">fails to </w:t>
      </w:r>
      <w:r w:rsidR="00B63888">
        <w:t xml:space="preserve">recognize the </w:t>
      </w:r>
      <w:r w:rsidR="00445198">
        <w:t>substanti</w:t>
      </w:r>
      <w:r w:rsidR="005D0B2D">
        <w:t>a</w:t>
      </w:r>
      <w:r w:rsidR="00445198">
        <w:t xml:space="preserve">l </w:t>
      </w:r>
      <w:r w:rsidR="006219CC">
        <w:t>shortcomings</w:t>
      </w:r>
      <w:r w:rsidR="008A0FC1">
        <w:t xml:space="preserve"> in </w:t>
      </w:r>
      <w:r w:rsidR="00D5708B">
        <w:t>the CPUC’s reasoning</w:t>
      </w:r>
      <w:r w:rsidR="008A0FC1">
        <w:t>.</w:t>
      </w:r>
      <w:r w:rsidR="004F2B03">
        <w:t xml:space="preserve">  </w:t>
      </w:r>
      <w:r w:rsidR="006219CC">
        <w:t>For example, i</w:t>
      </w:r>
      <w:r w:rsidR="00AF3039">
        <w:t xml:space="preserve">n </w:t>
      </w:r>
      <w:r w:rsidR="00AF3039">
        <w:rPr>
          <w:i/>
        </w:rPr>
        <w:t xml:space="preserve">City of Redding II, </w:t>
      </w:r>
      <w:r w:rsidR="008F720E">
        <w:t xml:space="preserve">the </w:t>
      </w:r>
      <w:r w:rsidR="00743282">
        <w:t>CPUC failed to explain why th</w:t>
      </w:r>
      <w:r w:rsidR="00DE1863">
        <w:t>at</w:t>
      </w:r>
      <w:r w:rsidR="00743282">
        <w:t xml:space="preserve"> financing risk is not borne by customers through the cost of capital, </w:t>
      </w:r>
      <w:r w:rsidR="00743282">
        <w:rPr>
          <w:i/>
        </w:rPr>
        <w:t xml:space="preserve">i.e., </w:t>
      </w:r>
      <w:r w:rsidR="00FC2EC2">
        <w:t>customers</w:t>
      </w:r>
      <w:r w:rsidR="00DE1863">
        <w:rPr>
          <w:i/>
        </w:rPr>
        <w:t xml:space="preserve"> </w:t>
      </w:r>
      <w:r w:rsidR="00DE1863">
        <w:t xml:space="preserve">pay </w:t>
      </w:r>
      <w:r w:rsidR="00743282">
        <w:t xml:space="preserve">the </w:t>
      </w:r>
      <w:r w:rsidR="00DE1863">
        <w:t xml:space="preserve">utility’s </w:t>
      </w:r>
      <w:r w:rsidR="00743282">
        <w:t xml:space="preserve">cost of </w:t>
      </w:r>
      <w:r w:rsidR="00BE39AD">
        <w:t xml:space="preserve">capital for all </w:t>
      </w:r>
      <w:r w:rsidR="00743282">
        <w:t xml:space="preserve">utility assets through the weighted cost of capital applied to the rate base.  </w:t>
      </w:r>
      <w:r w:rsidR="00E9735C">
        <w:t>A</w:t>
      </w:r>
      <w:r w:rsidR="00DE1863">
        <w:t xml:space="preserve">n elemental </w:t>
      </w:r>
      <w:r w:rsidR="00D5708B">
        <w:t xml:space="preserve">principle of regulation </w:t>
      </w:r>
      <w:r w:rsidR="00E9735C">
        <w:t xml:space="preserve">is </w:t>
      </w:r>
      <w:r w:rsidR="00B63888">
        <w:t xml:space="preserve">that </w:t>
      </w:r>
      <w:r w:rsidR="00D5708B">
        <w:t xml:space="preserve">rates </w:t>
      </w:r>
      <w:r w:rsidR="00AF3039">
        <w:t xml:space="preserve">should </w:t>
      </w:r>
      <w:r w:rsidR="00A5125F">
        <w:t xml:space="preserve">be </w:t>
      </w:r>
      <w:r w:rsidR="00887C9B">
        <w:t xml:space="preserve">sufficient </w:t>
      </w:r>
      <w:r w:rsidR="007104BA">
        <w:t xml:space="preserve">to enable </w:t>
      </w:r>
      <w:r w:rsidR="00DE1863">
        <w:t xml:space="preserve">the utility </w:t>
      </w:r>
      <w:r w:rsidR="00A5125F">
        <w:t xml:space="preserve">to </w:t>
      </w:r>
      <w:r w:rsidR="00DE1863">
        <w:t xml:space="preserve">finance its </w:t>
      </w:r>
      <w:r w:rsidR="00887C9B">
        <w:t xml:space="preserve">regulated </w:t>
      </w:r>
      <w:r w:rsidR="00DE1863">
        <w:t>operations on reasonable terms.</w:t>
      </w:r>
      <w:r w:rsidR="00DE1863">
        <w:rPr>
          <w:rStyle w:val="FootnoteReference"/>
        </w:rPr>
        <w:footnoteReference w:id="14"/>
      </w:r>
      <w:r>
        <w:t xml:space="preserve">  </w:t>
      </w:r>
      <w:r w:rsidR="00887C9B">
        <w:t xml:space="preserve">Therefore, </w:t>
      </w:r>
      <w:r w:rsidR="006219CC">
        <w:t xml:space="preserve">through the rate-setting process, </w:t>
      </w:r>
      <w:r>
        <w:t xml:space="preserve">customers </w:t>
      </w:r>
      <w:r w:rsidR="004F1586">
        <w:t xml:space="preserve">effectively bear </w:t>
      </w:r>
      <w:r>
        <w:t>the risk of financing.</w:t>
      </w:r>
    </w:p>
    <w:p w14:paraId="5698703A" w14:textId="11F85028" w:rsidR="00B62E99" w:rsidRPr="00184AC7" w:rsidRDefault="00743282" w:rsidP="008414AD">
      <w:pPr>
        <w:pStyle w:val="ListParagraph"/>
        <w:numPr>
          <w:ilvl w:val="0"/>
          <w:numId w:val="25"/>
        </w:numPr>
        <w:spacing w:line="480" w:lineRule="auto"/>
        <w:rPr>
          <w:b/>
        </w:rPr>
      </w:pPr>
      <w:r>
        <w:tab/>
      </w:r>
      <w:r w:rsidR="00184AC7">
        <w:t>Notably, t</w:t>
      </w:r>
      <w:r w:rsidR="00445198">
        <w:t>he CPUC</w:t>
      </w:r>
      <w:r w:rsidR="008A0FC1">
        <w:t xml:space="preserve"> </w:t>
      </w:r>
      <w:r w:rsidR="00123DAC">
        <w:t xml:space="preserve">itself </w:t>
      </w:r>
      <w:r w:rsidR="00DD2494">
        <w:t xml:space="preserve">recognized </w:t>
      </w:r>
      <w:r w:rsidR="008C5567">
        <w:t>that very</w:t>
      </w:r>
      <w:bookmarkStart w:id="0" w:name="_GoBack"/>
      <w:bookmarkEnd w:id="0"/>
      <w:r w:rsidR="00DD2494">
        <w:t xml:space="preserve"> </w:t>
      </w:r>
      <w:r w:rsidR="00BC326B">
        <w:t xml:space="preserve">fact </w:t>
      </w:r>
      <w:r w:rsidR="00DD2494">
        <w:t xml:space="preserve">in a later </w:t>
      </w:r>
      <w:r w:rsidR="00FC2EC2">
        <w:t>case</w:t>
      </w:r>
      <w:r w:rsidR="004F1586">
        <w:t xml:space="preserve">, </w:t>
      </w:r>
      <w:r w:rsidR="006D2F92">
        <w:t>contradicting</w:t>
      </w:r>
      <w:r w:rsidR="004F1586">
        <w:t xml:space="preserve"> the premise of </w:t>
      </w:r>
      <w:r w:rsidR="004F1586" w:rsidRPr="00B62E99">
        <w:rPr>
          <w:i/>
        </w:rPr>
        <w:t>City of Redding II,</w:t>
      </w:r>
      <w:r w:rsidR="00DD2494">
        <w:t xml:space="preserve"> </w:t>
      </w:r>
      <w:r w:rsidR="004F1586" w:rsidRPr="00B62E99">
        <w:rPr>
          <w:i/>
        </w:rPr>
        <w:t xml:space="preserve">i.e., </w:t>
      </w:r>
      <w:r w:rsidR="00BE39AD">
        <w:t xml:space="preserve">that </w:t>
      </w:r>
      <w:r>
        <w:t>investors bear</w:t>
      </w:r>
      <w:r w:rsidR="00BE39AD">
        <w:t xml:space="preserve"> the</w:t>
      </w:r>
      <w:r w:rsidR="00E9735C">
        <w:t xml:space="preserve"> </w:t>
      </w:r>
      <w:r>
        <w:t>financial risk</w:t>
      </w:r>
      <w:r w:rsidR="00DD2494">
        <w:t xml:space="preserve">.  </w:t>
      </w:r>
      <w:r w:rsidR="00BC326B">
        <w:t xml:space="preserve">The </w:t>
      </w:r>
      <w:r w:rsidR="004F1586">
        <w:t xml:space="preserve">later </w:t>
      </w:r>
      <w:r w:rsidR="00FC2EC2">
        <w:t>case</w:t>
      </w:r>
      <w:r w:rsidR="00BC326B">
        <w:t xml:space="preserve"> was</w:t>
      </w:r>
      <w:r w:rsidR="004F2B03">
        <w:t xml:space="preserve"> </w:t>
      </w:r>
      <w:r w:rsidR="00445198">
        <w:t xml:space="preserve">a rulemaking </w:t>
      </w:r>
      <w:r w:rsidR="004F2B03">
        <w:t xml:space="preserve">on the </w:t>
      </w:r>
      <w:r w:rsidR="006219CC">
        <w:t xml:space="preserve">general </w:t>
      </w:r>
      <w:r w:rsidR="004F2B03">
        <w:t>subject</w:t>
      </w:r>
      <w:r w:rsidR="006219CC">
        <w:t xml:space="preserve"> of</w:t>
      </w:r>
      <w:r w:rsidR="008F720E">
        <w:t xml:space="preserve"> treatment of gains on sales of utility </w:t>
      </w:r>
      <w:r w:rsidR="007104BA">
        <w:t>property</w:t>
      </w:r>
      <w:r w:rsidR="00BC326B">
        <w:t>.  In its order</w:t>
      </w:r>
      <w:r w:rsidR="00DD2494">
        <w:t xml:space="preserve">, </w:t>
      </w:r>
      <w:r w:rsidR="00445198">
        <w:t>the CPUC</w:t>
      </w:r>
      <w:r w:rsidR="004F2B03">
        <w:t xml:space="preserve"> justified its </w:t>
      </w:r>
      <w:r w:rsidR="008F720E">
        <w:t xml:space="preserve">policy </w:t>
      </w:r>
      <w:r w:rsidR="004F2B03">
        <w:t xml:space="preserve">decision to give customers 100 percent </w:t>
      </w:r>
      <w:r w:rsidR="008F720E">
        <w:t xml:space="preserve">of </w:t>
      </w:r>
      <w:r w:rsidR="004F2B03">
        <w:t>the gain on sale</w:t>
      </w:r>
      <w:r w:rsidR="008F720E">
        <w:t>s</w:t>
      </w:r>
      <w:r w:rsidR="004F2B03">
        <w:t xml:space="preserve"> of depreciable utility property </w:t>
      </w:r>
      <w:r w:rsidR="003404B7">
        <w:t xml:space="preserve">on the basis that </w:t>
      </w:r>
      <w:r w:rsidR="00445198">
        <w:t>“</w:t>
      </w:r>
      <w:r w:rsidR="004F2B03">
        <w:t>[</w:t>
      </w:r>
      <w:r w:rsidR="004F2B03" w:rsidRPr="00B62E99">
        <w:rPr>
          <w:u w:val="single"/>
        </w:rPr>
        <w:t>customers</w:t>
      </w:r>
      <w:r w:rsidR="004F2B03">
        <w:t>]</w:t>
      </w:r>
      <w:r w:rsidR="00445198" w:rsidRPr="00B62E99">
        <w:rPr>
          <w:i/>
        </w:rPr>
        <w:t xml:space="preserve"> </w:t>
      </w:r>
      <w:r w:rsidR="00445198" w:rsidRPr="00743282">
        <w:t>bear the burden of the financial risk of the investment</w:t>
      </w:r>
      <w:r w:rsidR="00445198">
        <w:t>.</w:t>
      </w:r>
      <w:r w:rsidR="003404B7">
        <w:t>”</w:t>
      </w:r>
      <w:r w:rsidR="003404B7">
        <w:rPr>
          <w:rStyle w:val="FootnoteReference"/>
        </w:rPr>
        <w:footnoteReference w:id="15"/>
      </w:r>
      <w:r w:rsidR="00445198">
        <w:t xml:space="preserve">  </w:t>
      </w:r>
      <w:r w:rsidR="003404B7">
        <w:t xml:space="preserve">The CPUC never explained this </w:t>
      </w:r>
      <w:r w:rsidR="00DE1863">
        <w:t>obvious</w:t>
      </w:r>
      <w:r w:rsidR="003404B7">
        <w:t xml:space="preserve"> contradiction</w:t>
      </w:r>
      <w:r w:rsidR="00DD2494">
        <w:t xml:space="preserve"> with </w:t>
      </w:r>
      <w:r w:rsidR="004F1586">
        <w:t xml:space="preserve">the premise </w:t>
      </w:r>
      <w:r w:rsidR="00A5125F">
        <w:t>unde</w:t>
      </w:r>
      <w:r w:rsidR="0099206A">
        <w:t>r</w:t>
      </w:r>
      <w:r w:rsidR="00A5125F">
        <w:t xml:space="preserve">lying </w:t>
      </w:r>
      <w:r w:rsidR="007104BA">
        <w:t xml:space="preserve">its </w:t>
      </w:r>
      <w:r w:rsidR="00FC2EC2">
        <w:t xml:space="preserve">earlier </w:t>
      </w:r>
      <w:r w:rsidR="007104BA">
        <w:t xml:space="preserve">decision </w:t>
      </w:r>
      <w:r w:rsidR="004F1586">
        <w:t xml:space="preserve">in </w:t>
      </w:r>
      <w:r w:rsidR="00DD2494" w:rsidRPr="00B62E99">
        <w:rPr>
          <w:i/>
        </w:rPr>
        <w:t>City of Redding II</w:t>
      </w:r>
      <w:r w:rsidR="003404B7">
        <w:t>.</w:t>
      </w:r>
      <w:r w:rsidR="003404B7">
        <w:rPr>
          <w:rStyle w:val="FootnoteReference"/>
        </w:rPr>
        <w:footnoteReference w:id="16"/>
      </w:r>
      <w:r w:rsidR="00445198">
        <w:t xml:space="preserve">  </w:t>
      </w:r>
    </w:p>
    <w:p w14:paraId="31164EB1" w14:textId="77777777" w:rsidR="004F1586" w:rsidRDefault="00B62E99" w:rsidP="008414AD">
      <w:pPr>
        <w:pStyle w:val="ListParagraph"/>
        <w:numPr>
          <w:ilvl w:val="0"/>
          <w:numId w:val="25"/>
        </w:numPr>
        <w:spacing w:line="480" w:lineRule="auto"/>
      </w:pPr>
      <w:r>
        <w:tab/>
      </w:r>
      <w:r w:rsidR="00AF3039">
        <w:t xml:space="preserve">Also, </w:t>
      </w:r>
      <w:r w:rsidR="004F1586">
        <w:t xml:space="preserve">in </w:t>
      </w:r>
      <w:r w:rsidR="004F1586" w:rsidRPr="00B62E99">
        <w:rPr>
          <w:i/>
        </w:rPr>
        <w:t xml:space="preserve">City of Redding II, </w:t>
      </w:r>
      <w:r w:rsidR="00AF3039">
        <w:t>t</w:t>
      </w:r>
      <w:r w:rsidR="00445198" w:rsidRPr="008A0FC1">
        <w:t xml:space="preserve">he </w:t>
      </w:r>
      <w:r w:rsidR="006A79E1">
        <w:t>CPUC was concerned</w:t>
      </w:r>
      <w:r w:rsidR="00445198">
        <w:t xml:space="preserve"> </w:t>
      </w:r>
      <w:r w:rsidR="00445198" w:rsidRPr="00E339E5">
        <w:t>that</w:t>
      </w:r>
      <w:r w:rsidR="00445198">
        <w:t xml:space="preserve"> if </w:t>
      </w:r>
      <w:r w:rsidR="006A79E1">
        <w:t xml:space="preserve">it </w:t>
      </w:r>
      <w:r w:rsidR="00445198">
        <w:t>gave customers the gain on the sale</w:t>
      </w:r>
      <w:r w:rsidR="006A79E1">
        <w:t xml:space="preserve"> due to municipalization, </w:t>
      </w:r>
      <w:r w:rsidR="00445198">
        <w:t xml:space="preserve">that “would be a deterrent to the reinvestment of retained </w:t>
      </w:r>
      <w:r w:rsidR="00445198">
        <w:lastRenderedPageBreak/>
        <w:t>earnings and to the attraction of new capital.”</w:t>
      </w:r>
      <w:r w:rsidR="00445198">
        <w:rPr>
          <w:rStyle w:val="FootnoteReference"/>
        </w:rPr>
        <w:footnoteReference w:id="17"/>
      </w:r>
      <w:r w:rsidR="00445198">
        <w:t xml:space="preserve">  </w:t>
      </w:r>
      <w:r w:rsidR="006A79E1">
        <w:t>T</w:t>
      </w:r>
      <w:r w:rsidR="00445198">
        <w:t xml:space="preserve">hat concern </w:t>
      </w:r>
      <w:r w:rsidR="004F1586">
        <w:t xml:space="preserve">does not apply </w:t>
      </w:r>
      <w:r w:rsidR="00DD2494">
        <w:t>here</w:t>
      </w:r>
      <w:r w:rsidR="004F1586">
        <w:t>,</w:t>
      </w:r>
      <w:r w:rsidR="00DD2494">
        <w:t xml:space="preserve"> </w:t>
      </w:r>
      <w:r w:rsidR="003404B7">
        <w:t xml:space="preserve">because </w:t>
      </w:r>
      <w:r w:rsidR="00445198">
        <w:t xml:space="preserve">PSE </w:t>
      </w:r>
      <w:r w:rsidR="00494637">
        <w:t xml:space="preserve">will </w:t>
      </w:r>
      <w:r w:rsidR="00445198">
        <w:t>reinvest the proceeds from the JPUD sale</w:t>
      </w:r>
      <w:r w:rsidR="00BE39AD">
        <w:t xml:space="preserve"> in new facilities</w:t>
      </w:r>
      <w:r w:rsidR="00445198">
        <w:t>,</w:t>
      </w:r>
      <w:r w:rsidR="00445198">
        <w:rPr>
          <w:rStyle w:val="FootnoteReference"/>
        </w:rPr>
        <w:footnoteReference w:id="18"/>
      </w:r>
      <w:r w:rsidR="00445198">
        <w:t xml:space="preserve"> and the</w:t>
      </w:r>
      <w:r>
        <w:t xml:space="preserve">re is nothing to suggest </w:t>
      </w:r>
      <w:r w:rsidR="00445198">
        <w:t xml:space="preserve">that </w:t>
      </w:r>
      <w:r w:rsidR="00A44EA9">
        <w:t>after the sale</w:t>
      </w:r>
      <w:r w:rsidR="00494637">
        <w:t>,</w:t>
      </w:r>
      <w:r w:rsidR="00356E97">
        <w:t xml:space="preserve"> </w:t>
      </w:r>
      <w:r>
        <w:t>PSE</w:t>
      </w:r>
      <w:r w:rsidR="00445198">
        <w:t xml:space="preserve"> will be any less able to attract new capital than before.  </w:t>
      </w:r>
      <w:r w:rsidR="00494637">
        <w:t>In s</w:t>
      </w:r>
      <w:r w:rsidR="006219CC">
        <w:t xml:space="preserve">hort, </w:t>
      </w:r>
      <w:r w:rsidR="00445198">
        <w:t xml:space="preserve">PSE has not lost the opportunity to make the </w:t>
      </w:r>
      <w:r w:rsidR="00FE1392">
        <w:t>cash raised from the</w:t>
      </w:r>
      <w:r w:rsidR="00445198">
        <w:t xml:space="preserve"> JPUD </w:t>
      </w:r>
      <w:r w:rsidR="00FE1392">
        <w:t xml:space="preserve">sale </w:t>
      </w:r>
      <w:r w:rsidR="00445198">
        <w:t xml:space="preserve">work to </w:t>
      </w:r>
      <w:r w:rsidR="00A5125F">
        <w:t>the Company’s</w:t>
      </w:r>
      <w:r w:rsidR="00445198">
        <w:t xml:space="preserve"> </w:t>
      </w:r>
      <w:r w:rsidR="006A79E1">
        <w:t xml:space="preserve">economic </w:t>
      </w:r>
      <w:r w:rsidR="00445198">
        <w:t>benefit.</w:t>
      </w:r>
      <w:r w:rsidR="00445198">
        <w:rPr>
          <w:rStyle w:val="FootnoteReference"/>
        </w:rPr>
        <w:footnoteReference w:id="19"/>
      </w:r>
      <w:r w:rsidR="00445198">
        <w:t xml:space="preserve"> </w:t>
      </w:r>
      <w:r w:rsidR="00417915">
        <w:t xml:space="preserve"> </w:t>
      </w:r>
      <w:r w:rsidR="00DD2494">
        <w:t>T</w:t>
      </w:r>
      <w:r w:rsidR="00D5708B">
        <w:t xml:space="preserve">he CPUC’s analysis </w:t>
      </w:r>
      <w:r w:rsidR="00DD2494">
        <w:t xml:space="preserve">in </w:t>
      </w:r>
      <w:r w:rsidR="00DD2494" w:rsidRPr="008414AD">
        <w:rPr>
          <w:i/>
        </w:rPr>
        <w:t xml:space="preserve">City of Redding II </w:t>
      </w:r>
      <w:r w:rsidR="00D5708B">
        <w:t xml:space="preserve">does not apply </w:t>
      </w:r>
      <w:r w:rsidR="00BC326B">
        <w:t xml:space="preserve">for the further reason that </w:t>
      </w:r>
      <w:r w:rsidR="00445198">
        <w:t>PSE</w:t>
      </w:r>
      <w:r w:rsidR="00BC326B">
        <w:t>’s</w:t>
      </w:r>
      <w:r w:rsidR="00445198">
        <w:t xml:space="preserve"> customers </w:t>
      </w:r>
      <w:r w:rsidR="00356E97">
        <w:t>bear</w:t>
      </w:r>
      <w:r w:rsidR="00445198">
        <w:t xml:space="preserve"> the risk of loss related to PSE’s utility property in this state.</w:t>
      </w:r>
      <w:r w:rsidR="00445198">
        <w:rPr>
          <w:rStyle w:val="FootnoteReference"/>
        </w:rPr>
        <w:footnoteReference w:id="20"/>
      </w:r>
      <w:r w:rsidR="008A0FC1">
        <w:t xml:space="preserve">  </w:t>
      </w:r>
    </w:p>
    <w:p w14:paraId="3FD5AC2D" w14:textId="77777777" w:rsidR="00B63888" w:rsidRDefault="004F1586" w:rsidP="00B63888">
      <w:pPr>
        <w:pStyle w:val="ListParagraph"/>
        <w:numPr>
          <w:ilvl w:val="0"/>
          <w:numId w:val="25"/>
        </w:numPr>
        <w:spacing w:line="480" w:lineRule="auto"/>
      </w:pPr>
      <w:r>
        <w:tab/>
      </w:r>
      <w:r w:rsidR="00BC326B">
        <w:t xml:space="preserve">For each of </w:t>
      </w:r>
      <w:r w:rsidR="008A0FC1">
        <w:t xml:space="preserve">these reasons, the Commission should </w:t>
      </w:r>
      <w:r w:rsidR="00FE1392">
        <w:t>reject</w:t>
      </w:r>
      <w:r w:rsidR="008A0FC1">
        <w:t xml:space="preserve"> the </w:t>
      </w:r>
      <w:r w:rsidR="00FE1392">
        <w:t>rationale</w:t>
      </w:r>
      <w:r w:rsidR="008A0FC1">
        <w:t xml:space="preserve"> California</w:t>
      </w:r>
      <w:r w:rsidR="00A577A7">
        <w:t xml:space="preserve"> apparently adopted</w:t>
      </w:r>
      <w:r w:rsidR="00FE1392">
        <w:t xml:space="preserve"> </w:t>
      </w:r>
      <w:r w:rsidR="00BC326B">
        <w:t xml:space="preserve">regarding sales </w:t>
      </w:r>
      <w:r w:rsidR="00123DAC">
        <w:t xml:space="preserve">of a distribution system </w:t>
      </w:r>
      <w:r w:rsidR="00BC326B">
        <w:t xml:space="preserve">to </w:t>
      </w:r>
      <w:r w:rsidR="00123DAC">
        <w:t xml:space="preserve">a </w:t>
      </w:r>
      <w:r w:rsidR="00BC326B">
        <w:t>municipalit</w:t>
      </w:r>
      <w:r w:rsidR="00123DAC">
        <w:t>y</w:t>
      </w:r>
      <w:r w:rsidR="008A0FC1">
        <w:t>.</w:t>
      </w:r>
    </w:p>
    <w:p w14:paraId="033B05F4" w14:textId="77777777" w:rsidR="0045234A" w:rsidRDefault="003D15B7" w:rsidP="001D567A">
      <w:pPr>
        <w:pStyle w:val="ListParagraph"/>
        <w:keepNext/>
        <w:spacing w:line="480" w:lineRule="auto"/>
        <w:ind w:left="0"/>
      </w:pPr>
      <w:r>
        <w:rPr>
          <w:b/>
        </w:rPr>
        <w:t>C</w:t>
      </w:r>
      <w:r w:rsidR="00356E97" w:rsidRPr="00B63888">
        <w:rPr>
          <w:b/>
        </w:rPr>
        <w:t>.</w:t>
      </w:r>
      <w:r w:rsidR="00356E97" w:rsidRPr="00B63888">
        <w:rPr>
          <w:b/>
        </w:rPr>
        <w:tab/>
        <w:t xml:space="preserve">Partial </w:t>
      </w:r>
      <w:r>
        <w:rPr>
          <w:b/>
        </w:rPr>
        <w:t>V</w:t>
      </w:r>
      <w:r w:rsidR="00356E97" w:rsidRPr="00B63888">
        <w:rPr>
          <w:b/>
        </w:rPr>
        <w:t xml:space="preserve">ersus Total </w:t>
      </w:r>
      <w:r w:rsidR="00B63888">
        <w:rPr>
          <w:b/>
        </w:rPr>
        <w:t>L</w:t>
      </w:r>
      <w:r w:rsidR="00356E97" w:rsidRPr="00B63888">
        <w:rPr>
          <w:b/>
        </w:rPr>
        <w:t>iquidation</w:t>
      </w:r>
      <w:r w:rsidR="001D567A">
        <w:rPr>
          <w:b/>
        </w:rPr>
        <w:t xml:space="preserve"> </w:t>
      </w:r>
    </w:p>
    <w:p w14:paraId="0A601FAF" w14:textId="77777777" w:rsidR="0045234A" w:rsidRDefault="0045234A" w:rsidP="0045234A">
      <w:pPr>
        <w:pStyle w:val="ListParagraph"/>
        <w:numPr>
          <w:ilvl w:val="0"/>
          <w:numId w:val="25"/>
        </w:numPr>
        <w:spacing w:line="480" w:lineRule="auto"/>
      </w:pPr>
      <w:r>
        <w:tab/>
      </w:r>
      <w:r w:rsidR="00356E97">
        <w:t xml:space="preserve">PSE argues that the Commission should evaluate </w:t>
      </w:r>
      <w:r w:rsidR="00B34733">
        <w:t>th</w:t>
      </w:r>
      <w:r w:rsidR="00B63888">
        <w:t>e</w:t>
      </w:r>
      <w:r w:rsidR="00356E97">
        <w:t xml:space="preserve"> sale of a part of </w:t>
      </w:r>
      <w:r w:rsidR="004F1586">
        <w:t xml:space="preserve">the Company’s </w:t>
      </w:r>
      <w:r w:rsidR="00356E97">
        <w:t xml:space="preserve">system </w:t>
      </w:r>
      <w:r w:rsidR="00B34733">
        <w:t>in</w:t>
      </w:r>
      <w:r w:rsidR="00356E97">
        <w:t xml:space="preserve"> the</w:t>
      </w:r>
      <w:r w:rsidR="00B34733">
        <w:t xml:space="preserve"> same manner as if its </w:t>
      </w:r>
      <w:r w:rsidR="004F1586">
        <w:t>entire</w:t>
      </w:r>
      <w:r w:rsidR="00B34733">
        <w:t xml:space="preserve"> system were sold.  PSE appl</w:t>
      </w:r>
      <w:r w:rsidR="00141B4C">
        <w:t>ies</w:t>
      </w:r>
      <w:r w:rsidR="00B34733">
        <w:t xml:space="preserve"> the CPUC </w:t>
      </w:r>
      <w:r w:rsidR="00141B4C">
        <w:t>policy</w:t>
      </w:r>
      <w:r w:rsidR="00B34733">
        <w:t xml:space="preserve"> in </w:t>
      </w:r>
      <w:r w:rsidR="00736E19" w:rsidRPr="0045234A">
        <w:rPr>
          <w:i/>
        </w:rPr>
        <w:t xml:space="preserve">City of </w:t>
      </w:r>
      <w:r w:rsidR="00B34733" w:rsidRPr="0045234A">
        <w:rPr>
          <w:i/>
        </w:rPr>
        <w:t>Redding II</w:t>
      </w:r>
      <w:r w:rsidR="00B34733">
        <w:t xml:space="preserve">, </w:t>
      </w:r>
      <w:r w:rsidR="00141B4C">
        <w:t xml:space="preserve">which treats a partial liquidation the same as a total liquidation, and argues that </w:t>
      </w:r>
      <w:r w:rsidR="00B34733">
        <w:t>all the gain should go to shareholders</w:t>
      </w:r>
      <w:r w:rsidR="008F654C">
        <w:t xml:space="preserve">, because remaining customers </w:t>
      </w:r>
      <w:r w:rsidR="00D5708B">
        <w:t xml:space="preserve">allegedly </w:t>
      </w:r>
      <w:r w:rsidR="008F654C">
        <w:t>are unaffected</w:t>
      </w:r>
      <w:r w:rsidR="00B34733">
        <w:t>.</w:t>
      </w:r>
      <w:r w:rsidR="008F654C">
        <w:rPr>
          <w:rStyle w:val="FootnoteReference"/>
        </w:rPr>
        <w:footnoteReference w:id="21"/>
      </w:r>
      <w:r w:rsidR="00B62E99">
        <w:t xml:space="preserve">  </w:t>
      </w:r>
      <w:r>
        <w:t xml:space="preserve">This PSE argument exposes two more flaws in the Company’s case.  </w:t>
      </w:r>
    </w:p>
    <w:p w14:paraId="24AC3F57" w14:textId="77777777" w:rsidR="008F654C" w:rsidRDefault="0045234A" w:rsidP="00090D9B">
      <w:pPr>
        <w:pStyle w:val="ListParagraph"/>
        <w:numPr>
          <w:ilvl w:val="0"/>
          <w:numId w:val="25"/>
        </w:numPr>
        <w:spacing w:line="480" w:lineRule="auto"/>
      </w:pPr>
      <w:r>
        <w:tab/>
      </w:r>
      <w:r w:rsidR="00B34733">
        <w:t>First, as Staff has shown</w:t>
      </w:r>
      <w:r w:rsidR="008F654C">
        <w:t>,</w:t>
      </w:r>
      <w:r w:rsidR="00B34733">
        <w:t xml:space="preserve"> there is indeed harm to remaining </w:t>
      </w:r>
      <w:r w:rsidR="00FC2EC2">
        <w:t>customers</w:t>
      </w:r>
      <w:r w:rsidR="00B34733">
        <w:t>.  Staff provided evidence of the near term harm for power supply costs of $</w:t>
      </w:r>
      <w:r w:rsidR="006E02F9">
        <w:t>39</w:t>
      </w:r>
      <w:r w:rsidR="008F654C">
        <w:t>.</w:t>
      </w:r>
      <w:r w:rsidR="006E02F9">
        <w:t>303</w:t>
      </w:r>
      <w:r w:rsidR="004520A1">
        <w:t xml:space="preserve"> </w:t>
      </w:r>
      <w:r w:rsidR="00B34733">
        <w:t>million.</w:t>
      </w:r>
      <w:r w:rsidR="008F654C">
        <w:rPr>
          <w:rStyle w:val="FootnoteReference"/>
        </w:rPr>
        <w:footnoteReference w:id="22"/>
      </w:r>
      <w:r w:rsidR="00B34733">
        <w:t xml:space="preserve"> </w:t>
      </w:r>
      <w:r w:rsidR="008F654C">
        <w:t xml:space="preserve"> </w:t>
      </w:r>
      <w:r w:rsidR="00BE39AD">
        <w:t xml:space="preserve">PSE does not dispute this fact.  </w:t>
      </w:r>
      <w:r w:rsidR="00DD2494">
        <w:t>Instead</w:t>
      </w:r>
      <w:r w:rsidR="00BE39AD">
        <w:t xml:space="preserve">, PSE </w:t>
      </w:r>
      <w:r w:rsidR="00DD2494">
        <w:t xml:space="preserve">claims there is no harm, if only the Commission will focus on </w:t>
      </w:r>
      <w:r w:rsidR="00BE39AD">
        <w:t xml:space="preserve">benefits </w:t>
      </w:r>
      <w:r w:rsidR="00DD2494">
        <w:t>that might arise over a 20-year time frame</w:t>
      </w:r>
      <w:r w:rsidR="00BE39AD">
        <w:t xml:space="preserve">.  </w:t>
      </w:r>
      <w:r w:rsidR="00B34733">
        <w:t xml:space="preserve">Despite </w:t>
      </w:r>
      <w:r w:rsidR="008F654C">
        <w:t xml:space="preserve">the </w:t>
      </w:r>
      <w:r w:rsidR="00B34733">
        <w:t xml:space="preserve">uncertainties of long-term projections, and using actual load and revenue data provided by PSE, Staff calculated nominal </w:t>
      </w:r>
      <w:r w:rsidR="00B34733">
        <w:lastRenderedPageBreak/>
        <w:t>harm to remaining customers of $</w:t>
      </w:r>
      <w:r w:rsidR="006E02F9">
        <w:t>195</w:t>
      </w:r>
      <w:r w:rsidR="008F654C">
        <w:t>.</w:t>
      </w:r>
      <w:r w:rsidR="006E02F9">
        <w:t>922</w:t>
      </w:r>
      <w:r w:rsidR="00DD2494">
        <w:t xml:space="preserve"> </w:t>
      </w:r>
      <w:r w:rsidR="00B34733">
        <w:t>million</w:t>
      </w:r>
      <w:r w:rsidR="00D5708B">
        <w:t xml:space="preserve"> over 20 years</w:t>
      </w:r>
      <w:r w:rsidR="00B34733">
        <w:t>.</w:t>
      </w:r>
      <w:r w:rsidR="008F654C">
        <w:rPr>
          <w:rStyle w:val="FootnoteReference"/>
        </w:rPr>
        <w:footnoteReference w:id="23"/>
      </w:r>
      <w:r w:rsidR="00B34733">
        <w:t xml:space="preserve">  </w:t>
      </w:r>
      <w:r w:rsidR="004520A1">
        <w:t>And</w:t>
      </w:r>
      <w:r w:rsidR="007104BA">
        <w:t>,</w:t>
      </w:r>
      <w:r w:rsidR="004520A1">
        <w:t xml:space="preserve"> t</w:t>
      </w:r>
      <w:r w:rsidR="00F57256">
        <w:t xml:space="preserve">his harm </w:t>
      </w:r>
      <w:r w:rsidR="004520A1">
        <w:t xml:space="preserve">is </w:t>
      </w:r>
      <w:r w:rsidR="00F57256">
        <w:t>only for power supply costs.  Staff also showed additional harm due to the experimental ERF/decoupling mechanism now in pl</w:t>
      </w:r>
      <w:r w:rsidR="00DD2494">
        <w:t>a</w:t>
      </w:r>
      <w:r w:rsidR="00F57256">
        <w:t>ce for PSE.</w:t>
      </w:r>
      <w:r w:rsidR="00DD2494">
        <w:rPr>
          <w:rStyle w:val="FootnoteReference"/>
        </w:rPr>
        <w:footnoteReference w:id="24"/>
      </w:r>
      <w:r w:rsidR="00F57256">
        <w:t xml:space="preserve">  </w:t>
      </w:r>
    </w:p>
    <w:p w14:paraId="7F06B101" w14:textId="77777777" w:rsidR="00BE39AD" w:rsidRDefault="009B3214" w:rsidP="009B3214">
      <w:pPr>
        <w:pStyle w:val="ListParagraph"/>
        <w:numPr>
          <w:ilvl w:val="0"/>
          <w:numId w:val="25"/>
        </w:numPr>
        <w:spacing w:line="480" w:lineRule="auto"/>
      </w:pPr>
      <w:r>
        <w:tab/>
      </w:r>
      <w:r w:rsidR="00CB70C6">
        <w:t>Second, i</w:t>
      </w:r>
      <w:r w:rsidR="00B34733">
        <w:t xml:space="preserve">n a partial liquidation </w:t>
      </w:r>
      <w:r w:rsidR="008F654C">
        <w:t xml:space="preserve">scenario, </w:t>
      </w:r>
      <w:r w:rsidR="00B34733">
        <w:t xml:space="preserve">PSE remains an ongoing business serving its remaining customers.  </w:t>
      </w:r>
      <w:r w:rsidR="008F654C">
        <w:t xml:space="preserve">PSE’s </w:t>
      </w:r>
      <w:r w:rsidR="00B34733">
        <w:t xml:space="preserve">fixed costs of service remain and all other customers continue to take service from PSE.  It is axiomatic that all other customers are harmed </w:t>
      </w:r>
      <w:r w:rsidR="008F654C">
        <w:t xml:space="preserve">because </w:t>
      </w:r>
      <w:r w:rsidR="00B34733">
        <w:t>fewer customers remain to contribute to PSE’s overhead</w:t>
      </w:r>
      <w:r w:rsidR="008F654C">
        <w:t>s and other fixed costs</w:t>
      </w:r>
      <w:r w:rsidR="00B34733">
        <w:t>.</w:t>
      </w:r>
    </w:p>
    <w:p w14:paraId="3EC15E19" w14:textId="77777777" w:rsidR="003B3162" w:rsidRPr="003B3162" w:rsidRDefault="003D15B7" w:rsidP="0045234A">
      <w:pPr>
        <w:keepNext/>
        <w:spacing w:line="240" w:lineRule="exact"/>
        <w:ind w:left="720" w:hanging="720"/>
        <w:rPr>
          <w:rFonts w:cs="Times New Roman"/>
          <w:b/>
          <w:szCs w:val="24"/>
        </w:rPr>
      </w:pPr>
      <w:r>
        <w:rPr>
          <w:rFonts w:cs="Times New Roman"/>
          <w:b/>
          <w:szCs w:val="24"/>
        </w:rPr>
        <w:t>D</w:t>
      </w:r>
      <w:r w:rsidR="003B3162" w:rsidRPr="003B3162">
        <w:rPr>
          <w:rFonts w:cs="Times New Roman"/>
          <w:b/>
          <w:szCs w:val="24"/>
        </w:rPr>
        <w:t>.</w:t>
      </w:r>
      <w:r w:rsidR="003B3162" w:rsidRPr="003B3162">
        <w:rPr>
          <w:rFonts w:cs="Times New Roman"/>
          <w:b/>
          <w:szCs w:val="24"/>
        </w:rPr>
        <w:tab/>
      </w:r>
      <w:r w:rsidR="00352731">
        <w:rPr>
          <w:rFonts w:cs="Times New Roman"/>
          <w:b/>
          <w:szCs w:val="24"/>
        </w:rPr>
        <w:t xml:space="preserve">PSE Shareholders </w:t>
      </w:r>
      <w:r w:rsidR="009B54B8">
        <w:rPr>
          <w:rFonts w:cs="Times New Roman"/>
          <w:b/>
          <w:szCs w:val="24"/>
        </w:rPr>
        <w:t xml:space="preserve">Are </w:t>
      </w:r>
      <w:r w:rsidR="00352731">
        <w:rPr>
          <w:rFonts w:cs="Times New Roman"/>
          <w:b/>
          <w:szCs w:val="24"/>
        </w:rPr>
        <w:t>Benefit</w:t>
      </w:r>
      <w:r w:rsidR="009B54B8">
        <w:rPr>
          <w:rFonts w:cs="Times New Roman"/>
          <w:b/>
          <w:szCs w:val="24"/>
        </w:rPr>
        <w:t>ed, Not Harmed,</w:t>
      </w:r>
      <w:r w:rsidR="00352731">
        <w:rPr>
          <w:rFonts w:cs="Times New Roman"/>
          <w:b/>
          <w:szCs w:val="24"/>
        </w:rPr>
        <w:t xml:space="preserve"> from Staff’s Proposal to</w:t>
      </w:r>
      <w:r w:rsidR="009B54B8">
        <w:rPr>
          <w:rFonts w:cs="Times New Roman"/>
          <w:b/>
          <w:szCs w:val="24"/>
        </w:rPr>
        <w:t xml:space="preserve"> Share the Gain </w:t>
      </w:r>
      <w:r w:rsidR="00B817D9">
        <w:rPr>
          <w:rFonts w:cs="Times New Roman"/>
          <w:b/>
          <w:szCs w:val="24"/>
        </w:rPr>
        <w:t>with</w:t>
      </w:r>
      <w:r w:rsidR="009B54B8">
        <w:rPr>
          <w:rFonts w:cs="Times New Roman"/>
          <w:b/>
          <w:szCs w:val="24"/>
        </w:rPr>
        <w:t xml:space="preserve"> Customers</w:t>
      </w:r>
    </w:p>
    <w:p w14:paraId="1B43C884" w14:textId="77777777" w:rsidR="003B3162" w:rsidRPr="003B3162" w:rsidRDefault="003B3162" w:rsidP="009B3214">
      <w:pPr>
        <w:pStyle w:val="ListParagraph"/>
        <w:keepNext/>
        <w:ind w:left="0"/>
        <w:rPr>
          <w:rFonts w:cs="Times New Roman"/>
          <w:szCs w:val="24"/>
        </w:rPr>
      </w:pPr>
    </w:p>
    <w:p w14:paraId="127024DB" w14:textId="77777777" w:rsidR="00352731" w:rsidRPr="009B3214" w:rsidRDefault="009B3214" w:rsidP="009B3214">
      <w:pPr>
        <w:pStyle w:val="ListParagraph"/>
        <w:numPr>
          <w:ilvl w:val="0"/>
          <w:numId w:val="25"/>
        </w:numPr>
        <w:spacing w:line="480" w:lineRule="auto"/>
        <w:rPr>
          <w:rFonts w:cs="Times New Roman"/>
          <w:szCs w:val="24"/>
        </w:rPr>
      </w:pPr>
      <w:r>
        <w:rPr>
          <w:rFonts w:cs="Times New Roman"/>
          <w:szCs w:val="24"/>
        </w:rPr>
        <w:tab/>
      </w:r>
      <w:r w:rsidR="00352731" w:rsidRPr="009B3214">
        <w:rPr>
          <w:rFonts w:cs="Times New Roman"/>
          <w:szCs w:val="24"/>
        </w:rPr>
        <w:t xml:space="preserve">PSE argues </w:t>
      </w:r>
      <w:r w:rsidR="00172B1A" w:rsidRPr="009B3214">
        <w:rPr>
          <w:rFonts w:cs="Times New Roman"/>
          <w:szCs w:val="24"/>
        </w:rPr>
        <w:t xml:space="preserve">that </w:t>
      </w:r>
      <w:r w:rsidR="00352731" w:rsidRPr="009B3214">
        <w:rPr>
          <w:rFonts w:cs="Times New Roman"/>
          <w:szCs w:val="24"/>
        </w:rPr>
        <w:t>its shareholders are harmed due to lost customers and lost revenue</w:t>
      </w:r>
      <w:r w:rsidR="007752E4" w:rsidRPr="009B3214">
        <w:rPr>
          <w:rFonts w:cs="Times New Roman"/>
          <w:szCs w:val="24"/>
        </w:rPr>
        <w:t>.</w:t>
      </w:r>
      <w:r w:rsidR="009B54B8">
        <w:rPr>
          <w:rStyle w:val="FootnoteReference"/>
          <w:rFonts w:cs="Times New Roman"/>
          <w:szCs w:val="24"/>
        </w:rPr>
        <w:footnoteReference w:id="25"/>
      </w:r>
      <w:r w:rsidR="007752E4" w:rsidRPr="009B3214">
        <w:rPr>
          <w:rFonts w:cs="Times New Roman"/>
          <w:szCs w:val="24"/>
        </w:rPr>
        <w:t xml:space="preserve"> </w:t>
      </w:r>
      <w:r w:rsidR="00352731" w:rsidRPr="009B3214">
        <w:rPr>
          <w:rFonts w:cs="Times New Roman"/>
          <w:szCs w:val="24"/>
        </w:rPr>
        <w:t xml:space="preserve"> </w:t>
      </w:r>
      <w:r w:rsidR="007752E4" w:rsidRPr="009B3214">
        <w:rPr>
          <w:rFonts w:cs="Times New Roman"/>
          <w:szCs w:val="24"/>
        </w:rPr>
        <w:t xml:space="preserve">In fact, not only is there no harm to </w:t>
      </w:r>
      <w:r w:rsidR="00352731" w:rsidRPr="009B3214">
        <w:rPr>
          <w:rFonts w:cs="Times New Roman"/>
          <w:szCs w:val="24"/>
        </w:rPr>
        <w:t>shareholders</w:t>
      </w:r>
      <w:r w:rsidR="007752E4" w:rsidRPr="009B3214">
        <w:rPr>
          <w:rFonts w:cs="Times New Roman"/>
          <w:szCs w:val="24"/>
        </w:rPr>
        <w:t>, they</w:t>
      </w:r>
      <w:r w:rsidR="00352731" w:rsidRPr="009B3214">
        <w:rPr>
          <w:rFonts w:cs="Times New Roman"/>
          <w:szCs w:val="24"/>
        </w:rPr>
        <w:t xml:space="preserve"> are benefited from Staff’s gain-sharing proposal.  </w:t>
      </w:r>
      <w:r w:rsidR="008F654C" w:rsidRPr="009B3214">
        <w:rPr>
          <w:rFonts w:cs="Times New Roman"/>
          <w:szCs w:val="24"/>
        </w:rPr>
        <w:t>T</w:t>
      </w:r>
      <w:r w:rsidR="009B54B8" w:rsidRPr="009B3214">
        <w:rPr>
          <w:rFonts w:cs="Times New Roman"/>
          <w:szCs w:val="24"/>
        </w:rPr>
        <w:t xml:space="preserve">here is no harm because </w:t>
      </w:r>
      <w:r w:rsidR="00352731" w:rsidRPr="009B3214">
        <w:rPr>
          <w:rFonts w:cs="Times New Roman"/>
          <w:szCs w:val="24"/>
        </w:rPr>
        <w:t>the regulatory compact is fully satisfied when PSE receives the net book value of its invest</w:t>
      </w:r>
      <w:r w:rsidR="009B54B8" w:rsidRPr="009B3214">
        <w:rPr>
          <w:rFonts w:cs="Times New Roman"/>
          <w:szCs w:val="24"/>
        </w:rPr>
        <w:t>ment, which all parties propose</w:t>
      </w:r>
      <w:r w:rsidR="00352731" w:rsidRPr="009B3214">
        <w:rPr>
          <w:rFonts w:cs="Times New Roman"/>
          <w:szCs w:val="24"/>
        </w:rPr>
        <w:t xml:space="preserve"> in this case; th</w:t>
      </w:r>
      <w:r w:rsidR="009B54B8" w:rsidRPr="009B3214">
        <w:rPr>
          <w:rFonts w:cs="Times New Roman"/>
          <w:szCs w:val="24"/>
        </w:rPr>
        <w:t>e regulatory</w:t>
      </w:r>
      <w:r w:rsidR="00352731" w:rsidRPr="009B3214">
        <w:rPr>
          <w:rFonts w:cs="Times New Roman"/>
          <w:szCs w:val="24"/>
        </w:rPr>
        <w:t xml:space="preserve"> compact does not offer PSE a guaranteed revenue stream.</w:t>
      </w:r>
      <w:r w:rsidR="00352731">
        <w:rPr>
          <w:rStyle w:val="FootnoteReference"/>
          <w:rFonts w:cs="Times New Roman"/>
          <w:szCs w:val="24"/>
        </w:rPr>
        <w:footnoteReference w:id="26"/>
      </w:r>
    </w:p>
    <w:p w14:paraId="7342A22C" w14:textId="77777777" w:rsidR="00736E19" w:rsidRDefault="003B3162" w:rsidP="00CB70C6">
      <w:pPr>
        <w:pStyle w:val="ListParagraph"/>
        <w:numPr>
          <w:ilvl w:val="0"/>
          <w:numId w:val="25"/>
        </w:numPr>
        <w:spacing w:line="480" w:lineRule="auto"/>
        <w:rPr>
          <w:rFonts w:cs="Times New Roman"/>
          <w:szCs w:val="24"/>
        </w:rPr>
      </w:pPr>
      <w:r w:rsidRPr="00CB70C6">
        <w:rPr>
          <w:rFonts w:cs="Times New Roman"/>
          <w:szCs w:val="24"/>
        </w:rPr>
        <w:tab/>
        <w:t xml:space="preserve">Staff’s proposal benefits </w:t>
      </w:r>
      <w:r w:rsidR="007B4C2B">
        <w:rPr>
          <w:rFonts w:cs="Times New Roman"/>
          <w:szCs w:val="24"/>
        </w:rPr>
        <w:t>shareholders</w:t>
      </w:r>
      <w:r w:rsidR="007B4C2B" w:rsidRPr="00CB70C6">
        <w:rPr>
          <w:rFonts w:cs="Times New Roman"/>
          <w:szCs w:val="24"/>
        </w:rPr>
        <w:t xml:space="preserve"> </w:t>
      </w:r>
      <w:r w:rsidRPr="00CB70C6">
        <w:rPr>
          <w:rFonts w:cs="Times New Roman"/>
          <w:szCs w:val="24"/>
        </w:rPr>
        <w:t xml:space="preserve">through a significant accretion to </w:t>
      </w:r>
      <w:r w:rsidR="00352731" w:rsidRPr="00CB70C6">
        <w:rPr>
          <w:rFonts w:cs="Times New Roman"/>
          <w:szCs w:val="24"/>
        </w:rPr>
        <w:t xml:space="preserve">shareholders’ </w:t>
      </w:r>
      <w:r w:rsidRPr="00CB70C6">
        <w:rPr>
          <w:rFonts w:cs="Times New Roman"/>
          <w:szCs w:val="24"/>
        </w:rPr>
        <w:t xml:space="preserve">equity investment in utility assets.  </w:t>
      </w:r>
      <w:r w:rsidR="006219CC">
        <w:rPr>
          <w:rFonts w:cs="Times New Roman"/>
          <w:szCs w:val="24"/>
        </w:rPr>
        <w:t xml:space="preserve">Using </w:t>
      </w:r>
      <w:r w:rsidRPr="00CB70C6">
        <w:rPr>
          <w:rFonts w:cs="Times New Roman"/>
          <w:szCs w:val="24"/>
        </w:rPr>
        <w:t>PSE’s 48 percent equity ratio, the $46.7 million net book value in assets sold to JPUD was financed with around $22.5 million of equity.</w:t>
      </w:r>
      <w:r>
        <w:rPr>
          <w:rStyle w:val="FootnoteReference"/>
          <w:rFonts w:cs="Times New Roman"/>
          <w:szCs w:val="24"/>
        </w:rPr>
        <w:footnoteReference w:id="27"/>
      </w:r>
      <w:r w:rsidRPr="00CB70C6">
        <w:rPr>
          <w:rFonts w:cs="Times New Roman"/>
          <w:szCs w:val="24"/>
        </w:rPr>
        <w:t xml:space="preserve">  Staff’s proposal </w:t>
      </w:r>
      <w:r w:rsidR="00352731" w:rsidRPr="00CB70C6">
        <w:rPr>
          <w:rFonts w:cs="Times New Roman"/>
          <w:szCs w:val="24"/>
        </w:rPr>
        <w:t xml:space="preserve">provides </w:t>
      </w:r>
      <w:r w:rsidR="00A5125F">
        <w:rPr>
          <w:rFonts w:cs="Times New Roman"/>
          <w:szCs w:val="24"/>
        </w:rPr>
        <w:t xml:space="preserve">PSE’s </w:t>
      </w:r>
      <w:r w:rsidR="00352731" w:rsidRPr="00CB70C6">
        <w:rPr>
          <w:rFonts w:cs="Times New Roman"/>
          <w:szCs w:val="24"/>
        </w:rPr>
        <w:t xml:space="preserve">shareholders </w:t>
      </w:r>
      <w:r w:rsidRPr="00CB70C6">
        <w:rPr>
          <w:rFonts w:cs="Times New Roman"/>
          <w:szCs w:val="24"/>
        </w:rPr>
        <w:t xml:space="preserve">an additional $7,481,394 over net book value, </w:t>
      </w:r>
      <w:r w:rsidR="006219CC">
        <w:rPr>
          <w:rFonts w:cs="Times New Roman"/>
          <w:szCs w:val="24"/>
        </w:rPr>
        <w:t>deliver</w:t>
      </w:r>
      <w:r w:rsidR="008414AD">
        <w:rPr>
          <w:rFonts w:cs="Times New Roman"/>
          <w:szCs w:val="24"/>
        </w:rPr>
        <w:t>ing</w:t>
      </w:r>
      <w:r w:rsidR="006219CC">
        <w:rPr>
          <w:rFonts w:cs="Times New Roman"/>
          <w:szCs w:val="24"/>
        </w:rPr>
        <w:t xml:space="preserve"> </w:t>
      </w:r>
      <w:r w:rsidRPr="00CB70C6">
        <w:rPr>
          <w:rFonts w:cs="Times New Roman"/>
          <w:szCs w:val="24"/>
        </w:rPr>
        <w:t xml:space="preserve">a </w:t>
      </w:r>
      <w:r w:rsidR="006219CC">
        <w:rPr>
          <w:rFonts w:cs="Times New Roman"/>
          <w:szCs w:val="24"/>
        </w:rPr>
        <w:t xml:space="preserve">full </w:t>
      </w:r>
      <w:r w:rsidRPr="00CB70C6">
        <w:rPr>
          <w:rFonts w:cs="Times New Roman"/>
          <w:szCs w:val="24"/>
        </w:rPr>
        <w:t>33 percent</w:t>
      </w:r>
      <w:r>
        <w:rPr>
          <w:rStyle w:val="FootnoteReference"/>
          <w:rFonts w:cs="Times New Roman"/>
          <w:szCs w:val="24"/>
        </w:rPr>
        <w:footnoteReference w:id="28"/>
      </w:r>
      <w:r w:rsidRPr="00CB70C6">
        <w:rPr>
          <w:rFonts w:cs="Times New Roman"/>
          <w:szCs w:val="24"/>
        </w:rPr>
        <w:t xml:space="preserve"> increase to PSE’s equity investment in those assets.</w:t>
      </w:r>
      <w:r w:rsidR="007B4C2B">
        <w:rPr>
          <w:rFonts w:cs="Times New Roman"/>
          <w:szCs w:val="24"/>
        </w:rPr>
        <w:t xml:space="preserve">  </w:t>
      </w:r>
      <w:r w:rsidR="006219CC">
        <w:rPr>
          <w:rFonts w:cs="Times New Roman"/>
          <w:szCs w:val="24"/>
        </w:rPr>
        <w:t xml:space="preserve">Applying </w:t>
      </w:r>
      <w:r w:rsidR="007B4C2B">
        <w:rPr>
          <w:rFonts w:cs="Times New Roman"/>
          <w:szCs w:val="24"/>
        </w:rPr>
        <w:t>PSE’s argument that the Commission should balance the equities, Staff’s proposal meets that test</w:t>
      </w:r>
      <w:r w:rsidR="007752E4">
        <w:rPr>
          <w:rFonts w:cs="Times New Roman"/>
          <w:szCs w:val="24"/>
        </w:rPr>
        <w:t>,</w:t>
      </w:r>
      <w:r w:rsidR="007B4C2B">
        <w:rPr>
          <w:rFonts w:cs="Times New Roman"/>
          <w:szCs w:val="24"/>
        </w:rPr>
        <w:t xml:space="preserve"> and then some.</w:t>
      </w:r>
    </w:p>
    <w:p w14:paraId="5E547029" w14:textId="77777777" w:rsidR="00E17592" w:rsidRDefault="00736E19" w:rsidP="00720015">
      <w:pPr>
        <w:pStyle w:val="ListParagraph"/>
        <w:numPr>
          <w:ilvl w:val="0"/>
          <w:numId w:val="25"/>
        </w:numPr>
        <w:spacing w:line="480" w:lineRule="auto"/>
        <w:rPr>
          <w:rFonts w:cs="Times New Roman"/>
          <w:szCs w:val="24"/>
        </w:rPr>
      </w:pPr>
      <w:r w:rsidRPr="007B4C2B">
        <w:rPr>
          <w:rFonts w:cs="Times New Roman"/>
          <w:szCs w:val="24"/>
        </w:rPr>
        <w:lastRenderedPageBreak/>
        <w:tab/>
      </w:r>
      <w:r w:rsidR="006219CC">
        <w:rPr>
          <w:rFonts w:cs="Times New Roman"/>
          <w:szCs w:val="24"/>
        </w:rPr>
        <w:t>The Commission should a</w:t>
      </w:r>
      <w:r w:rsidR="007104BA">
        <w:rPr>
          <w:rFonts w:cs="Times New Roman"/>
          <w:szCs w:val="24"/>
        </w:rPr>
        <w:t>l</w:t>
      </w:r>
      <w:r w:rsidR="006219CC">
        <w:rPr>
          <w:rFonts w:cs="Times New Roman"/>
          <w:szCs w:val="24"/>
        </w:rPr>
        <w:t xml:space="preserve">so </w:t>
      </w:r>
      <w:r w:rsidR="007104BA">
        <w:rPr>
          <w:rFonts w:cs="Times New Roman"/>
          <w:szCs w:val="24"/>
        </w:rPr>
        <w:t>recognize</w:t>
      </w:r>
      <w:r w:rsidR="006219CC">
        <w:rPr>
          <w:rFonts w:cs="Times New Roman"/>
          <w:szCs w:val="24"/>
        </w:rPr>
        <w:t xml:space="preserve"> that PSE fares far better under regulation than it would if it had to compete for customers.  </w:t>
      </w:r>
      <w:r w:rsidR="007752E4">
        <w:rPr>
          <w:rFonts w:cs="Times New Roman"/>
          <w:szCs w:val="24"/>
        </w:rPr>
        <w:t>In a competitive market</w:t>
      </w:r>
      <w:r w:rsidR="007752E4" w:rsidRPr="003B3162">
        <w:rPr>
          <w:rFonts w:cs="Times New Roman"/>
          <w:szCs w:val="24"/>
        </w:rPr>
        <w:t xml:space="preserve">, shareholders bear the risk that </w:t>
      </w:r>
      <w:r w:rsidR="007752E4">
        <w:rPr>
          <w:rFonts w:cs="Times New Roman"/>
          <w:szCs w:val="24"/>
        </w:rPr>
        <w:t xml:space="preserve">the firm </w:t>
      </w:r>
      <w:r w:rsidR="007752E4" w:rsidRPr="003B3162">
        <w:rPr>
          <w:rFonts w:cs="Times New Roman"/>
          <w:szCs w:val="24"/>
        </w:rPr>
        <w:t>will lose customers or market share</w:t>
      </w:r>
      <w:r w:rsidR="007104BA">
        <w:rPr>
          <w:rFonts w:cs="Times New Roman"/>
          <w:szCs w:val="24"/>
        </w:rPr>
        <w:t>.  B</w:t>
      </w:r>
      <w:r w:rsidR="007752E4" w:rsidRPr="003B3162">
        <w:rPr>
          <w:rFonts w:cs="Times New Roman"/>
          <w:szCs w:val="24"/>
        </w:rPr>
        <w:t>ecause a competitive firm’s prices are set by the market; it cannot raise its prices to restore the lost revenue</w:t>
      </w:r>
      <w:r w:rsidR="007752E4">
        <w:rPr>
          <w:rFonts w:cs="Times New Roman"/>
          <w:szCs w:val="24"/>
        </w:rPr>
        <w:t xml:space="preserve"> that former customers paid for the assets necessary to deliver service</w:t>
      </w:r>
      <w:r w:rsidR="00E17592">
        <w:rPr>
          <w:rFonts w:cs="Times New Roman"/>
          <w:szCs w:val="24"/>
        </w:rPr>
        <w:t>.</w:t>
      </w:r>
      <w:r w:rsidR="007752E4">
        <w:rPr>
          <w:rStyle w:val="FootnoteReference"/>
          <w:rFonts w:cs="Times New Roman"/>
          <w:szCs w:val="24"/>
        </w:rPr>
        <w:footnoteReference w:id="29"/>
      </w:r>
      <w:r w:rsidR="007752E4" w:rsidRPr="003B3162">
        <w:rPr>
          <w:rFonts w:cs="Times New Roman"/>
          <w:szCs w:val="24"/>
        </w:rPr>
        <w:t xml:space="preserve">  By</w:t>
      </w:r>
      <w:r w:rsidR="007104BA">
        <w:rPr>
          <w:rFonts w:cs="Times New Roman"/>
          <w:szCs w:val="24"/>
        </w:rPr>
        <w:t xml:space="preserve"> contrast, under regulation, </w:t>
      </w:r>
      <w:r w:rsidR="007752E4" w:rsidRPr="003B3162">
        <w:rPr>
          <w:rFonts w:cs="Times New Roman"/>
          <w:szCs w:val="24"/>
        </w:rPr>
        <w:t>PSE</w:t>
      </w:r>
      <w:r w:rsidR="006219CC">
        <w:rPr>
          <w:rFonts w:cs="Times New Roman"/>
          <w:szCs w:val="24"/>
        </w:rPr>
        <w:t xml:space="preserve">’s </w:t>
      </w:r>
      <w:r w:rsidR="007752E4" w:rsidRPr="003B3162">
        <w:rPr>
          <w:rFonts w:cs="Times New Roman"/>
          <w:szCs w:val="24"/>
        </w:rPr>
        <w:t>shareholders are not harmed</w:t>
      </w:r>
      <w:r w:rsidR="006219CC">
        <w:rPr>
          <w:rFonts w:cs="Times New Roman"/>
          <w:szCs w:val="24"/>
        </w:rPr>
        <w:t xml:space="preserve"> when customers are lost due to municipalization, because </w:t>
      </w:r>
      <w:r w:rsidR="007752E4" w:rsidRPr="003B3162">
        <w:rPr>
          <w:rFonts w:cs="Times New Roman"/>
          <w:szCs w:val="24"/>
        </w:rPr>
        <w:t xml:space="preserve">the remaining investment on </w:t>
      </w:r>
      <w:r w:rsidR="006219CC">
        <w:rPr>
          <w:rFonts w:cs="Times New Roman"/>
          <w:szCs w:val="24"/>
        </w:rPr>
        <w:t xml:space="preserve">the Company’s </w:t>
      </w:r>
      <w:r w:rsidR="007752E4" w:rsidRPr="003B3162">
        <w:rPr>
          <w:rFonts w:cs="Times New Roman"/>
          <w:szCs w:val="24"/>
        </w:rPr>
        <w:t xml:space="preserve">books necessary to serve those customers </w:t>
      </w:r>
      <w:r w:rsidR="00E17592">
        <w:rPr>
          <w:rFonts w:cs="Times New Roman"/>
          <w:szCs w:val="24"/>
        </w:rPr>
        <w:t>is</w:t>
      </w:r>
      <w:r w:rsidR="007752E4" w:rsidRPr="003B3162">
        <w:rPr>
          <w:rFonts w:cs="Times New Roman"/>
          <w:szCs w:val="24"/>
        </w:rPr>
        <w:t xml:space="preserve"> returned to shareholders</w:t>
      </w:r>
      <w:r w:rsidR="007752E4">
        <w:rPr>
          <w:rFonts w:cs="Times New Roman"/>
          <w:szCs w:val="24"/>
        </w:rPr>
        <w:t xml:space="preserve"> </w:t>
      </w:r>
      <w:r w:rsidR="007752E4" w:rsidRPr="003B3162">
        <w:rPr>
          <w:rFonts w:cs="Times New Roman"/>
          <w:szCs w:val="24"/>
        </w:rPr>
        <w:t>-</w:t>
      </w:r>
      <w:r w:rsidR="007752E4">
        <w:rPr>
          <w:rFonts w:cs="Times New Roman"/>
          <w:szCs w:val="24"/>
        </w:rPr>
        <w:t xml:space="preserve"> </w:t>
      </w:r>
      <w:r w:rsidR="007752E4" w:rsidRPr="003B3162">
        <w:rPr>
          <w:rFonts w:cs="Times New Roman"/>
          <w:szCs w:val="24"/>
        </w:rPr>
        <w:t xml:space="preserve">there is no loss of capital. </w:t>
      </w:r>
      <w:r w:rsidR="007752E4">
        <w:rPr>
          <w:rFonts w:cs="Times New Roman"/>
          <w:szCs w:val="24"/>
        </w:rPr>
        <w:t xml:space="preserve"> </w:t>
      </w:r>
      <w:r w:rsidR="00E17592">
        <w:rPr>
          <w:rFonts w:cs="Times New Roman"/>
          <w:szCs w:val="24"/>
        </w:rPr>
        <w:t xml:space="preserve">In other words, </w:t>
      </w:r>
      <w:r w:rsidR="00172B1A">
        <w:rPr>
          <w:rFonts w:cs="Times New Roman"/>
          <w:szCs w:val="24"/>
        </w:rPr>
        <w:t>if</w:t>
      </w:r>
      <w:r w:rsidR="007752E4" w:rsidRPr="003B3162">
        <w:rPr>
          <w:rFonts w:cs="Times New Roman"/>
          <w:szCs w:val="24"/>
        </w:rPr>
        <w:t xml:space="preserve"> equity be the consideration, then PSE and </w:t>
      </w:r>
      <w:r w:rsidR="007752E4">
        <w:rPr>
          <w:rFonts w:cs="Times New Roman"/>
          <w:szCs w:val="24"/>
        </w:rPr>
        <w:t>its</w:t>
      </w:r>
      <w:r w:rsidR="007752E4" w:rsidRPr="003B3162">
        <w:rPr>
          <w:rFonts w:cs="Times New Roman"/>
          <w:szCs w:val="24"/>
        </w:rPr>
        <w:t xml:space="preserve"> shareholders must recognize they are protected by the regulatory compact from loss of capital, through the rate setting process.  Staff</w:t>
      </w:r>
      <w:r w:rsidR="00A5125F">
        <w:rPr>
          <w:rFonts w:cs="Times New Roman"/>
          <w:szCs w:val="24"/>
        </w:rPr>
        <w:t>’s proposal in this case provides that protection.  Staff</w:t>
      </w:r>
      <w:r w:rsidR="007752E4" w:rsidRPr="003B3162">
        <w:rPr>
          <w:rFonts w:cs="Times New Roman"/>
          <w:szCs w:val="24"/>
        </w:rPr>
        <w:t xml:space="preserve"> presented several </w:t>
      </w:r>
      <w:r w:rsidR="00A5125F">
        <w:rPr>
          <w:rFonts w:cs="Times New Roman"/>
          <w:szCs w:val="24"/>
        </w:rPr>
        <w:t xml:space="preserve">other </w:t>
      </w:r>
      <w:r w:rsidR="00A44EA9">
        <w:rPr>
          <w:rFonts w:cs="Times New Roman"/>
          <w:szCs w:val="24"/>
        </w:rPr>
        <w:t xml:space="preserve">previous </w:t>
      </w:r>
      <w:r w:rsidR="007752E4" w:rsidRPr="003B3162">
        <w:rPr>
          <w:rFonts w:cs="Times New Roman"/>
          <w:szCs w:val="24"/>
        </w:rPr>
        <w:t xml:space="preserve">examples </w:t>
      </w:r>
      <w:r w:rsidR="00141B4C">
        <w:rPr>
          <w:rFonts w:cs="Times New Roman"/>
          <w:szCs w:val="24"/>
        </w:rPr>
        <w:t xml:space="preserve">in which </w:t>
      </w:r>
      <w:r w:rsidR="004F1586">
        <w:rPr>
          <w:rFonts w:cs="Times New Roman"/>
          <w:szCs w:val="24"/>
        </w:rPr>
        <w:t>customers provided PSE that protection</w:t>
      </w:r>
      <w:r w:rsidR="007752E4" w:rsidRPr="003B3162">
        <w:rPr>
          <w:rFonts w:cs="Times New Roman"/>
          <w:szCs w:val="24"/>
        </w:rPr>
        <w:t>.</w:t>
      </w:r>
      <w:r w:rsidR="007752E4">
        <w:rPr>
          <w:rStyle w:val="FootnoteReference"/>
          <w:rFonts w:cs="Times New Roman"/>
          <w:szCs w:val="24"/>
        </w:rPr>
        <w:footnoteReference w:id="30"/>
      </w:r>
    </w:p>
    <w:p w14:paraId="685FD099" w14:textId="77777777" w:rsidR="0045234A" w:rsidRDefault="003D15B7" w:rsidP="001D567A">
      <w:pPr>
        <w:pStyle w:val="ListParagraph"/>
        <w:spacing w:line="480" w:lineRule="auto"/>
        <w:ind w:left="0"/>
        <w:rPr>
          <w:rFonts w:cs="Times New Roman"/>
          <w:szCs w:val="24"/>
        </w:rPr>
      </w:pPr>
      <w:r>
        <w:rPr>
          <w:rFonts w:cs="Times New Roman"/>
          <w:b/>
          <w:szCs w:val="24"/>
        </w:rPr>
        <w:t>E</w:t>
      </w:r>
      <w:r w:rsidR="009B54B8" w:rsidRPr="007B4C2B">
        <w:rPr>
          <w:rFonts w:cs="Times New Roman"/>
          <w:b/>
          <w:szCs w:val="24"/>
        </w:rPr>
        <w:t>.</w:t>
      </w:r>
      <w:r w:rsidR="009B54B8" w:rsidRPr="007B4C2B">
        <w:rPr>
          <w:rFonts w:cs="Times New Roman"/>
          <w:b/>
          <w:szCs w:val="24"/>
        </w:rPr>
        <w:tab/>
        <w:t>PSE’s Customer Benefit Analysis is Seriously Flawed</w:t>
      </w:r>
    </w:p>
    <w:p w14:paraId="3ED27984" w14:textId="77777777" w:rsidR="009B3214" w:rsidRDefault="0045234A" w:rsidP="0045234A">
      <w:pPr>
        <w:pStyle w:val="ListParagraph"/>
        <w:numPr>
          <w:ilvl w:val="0"/>
          <w:numId w:val="25"/>
        </w:numPr>
        <w:spacing w:line="480" w:lineRule="auto"/>
        <w:rPr>
          <w:rFonts w:cs="Times New Roman"/>
          <w:szCs w:val="24"/>
        </w:rPr>
      </w:pPr>
      <w:r>
        <w:rPr>
          <w:rFonts w:cs="Times New Roman"/>
          <w:szCs w:val="24"/>
        </w:rPr>
        <w:tab/>
      </w:r>
      <w:r w:rsidR="003B3162" w:rsidRPr="005D6999">
        <w:rPr>
          <w:rFonts w:cs="Times New Roman"/>
          <w:szCs w:val="24"/>
        </w:rPr>
        <w:t xml:space="preserve">PSE alleges $103 million in power supply benefits to customers as a result of the sale, based on the Company’s 20-year forecast.  PSE </w:t>
      </w:r>
      <w:r w:rsidR="00E17592">
        <w:rPr>
          <w:rFonts w:cs="Times New Roman"/>
          <w:szCs w:val="24"/>
        </w:rPr>
        <w:t xml:space="preserve">then </w:t>
      </w:r>
      <w:r w:rsidR="003B3162" w:rsidRPr="005D6999">
        <w:rPr>
          <w:rFonts w:cs="Times New Roman"/>
          <w:szCs w:val="24"/>
        </w:rPr>
        <w:t xml:space="preserve">criticizes as “cherry picking” Staff’s </w:t>
      </w:r>
      <w:r w:rsidR="008F654C" w:rsidRPr="005D6999">
        <w:rPr>
          <w:rFonts w:cs="Times New Roman"/>
          <w:szCs w:val="24"/>
        </w:rPr>
        <w:t xml:space="preserve">choice to focus on near-term impacts rather than the </w:t>
      </w:r>
      <w:r w:rsidR="003B3162" w:rsidRPr="005D6999">
        <w:rPr>
          <w:rFonts w:cs="Times New Roman"/>
          <w:szCs w:val="24"/>
        </w:rPr>
        <w:t>speculative out years of the 20 year forecast.</w:t>
      </w:r>
      <w:r w:rsidR="009B54B8" w:rsidRPr="005D6999">
        <w:rPr>
          <w:rStyle w:val="FootnoteReference"/>
          <w:rFonts w:cs="Times New Roman"/>
          <w:szCs w:val="24"/>
        </w:rPr>
        <w:footnoteReference w:id="31"/>
      </w:r>
      <w:r w:rsidR="003B3162" w:rsidRPr="005D6999">
        <w:rPr>
          <w:rFonts w:cs="Times New Roman"/>
          <w:szCs w:val="24"/>
        </w:rPr>
        <w:t xml:space="preserve">  However, what PSE now calls “cherry picking” </w:t>
      </w:r>
      <w:r w:rsidR="00E17592">
        <w:rPr>
          <w:rFonts w:cs="Times New Roman"/>
          <w:szCs w:val="24"/>
        </w:rPr>
        <w:t>is</w:t>
      </w:r>
      <w:r w:rsidR="003B3162" w:rsidRPr="005D6999">
        <w:rPr>
          <w:rFonts w:cs="Times New Roman"/>
          <w:szCs w:val="24"/>
        </w:rPr>
        <w:t xml:space="preserve"> exactly what PSE </w:t>
      </w:r>
      <w:r w:rsidR="00123DAC">
        <w:rPr>
          <w:rFonts w:cs="Times New Roman"/>
          <w:szCs w:val="24"/>
        </w:rPr>
        <w:t xml:space="preserve">itself </w:t>
      </w:r>
      <w:r w:rsidR="003B3162" w:rsidRPr="005D6999">
        <w:rPr>
          <w:rFonts w:cs="Times New Roman"/>
          <w:szCs w:val="24"/>
        </w:rPr>
        <w:t>urged the Commission to accept in the</w:t>
      </w:r>
      <w:r w:rsidR="003B3162" w:rsidRPr="005D6999">
        <w:rPr>
          <w:rFonts w:cs="Times New Roman"/>
          <w:i/>
          <w:szCs w:val="24"/>
        </w:rPr>
        <w:t xml:space="preserve"> Centralia Case</w:t>
      </w:r>
      <w:r w:rsidR="003B3162" w:rsidRPr="005D6999">
        <w:rPr>
          <w:rFonts w:cs="Times New Roman"/>
          <w:szCs w:val="24"/>
        </w:rPr>
        <w:t>.</w:t>
      </w:r>
      <w:r w:rsidR="003B3162" w:rsidRPr="005D6999">
        <w:rPr>
          <w:rStyle w:val="FootnoteReference"/>
          <w:rFonts w:cs="Times New Roman"/>
          <w:szCs w:val="24"/>
        </w:rPr>
        <w:footnoteReference w:id="32"/>
      </w:r>
      <w:r w:rsidR="003B3162" w:rsidRPr="005D6999">
        <w:rPr>
          <w:rFonts w:cs="Times New Roman"/>
          <w:szCs w:val="24"/>
        </w:rPr>
        <w:t xml:space="preserve">  In that case, PSE </w:t>
      </w:r>
      <w:r w:rsidR="00526108">
        <w:rPr>
          <w:rFonts w:cs="Times New Roman"/>
          <w:szCs w:val="24"/>
        </w:rPr>
        <w:t xml:space="preserve">chose not </w:t>
      </w:r>
      <w:r w:rsidR="003B3162" w:rsidRPr="005D6999">
        <w:rPr>
          <w:rFonts w:cs="Times New Roman"/>
          <w:szCs w:val="24"/>
        </w:rPr>
        <w:t xml:space="preserve">to rely on the </w:t>
      </w:r>
      <w:r w:rsidR="00526108">
        <w:rPr>
          <w:rFonts w:cs="Times New Roman"/>
          <w:szCs w:val="24"/>
        </w:rPr>
        <w:t xml:space="preserve">“speculative” </w:t>
      </w:r>
      <w:r w:rsidR="003B3162" w:rsidRPr="005D6999">
        <w:rPr>
          <w:rFonts w:cs="Times New Roman"/>
          <w:szCs w:val="24"/>
        </w:rPr>
        <w:t>out years of the forecas</w:t>
      </w:r>
      <w:r w:rsidR="009B54B8" w:rsidRPr="005D6999">
        <w:rPr>
          <w:rFonts w:cs="Times New Roman"/>
          <w:szCs w:val="24"/>
        </w:rPr>
        <w:t>t</w:t>
      </w:r>
      <w:r w:rsidR="007104BA">
        <w:rPr>
          <w:rFonts w:cs="Times New Roman"/>
          <w:szCs w:val="24"/>
        </w:rPr>
        <w:t xml:space="preserve">.  </w:t>
      </w:r>
      <w:r w:rsidR="003B3162" w:rsidRPr="005D6999">
        <w:rPr>
          <w:rFonts w:cs="Times New Roman"/>
          <w:szCs w:val="24"/>
        </w:rPr>
        <w:t xml:space="preserve">PSE is wrong to give full effect to the out years of the forecast </w:t>
      </w:r>
      <w:r w:rsidR="008F654C" w:rsidRPr="005D6999">
        <w:rPr>
          <w:rFonts w:cs="Times New Roman"/>
          <w:szCs w:val="24"/>
        </w:rPr>
        <w:t>now</w:t>
      </w:r>
      <w:r w:rsidR="003B3162" w:rsidRPr="005D6999">
        <w:rPr>
          <w:rFonts w:cs="Times New Roman"/>
          <w:szCs w:val="24"/>
        </w:rPr>
        <w:t>.</w:t>
      </w:r>
      <w:r w:rsidR="007158C2" w:rsidRPr="005D6999">
        <w:rPr>
          <w:rFonts w:cs="Times New Roman"/>
          <w:szCs w:val="24"/>
        </w:rPr>
        <w:t xml:space="preserve">  </w:t>
      </w:r>
    </w:p>
    <w:p w14:paraId="2B8C8111" w14:textId="77777777" w:rsidR="003B3162" w:rsidRPr="005D6999" w:rsidRDefault="00EA7AB4" w:rsidP="00090D9B">
      <w:pPr>
        <w:pStyle w:val="ListParagraph"/>
        <w:numPr>
          <w:ilvl w:val="0"/>
          <w:numId w:val="25"/>
        </w:numPr>
        <w:spacing w:line="480" w:lineRule="auto"/>
        <w:rPr>
          <w:rFonts w:cs="Times New Roman"/>
          <w:szCs w:val="24"/>
        </w:rPr>
      </w:pPr>
      <w:r>
        <w:rPr>
          <w:rFonts w:cs="Times New Roman"/>
          <w:szCs w:val="24"/>
        </w:rPr>
        <w:lastRenderedPageBreak/>
        <w:tab/>
      </w:r>
      <w:r w:rsidR="00E17592">
        <w:rPr>
          <w:rFonts w:cs="Times New Roman"/>
          <w:szCs w:val="24"/>
        </w:rPr>
        <w:t xml:space="preserve">In short, while </w:t>
      </w:r>
      <w:r w:rsidR="007158C2" w:rsidRPr="005D6999">
        <w:rPr>
          <w:rFonts w:cs="Times New Roman"/>
          <w:szCs w:val="24"/>
        </w:rPr>
        <w:t>PSE urges the Commission to focus on “reasonable assumptions and probable outcomes,”</w:t>
      </w:r>
      <w:r w:rsidR="005D6999" w:rsidRPr="005D6999">
        <w:rPr>
          <w:rStyle w:val="FootnoteReference"/>
          <w:rFonts w:cs="Times New Roman"/>
          <w:szCs w:val="24"/>
        </w:rPr>
        <w:footnoteReference w:id="33"/>
      </w:r>
      <w:r w:rsidR="007158C2" w:rsidRPr="005D6999">
        <w:rPr>
          <w:rFonts w:cs="Times New Roman"/>
          <w:szCs w:val="24"/>
        </w:rPr>
        <w:t xml:space="preserve"> </w:t>
      </w:r>
      <w:r w:rsidR="005D6999" w:rsidRPr="005D6999">
        <w:rPr>
          <w:rFonts w:cs="Times New Roman"/>
          <w:szCs w:val="24"/>
        </w:rPr>
        <w:t>PSE’s use of speculative forecasts fails that standard.</w:t>
      </w:r>
      <w:r w:rsidR="003B3162">
        <w:rPr>
          <w:rStyle w:val="FootnoteReference"/>
          <w:rFonts w:cs="Times New Roman"/>
          <w:szCs w:val="24"/>
        </w:rPr>
        <w:footnoteReference w:id="34"/>
      </w:r>
    </w:p>
    <w:p w14:paraId="484020EC" w14:textId="77777777" w:rsidR="00445198" w:rsidRPr="00445198" w:rsidRDefault="003D15B7" w:rsidP="0045234A">
      <w:pPr>
        <w:pStyle w:val="ListParagraph"/>
        <w:spacing w:line="240" w:lineRule="exact"/>
        <w:ind w:hanging="720"/>
        <w:rPr>
          <w:b/>
        </w:rPr>
      </w:pPr>
      <w:r>
        <w:rPr>
          <w:b/>
        </w:rPr>
        <w:t>F</w:t>
      </w:r>
      <w:r w:rsidR="00445198" w:rsidRPr="00445198">
        <w:rPr>
          <w:b/>
        </w:rPr>
        <w:t>.</w:t>
      </w:r>
      <w:r w:rsidR="00445198" w:rsidRPr="00445198">
        <w:rPr>
          <w:b/>
        </w:rPr>
        <w:tab/>
        <w:t xml:space="preserve">The Record Refutes PSE’s </w:t>
      </w:r>
      <w:r w:rsidR="00FC2EC2">
        <w:rPr>
          <w:b/>
        </w:rPr>
        <w:t xml:space="preserve">Suggestion that the Sale to </w:t>
      </w:r>
      <w:r w:rsidR="008F0188">
        <w:rPr>
          <w:b/>
        </w:rPr>
        <w:t>J</w:t>
      </w:r>
      <w:r w:rsidR="00FC2EC2">
        <w:rPr>
          <w:b/>
        </w:rPr>
        <w:t xml:space="preserve">PUD should be Treated </w:t>
      </w:r>
      <w:r w:rsidR="00445198" w:rsidRPr="00445198">
        <w:rPr>
          <w:b/>
        </w:rPr>
        <w:t>“Just Like Conservation”</w:t>
      </w:r>
    </w:p>
    <w:p w14:paraId="5F3BDCF7" w14:textId="77777777" w:rsidR="00FC2EC2" w:rsidRDefault="00FC2EC2" w:rsidP="00C15738">
      <w:pPr>
        <w:pStyle w:val="ListParagraph"/>
        <w:ind w:left="0"/>
      </w:pPr>
    </w:p>
    <w:p w14:paraId="1698EAC4" w14:textId="77777777" w:rsidR="008F654C" w:rsidRDefault="00FC2EC2" w:rsidP="00B62E99">
      <w:pPr>
        <w:pStyle w:val="ListParagraph"/>
        <w:numPr>
          <w:ilvl w:val="0"/>
          <w:numId w:val="25"/>
        </w:numPr>
        <w:spacing w:line="480" w:lineRule="auto"/>
      </w:pPr>
      <w:r>
        <w:tab/>
      </w:r>
      <w:r w:rsidR="00C870A1">
        <w:t xml:space="preserve">PSE </w:t>
      </w:r>
      <w:r w:rsidR="00F5726F">
        <w:t xml:space="preserve">argues that the </w:t>
      </w:r>
      <w:r w:rsidR="00E17592">
        <w:t xml:space="preserve">Commission should treat the </w:t>
      </w:r>
      <w:r w:rsidR="00F5726F">
        <w:t xml:space="preserve">load lost through the sale to JPUD </w:t>
      </w:r>
      <w:r w:rsidR="0045234A">
        <w:t xml:space="preserve">the same </w:t>
      </w:r>
      <w:r w:rsidR="00F5726F">
        <w:t xml:space="preserve">as </w:t>
      </w:r>
      <w:r w:rsidR="00526108">
        <w:t xml:space="preserve">if that </w:t>
      </w:r>
      <w:r w:rsidR="00F5726F">
        <w:t xml:space="preserve">load </w:t>
      </w:r>
      <w:r w:rsidR="00526108">
        <w:t xml:space="preserve">were lost </w:t>
      </w:r>
      <w:r w:rsidR="00F5726F">
        <w:t>due to conservation, because, according to PSE, there is “</w:t>
      </w:r>
      <w:r w:rsidR="00F5726F" w:rsidRPr="00B62E99">
        <w:rPr>
          <w:i/>
        </w:rPr>
        <w:t>simply no rational basis to support such a distinction in regulatory treatment …”</w:t>
      </w:r>
      <w:r w:rsidR="00F5726F">
        <w:rPr>
          <w:rStyle w:val="FootnoteReference"/>
          <w:i/>
        </w:rPr>
        <w:footnoteReference w:id="35"/>
      </w:r>
      <w:r w:rsidR="00C870A1">
        <w:t xml:space="preserve"> </w:t>
      </w:r>
      <w:r w:rsidR="008414AD">
        <w:t xml:space="preserve"> </w:t>
      </w:r>
      <w:r w:rsidR="00F5726F">
        <w:t xml:space="preserve">In fact, there are </w:t>
      </w:r>
      <w:r w:rsidR="00445198">
        <w:t xml:space="preserve">several </w:t>
      </w:r>
      <w:r w:rsidR="00DE1863">
        <w:t xml:space="preserve">obvious reasons to </w:t>
      </w:r>
      <w:r w:rsidR="00526108">
        <w:t xml:space="preserve">support </w:t>
      </w:r>
      <w:r w:rsidR="0045234A">
        <w:t>different</w:t>
      </w:r>
      <w:r w:rsidR="007104BA">
        <w:t xml:space="preserve"> </w:t>
      </w:r>
      <w:r w:rsidR="00526108">
        <w:t xml:space="preserve">treatment.  </w:t>
      </w:r>
      <w:r w:rsidR="00C870A1">
        <w:t>F</w:t>
      </w:r>
      <w:r w:rsidR="00A577A7">
        <w:t>or one thing</w:t>
      </w:r>
      <w:r w:rsidR="006A79E1">
        <w:t>,</w:t>
      </w:r>
      <w:r w:rsidR="00445198">
        <w:t xml:space="preserve"> </w:t>
      </w:r>
      <w:r w:rsidR="00445198" w:rsidRPr="00B62E99">
        <w:rPr>
          <w:i/>
        </w:rPr>
        <w:t xml:space="preserve">no </w:t>
      </w:r>
      <w:r w:rsidR="006A79E1" w:rsidRPr="00B62E99">
        <w:rPr>
          <w:i/>
        </w:rPr>
        <w:t xml:space="preserve">electricity </w:t>
      </w:r>
      <w:r w:rsidR="005D6999" w:rsidRPr="00B62E99">
        <w:rPr>
          <w:i/>
        </w:rPr>
        <w:t xml:space="preserve">actually </w:t>
      </w:r>
      <w:r w:rsidR="00445198" w:rsidRPr="00B62E99">
        <w:rPr>
          <w:i/>
        </w:rPr>
        <w:t>has been conserved</w:t>
      </w:r>
      <w:r w:rsidR="00DE1863" w:rsidRPr="00D62F5E">
        <w:rPr>
          <w:i/>
        </w:rPr>
        <w:t xml:space="preserve"> here</w:t>
      </w:r>
      <w:r w:rsidR="006A79E1">
        <w:t>, because p</w:t>
      </w:r>
      <w:r w:rsidR="00445198">
        <w:t xml:space="preserve">eople in </w:t>
      </w:r>
      <w:r w:rsidR="00C870A1">
        <w:t xml:space="preserve">Jefferson County are still using </w:t>
      </w:r>
      <w:r w:rsidR="00DE1863">
        <w:t>electricity</w:t>
      </w:r>
      <w:r w:rsidR="00C870A1">
        <w:t xml:space="preserve">.  </w:t>
      </w:r>
      <w:r w:rsidR="00895764">
        <w:t xml:space="preserve">Perhaps that explains why </w:t>
      </w:r>
      <w:r w:rsidR="00C870A1">
        <w:t>PSE does not model loss of service territory as a conservation strategy,</w:t>
      </w:r>
      <w:r w:rsidR="00C870A1">
        <w:rPr>
          <w:rStyle w:val="FootnoteReference"/>
        </w:rPr>
        <w:footnoteReference w:id="36"/>
      </w:r>
      <w:r w:rsidR="00C870A1">
        <w:t xml:space="preserve"> </w:t>
      </w:r>
      <w:r w:rsidR="00E17592">
        <w:t xml:space="preserve">and why </w:t>
      </w:r>
      <w:r w:rsidR="00C870A1">
        <w:t xml:space="preserve">PSE </w:t>
      </w:r>
      <w:r w:rsidR="00E17592">
        <w:t xml:space="preserve">has not </w:t>
      </w:r>
      <w:r w:rsidR="00C870A1">
        <w:t>presented such an option to the conservation resource advisory group.</w:t>
      </w:r>
      <w:r w:rsidR="00C870A1">
        <w:rPr>
          <w:rStyle w:val="FootnoteReference"/>
        </w:rPr>
        <w:footnoteReference w:id="37"/>
      </w:r>
      <w:r w:rsidR="00C870A1">
        <w:t xml:space="preserve">  </w:t>
      </w:r>
      <w:r w:rsidR="00A577A7">
        <w:t xml:space="preserve">  </w:t>
      </w:r>
    </w:p>
    <w:p w14:paraId="03731E6C" w14:textId="77777777" w:rsidR="00C870A1" w:rsidRDefault="008F654C" w:rsidP="00152F78">
      <w:pPr>
        <w:pStyle w:val="ListParagraph"/>
        <w:numPr>
          <w:ilvl w:val="0"/>
          <w:numId w:val="25"/>
        </w:numPr>
        <w:spacing w:line="480" w:lineRule="auto"/>
      </w:pPr>
      <w:r>
        <w:tab/>
      </w:r>
      <w:r w:rsidR="006A79E1">
        <w:t xml:space="preserve">Moreover, </w:t>
      </w:r>
      <w:r w:rsidR="00445198">
        <w:t>c</w:t>
      </w:r>
      <w:r w:rsidR="00C870A1">
        <w:t>onservation is considered one of a variety of resource options, and PSE is statutorily required to consider conservation in developing a mix of resources that are the “lowest reasonable cost.”</w:t>
      </w:r>
      <w:r w:rsidR="00C870A1">
        <w:rPr>
          <w:rStyle w:val="FootnoteReference"/>
        </w:rPr>
        <w:footnoteReference w:id="38"/>
      </w:r>
      <w:r w:rsidR="00C870A1">
        <w:t xml:space="preserve">  </w:t>
      </w:r>
      <w:r w:rsidR="00445198">
        <w:t>T</w:t>
      </w:r>
      <w:r w:rsidR="00C870A1">
        <w:t>he law also requires PSE to pursue “all available conservation that is cost-effective, reliable and feasible.”</w:t>
      </w:r>
      <w:r w:rsidR="00C870A1">
        <w:rPr>
          <w:rStyle w:val="FootnoteReference"/>
        </w:rPr>
        <w:footnoteReference w:id="39"/>
      </w:r>
      <w:r w:rsidR="00C870A1">
        <w:t xml:space="preserve">  None of these statutory requirements apply to PSE’s sale of its distribution system to JPUD. </w:t>
      </w:r>
      <w:r w:rsidR="00D00125">
        <w:t xml:space="preserve"> Each of these differences justify different regulatory treatment.</w:t>
      </w:r>
      <w:r w:rsidR="007B4C2B">
        <w:t xml:space="preserve">  </w:t>
      </w:r>
    </w:p>
    <w:p w14:paraId="7262D811" w14:textId="77777777" w:rsidR="007752E4" w:rsidRPr="009B3214" w:rsidRDefault="009B3214" w:rsidP="009B3214">
      <w:pPr>
        <w:pStyle w:val="ListParagraph"/>
        <w:numPr>
          <w:ilvl w:val="0"/>
          <w:numId w:val="25"/>
        </w:numPr>
        <w:spacing w:line="480" w:lineRule="auto"/>
        <w:rPr>
          <w:rFonts w:cs="Times New Roman"/>
          <w:szCs w:val="24"/>
        </w:rPr>
      </w:pPr>
      <w:r>
        <w:tab/>
      </w:r>
      <w:r w:rsidR="00E17592">
        <w:t xml:space="preserve">Finally, </w:t>
      </w:r>
      <w:r w:rsidR="00F5726F">
        <w:t xml:space="preserve">PSE’s own </w:t>
      </w:r>
      <w:r w:rsidR="00445198">
        <w:t xml:space="preserve">hypothetical </w:t>
      </w:r>
      <w:r w:rsidR="00F5726F">
        <w:t xml:space="preserve">example proves that </w:t>
      </w:r>
      <w:r w:rsidR="005D6999">
        <w:t xml:space="preserve">a sale of a distribution </w:t>
      </w:r>
      <w:r w:rsidR="006D2F92">
        <w:t>system</w:t>
      </w:r>
      <w:r w:rsidR="006D2F92" w:rsidDel="005D6999">
        <w:t xml:space="preserve"> </w:t>
      </w:r>
      <w:r w:rsidR="006D2F92">
        <w:t>places</w:t>
      </w:r>
      <w:r w:rsidR="008F654C">
        <w:t xml:space="preserve"> much </w:t>
      </w:r>
      <w:r w:rsidR="005D6999">
        <w:t xml:space="preserve">more </w:t>
      </w:r>
      <w:r w:rsidR="008F654C">
        <w:t xml:space="preserve">of a </w:t>
      </w:r>
      <w:r w:rsidR="006D2F92">
        <w:t xml:space="preserve">financial </w:t>
      </w:r>
      <w:r w:rsidR="008F654C">
        <w:t xml:space="preserve">burden on customers than </w:t>
      </w:r>
      <w:r w:rsidR="005D6999">
        <w:t>conservation.</w:t>
      </w:r>
      <w:r w:rsidR="00F5726F">
        <w:t xml:space="preserve">  In </w:t>
      </w:r>
      <w:r w:rsidR="009A430D">
        <w:t xml:space="preserve">PSE’s </w:t>
      </w:r>
      <w:r w:rsidR="00F5726F">
        <w:t>rebuttal testimony, Mr. Piliaris offered a hypothe</w:t>
      </w:r>
      <w:r w:rsidR="00DA4917">
        <w:t xml:space="preserve">tical example </w:t>
      </w:r>
      <w:r w:rsidR="009B54B8">
        <w:t>in</w:t>
      </w:r>
      <w:r w:rsidR="00DA4917">
        <w:t xml:space="preserve"> which </w:t>
      </w:r>
      <w:r w:rsidR="009A430D">
        <w:t xml:space="preserve">a utility had one million </w:t>
      </w:r>
      <w:r w:rsidR="009A430D">
        <w:lastRenderedPageBreak/>
        <w:t xml:space="preserve">customers, </w:t>
      </w:r>
      <w:r w:rsidR="00152F78" w:rsidRPr="009B3214">
        <w:rPr>
          <w:rFonts w:cs="Times New Roman"/>
          <w:szCs w:val="24"/>
        </w:rPr>
        <w:t>$500 million in fixed power costs</w:t>
      </w:r>
      <w:r w:rsidR="009A430D" w:rsidRPr="009B3214">
        <w:rPr>
          <w:rFonts w:cs="Times New Roman"/>
          <w:szCs w:val="24"/>
        </w:rPr>
        <w:t xml:space="preserve"> and sales of 20 million MWh, for a </w:t>
      </w:r>
      <w:r w:rsidR="00DE1863" w:rsidRPr="009B3214">
        <w:rPr>
          <w:rFonts w:cs="Times New Roman"/>
          <w:szCs w:val="24"/>
        </w:rPr>
        <w:t xml:space="preserve">cost of </w:t>
      </w:r>
      <w:r w:rsidR="00152F78" w:rsidRPr="009B3214">
        <w:rPr>
          <w:rFonts w:cs="Times New Roman"/>
          <w:szCs w:val="24"/>
        </w:rPr>
        <w:t>$25 per MWh</w:t>
      </w:r>
      <w:r w:rsidR="005D6999" w:rsidRPr="009B3214">
        <w:rPr>
          <w:rFonts w:cs="Times New Roman"/>
          <w:szCs w:val="24"/>
        </w:rPr>
        <w:t xml:space="preserve"> per customer</w:t>
      </w:r>
      <w:r w:rsidR="00A5125F">
        <w:rPr>
          <w:rFonts w:cs="Times New Roman"/>
          <w:szCs w:val="24"/>
        </w:rPr>
        <w:t>.</w:t>
      </w:r>
      <w:r w:rsidR="0081343D">
        <w:rPr>
          <w:rStyle w:val="FootnoteReference"/>
          <w:rFonts w:cs="Times New Roman"/>
          <w:szCs w:val="24"/>
        </w:rPr>
        <w:footnoteReference w:id="40"/>
      </w:r>
      <w:r w:rsidR="00152F78" w:rsidRPr="009B3214">
        <w:rPr>
          <w:rFonts w:cs="Times New Roman"/>
          <w:szCs w:val="24"/>
        </w:rPr>
        <w:t xml:space="preserve">  </w:t>
      </w:r>
      <w:r w:rsidR="009A430D" w:rsidRPr="009B3214">
        <w:rPr>
          <w:rFonts w:cs="Times New Roman"/>
          <w:szCs w:val="24"/>
        </w:rPr>
        <w:t xml:space="preserve">PSE </w:t>
      </w:r>
      <w:r w:rsidR="005D6999" w:rsidRPr="009B3214">
        <w:rPr>
          <w:rFonts w:cs="Times New Roman"/>
          <w:szCs w:val="24"/>
        </w:rPr>
        <w:t xml:space="preserve">then </w:t>
      </w:r>
      <w:r w:rsidR="00870C86" w:rsidRPr="009B3214">
        <w:rPr>
          <w:rFonts w:cs="Times New Roman"/>
          <w:szCs w:val="24"/>
        </w:rPr>
        <w:t xml:space="preserve">chose </w:t>
      </w:r>
      <w:r w:rsidR="00DE1863" w:rsidRPr="009B3214">
        <w:rPr>
          <w:rFonts w:cs="Times New Roman"/>
          <w:szCs w:val="24"/>
        </w:rPr>
        <w:t xml:space="preserve">a Municipalization </w:t>
      </w:r>
      <w:r w:rsidR="00E17592" w:rsidRPr="009B3214">
        <w:rPr>
          <w:rFonts w:cs="Times New Roman"/>
          <w:szCs w:val="24"/>
        </w:rPr>
        <w:t>S</w:t>
      </w:r>
      <w:r w:rsidR="00DE1863" w:rsidRPr="009B3214">
        <w:rPr>
          <w:rFonts w:cs="Times New Roman"/>
          <w:szCs w:val="24"/>
        </w:rPr>
        <w:t xml:space="preserve">cenario and a </w:t>
      </w:r>
      <w:r w:rsidR="00870C86" w:rsidRPr="009B3214">
        <w:rPr>
          <w:rFonts w:cs="Times New Roman"/>
          <w:szCs w:val="24"/>
        </w:rPr>
        <w:t>C</w:t>
      </w:r>
      <w:r w:rsidR="00DE1863" w:rsidRPr="009B3214">
        <w:rPr>
          <w:rFonts w:cs="Times New Roman"/>
          <w:szCs w:val="24"/>
        </w:rPr>
        <w:t xml:space="preserve">onservation </w:t>
      </w:r>
      <w:r w:rsidR="00E17592" w:rsidRPr="009B3214">
        <w:rPr>
          <w:rFonts w:cs="Times New Roman"/>
          <w:szCs w:val="24"/>
        </w:rPr>
        <w:t>S</w:t>
      </w:r>
      <w:r w:rsidR="00DE1863" w:rsidRPr="009B3214">
        <w:rPr>
          <w:rFonts w:cs="Times New Roman"/>
          <w:szCs w:val="24"/>
        </w:rPr>
        <w:t xml:space="preserve">cenario, and assumed </w:t>
      </w:r>
      <w:r w:rsidR="00123DAC" w:rsidRPr="009B3214">
        <w:rPr>
          <w:rFonts w:cs="Times New Roman"/>
          <w:szCs w:val="24"/>
        </w:rPr>
        <w:t xml:space="preserve">the same </w:t>
      </w:r>
      <w:r w:rsidR="00870C86" w:rsidRPr="009B3214">
        <w:rPr>
          <w:rFonts w:cs="Times New Roman"/>
          <w:szCs w:val="24"/>
        </w:rPr>
        <w:t xml:space="preserve">loss of 1,000,000 MWh in each.  </w:t>
      </w:r>
      <w:r w:rsidR="009A430D" w:rsidRPr="009B3214">
        <w:rPr>
          <w:rFonts w:cs="Times New Roman"/>
          <w:szCs w:val="24"/>
        </w:rPr>
        <w:t xml:space="preserve">In the Conservation </w:t>
      </w:r>
      <w:r w:rsidR="00172B1A" w:rsidRPr="009B3214">
        <w:rPr>
          <w:rFonts w:cs="Times New Roman"/>
          <w:szCs w:val="24"/>
        </w:rPr>
        <w:t>S</w:t>
      </w:r>
      <w:r w:rsidR="009A430D" w:rsidRPr="009B3214">
        <w:rPr>
          <w:rFonts w:cs="Times New Roman"/>
          <w:szCs w:val="24"/>
        </w:rPr>
        <w:t xml:space="preserve">cenario, the </w:t>
      </w:r>
      <w:r w:rsidR="00720015" w:rsidRPr="009B3214">
        <w:rPr>
          <w:rFonts w:cs="Times New Roman"/>
          <w:szCs w:val="24"/>
        </w:rPr>
        <w:t xml:space="preserve">MWh </w:t>
      </w:r>
      <w:r w:rsidR="009A430D" w:rsidRPr="009B3214">
        <w:rPr>
          <w:rFonts w:cs="Times New Roman"/>
          <w:szCs w:val="24"/>
        </w:rPr>
        <w:t xml:space="preserve">loss was due to conservation; the number of customers stayed the same.  In the Municipalization </w:t>
      </w:r>
      <w:r w:rsidR="00172B1A" w:rsidRPr="009B3214">
        <w:rPr>
          <w:rFonts w:cs="Times New Roman"/>
          <w:szCs w:val="24"/>
        </w:rPr>
        <w:t>S</w:t>
      </w:r>
      <w:r w:rsidR="009A430D" w:rsidRPr="009B3214">
        <w:rPr>
          <w:rFonts w:cs="Times New Roman"/>
          <w:szCs w:val="24"/>
        </w:rPr>
        <w:t xml:space="preserve">cenario, the </w:t>
      </w:r>
      <w:r w:rsidR="00720015" w:rsidRPr="009B3214">
        <w:rPr>
          <w:rFonts w:cs="Times New Roman"/>
          <w:szCs w:val="24"/>
        </w:rPr>
        <w:t xml:space="preserve">MWh loss </w:t>
      </w:r>
      <w:r w:rsidR="009A430D" w:rsidRPr="009B3214">
        <w:rPr>
          <w:rFonts w:cs="Times New Roman"/>
          <w:szCs w:val="24"/>
        </w:rPr>
        <w:t>was due to the loss of 50,000 customers</w:t>
      </w:r>
      <w:r w:rsidR="008414AD">
        <w:rPr>
          <w:rFonts w:cs="Times New Roman"/>
          <w:szCs w:val="24"/>
        </w:rPr>
        <w:t>.</w:t>
      </w:r>
      <w:r w:rsidR="00090A5E">
        <w:rPr>
          <w:rStyle w:val="FootnoteReference"/>
          <w:rFonts w:cs="Times New Roman"/>
          <w:szCs w:val="24"/>
        </w:rPr>
        <w:footnoteReference w:id="41"/>
      </w:r>
      <w:r w:rsidR="00152F78" w:rsidRPr="009B3214">
        <w:rPr>
          <w:rFonts w:cs="Times New Roman"/>
          <w:szCs w:val="24"/>
        </w:rPr>
        <w:t xml:space="preserve">  </w:t>
      </w:r>
    </w:p>
    <w:p w14:paraId="55080547" w14:textId="77777777" w:rsidR="00456DA6" w:rsidRPr="00D00125" w:rsidRDefault="009B3214" w:rsidP="00B62E99">
      <w:pPr>
        <w:pStyle w:val="ListParagraph"/>
        <w:numPr>
          <w:ilvl w:val="0"/>
          <w:numId w:val="25"/>
        </w:numPr>
        <w:spacing w:line="480" w:lineRule="auto"/>
      </w:pPr>
      <w:r w:rsidRPr="00B62E99">
        <w:rPr>
          <w:rFonts w:cs="Times New Roman"/>
          <w:szCs w:val="24"/>
        </w:rPr>
        <w:tab/>
      </w:r>
      <w:r w:rsidR="00090A5E" w:rsidRPr="00B62E99">
        <w:rPr>
          <w:rFonts w:cs="Times New Roman"/>
          <w:szCs w:val="24"/>
        </w:rPr>
        <w:t>In fact, t</w:t>
      </w:r>
      <w:r w:rsidR="00E17592" w:rsidRPr="00B62E99">
        <w:rPr>
          <w:rFonts w:cs="Times New Roman"/>
          <w:szCs w:val="24"/>
        </w:rPr>
        <w:t xml:space="preserve">his hypothetical </w:t>
      </w:r>
      <w:r w:rsidR="007752E4" w:rsidRPr="00B62E99">
        <w:rPr>
          <w:rFonts w:cs="Times New Roman"/>
          <w:szCs w:val="24"/>
        </w:rPr>
        <w:t xml:space="preserve">proves </w:t>
      </w:r>
      <w:r w:rsidR="007752E4" w:rsidRPr="008414AD">
        <w:rPr>
          <w:rFonts w:cs="Times New Roman"/>
          <w:szCs w:val="24"/>
        </w:rPr>
        <w:t>customer</w:t>
      </w:r>
      <w:r w:rsidR="008414AD" w:rsidRPr="008414AD">
        <w:rPr>
          <w:rFonts w:cs="Times New Roman"/>
          <w:szCs w:val="24"/>
        </w:rPr>
        <w:t xml:space="preserve"> harm </w:t>
      </w:r>
      <w:r w:rsidR="007752E4" w:rsidRPr="008414AD">
        <w:rPr>
          <w:rFonts w:cs="Times New Roman"/>
          <w:szCs w:val="24"/>
        </w:rPr>
        <w:t>in the Municipalizati</w:t>
      </w:r>
      <w:r w:rsidR="006D2F92" w:rsidRPr="008414AD">
        <w:rPr>
          <w:rFonts w:cs="Times New Roman"/>
          <w:szCs w:val="24"/>
        </w:rPr>
        <w:t>o</w:t>
      </w:r>
      <w:r w:rsidR="007752E4" w:rsidRPr="008414AD">
        <w:rPr>
          <w:rFonts w:cs="Times New Roman"/>
          <w:szCs w:val="24"/>
        </w:rPr>
        <w:t xml:space="preserve">n </w:t>
      </w:r>
      <w:r w:rsidR="00172B1A" w:rsidRPr="008414AD">
        <w:rPr>
          <w:rFonts w:cs="Times New Roman"/>
          <w:szCs w:val="24"/>
        </w:rPr>
        <w:t>S</w:t>
      </w:r>
      <w:r w:rsidR="007752E4" w:rsidRPr="008414AD">
        <w:rPr>
          <w:rFonts w:cs="Times New Roman"/>
          <w:szCs w:val="24"/>
        </w:rPr>
        <w:t>cenario compa</w:t>
      </w:r>
      <w:r w:rsidR="00090A5E" w:rsidRPr="008414AD">
        <w:rPr>
          <w:rFonts w:cs="Times New Roman"/>
          <w:szCs w:val="24"/>
        </w:rPr>
        <w:t>r</w:t>
      </w:r>
      <w:r w:rsidR="007752E4" w:rsidRPr="008414AD">
        <w:rPr>
          <w:rFonts w:cs="Times New Roman"/>
          <w:szCs w:val="24"/>
        </w:rPr>
        <w:t xml:space="preserve">ed to the Conservation </w:t>
      </w:r>
      <w:r w:rsidR="00172B1A" w:rsidRPr="008414AD">
        <w:rPr>
          <w:rFonts w:cs="Times New Roman"/>
          <w:szCs w:val="24"/>
        </w:rPr>
        <w:t>S</w:t>
      </w:r>
      <w:r w:rsidR="007752E4" w:rsidRPr="008414AD">
        <w:rPr>
          <w:rFonts w:cs="Times New Roman"/>
          <w:szCs w:val="24"/>
        </w:rPr>
        <w:t xml:space="preserve">cenario, because, though the usage change </w:t>
      </w:r>
      <w:r w:rsidR="00123DAC" w:rsidRPr="008414AD">
        <w:rPr>
          <w:rFonts w:cs="Times New Roman"/>
          <w:szCs w:val="24"/>
        </w:rPr>
        <w:t>is</w:t>
      </w:r>
      <w:r w:rsidR="007752E4" w:rsidRPr="008414AD">
        <w:rPr>
          <w:rFonts w:cs="Times New Roman"/>
          <w:szCs w:val="24"/>
        </w:rPr>
        <w:t xml:space="preserve"> the same in each scenario</w:t>
      </w:r>
      <w:r w:rsidR="007752E4" w:rsidRPr="008414AD" w:rsidDel="007752E4">
        <w:rPr>
          <w:rFonts w:cs="Times New Roman"/>
          <w:szCs w:val="24"/>
        </w:rPr>
        <w:t xml:space="preserve"> </w:t>
      </w:r>
      <w:r w:rsidR="007752E4" w:rsidRPr="008414AD">
        <w:rPr>
          <w:rFonts w:cs="Times New Roman"/>
          <w:szCs w:val="24"/>
        </w:rPr>
        <w:t>(</w:t>
      </w:r>
      <w:r w:rsidR="00870C86" w:rsidRPr="008414AD">
        <w:rPr>
          <w:rFonts w:cs="Times New Roman"/>
          <w:szCs w:val="24"/>
        </w:rPr>
        <w:t>usage changed from 20 million MWh to 19 million M</w:t>
      </w:r>
      <w:r w:rsidR="00F52FFB" w:rsidRPr="008414AD">
        <w:rPr>
          <w:rFonts w:cs="Times New Roman"/>
          <w:szCs w:val="24"/>
        </w:rPr>
        <w:t>W</w:t>
      </w:r>
      <w:r w:rsidR="00870C86" w:rsidRPr="008414AD">
        <w:rPr>
          <w:rFonts w:cs="Times New Roman"/>
          <w:szCs w:val="24"/>
        </w:rPr>
        <w:t>h</w:t>
      </w:r>
      <w:r w:rsidR="007752E4" w:rsidRPr="008414AD">
        <w:rPr>
          <w:rFonts w:cs="Times New Roman"/>
          <w:szCs w:val="24"/>
        </w:rPr>
        <w:t xml:space="preserve">), the revenues paid by customers is </w:t>
      </w:r>
      <w:r w:rsidR="00E17592" w:rsidRPr="008414AD">
        <w:rPr>
          <w:rFonts w:cs="Times New Roman"/>
          <w:szCs w:val="24"/>
        </w:rPr>
        <w:t xml:space="preserve">much </w:t>
      </w:r>
      <w:r w:rsidR="007752E4" w:rsidRPr="008414AD">
        <w:rPr>
          <w:rFonts w:cs="Times New Roman"/>
          <w:szCs w:val="24"/>
        </w:rPr>
        <w:t xml:space="preserve">higher </w:t>
      </w:r>
      <w:r w:rsidR="00BF2C21" w:rsidRPr="008414AD">
        <w:rPr>
          <w:rFonts w:cs="Times New Roman"/>
          <w:szCs w:val="24"/>
        </w:rPr>
        <w:t>in the M</w:t>
      </w:r>
      <w:r w:rsidR="007752E4" w:rsidRPr="008414AD">
        <w:rPr>
          <w:rFonts w:cs="Times New Roman"/>
          <w:szCs w:val="24"/>
        </w:rPr>
        <w:t>unicipalization</w:t>
      </w:r>
      <w:r w:rsidR="00BF2C21" w:rsidRPr="008414AD">
        <w:rPr>
          <w:rFonts w:cs="Times New Roman"/>
          <w:szCs w:val="24"/>
        </w:rPr>
        <w:t xml:space="preserve"> </w:t>
      </w:r>
      <w:r w:rsidR="00172B1A" w:rsidRPr="008414AD">
        <w:rPr>
          <w:rFonts w:cs="Times New Roman"/>
          <w:szCs w:val="24"/>
        </w:rPr>
        <w:t>S</w:t>
      </w:r>
      <w:r w:rsidR="00BF2C21" w:rsidRPr="008414AD">
        <w:rPr>
          <w:rFonts w:cs="Times New Roman"/>
          <w:szCs w:val="24"/>
        </w:rPr>
        <w:t>cenario</w:t>
      </w:r>
      <w:r w:rsidR="00526108" w:rsidRPr="008414AD">
        <w:rPr>
          <w:rFonts w:cs="Times New Roman"/>
          <w:szCs w:val="24"/>
        </w:rPr>
        <w:t>:</w:t>
      </w:r>
      <w:r w:rsidR="007752E4" w:rsidRPr="008414AD">
        <w:rPr>
          <w:rFonts w:cs="Times New Roman"/>
          <w:szCs w:val="24"/>
        </w:rPr>
        <w:t xml:space="preserve"> </w:t>
      </w:r>
      <w:r w:rsidR="00526108" w:rsidRPr="008414AD">
        <w:rPr>
          <w:rFonts w:cs="Times New Roman"/>
          <w:szCs w:val="24"/>
        </w:rPr>
        <w:t xml:space="preserve"> </w:t>
      </w:r>
      <w:r w:rsidR="007752E4" w:rsidRPr="008414AD">
        <w:rPr>
          <w:rFonts w:cs="Times New Roman"/>
          <w:szCs w:val="24"/>
        </w:rPr>
        <w:t>$526 per customer</w:t>
      </w:r>
      <w:r w:rsidR="00BF2C21" w:rsidRPr="008414AD">
        <w:rPr>
          <w:rFonts w:cs="Times New Roman"/>
          <w:szCs w:val="24"/>
        </w:rPr>
        <w:t>,</w:t>
      </w:r>
      <w:r w:rsidR="00BF2C21">
        <w:rPr>
          <w:rStyle w:val="FootnoteReference"/>
          <w:rFonts w:cs="Times New Roman"/>
          <w:szCs w:val="24"/>
        </w:rPr>
        <w:footnoteReference w:id="42"/>
      </w:r>
      <w:r w:rsidR="007752E4" w:rsidRPr="00B62E99">
        <w:rPr>
          <w:rFonts w:cs="Times New Roman"/>
          <w:szCs w:val="24"/>
        </w:rPr>
        <w:t xml:space="preserve"> </w:t>
      </w:r>
      <w:r w:rsidR="00BF2C21" w:rsidRPr="00B62E99">
        <w:rPr>
          <w:rFonts w:cs="Times New Roman"/>
          <w:szCs w:val="24"/>
        </w:rPr>
        <w:t>compared to $499.7</w:t>
      </w:r>
      <w:r w:rsidR="00B3757F" w:rsidRPr="00B62E99">
        <w:rPr>
          <w:rFonts w:cs="Times New Roman"/>
          <w:szCs w:val="24"/>
        </w:rPr>
        <w:t>0</w:t>
      </w:r>
      <w:r w:rsidR="00BF2C21" w:rsidRPr="00B62E99">
        <w:rPr>
          <w:rFonts w:cs="Times New Roman"/>
          <w:szCs w:val="24"/>
        </w:rPr>
        <w:t xml:space="preserve"> per customer under the Conservation </w:t>
      </w:r>
      <w:r w:rsidR="006D2F92" w:rsidRPr="00D62F5E">
        <w:rPr>
          <w:rFonts w:cs="Times New Roman"/>
          <w:szCs w:val="24"/>
        </w:rPr>
        <w:t>Scenario</w:t>
      </w:r>
      <w:r w:rsidR="00526108" w:rsidRPr="008414AD">
        <w:rPr>
          <w:rFonts w:cs="Times New Roman"/>
          <w:szCs w:val="24"/>
        </w:rPr>
        <w:t>.</w:t>
      </w:r>
      <w:r w:rsidR="00BF2C21">
        <w:rPr>
          <w:rStyle w:val="FootnoteReference"/>
          <w:rFonts w:cs="Times New Roman"/>
          <w:szCs w:val="24"/>
        </w:rPr>
        <w:footnoteReference w:id="43"/>
      </w:r>
      <w:r w:rsidR="008414AD" w:rsidRPr="00B62E99">
        <w:rPr>
          <w:rFonts w:cs="Times New Roman"/>
          <w:szCs w:val="24"/>
        </w:rPr>
        <w:t xml:space="preserve">  </w:t>
      </w:r>
      <w:r w:rsidR="00E17592" w:rsidRPr="00B62E99">
        <w:rPr>
          <w:rFonts w:cs="Times New Roman"/>
          <w:szCs w:val="24"/>
        </w:rPr>
        <w:t xml:space="preserve">In the end, </w:t>
      </w:r>
      <w:r w:rsidR="00BF2C21" w:rsidRPr="00B62E99">
        <w:rPr>
          <w:rFonts w:cs="Times New Roman"/>
          <w:szCs w:val="24"/>
        </w:rPr>
        <w:t xml:space="preserve">PSE’s own numbers </w:t>
      </w:r>
      <w:r w:rsidR="00A15A5E" w:rsidRPr="00B62E99">
        <w:rPr>
          <w:rFonts w:cs="Times New Roman"/>
          <w:szCs w:val="24"/>
        </w:rPr>
        <w:t xml:space="preserve">sound the death knell for </w:t>
      </w:r>
      <w:r w:rsidR="007104BA" w:rsidRPr="00D62F5E">
        <w:rPr>
          <w:rFonts w:cs="Times New Roman"/>
          <w:szCs w:val="24"/>
        </w:rPr>
        <w:t>its</w:t>
      </w:r>
      <w:r w:rsidR="00123DAC" w:rsidRPr="008414AD">
        <w:rPr>
          <w:rFonts w:cs="Times New Roman"/>
          <w:szCs w:val="24"/>
        </w:rPr>
        <w:t xml:space="preserve"> </w:t>
      </w:r>
      <w:r w:rsidR="00526108" w:rsidRPr="008414AD">
        <w:rPr>
          <w:rFonts w:cs="Times New Roman"/>
          <w:szCs w:val="24"/>
        </w:rPr>
        <w:t>theory.</w:t>
      </w:r>
    </w:p>
    <w:p w14:paraId="2FBF4D6F" w14:textId="77777777" w:rsidR="0045234A" w:rsidRPr="001D567A" w:rsidRDefault="003D15B7" w:rsidP="001D567A">
      <w:pPr>
        <w:pStyle w:val="ListParagraph"/>
        <w:spacing w:line="480" w:lineRule="auto"/>
        <w:ind w:left="0"/>
        <w:rPr>
          <w:b/>
        </w:rPr>
      </w:pPr>
      <w:r>
        <w:rPr>
          <w:b/>
        </w:rPr>
        <w:t>G</w:t>
      </w:r>
      <w:r w:rsidR="00D00125">
        <w:rPr>
          <w:b/>
        </w:rPr>
        <w:t>.</w:t>
      </w:r>
      <w:r w:rsidR="00D00125">
        <w:rPr>
          <w:b/>
        </w:rPr>
        <w:tab/>
        <w:t xml:space="preserve">PSE’s Accumulated Depreciation Argument Misses the Point </w:t>
      </w:r>
    </w:p>
    <w:p w14:paraId="590A7097" w14:textId="77777777" w:rsidR="00D00125" w:rsidRDefault="0045234A" w:rsidP="0045234A">
      <w:pPr>
        <w:pStyle w:val="ListParagraph"/>
        <w:numPr>
          <w:ilvl w:val="0"/>
          <w:numId w:val="25"/>
        </w:numPr>
        <w:spacing w:line="480" w:lineRule="auto"/>
      </w:pPr>
      <w:r>
        <w:tab/>
      </w:r>
      <w:r w:rsidR="00D00125">
        <w:t xml:space="preserve">PSE </w:t>
      </w:r>
      <w:r w:rsidR="00E17592">
        <w:t xml:space="preserve">offers a belabored discussion of </w:t>
      </w:r>
      <w:r w:rsidR="00DE1863">
        <w:t>depreciation</w:t>
      </w:r>
      <w:r w:rsidR="00E17592">
        <w:t>,</w:t>
      </w:r>
      <w:r w:rsidR="00D00125">
        <w:rPr>
          <w:rStyle w:val="FootnoteReference"/>
        </w:rPr>
        <w:footnoteReference w:id="44"/>
      </w:r>
      <w:r w:rsidR="00E17592">
        <w:t xml:space="preserve"> but </w:t>
      </w:r>
      <w:r w:rsidR="009E37BC">
        <w:t xml:space="preserve">the Company simply </w:t>
      </w:r>
      <w:r w:rsidR="00E17592">
        <w:t>misses the point.</w:t>
      </w:r>
      <w:r w:rsidR="00D00125">
        <w:t xml:space="preserve">  Th</w:t>
      </w:r>
      <w:r w:rsidR="00526108">
        <w:t xml:space="preserve">e Accumulated Depreciation </w:t>
      </w:r>
      <w:r w:rsidR="00D00125">
        <w:t xml:space="preserve">issue arises because Staff and ICNU followed this Commission’s order in the </w:t>
      </w:r>
      <w:r w:rsidR="00D00125">
        <w:rPr>
          <w:i/>
        </w:rPr>
        <w:t>Centralia Case</w:t>
      </w:r>
      <w:r w:rsidR="00D00125">
        <w:t xml:space="preserve">, in which the Commission used Accumulated Depreciation as a way to </w:t>
      </w:r>
      <w:r w:rsidR="00B817D9">
        <w:t xml:space="preserve">evaluate how to </w:t>
      </w:r>
      <w:r w:rsidR="00D00125">
        <w:t xml:space="preserve">apportion the gain on sale to </w:t>
      </w:r>
      <w:r w:rsidR="00FC2EC2">
        <w:t>customers</w:t>
      </w:r>
      <w:r w:rsidR="00D00125">
        <w:t>.</w:t>
      </w:r>
      <w:r w:rsidR="00652EFC">
        <w:t xml:space="preserve">  In doing so, the Commission observed:</w:t>
      </w:r>
    </w:p>
    <w:p w14:paraId="008E45D3" w14:textId="77777777" w:rsidR="00652EFC" w:rsidRDefault="00652EFC" w:rsidP="009B3214">
      <w:pPr>
        <w:pStyle w:val="ListParagraph"/>
        <w:spacing w:after="120"/>
      </w:pPr>
      <w:r>
        <w:t xml:space="preserve">The fact that the facilities are selling for an amount greater than original cost is evidence that the facilities have an increasing, not a decreasing, value, as an asset in a competitive wholesale generation market.  This increased value is greater than the depreciation paid by ratepayers.  Thus, a portion of the gain equivalent to the difference between net book </w:t>
      </w:r>
      <w:r>
        <w:lastRenderedPageBreak/>
        <w:t xml:space="preserve">value and original cost should be returned to ratepayers, as they have, </w:t>
      </w:r>
      <w:r w:rsidRPr="00C15738">
        <w:rPr>
          <w:b/>
          <w:i/>
          <w:u w:val="single"/>
        </w:rPr>
        <w:t>in effect</w:t>
      </w:r>
      <w:r>
        <w:t>, overpaid necessary depreciation.  This amount would be equivalent to accumulated depreciation.</w:t>
      </w:r>
      <w:r>
        <w:rPr>
          <w:rStyle w:val="FootnoteReference"/>
        </w:rPr>
        <w:footnoteReference w:id="45"/>
      </w:r>
    </w:p>
    <w:p w14:paraId="6D195184" w14:textId="77777777" w:rsidR="00652EFC" w:rsidRDefault="00652EFC" w:rsidP="00652EFC">
      <w:pPr>
        <w:pStyle w:val="ListParagraph"/>
        <w:spacing w:after="120"/>
      </w:pPr>
    </w:p>
    <w:p w14:paraId="7F59390D" w14:textId="77777777" w:rsidR="00652EFC" w:rsidRDefault="00652EFC" w:rsidP="00652EFC">
      <w:pPr>
        <w:pStyle w:val="ListParagraph"/>
        <w:numPr>
          <w:ilvl w:val="0"/>
          <w:numId w:val="25"/>
        </w:numPr>
        <w:spacing w:after="120" w:line="480" w:lineRule="auto"/>
      </w:pPr>
      <w:r>
        <w:tab/>
      </w:r>
      <w:r w:rsidR="00B817D9">
        <w:t>While the situation is the same here (PSE sold Jefferson County assets at a greater value than net book), t</w:t>
      </w:r>
      <w:r>
        <w:t xml:space="preserve">here is nothing to suggest that the Commission </w:t>
      </w:r>
      <w:r w:rsidR="0002570E">
        <w:t xml:space="preserve">in the </w:t>
      </w:r>
      <w:r w:rsidR="0002570E">
        <w:rPr>
          <w:i/>
        </w:rPr>
        <w:t xml:space="preserve">Centralia Case </w:t>
      </w:r>
      <w:r>
        <w:t>intended anything more than a</w:t>
      </w:r>
      <w:r w:rsidR="00B817D9">
        <w:t xml:space="preserve"> </w:t>
      </w:r>
      <w:r w:rsidR="00F52FFB">
        <w:t xml:space="preserve">conceptual </w:t>
      </w:r>
      <w:r w:rsidR="00B817D9">
        <w:t xml:space="preserve">method </w:t>
      </w:r>
      <w:r>
        <w:t>for</w:t>
      </w:r>
      <w:r w:rsidR="004714D3">
        <w:t xml:space="preserve"> determining how to</w:t>
      </w:r>
      <w:r>
        <w:t xml:space="preserve"> shar</w:t>
      </w:r>
      <w:r w:rsidR="004714D3">
        <w:t>e</w:t>
      </w:r>
      <w:r>
        <w:t xml:space="preserve"> the gain.  All of PSE’s arguments in this case regarding Accumulated Depreciation, including what depreciation expense was “in rates” and “not in rates” w</w:t>
      </w:r>
      <w:r w:rsidR="00DE1863">
        <w:t>ere</w:t>
      </w:r>
      <w:r>
        <w:t xml:space="preserve"> </w:t>
      </w:r>
      <w:r w:rsidR="00B817D9">
        <w:t xml:space="preserve">irrelevant </w:t>
      </w:r>
      <w:r w:rsidR="00123DAC">
        <w:t xml:space="preserve">in the </w:t>
      </w:r>
      <w:r>
        <w:rPr>
          <w:i/>
        </w:rPr>
        <w:t>Centralia Case</w:t>
      </w:r>
      <w:r w:rsidR="00BF2C21">
        <w:rPr>
          <w:i/>
        </w:rPr>
        <w:t>.</w:t>
      </w:r>
      <w:r w:rsidR="00BF2C21" w:rsidDel="00BF2C21">
        <w:t xml:space="preserve"> </w:t>
      </w:r>
    </w:p>
    <w:p w14:paraId="1CEE9618" w14:textId="77777777" w:rsidR="00D00125" w:rsidRDefault="00652EFC" w:rsidP="007158C2">
      <w:pPr>
        <w:pStyle w:val="ListParagraph"/>
        <w:numPr>
          <w:ilvl w:val="0"/>
          <w:numId w:val="25"/>
        </w:numPr>
        <w:spacing w:after="120" w:line="480" w:lineRule="auto"/>
      </w:pPr>
      <w:r>
        <w:tab/>
        <w:t>If the Commission chooses the same approach as in the</w:t>
      </w:r>
      <w:r w:rsidRPr="00B817D9">
        <w:rPr>
          <w:i/>
        </w:rPr>
        <w:t xml:space="preserve"> Centralia Case, </w:t>
      </w:r>
      <w:r>
        <w:t xml:space="preserve">it should use Accumulated Depreciation as a basis for </w:t>
      </w:r>
      <w:r w:rsidR="00B817D9">
        <w:t>an equitable sharing, and nothing more.</w:t>
      </w:r>
    </w:p>
    <w:p w14:paraId="0800DFA1" w14:textId="77777777" w:rsidR="006A79E1" w:rsidRPr="001D567A" w:rsidRDefault="003D15B7" w:rsidP="001D567A">
      <w:pPr>
        <w:pStyle w:val="ListParagraph"/>
        <w:spacing w:line="480" w:lineRule="auto"/>
        <w:ind w:hanging="720"/>
        <w:rPr>
          <w:b/>
        </w:rPr>
      </w:pPr>
      <w:r>
        <w:rPr>
          <w:b/>
        </w:rPr>
        <w:t>H</w:t>
      </w:r>
      <w:r w:rsidR="006A79E1">
        <w:rPr>
          <w:b/>
        </w:rPr>
        <w:t>.</w:t>
      </w:r>
      <w:r w:rsidR="006A79E1">
        <w:rPr>
          <w:b/>
        </w:rPr>
        <w:tab/>
        <w:t xml:space="preserve">PSE’s Argument on Regulatory Assets </w:t>
      </w:r>
      <w:r w:rsidR="00A577A7">
        <w:rPr>
          <w:b/>
        </w:rPr>
        <w:t>Confirms</w:t>
      </w:r>
      <w:r w:rsidR="006A79E1">
        <w:rPr>
          <w:b/>
        </w:rPr>
        <w:t xml:space="preserve"> Staff’s Risk/Reward Analysis</w:t>
      </w:r>
    </w:p>
    <w:p w14:paraId="248FCCDA" w14:textId="77777777" w:rsidR="0002570E" w:rsidRDefault="006A79E1" w:rsidP="00152F78">
      <w:pPr>
        <w:pStyle w:val="ListParagraph"/>
        <w:numPr>
          <w:ilvl w:val="0"/>
          <w:numId w:val="25"/>
        </w:numPr>
        <w:spacing w:line="480" w:lineRule="auto"/>
      </w:pPr>
      <w:r>
        <w:tab/>
      </w:r>
      <w:r w:rsidR="00035D55">
        <w:t xml:space="preserve">According to PSE, </w:t>
      </w:r>
      <w:r w:rsidR="00DA4917">
        <w:t xml:space="preserve">the $709 million in regulatory assets on its books </w:t>
      </w:r>
      <w:r w:rsidR="00035D55">
        <w:t>ha</w:t>
      </w:r>
      <w:r w:rsidR="00D00125">
        <w:t>ve</w:t>
      </w:r>
      <w:r w:rsidR="00035D55">
        <w:t xml:space="preserve"> no particular relevance to this case</w:t>
      </w:r>
      <w:r w:rsidR="00263AEF">
        <w:t xml:space="preserve">.  PSE </w:t>
      </w:r>
      <w:r w:rsidR="00E17592">
        <w:t xml:space="preserve">thinks </w:t>
      </w:r>
      <w:r w:rsidR="00035D55">
        <w:t xml:space="preserve">these deferrals exist </w:t>
      </w:r>
      <w:r w:rsidR="00736E19">
        <w:t xml:space="preserve">simply </w:t>
      </w:r>
      <w:r w:rsidR="00DA4917">
        <w:t>for “customer benefit” a</w:t>
      </w:r>
      <w:r w:rsidR="00035D55">
        <w:t>s a</w:t>
      </w:r>
      <w:r w:rsidR="00DA4917">
        <w:t xml:space="preserve"> “means </w:t>
      </w:r>
      <w:r w:rsidR="00CF6004">
        <w:t xml:space="preserve">[for PSE] </w:t>
      </w:r>
      <w:r w:rsidR="00DA4917">
        <w:t>to recover … prudently incurred costs” and “to avoid rate volatility.”</w:t>
      </w:r>
      <w:r w:rsidR="00DA4917">
        <w:rPr>
          <w:rStyle w:val="FootnoteReference"/>
        </w:rPr>
        <w:footnoteReference w:id="46"/>
      </w:r>
      <w:r w:rsidR="00DA4917">
        <w:t xml:space="preserve">  </w:t>
      </w:r>
    </w:p>
    <w:p w14:paraId="3BB284DD" w14:textId="77777777" w:rsidR="00035D55" w:rsidRDefault="0002570E" w:rsidP="0002570E">
      <w:pPr>
        <w:pStyle w:val="ListParagraph"/>
        <w:numPr>
          <w:ilvl w:val="0"/>
          <w:numId w:val="25"/>
        </w:numPr>
        <w:spacing w:line="480" w:lineRule="auto"/>
      </w:pPr>
      <w:r>
        <w:tab/>
      </w:r>
      <w:r w:rsidR="00123DAC">
        <w:t xml:space="preserve">In fact, this </w:t>
      </w:r>
      <w:r>
        <w:t xml:space="preserve">PSE argument </w:t>
      </w:r>
      <w:r w:rsidR="005421DE">
        <w:t xml:space="preserve">confirms Staff is correct that </w:t>
      </w:r>
      <w:r w:rsidR="004714D3">
        <w:t xml:space="preserve">creating </w:t>
      </w:r>
      <w:r w:rsidR="00035D55">
        <w:t xml:space="preserve">these regulatory assets </w:t>
      </w:r>
      <w:r w:rsidR="00526108">
        <w:t xml:space="preserve">places </w:t>
      </w:r>
      <w:r w:rsidR="005421DE">
        <w:t xml:space="preserve">cost responsibility </w:t>
      </w:r>
      <w:r w:rsidR="00D00125">
        <w:t xml:space="preserve">to </w:t>
      </w:r>
      <w:r w:rsidR="00035D55">
        <w:t xml:space="preserve">PSE </w:t>
      </w:r>
      <w:r w:rsidR="005421DE">
        <w:t xml:space="preserve">customers, and </w:t>
      </w:r>
      <w:r w:rsidR="00A15A5E">
        <w:t xml:space="preserve">thus </w:t>
      </w:r>
      <w:r w:rsidR="005421DE">
        <w:t xml:space="preserve">places upon </w:t>
      </w:r>
      <w:r w:rsidR="00D00125">
        <w:t xml:space="preserve">PSE </w:t>
      </w:r>
      <w:r w:rsidR="005421DE">
        <w:t>customers the risk of loss.</w:t>
      </w:r>
      <w:r w:rsidR="00035D55">
        <w:rPr>
          <w:rStyle w:val="FootnoteReference"/>
        </w:rPr>
        <w:footnoteReference w:id="47"/>
      </w:r>
      <w:r w:rsidR="00035D55">
        <w:t xml:space="preserve"> </w:t>
      </w:r>
      <w:r w:rsidR="006A79E1">
        <w:t xml:space="preserve"> </w:t>
      </w:r>
      <w:r w:rsidR="00123DAC">
        <w:t xml:space="preserve">It also </w:t>
      </w:r>
      <w:r w:rsidR="005421DE">
        <w:t>proves</w:t>
      </w:r>
      <w:r w:rsidR="00DA4917">
        <w:t xml:space="preserve"> just how</w:t>
      </w:r>
      <w:r w:rsidR="006157AD">
        <w:t xml:space="preserve"> </w:t>
      </w:r>
      <w:r w:rsidR="008526C1">
        <w:t xml:space="preserve">desensitized </w:t>
      </w:r>
      <w:r w:rsidR="00DA4917">
        <w:t xml:space="preserve">PSE has become </w:t>
      </w:r>
      <w:r w:rsidR="00035D55">
        <w:t xml:space="preserve">regarding </w:t>
      </w:r>
      <w:r w:rsidR="00DA4917">
        <w:t>regulatory asset</w:t>
      </w:r>
      <w:r w:rsidR="00035D55">
        <w:t>s</w:t>
      </w:r>
      <w:r w:rsidR="005421DE">
        <w:t xml:space="preserve">, which should be the exception, </w:t>
      </w:r>
      <w:r w:rsidR="00DE4DFC">
        <w:t>rather than the norm</w:t>
      </w:r>
      <w:r w:rsidR="00DA4917">
        <w:t xml:space="preserve">.  </w:t>
      </w:r>
      <w:r w:rsidR="00035D55">
        <w:t xml:space="preserve">Take, for example, extraordinary storm damage expenses.  </w:t>
      </w:r>
      <w:r w:rsidR="008A7AFD">
        <w:t xml:space="preserve">Some commissions have allowed </w:t>
      </w:r>
      <w:r w:rsidR="009A430D">
        <w:t xml:space="preserve">recovery of </w:t>
      </w:r>
      <w:r w:rsidR="008A7AFD">
        <w:t>only a normal level of storm damage</w:t>
      </w:r>
      <w:r w:rsidR="00526108">
        <w:t xml:space="preserve"> expenses</w:t>
      </w:r>
      <w:r w:rsidR="008A7AFD">
        <w:t xml:space="preserve">, and </w:t>
      </w:r>
      <w:r w:rsidR="00D00125">
        <w:t xml:space="preserve">have </w:t>
      </w:r>
      <w:r w:rsidR="008A7AFD">
        <w:t>disallowed recovery of extraordinary storm damage expenses.</w:t>
      </w:r>
      <w:r w:rsidR="008A7AFD">
        <w:rPr>
          <w:rStyle w:val="FootnoteReference"/>
        </w:rPr>
        <w:footnoteReference w:id="48"/>
      </w:r>
      <w:r w:rsidR="008A7AFD">
        <w:t xml:space="preserve">  </w:t>
      </w:r>
      <w:r w:rsidR="00B817D9">
        <w:t>A</w:t>
      </w:r>
      <w:r w:rsidR="008A7AFD">
        <w:t xml:space="preserve"> </w:t>
      </w:r>
      <w:r w:rsidR="005421DE">
        <w:t xml:space="preserve">Rhode Island </w:t>
      </w:r>
      <w:r w:rsidR="00D00125">
        <w:t xml:space="preserve">utility </w:t>
      </w:r>
      <w:r w:rsidR="00DA4917">
        <w:t xml:space="preserve">had to go to </w:t>
      </w:r>
      <w:r w:rsidR="00736E19">
        <w:t>its</w:t>
      </w:r>
      <w:r w:rsidR="005421DE">
        <w:t xml:space="preserve"> </w:t>
      </w:r>
      <w:r w:rsidR="00D00125">
        <w:t>state s</w:t>
      </w:r>
      <w:r w:rsidR="005421DE">
        <w:t xml:space="preserve">upreme </w:t>
      </w:r>
      <w:r w:rsidR="00D00125">
        <w:t>c</w:t>
      </w:r>
      <w:r w:rsidR="005421DE">
        <w:t>ourt</w:t>
      </w:r>
      <w:r w:rsidR="00DA4917">
        <w:t xml:space="preserve"> to recover </w:t>
      </w:r>
      <w:r w:rsidR="007158C2">
        <w:t xml:space="preserve">past </w:t>
      </w:r>
      <w:r w:rsidR="00DE1863">
        <w:t xml:space="preserve">extraordinary storm damage expenses, </w:t>
      </w:r>
      <w:r>
        <w:t xml:space="preserve">and </w:t>
      </w:r>
      <w:r w:rsidR="00035D55">
        <w:t>th</w:t>
      </w:r>
      <w:r w:rsidR="00D00125">
        <w:t>e</w:t>
      </w:r>
      <w:r w:rsidR="00035D55">
        <w:t xml:space="preserve"> court </w:t>
      </w:r>
      <w:r w:rsidR="00DE1863">
        <w:t>had to create</w:t>
      </w:r>
      <w:r w:rsidR="008526C1">
        <w:t xml:space="preserve"> </w:t>
      </w:r>
      <w:r w:rsidR="00DA4917">
        <w:t xml:space="preserve">an exception to the retroactive ratemaking </w:t>
      </w:r>
      <w:r>
        <w:t xml:space="preserve">rule </w:t>
      </w:r>
      <w:r w:rsidR="00DE1863">
        <w:t xml:space="preserve">to </w:t>
      </w:r>
      <w:r>
        <w:t xml:space="preserve">provide </w:t>
      </w:r>
      <w:r>
        <w:lastRenderedPageBreak/>
        <w:t>such recovery</w:t>
      </w:r>
      <w:r w:rsidR="00DA4917">
        <w:t>.</w:t>
      </w:r>
      <w:r w:rsidR="00DA4917">
        <w:rPr>
          <w:rStyle w:val="FootnoteReference"/>
        </w:rPr>
        <w:footnoteReference w:id="49"/>
      </w:r>
      <w:r w:rsidR="00DA4917">
        <w:t xml:space="preserve">  </w:t>
      </w:r>
      <w:r w:rsidR="00263AEF">
        <w:t xml:space="preserve">In </w:t>
      </w:r>
      <w:r w:rsidR="00F52FFB">
        <w:t>stark</w:t>
      </w:r>
      <w:r w:rsidR="00263AEF">
        <w:t xml:space="preserve"> contrast is </w:t>
      </w:r>
      <w:r>
        <w:t>PSE, who obtains an accounting order</w:t>
      </w:r>
      <w:r w:rsidR="00035D55">
        <w:t>, defer</w:t>
      </w:r>
      <w:r w:rsidR="008A7AFD">
        <w:t>s</w:t>
      </w:r>
      <w:r w:rsidR="00D00125">
        <w:t xml:space="preserve"> </w:t>
      </w:r>
      <w:r w:rsidR="008A7AFD">
        <w:t xml:space="preserve">extraordinary </w:t>
      </w:r>
      <w:r w:rsidR="00D00125">
        <w:t>storm damage expenses</w:t>
      </w:r>
      <w:r w:rsidR="00035D55">
        <w:t xml:space="preserve">, and </w:t>
      </w:r>
      <w:r w:rsidR="00526108">
        <w:t>from then on</w:t>
      </w:r>
      <w:r w:rsidR="00CF6004">
        <w:t xml:space="preserve">, the Company </w:t>
      </w:r>
      <w:r w:rsidR="00123DAC">
        <w:t>enjoys</w:t>
      </w:r>
      <w:r w:rsidR="00D00125">
        <w:t xml:space="preserve"> </w:t>
      </w:r>
      <w:r w:rsidR="00035D55">
        <w:t>guaranteed</w:t>
      </w:r>
      <w:r w:rsidR="008526C1">
        <w:t>, dollar for dollar cost recovery from customers</w:t>
      </w:r>
      <w:r w:rsidR="00035D55">
        <w:t>.</w:t>
      </w:r>
      <w:r w:rsidR="00417915">
        <w:t xml:space="preserve">  </w:t>
      </w:r>
    </w:p>
    <w:p w14:paraId="4A9FD891" w14:textId="77777777" w:rsidR="008526C1" w:rsidRDefault="00035D55" w:rsidP="00B63888">
      <w:pPr>
        <w:pStyle w:val="ListParagraph"/>
        <w:numPr>
          <w:ilvl w:val="0"/>
          <w:numId w:val="25"/>
        </w:numPr>
        <w:spacing w:line="480" w:lineRule="auto"/>
      </w:pPr>
      <w:r>
        <w:tab/>
        <w:t>The fact</w:t>
      </w:r>
      <w:r w:rsidR="008526C1">
        <w:t xml:space="preserve"> is,</w:t>
      </w:r>
      <w:r>
        <w:t xml:space="preserve"> </w:t>
      </w:r>
      <w:r w:rsidR="003D15B7">
        <w:t xml:space="preserve">PSE’s regulatory assets provide </w:t>
      </w:r>
      <w:r w:rsidR="008526C1">
        <w:t>at least “</w:t>
      </w:r>
      <w:r>
        <w:t>709 million reasons</w:t>
      </w:r>
      <w:r w:rsidR="008526C1">
        <w:t>”</w:t>
      </w:r>
      <w:r>
        <w:t xml:space="preserve"> why </w:t>
      </w:r>
      <w:r w:rsidR="00FC2EC2">
        <w:t>customers</w:t>
      </w:r>
      <w:r>
        <w:t xml:space="preserve"> have borne the risk of loss regarding PSE’s utility property in this state.</w:t>
      </w:r>
      <w:r w:rsidR="00DA4917">
        <w:t xml:space="preserve"> </w:t>
      </w:r>
      <w:r w:rsidR="008526C1">
        <w:t xml:space="preserve"> </w:t>
      </w:r>
      <w:r w:rsidR="00A15F61">
        <w:t xml:space="preserve">While </w:t>
      </w:r>
      <w:r w:rsidR="00B817D9">
        <w:t xml:space="preserve">PSE </w:t>
      </w:r>
      <w:r w:rsidR="00A15F61">
        <w:t xml:space="preserve">has </w:t>
      </w:r>
      <w:r w:rsidR="006D2F92">
        <w:t>cho</w:t>
      </w:r>
      <w:r w:rsidR="00A15F61">
        <w:t xml:space="preserve">sen to </w:t>
      </w:r>
      <w:r w:rsidR="00B817D9">
        <w:t>disregard that reality</w:t>
      </w:r>
      <w:r w:rsidR="00A15F61">
        <w:t>, the Commission must not.  By shouldering these substantial risks, customers are entitled to the gain on sale in this case</w:t>
      </w:r>
      <w:r w:rsidR="00B63888">
        <w:t>.</w:t>
      </w:r>
    </w:p>
    <w:p w14:paraId="71441B0C" w14:textId="77777777" w:rsidR="0045234A" w:rsidRDefault="009B3214" w:rsidP="001D567A">
      <w:pPr>
        <w:spacing w:line="480" w:lineRule="auto"/>
        <w:jc w:val="center"/>
      </w:pPr>
      <w:r>
        <w:rPr>
          <w:b/>
        </w:rPr>
        <w:t>III.</w:t>
      </w:r>
      <w:r>
        <w:rPr>
          <w:b/>
        </w:rPr>
        <w:tab/>
      </w:r>
      <w:r w:rsidR="00B63888" w:rsidRPr="009B3214">
        <w:rPr>
          <w:b/>
        </w:rPr>
        <w:t>CONCLUSION</w:t>
      </w:r>
    </w:p>
    <w:p w14:paraId="5CCE9C89" w14:textId="77777777" w:rsidR="00B63888" w:rsidRDefault="0045234A" w:rsidP="0045234A">
      <w:pPr>
        <w:pStyle w:val="ListParagraph"/>
        <w:numPr>
          <w:ilvl w:val="0"/>
          <w:numId w:val="25"/>
        </w:numPr>
        <w:spacing w:line="480" w:lineRule="auto"/>
      </w:pPr>
      <w:r>
        <w:tab/>
      </w:r>
      <w:r w:rsidR="00B63888">
        <w:t xml:space="preserve">For the reasons stated in this brief and in Staff’s Initial Brief, of the $109,273,196 proceeds PSE received from the sale of its distribution system in Jefferson County, the Commission should allocate $56,572,473 to PSE and $52,700,723 to </w:t>
      </w:r>
      <w:r w:rsidR="00FC2EC2">
        <w:t>customers</w:t>
      </w:r>
      <w:r w:rsidR="00B63888">
        <w:t xml:space="preserve">.  This result reflects a correct application of the “regulatory compact,” and the risk/reward principle.  </w:t>
      </w:r>
    </w:p>
    <w:p w14:paraId="7D58134D" w14:textId="77777777" w:rsidR="00865186" w:rsidRPr="00B16752" w:rsidRDefault="00865186" w:rsidP="00865186">
      <w:pPr>
        <w:ind w:left="720"/>
      </w:pPr>
      <w:r w:rsidRPr="00B16752">
        <w:t>DATE</w:t>
      </w:r>
      <w:r>
        <w:t>D this 1</w:t>
      </w:r>
      <w:r w:rsidR="00C870A1">
        <w:t>7</w:t>
      </w:r>
      <w:r w:rsidRPr="00865186">
        <w:rPr>
          <w:vertAlign w:val="superscript"/>
        </w:rPr>
        <w:t>th</w:t>
      </w:r>
      <w:r>
        <w:t xml:space="preserve"> day of June</w:t>
      </w:r>
      <w:r w:rsidRPr="00B16752">
        <w:t xml:space="preserve"> 20</w:t>
      </w:r>
      <w:r>
        <w:t>14</w:t>
      </w:r>
      <w:r w:rsidRPr="00B16752">
        <w:t>.</w:t>
      </w:r>
    </w:p>
    <w:p w14:paraId="36E96184" w14:textId="77777777" w:rsidR="00865186" w:rsidRPr="00865186" w:rsidRDefault="00865186" w:rsidP="00865186">
      <w:pPr>
        <w:pStyle w:val="BodyTextIndent2"/>
        <w:ind w:left="0"/>
        <w:rPr>
          <w:rFonts w:ascii="Times New Roman" w:hAnsi="Times New Roman"/>
        </w:rPr>
      </w:pPr>
    </w:p>
    <w:p w14:paraId="324ED833" w14:textId="77777777" w:rsidR="00865186" w:rsidRDefault="00865186" w:rsidP="00865186">
      <w:pPr>
        <w:ind w:left="4320"/>
        <w:jc w:val="both"/>
      </w:pPr>
      <w:r>
        <w:t xml:space="preserve">Respectfully submitted, </w:t>
      </w:r>
    </w:p>
    <w:p w14:paraId="15C8EECD" w14:textId="77777777" w:rsidR="00865186" w:rsidRDefault="00865186" w:rsidP="00865186">
      <w:pPr>
        <w:ind w:left="4320"/>
        <w:jc w:val="both"/>
      </w:pPr>
    </w:p>
    <w:p w14:paraId="587DF2E2" w14:textId="77777777" w:rsidR="00865186" w:rsidRPr="00B16752" w:rsidRDefault="00865186" w:rsidP="00865186">
      <w:pPr>
        <w:ind w:left="4320"/>
        <w:jc w:val="both"/>
      </w:pPr>
      <w:r w:rsidRPr="00B16752">
        <w:t xml:space="preserve">ROBERT </w:t>
      </w:r>
      <w:r>
        <w:t>W. FERGUSON</w:t>
      </w:r>
      <w:r w:rsidRPr="00B16752">
        <w:t xml:space="preserve"> </w:t>
      </w:r>
    </w:p>
    <w:p w14:paraId="72DB9BB8" w14:textId="77777777" w:rsidR="00865186" w:rsidRPr="00B16752" w:rsidRDefault="00865186" w:rsidP="00865186">
      <w:pPr>
        <w:ind w:left="4320"/>
        <w:jc w:val="both"/>
      </w:pPr>
      <w:r w:rsidRPr="00B16752">
        <w:t>Attorney General</w:t>
      </w:r>
    </w:p>
    <w:p w14:paraId="6DF1D6F4" w14:textId="77777777" w:rsidR="00263AEF" w:rsidRDefault="00263AEF" w:rsidP="00865186">
      <w:pPr>
        <w:ind w:left="4320"/>
        <w:jc w:val="both"/>
      </w:pPr>
    </w:p>
    <w:p w14:paraId="71D04B3E" w14:textId="77777777" w:rsidR="00865186" w:rsidRDefault="00865186" w:rsidP="00865186">
      <w:pPr>
        <w:ind w:left="4320"/>
        <w:jc w:val="both"/>
      </w:pPr>
      <w:r>
        <w:t>______________________________________</w:t>
      </w:r>
    </w:p>
    <w:p w14:paraId="5EE38C6C" w14:textId="77777777" w:rsidR="00865186" w:rsidRPr="00B16752" w:rsidRDefault="00D02AFD" w:rsidP="00865186">
      <w:pPr>
        <w:ind w:left="4320"/>
        <w:jc w:val="both"/>
      </w:pPr>
      <w:r>
        <w:t xml:space="preserve">DONALD T. TROTTER </w:t>
      </w:r>
    </w:p>
    <w:p w14:paraId="5A8EF1A9" w14:textId="77777777" w:rsidR="00865186" w:rsidRPr="00B16752" w:rsidRDefault="00865186" w:rsidP="00865186">
      <w:pPr>
        <w:ind w:left="4320"/>
        <w:jc w:val="both"/>
      </w:pPr>
      <w:r w:rsidRPr="00B16752">
        <w:t>Assistant Attorney General</w:t>
      </w:r>
    </w:p>
    <w:p w14:paraId="38D9C5D9" w14:textId="77777777" w:rsidR="00865186" w:rsidRPr="00B16752" w:rsidRDefault="00865186" w:rsidP="00865186">
      <w:pPr>
        <w:ind w:left="4320"/>
        <w:jc w:val="both"/>
      </w:pPr>
      <w:r w:rsidRPr="00B16752">
        <w:t xml:space="preserve">Counsel for </w:t>
      </w:r>
      <w:smartTag w:uri="urn:schemas-microsoft-com:office:smarttags" w:element="place">
        <w:smartTag w:uri="urn:schemas-microsoft-com:office:smarttags" w:element="State">
          <w:r w:rsidRPr="00B16752">
            <w:t>Washington</w:t>
          </w:r>
        </w:smartTag>
      </w:smartTag>
      <w:r w:rsidRPr="00B16752">
        <w:t xml:space="preserve"> Utilities and</w:t>
      </w:r>
    </w:p>
    <w:p w14:paraId="1587ED6D" w14:textId="77777777" w:rsidR="00865186" w:rsidRPr="00B16752" w:rsidRDefault="00865186" w:rsidP="00865186">
      <w:pPr>
        <w:ind w:left="4320"/>
        <w:jc w:val="both"/>
      </w:pPr>
      <w:r w:rsidRPr="00B16752">
        <w:t>Transportation Commission Staff</w:t>
      </w:r>
    </w:p>
    <w:p w14:paraId="1AAC2F0A" w14:textId="77777777" w:rsidR="00417F17" w:rsidRPr="006A7848" w:rsidRDefault="00417F17" w:rsidP="00865186"/>
    <w:sectPr w:rsidR="00417F17" w:rsidRPr="006A7848" w:rsidSect="0095545C">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2AB68" w14:textId="77777777" w:rsidR="002A4FFD" w:rsidRDefault="002A4FFD" w:rsidP="00A70FE5">
      <w:r>
        <w:separator/>
      </w:r>
    </w:p>
  </w:endnote>
  <w:endnote w:type="continuationSeparator" w:id="0">
    <w:p w14:paraId="76AAB1A9" w14:textId="77777777" w:rsidR="002A4FFD" w:rsidRDefault="002A4FFD" w:rsidP="00A7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06E33" w14:textId="77777777" w:rsidR="00090D9B" w:rsidRDefault="00090D9B">
    <w:pPr>
      <w:pStyle w:val="Footer"/>
    </w:pPr>
    <w:r>
      <w:t xml:space="preserve">INITIAL BRIEF ON BEHALF OF COMMISSION STAFF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32CFB" w14:textId="77777777" w:rsidR="00090D9B" w:rsidRPr="002F15AA" w:rsidRDefault="00090D9B" w:rsidP="002F15AA">
    <w:pPr>
      <w:pStyle w:val="Footer"/>
      <w:tabs>
        <w:tab w:val="clear" w:pos="4680"/>
      </w:tabs>
      <w:rPr>
        <w:sz w:val="22"/>
      </w:rPr>
    </w:pPr>
    <w:r>
      <w:rPr>
        <w:sz w:val="22"/>
      </w:rPr>
      <w:t>REPLY</w:t>
    </w:r>
    <w:r w:rsidRPr="002F15AA">
      <w:rPr>
        <w:sz w:val="22"/>
      </w:rPr>
      <w:t xml:space="preserve"> BRIEF ON BEHALF OF COMMISSION STAFF - </w:t>
    </w:r>
    <w:r w:rsidRPr="002F15AA">
      <w:rPr>
        <w:sz w:val="22"/>
      </w:rPr>
      <w:fldChar w:fldCharType="begin"/>
    </w:r>
    <w:r w:rsidRPr="002F15AA">
      <w:rPr>
        <w:sz w:val="22"/>
      </w:rPr>
      <w:instrText xml:space="preserve"> PAGE   \* MERGEFORMAT </w:instrText>
    </w:r>
    <w:r w:rsidRPr="002F15AA">
      <w:rPr>
        <w:sz w:val="22"/>
      </w:rPr>
      <w:fldChar w:fldCharType="separate"/>
    </w:r>
    <w:r w:rsidR="008C5567">
      <w:rPr>
        <w:noProof/>
        <w:sz w:val="22"/>
      </w:rPr>
      <w:t>3</w:t>
    </w:r>
    <w:r w:rsidRPr="002F15AA">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54E33" w14:textId="77777777" w:rsidR="002A4FFD" w:rsidRDefault="002A4FFD" w:rsidP="00A70FE5">
      <w:r>
        <w:separator/>
      </w:r>
    </w:p>
  </w:footnote>
  <w:footnote w:type="continuationSeparator" w:id="0">
    <w:p w14:paraId="0A63F10E" w14:textId="77777777" w:rsidR="002A4FFD" w:rsidRDefault="002A4FFD" w:rsidP="00A70FE5">
      <w:r>
        <w:continuationSeparator/>
      </w:r>
    </w:p>
  </w:footnote>
  <w:footnote w:id="1">
    <w:p w14:paraId="2173F903" w14:textId="77777777" w:rsidR="00090D9B" w:rsidRDefault="00090D9B">
      <w:pPr>
        <w:pStyle w:val="FootnoteText"/>
      </w:pPr>
      <w:r>
        <w:rPr>
          <w:rStyle w:val="FootnoteReference"/>
        </w:rPr>
        <w:footnoteRef/>
      </w:r>
      <w:r>
        <w:t xml:space="preserve"> Initial Brief on Behalf of Commission Staff (June 10, 2014) (Staff Initial Brief)...</w:t>
      </w:r>
    </w:p>
  </w:footnote>
  <w:footnote w:id="2">
    <w:p w14:paraId="7924AE12" w14:textId="77777777" w:rsidR="00090D9B" w:rsidRDefault="00090D9B">
      <w:pPr>
        <w:pStyle w:val="FootnoteText"/>
      </w:pPr>
      <w:r>
        <w:rPr>
          <w:rStyle w:val="FootnoteReference"/>
        </w:rPr>
        <w:footnoteRef/>
      </w:r>
      <w:r>
        <w:t xml:space="preserve"> Post-Hearing Brief of Petitioner Puget Sound Energy, Inc. (June 10, 2014) (PSE Post-Hearing Brief).</w:t>
      </w:r>
    </w:p>
  </w:footnote>
  <w:footnote w:id="3">
    <w:p w14:paraId="0F36DB68" w14:textId="77777777" w:rsidR="00090D9B" w:rsidRDefault="00090D9B">
      <w:pPr>
        <w:pStyle w:val="FootnoteText"/>
      </w:pPr>
      <w:r>
        <w:rPr>
          <w:rStyle w:val="FootnoteReference"/>
        </w:rPr>
        <w:footnoteRef/>
      </w:r>
      <w:r>
        <w:t xml:space="preserve"> PSE Post-Hearing Brief at 3, ¶ 5 and at 29, ¶ 44.</w:t>
      </w:r>
    </w:p>
  </w:footnote>
  <w:footnote w:id="4">
    <w:p w14:paraId="468BE9CA" w14:textId="77777777" w:rsidR="00090D9B" w:rsidRDefault="00090D9B">
      <w:pPr>
        <w:pStyle w:val="FootnoteText"/>
      </w:pPr>
      <w:r>
        <w:rPr>
          <w:rStyle w:val="FootnoteReference"/>
        </w:rPr>
        <w:footnoteRef/>
      </w:r>
      <w:r>
        <w:t xml:space="preserve"> Staff Initial Brief at 23-28, ¶¶ 75-89.</w:t>
      </w:r>
    </w:p>
  </w:footnote>
  <w:footnote w:id="5">
    <w:p w14:paraId="0094CF64" w14:textId="77777777" w:rsidR="00090D9B" w:rsidRDefault="00090D9B">
      <w:pPr>
        <w:pStyle w:val="FootnoteText"/>
      </w:pPr>
      <w:r>
        <w:rPr>
          <w:rStyle w:val="FootnoteReference"/>
        </w:rPr>
        <w:footnoteRef/>
      </w:r>
      <w:r>
        <w:t xml:space="preserve"> PSE Post-Hearing Brief at 4-8, ¶¶ 8-12.  </w:t>
      </w:r>
    </w:p>
  </w:footnote>
  <w:footnote w:id="6">
    <w:p w14:paraId="67E4DD1B" w14:textId="77777777" w:rsidR="00090D9B" w:rsidRPr="008C6A65" w:rsidRDefault="00090D9B" w:rsidP="00122218">
      <w:pPr>
        <w:pStyle w:val="FootnoteText"/>
      </w:pPr>
      <w:r>
        <w:rPr>
          <w:rStyle w:val="FootnoteReference"/>
        </w:rPr>
        <w:footnoteRef/>
      </w:r>
      <w:r>
        <w:t xml:space="preserve"> PSE Post-Hearing Brief</w:t>
      </w:r>
      <w:r>
        <w:rPr>
          <w:i/>
        </w:rPr>
        <w:t xml:space="preserve"> </w:t>
      </w:r>
      <w:r>
        <w:t xml:space="preserve">at 5, footnote 7.  Notably, PSE cites to the Declaratory Order in general, rather than specific language from that order.  In fact, the Commission did not use the term “deemed approved” in that order.  </w:t>
      </w:r>
    </w:p>
  </w:footnote>
  <w:footnote w:id="7">
    <w:p w14:paraId="52035456" w14:textId="77777777" w:rsidR="00090D9B" w:rsidRDefault="00090D9B" w:rsidP="00B62E99">
      <w:pPr>
        <w:pStyle w:val="FootnoteText"/>
      </w:pPr>
      <w:r>
        <w:rPr>
          <w:rStyle w:val="FootnoteReference"/>
        </w:rPr>
        <w:footnoteRef/>
      </w:r>
      <w:r>
        <w:t xml:space="preserve"> </w:t>
      </w:r>
      <w:r>
        <w:rPr>
          <w:i/>
        </w:rPr>
        <w:t>Petition of Puget Sound Energy, Inc., for a Declaratory Order Regarding the Transfer of Assets to Jefferson C</w:t>
      </w:r>
      <w:r w:rsidR="009B12C8">
        <w:rPr>
          <w:i/>
        </w:rPr>
        <w:t>y.</w:t>
      </w:r>
      <w:r>
        <w:rPr>
          <w:i/>
        </w:rPr>
        <w:t xml:space="preserve"> Pub</w:t>
      </w:r>
      <w:r w:rsidR="009B12C8">
        <w:rPr>
          <w:i/>
        </w:rPr>
        <w:t>.</w:t>
      </w:r>
      <w:r>
        <w:rPr>
          <w:i/>
        </w:rPr>
        <w:t xml:space="preserve"> Util</w:t>
      </w:r>
      <w:r w:rsidR="009B12C8">
        <w:rPr>
          <w:i/>
        </w:rPr>
        <w:t>.</w:t>
      </w:r>
      <w:r>
        <w:rPr>
          <w:i/>
        </w:rPr>
        <w:t xml:space="preserve"> Dist</w:t>
      </w:r>
      <w:r w:rsidR="009B12C8">
        <w:rPr>
          <w:i/>
        </w:rPr>
        <w:t>.</w:t>
      </w:r>
      <w:r>
        <w:rPr>
          <w:i/>
        </w:rPr>
        <w:t xml:space="preserve">, </w:t>
      </w:r>
      <w:r>
        <w:t xml:space="preserve">Docket U-101217, Order 03, Final Order Approving and Adopting Settlement Agreement; Granting Petition of Declaratory Judgment (February 1, 2011) (Declaratory Order) at 17, ¶ 42, Conclusion of Law 5.  </w:t>
      </w:r>
    </w:p>
  </w:footnote>
  <w:footnote w:id="8">
    <w:p w14:paraId="64C75263" w14:textId="77777777" w:rsidR="00090D9B" w:rsidRDefault="00090D9B">
      <w:pPr>
        <w:pStyle w:val="FootnoteText"/>
      </w:pPr>
      <w:r>
        <w:rPr>
          <w:rStyle w:val="FootnoteReference"/>
        </w:rPr>
        <w:footnoteRef/>
      </w:r>
      <w:r>
        <w:t xml:space="preserve"> Staff Initial Brief at 5, ¶ 13-16.</w:t>
      </w:r>
    </w:p>
  </w:footnote>
  <w:footnote w:id="9">
    <w:p w14:paraId="4DB0966D" w14:textId="77777777" w:rsidR="00090D9B" w:rsidRDefault="00090D9B">
      <w:pPr>
        <w:pStyle w:val="FootnoteText"/>
      </w:pPr>
      <w:r>
        <w:rPr>
          <w:rStyle w:val="FootnoteReference"/>
        </w:rPr>
        <w:footnoteRef/>
      </w:r>
      <w:r>
        <w:t xml:space="preserve"> Fair market value is the eminent domain standard.  26 </w:t>
      </w:r>
      <w:r w:rsidRPr="00C15738">
        <w:t>Am. Jur. 2d</w:t>
      </w:r>
      <w:r>
        <w:t xml:space="preserve">, </w:t>
      </w:r>
      <w:r>
        <w:rPr>
          <w:i/>
        </w:rPr>
        <w:t xml:space="preserve">Eminent Domain </w:t>
      </w:r>
      <w:r w:rsidRPr="00C71DAA">
        <w:t xml:space="preserve">§ 298 </w:t>
      </w:r>
      <w:r>
        <w:t xml:space="preserve">at 709 (1996): “…the United States Supreme Court has  … employed the concept of fair market value to determine the condemnee’s loss.” As Mr. Bellemare testified, the price for the PSE distribution system in Jefferson County reflected the fair market value of that system.  Bellemare Direct, Exh. No. RCB-1T at 11:8-13.  Outside the condemnation context, the Commission has ruled that “the difference between net book value and fair market value should be considered the gain on the sale of the property …”  </w:t>
      </w:r>
      <w:r w:rsidRPr="00136D6A">
        <w:rPr>
          <w:i/>
        </w:rPr>
        <w:t>Utilities &amp; Transp. Comm’n v. Puget Sound Power &amp; Light Co</w:t>
      </w:r>
      <w:r>
        <w:t>.</w:t>
      </w:r>
      <w:r w:rsidRPr="00136D6A">
        <w:t>, Cause U-85-53, Second 2d Supplemental Order, 74 Pub. Util. Rep. (PUR) 4</w:t>
      </w:r>
      <w:r w:rsidRPr="00136D6A">
        <w:rPr>
          <w:vertAlign w:val="superscript"/>
        </w:rPr>
        <w:t>th</w:t>
      </w:r>
      <w:r w:rsidRPr="00136D6A">
        <w:t xml:space="preserve"> 536, 563 (1986).  </w:t>
      </w:r>
      <w:r>
        <w:rPr>
          <w:i/>
        </w:rPr>
        <w:t xml:space="preserve"> </w:t>
      </w:r>
      <w:r>
        <w:t xml:space="preserve"> </w:t>
      </w:r>
    </w:p>
  </w:footnote>
  <w:footnote w:id="10">
    <w:p w14:paraId="0A87B41C" w14:textId="77777777" w:rsidR="00090D9B" w:rsidRPr="00136D6A" w:rsidRDefault="00090D9B">
      <w:pPr>
        <w:pStyle w:val="FootnoteText"/>
      </w:pPr>
      <w:r>
        <w:rPr>
          <w:rStyle w:val="FootnoteReference"/>
        </w:rPr>
        <w:footnoteRef/>
      </w:r>
      <w:r>
        <w:t xml:space="preserve"> PSE Post-Hearing Brief at 24-26, ¶¶ 38-40, citing </w:t>
      </w:r>
      <w:r>
        <w:rPr>
          <w:i/>
        </w:rPr>
        <w:t xml:space="preserve">City of Omaha v. Omaha Water Co., </w:t>
      </w:r>
      <w:r>
        <w:t xml:space="preserve">218, U.S. 180 (1910) and </w:t>
      </w:r>
      <w:r w:rsidR="00D62C1F">
        <w:rPr>
          <w:i/>
        </w:rPr>
        <w:t>Kimball L</w:t>
      </w:r>
      <w:r>
        <w:rPr>
          <w:i/>
        </w:rPr>
        <w:t>aundry Co. v. United States</w:t>
      </w:r>
      <w:r>
        <w:t xml:space="preserve">, 338 U.S. 1 (1949).  </w:t>
      </w:r>
    </w:p>
  </w:footnote>
  <w:footnote w:id="11">
    <w:p w14:paraId="131547DA" w14:textId="77777777" w:rsidR="00090D9B" w:rsidRDefault="00090D9B">
      <w:pPr>
        <w:pStyle w:val="FootnoteText"/>
      </w:pPr>
      <w:r>
        <w:rPr>
          <w:rStyle w:val="FootnoteReference"/>
        </w:rPr>
        <w:footnoteRef/>
      </w:r>
      <w:r>
        <w:rPr>
          <w:i/>
        </w:rPr>
        <w:t>Ratemaking Treatment of Capital Gains from the Sale of a Pub. Util</w:t>
      </w:r>
      <w:r w:rsidR="009B12C8">
        <w:rPr>
          <w:i/>
        </w:rPr>
        <w:t>.</w:t>
      </w:r>
      <w:r>
        <w:rPr>
          <w:i/>
        </w:rPr>
        <w:t xml:space="preserve"> Distribution Sys. Serving an Area Annexed by a Municipality or Pub. Entity</w:t>
      </w:r>
      <w:r w:rsidRPr="00B409F8">
        <w:t xml:space="preserve">, </w:t>
      </w:r>
      <w:r>
        <w:t>104 Pub. Util. Rep. (PUR) 4</w:t>
      </w:r>
      <w:r w:rsidRPr="002A2A7D">
        <w:rPr>
          <w:vertAlign w:val="superscript"/>
        </w:rPr>
        <w:t>th</w:t>
      </w:r>
      <w:r>
        <w:t xml:space="preserve"> 157 (Cal. PUC 1989) (</w:t>
      </w:r>
      <w:r>
        <w:rPr>
          <w:i/>
        </w:rPr>
        <w:t xml:space="preserve">City </w:t>
      </w:r>
      <w:r w:rsidRPr="0063301D">
        <w:rPr>
          <w:i/>
        </w:rPr>
        <w:t>of Redding II</w:t>
      </w:r>
      <w:r>
        <w:t>).</w:t>
      </w:r>
    </w:p>
  </w:footnote>
  <w:footnote w:id="12">
    <w:p w14:paraId="32723A15" w14:textId="77777777" w:rsidR="00090D9B" w:rsidRDefault="00090D9B">
      <w:pPr>
        <w:pStyle w:val="FootnoteText"/>
      </w:pPr>
      <w:r>
        <w:rPr>
          <w:rStyle w:val="FootnoteReference"/>
        </w:rPr>
        <w:footnoteRef/>
      </w:r>
      <w:r>
        <w:t xml:space="preserve"> PSE Post-Hearing Brief at 6-8.</w:t>
      </w:r>
    </w:p>
  </w:footnote>
  <w:footnote w:id="13">
    <w:p w14:paraId="632B00D5" w14:textId="77777777" w:rsidR="00090D9B" w:rsidRPr="00AB23A7" w:rsidRDefault="00090D9B" w:rsidP="00DD2494">
      <w:pPr>
        <w:pStyle w:val="FootnoteText"/>
      </w:pPr>
      <w:r>
        <w:rPr>
          <w:rStyle w:val="FootnoteReference"/>
        </w:rPr>
        <w:footnoteRef/>
      </w:r>
      <w:r>
        <w:t xml:space="preserve"> </w:t>
      </w:r>
      <w:r>
        <w:rPr>
          <w:i/>
        </w:rPr>
        <w:t xml:space="preserve">City of Redding II, </w:t>
      </w:r>
      <w:r>
        <w:t>104 Pub. Util. Rep. (PUR) 4</w:t>
      </w:r>
      <w:r w:rsidRPr="00AB23A7">
        <w:rPr>
          <w:vertAlign w:val="superscript"/>
        </w:rPr>
        <w:t>th</w:t>
      </w:r>
      <w:r>
        <w:t xml:space="preserve"> at 157.</w:t>
      </w:r>
    </w:p>
  </w:footnote>
  <w:footnote w:id="14">
    <w:p w14:paraId="03CBD6FB" w14:textId="77777777" w:rsidR="00090D9B" w:rsidRPr="00DE1863" w:rsidRDefault="00090D9B">
      <w:pPr>
        <w:pStyle w:val="FootnoteText"/>
      </w:pPr>
      <w:r>
        <w:rPr>
          <w:rStyle w:val="FootnoteReference"/>
        </w:rPr>
        <w:footnoteRef/>
      </w:r>
      <w:r>
        <w:t xml:space="preserve"> </w:t>
      </w:r>
      <w:r>
        <w:rPr>
          <w:i/>
        </w:rPr>
        <w:t xml:space="preserve">See </w:t>
      </w:r>
      <w:r>
        <w:t xml:space="preserve">Staff Initial Brief at 12, ¶36, quoting the </w:t>
      </w:r>
      <w:r>
        <w:rPr>
          <w:i/>
        </w:rPr>
        <w:t>Hope</w:t>
      </w:r>
      <w:r>
        <w:t xml:space="preserve"> decision of the United States Supreme Court.</w:t>
      </w:r>
    </w:p>
  </w:footnote>
  <w:footnote w:id="15">
    <w:p w14:paraId="3E03085E" w14:textId="77777777" w:rsidR="00090D9B" w:rsidRPr="00AB23A7" w:rsidRDefault="00090D9B" w:rsidP="003404B7">
      <w:pPr>
        <w:pStyle w:val="FootnoteText"/>
      </w:pPr>
      <w:r>
        <w:rPr>
          <w:rStyle w:val="FootnoteReference"/>
        </w:rPr>
        <w:footnoteRef/>
      </w:r>
      <w:r>
        <w:t xml:space="preserve"> </w:t>
      </w:r>
      <w:r>
        <w:rPr>
          <w:i/>
        </w:rPr>
        <w:t>Allocation of Gains from Sales of Energy, Telecomm</w:t>
      </w:r>
      <w:r w:rsidR="009B12C8">
        <w:rPr>
          <w:i/>
        </w:rPr>
        <w:t>.</w:t>
      </w:r>
      <w:r>
        <w:rPr>
          <w:i/>
        </w:rPr>
        <w:t>, and Water Uti</w:t>
      </w:r>
      <w:r w:rsidR="009B12C8">
        <w:rPr>
          <w:i/>
        </w:rPr>
        <w:t>l.</w:t>
      </w:r>
      <w:r>
        <w:rPr>
          <w:i/>
        </w:rPr>
        <w:t xml:space="preserve"> Assets, </w:t>
      </w:r>
      <w:r>
        <w:t>Rulemaking 04-9-3, 249 Pub. Util. Rep. (PUR) 4</w:t>
      </w:r>
      <w:r w:rsidRPr="00C075AC">
        <w:rPr>
          <w:vertAlign w:val="superscript"/>
        </w:rPr>
        <w:t>th</w:t>
      </w:r>
      <w:r>
        <w:t xml:space="preserve"> 478, 493 (Cal. PUC 2006) (emphasis supplied).  In that order, the CPUC did not change its treatment of gains from sales of utility property due to municipalization, saying only that it had “not been presented with an adequate record” to change that treatment.  249 Pub. Util. Rep. (PUR) 4</w:t>
      </w:r>
      <w:r w:rsidRPr="00C15738">
        <w:rPr>
          <w:vertAlign w:val="superscript"/>
        </w:rPr>
        <w:t>th</w:t>
      </w:r>
      <w:r>
        <w:t xml:space="preserve"> at 493.</w:t>
      </w:r>
    </w:p>
  </w:footnote>
  <w:footnote w:id="16">
    <w:p w14:paraId="1564C5EF" w14:textId="77777777" w:rsidR="00090D9B" w:rsidRPr="003404B7" w:rsidRDefault="00090D9B">
      <w:pPr>
        <w:pStyle w:val="FootnoteText"/>
      </w:pPr>
      <w:r>
        <w:rPr>
          <w:rStyle w:val="FootnoteReference"/>
        </w:rPr>
        <w:footnoteRef/>
      </w:r>
      <w:r>
        <w:t xml:space="preserve"> The CPUC further explained with regard to depreciable property, that “[t]he regulatory compact requires that if ratepayers bear such costs, they must be compensated for such burdens once the utility sells the property.”  </w:t>
      </w:r>
      <w:r>
        <w:rPr>
          <w:i/>
        </w:rPr>
        <w:t xml:space="preserve">Id. </w:t>
      </w:r>
      <w:r>
        <w:t>249 Pub. Util. Rep. (PUR) 4</w:t>
      </w:r>
      <w:r w:rsidRPr="003404B7">
        <w:rPr>
          <w:vertAlign w:val="superscript"/>
        </w:rPr>
        <w:t>th</w:t>
      </w:r>
      <w:r>
        <w:t xml:space="preserve"> at 493.</w:t>
      </w:r>
    </w:p>
  </w:footnote>
  <w:footnote w:id="17">
    <w:p w14:paraId="560A15C0" w14:textId="77777777" w:rsidR="00090D9B" w:rsidRPr="00E339E5" w:rsidRDefault="00090D9B" w:rsidP="00445198">
      <w:pPr>
        <w:pStyle w:val="FootnoteText"/>
      </w:pPr>
      <w:r>
        <w:rPr>
          <w:rStyle w:val="FootnoteReference"/>
        </w:rPr>
        <w:footnoteRef/>
      </w:r>
      <w:r>
        <w:t xml:space="preserve"> </w:t>
      </w:r>
      <w:r>
        <w:rPr>
          <w:i/>
        </w:rPr>
        <w:t xml:space="preserve">City of Redding II, supra, </w:t>
      </w:r>
      <w:r>
        <w:t>104 Pub. Util. Rep. (PUR) 4</w:t>
      </w:r>
      <w:r w:rsidRPr="00AB23A7">
        <w:rPr>
          <w:vertAlign w:val="superscript"/>
        </w:rPr>
        <w:t>th</w:t>
      </w:r>
      <w:r>
        <w:t xml:space="preserve"> at 164. </w:t>
      </w:r>
    </w:p>
  </w:footnote>
  <w:footnote w:id="18">
    <w:p w14:paraId="5BF13BDE" w14:textId="77777777" w:rsidR="00090D9B" w:rsidRDefault="00090D9B" w:rsidP="00445198">
      <w:pPr>
        <w:pStyle w:val="FootnoteText"/>
      </w:pPr>
      <w:r>
        <w:rPr>
          <w:rStyle w:val="FootnoteReference"/>
        </w:rPr>
        <w:footnoteRef/>
      </w:r>
      <w:r>
        <w:t xml:space="preserve"> PSE Petition at 20, ¶42 (PSE will reinvest the proceeds in similar utility property); Marcelia, TR. 115:19-21 (cash proceeds have “been used” by PSE).</w:t>
      </w:r>
    </w:p>
  </w:footnote>
  <w:footnote w:id="19">
    <w:p w14:paraId="50929AAD" w14:textId="77777777" w:rsidR="00090D9B" w:rsidRDefault="00090D9B" w:rsidP="00445198">
      <w:pPr>
        <w:pStyle w:val="FootnoteText"/>
      </w:pPr>
      <w:r>
        <w:rPr>
          <w:rStyle w:val="FootnoteReference"/>
        </w:rPr>
        <w:footnoteRef/>
      </w:r>
      <w:r>
        <w:t xml:space="preserve"> Staff Initial Brief at 17-18, ¶¶ 53-58.</w:t>
      </w:r>
    </w:p>
  </w:footnote>
  <w:footnote w:id="20">
    <w:p w14:paraId="2344AF53" w14:textId="77777777" w:rsidR="00090D9B" w:rsidRDefault="00090D9B" w:rsidP="00445198">
      <w:pPr>
        <w:pStyle w:val="FootnoteText"/>
      </w:pPr>
      <w:r>
        <w:rPr>
          <w:rStyle w:val="FootnoteReference"/>
        </w:rPr>
        <w:footnoteRef/>
      </w:r>
      <w:r>
        <w:t xml:space="preserve"> Staff Initial Brief at 19-29, ¶¶ 61-93.</w:t>
      </w:r>
    </w:p>
  </w:footnote>
  <w:footnote w:id="21">
    <w:p w14:paraId="1D06B9C7" w14:textId="77777777" w:rsidR="00090D9B" w:rsidRDefault="00090D9B">
      <w:pPr>
        <w:pStyle w:val="FootnoteText"/>
      </w:pPr>
      <w:r>
        <w:rPr>
          <w:rStyle w:val="FootnoteReference"/>
        </w:rPr>
        <w:footnoteRef/>
      </w:r>
      <w:r>
        <w:t xml:space="preserve"> PSE Post-Hearing Brief at 8, ¶ 12.</w:t>
      </w:r>
    </w:p>
  </w:footnote>
  <w:footnote w:id="22">
    <w:p w14:paraId="2611CABB" w14:textId="77777777" w:rsidR="00090D9B" w:rsidRDefault="00090D9B">
      <w:pPr>
        <w:pStyle w:val="FootnoteText"/>
      </w:pPr>
      <w:r>
        <w:rPr>
          <w:rStyle w:val="FootnoteReference"/>
        </w:rPr>
        <w:footnoteRef/>
      </w:r>
      <w:r>
        <w:t xml:space="preserve"> Keating, Exh. No. EJK-4.</w:t>
      </w:r>
    </w:p>
  </w:footnote>
  <w:footnote w:id="23">
    <w:p w14:paraId="139B2DB2" w14:textId="77777777" w:rsidR="00090D9B" w:rsidRPr="006E7290" w:rsidRDefault="00090D9B">
      <w:pPr>
        <w:pStyle w:val="FootnoteText"/>
        <w:rPr>
          <w:i/>
        </w:rPr>
      </w:pPr>
      <w:r>
        <w:rPr>
          <w:rStyle w:val="FootnoteReference"/>
        </w:rPr>
        <w:footnoteRef/>
      </w:r>
      <w:r>
        <w:t xml:space="preserve"> </w:t>
      </w:r>
      <w:r>
        <w:rPr>
          <w:i/>
        </w:rPr>
        <w:t>Id.</w:t>
      </w:r>
    </w:p>
  </w:footnote>
  <w:footnote w:id="24">
    <w:p w14:paraId="4334BD43" w14:textId="77777777" w:rsidR="00090D9B" w:rsidRDefault="00090D9B">
      <w:pPr>
        <w:pStyle w:val="FootnoteText"/>
      </w:pPr>
      <w:r>
        <w:rPr>
          <w:rStyle w:val="FootnoteReference"/>
        </w:rPr>
        <w:footnoteRef/>
      </w:r>
      <w:r>
        <w:t xml:space="preserve"> Keating Direct, Exh. No. EJK-1T at 28:19 to 32:14, and related exhibits.</w:t>
      </w:r>
    </w:p>
  </w:footnote>
  <w:footnote w:id="25">
    <w:p w14:paraId="594D84A3" w14:textId="77777777" w:rsidR="00090D9B" w:rsidRDefault="00090D9B" w:rsidP="009B54B8">
      <w:pPr>
        <w:pStyle w:val="FootnoteText"/>
      </w:pPr>
      <w:r>
        <w:rPr>
          <w:rStyle w:val="FootnoteReference"/>
        </w:rPr>
        <w:footnoteRef/>
      </w:r>
      <w:r>
        <w:t xml:space="preserve"> </w:t>
      </w:r>
      <w:r>
        <w:rPr>
          <w:i/>
        </w:rPr>
        <w:t xml:space="preserve">E.g., </w:t>
      </w:r>
      <w:r>
        <w:t>PSE Post-Hearing Brief at 21, ¶ 35.</w:t>
      </w:r>
    </w:p>
  </w:footnote>
  <w:footnote w:id="26">
    <w:p w14:paraId="0DE63E21" w14:textId="77777777" w:rsidR="00090D9B" w:rsidRDefault="00090D9B">
      <w:pPr>
        <w:pStyle w:val="FootnoteText"/>
      </w:pPr>
      <w:r>
        <w:rPr>
          <w:rStyle w:val="FootnoteReference"/>
        </w:rPr>
        <w:footnoteRef/>
      </w:r>
      <w:r>
        <w:t xml:space="preserve"> Staff Initial Brief at 10-18, ¶¶ 28-58.</w:t>
      </w:r>
    </w:p>
  </w:footnote>
  <w:footnote w:id="27">
    <w:p w14:paraId="54EA3474" w14:textId="77777777" w:rsidR="00090D9B" w:rsidRPr="00FA4CF6" w:rsidRDefault="00090D9B" w:rsidP="003B3162">
      <w:pPr>
        <w:pStyle w:val="FootnoteText"/>
        <w:rPr>
          <w:rFonts w:cs="Times New Roman"/>
        </w:rPr>
      </w:pPr>
      <w:r w:rsidRPr="00FA4CF6">
        <w:rPr>
          <w:rStyle w:val="FootnoteReference"/>
          <w:rFonts w:cs="Times New Roman"/>
        </w:rPr>
        <w:footnoteRef/>
      </w:r>
      <w:r w:rsidRPr="00FA4CF6">
        <w:rPr>
          <w:rFonts w:cs="Times New Roman"/>
        </w:rPr>
        <w:t xml:space="preserve"> Keating, TR. 236:14-21</w:t>
      </w:r>
      <w:r>
        <w:rPr>
          <w:rFonts w:cs="Times New Roman"/>
        </w:rPr>
        <w:t xml:space="preserve"> (48% * $46.7m = 22.5m)</w:t>
      </w:r>
      <w:r w:rsidRPr="00FA4CF6">
        <w:rPr>
          <w:rFonts w:cs="Times New Roman"/>
        </w:rPr>
        <w:t>.</w:t>
      </w:r>
    </w:p>
  </w:footnote>
  <w:footnote w:id="28">
    <w:p w14:paraId="37EB3662" w14:textId="77777777" w:rsidR="00090D9B" w:rsidRPr="001C534D" w:rsidRDefault="00090D9B" w:rsidP="003B3162">
      <w:pPr>
        <w:pStyle w:val="FootnoteText"/>
        <w:rPr>
          <w:rFonts w:cs="Times New Roman"/>
        </w:rPr>
      </w:pPr>
      <w:r w:rsidRPr="001C534D">
        <w:rPr>
          <w:rStyle w:val="FootnoteReference"/>
          <w:rFonts w:cs="Times New Roman"/>
        </w:rPr>
        <w:footnoteRef/>
      </w:r>
      <w:r w:rsidRPr="001C534D">
        <w:rPr>
          <w:rFonts w:cs="Times New Roman"/>
        </w:rPr>
        <w:t xml:space="preserve"> </w:t>
      </w:r>
      <w:r>
        <w:rPr>
          <w:rFonts w:cs="Times New Roman"/>
        </w:rPr>
        <w:t>$</w:t>
      </w:r>
      <w:r w:rsidRPr="001C534D">
        <w:rPr>
          <w:rFonts w:cs="Times New Roman"/>
        </w:rPr>
        <w:t>7.481</w:t>
      </w:r>
      <w:r>
        <w:rPr>
          <w:rFonts w:cs="Times New Roman"/>
        </w:rPr>
        <w:t>m</w:t>
      </w:r>
      <w:r w:rsidRPr="001C534D">
        <w:rPr>
          <w:rFonts w:cs="Times New Roman"/>
        </w:rPr>
        <w:t xml:space="preserve"> ÷ </w:t>
      </w:r>
      <w:r>
        <w:rPr>
          <w:rFonts w:cs="Times New Roman"/>
        </w:rPr>
        <w:t>$</w:t>
      </w:r>
      <w:r w:rsidRPr="001C534D">
        <w:rPr>
          <w:rFonts w:cs="Times New Roman"/>
        </w:rPr>
        <w:t>22.5</w:t>
      </w:r>
      <w:r>
        <w:rPr>
          <w:rFonts w:cs="Times New Roman"/>
        </w:rPr>
        <w:t>m</w:t>
      </w:r>
      <w:r w:rsidRPr="001C534D">
        <w:rPr>
          <w:rFonts w:cs="Times New Roman"/>
        </w:rPr>
        <w:t xml:space="preserve"> = 33.2 percent.</w:t>
      </w:r>
    </w:p>
  </w:footnote>
  <w:footnote w:id="29">
    <w:p w14:paraId="55922B30" w14:textId="77777777" w:rsidR="00090D9B" w:rsidRDefault="00090D9B" w:rsidP="007752E4">
      <w:pPr>
        <w:pStyle w:val="FootnoteText"/>
      </w:pPr>
      <w:r>
        <w:rPr>
          <w:rStyle w:val="FootnoteReference"/>
        </w:rPr>
        <w:footnoteRef/>
      </w:r>
      <w:r>
        <w:t xml:space="preserve"> Dr. Levin wrongly suggested that a firm in a competitive market could simply add the risk of a capital loss due, for example, to storm damage, through an “add-on to the price [of its product].”  Levin, TR. 138:7-10.  In fact, if the market truly is competitive, the market sets the price.  Any firm that feels compelled to increase its prices due to “add-ons” does so at the risk of losing sales and market share as a result.  By contrast, “PSE is not a competitive business,” (Marcelia, TR. 102:22 to 103:1), and it faces no such risk; $709 million in regulatory assets is full proof.</w:t>
      </w:r>
    </w:p>
  </w:footnote>
  <w:footnote w:id="30">
    <w:p w14:paraId="638FA541" w14:textId="77777777" w:rsidR="00090D9B" w:rsidRDefault="00090D9B" w:rsidP="007752E4">
      <w:pPr>
        <w:pStyle w:val="FootnoteText"/>
      </w:pPr>
      <w:r>
        <w:rPr>
          <w:rStyle w:val="FootnoteReference"/>
        </w:rPr>
        <w:footnoteRef/>
      </w:r>
      <w:r>
        <w:t xml:space="preserve"> Staff Initial Brief at 21-28, ¶¶ 67-89.</w:t>
      </w:r>
    </w:p>
  </w:footnote>
  <w:footnote w:id="31">
    <w:p w14:paraId="18C3A022" w14:textId="77777777" w:rsidR="00090D9B" w:rsidRDefault="00090D9B">
      <w:pPr>
        <w:pStyle w:val="FootnoteText"/>
      </w:pPr>
      <w:r>
        <w:rPr>
          <w:rStyle w:val="FootnoteReference"/>
        </w:rPr>
        <w:footnoteRef/>
      </w:r>
      <w:r>
        <w:t xml:space="preserve"> PSE Post-Hearing Brief at 10, ¶16.</w:t>
      </w:r>
    </w:p>
  </w:footnote>
  <w:footnote w:id="32">
    <w:p w14:paraId="23E2F2F3" w14:textId="77777777" w:rsidR="00090D9B" w:rsidRDefault="00090D9B" w:rsidP="003B3162">
      <w:pPr>
        <w:pStyle w:val="BodyTextIndent2"/>
        <w:spacing w:line="240" w:lineRule="exact"/>
        <w:ind w:left="0"/>
      </w:pPr>
      <w:r>
        <w:rPr>
          <w:rStyle w:val="FootnoteReference"/>
        </w:rPr>
        <w:footnoteRef/>
      </w:r>
      <w:r>
        <w:t xml:space="preserve"> </w:t>
      </w:r>
      <w:r w:rsidRPr="006E7290">
        <w:rPr>
          <w:rFonts w:ascii="Times New Roman" w:hAnsi="Times New Roman"/>
          <w:i/>
          <w:sz w:val="20"/>
          <w:szCs w:val="20"/>
        </w:rPr>
        <w:t>Application of Puget Sound Energy, Inc. for Approval of the Proposed Sale of PSE’s Share</w:t>
      </w:r>
      <w:r>
        <w:rPr>
          <w:rFonts w:ascii="Times New Roman" w:hAnsi="Times New Roman"/>
          <w:i/>
          <w:sz w:val="20"/>
          <w:szCs w:val="20"/>
        </w:rPr>
        <w:t xml:space="preserve"> </w:t>
      </w:r>
      <w:r w:rsidRPr="006E7290">
        <w:rPr>
          <w:rFonts w:ascii="Times New Roman" w:hAnsi="Times New Roman"/>
          <w:i/>
          <w:sz w:val="20"/>
          <w:szCs w:val="20"/>
        </w:rPr>
        <w:t>of the Centralia Facilities, and Authorization to Amortize Gain Over a Five-Year Period</w:t>
      </w:r>
      <w:r>
        <w:rPr>
          <w:rFonts w:ascii="Times New Roman" w:hAnsi="Times New Roman"/>
          <w:i/>
          <w:sz w:val="20"/>
          <w:szCs w:val="20"/>
        </w:rPr>
        <w:t xml:space="preserve">, </w:t>
      </w:r>
      <w:r w:rsidRPr="006E7290">
        <w:rPr>
          <w:rFonts w:ascii="Times New Roman" w:hAnsi="Times New Roman"/>
          <w:sz w:val="20"/>
          <w:szCs w:val="20"/>
        </w:rPr>
        <w:t>Docket UE-991409 et al., 2</w:t>
      </w:r>
      <w:r w:rsidRPr="006E7290">
        <w:rPr>
          <w:rFonts w:ascii="Times New Roman" w:hAnsi="Times New Roman"/>
          <w:sz w:val="20"/>
          <w:szCs w:val="20"/>
          <w:vertAlign w:val="superscript"/>
        </w:rPr>
        <w:t>nd</w:t>
      </w:r>
      <w:r w:rsidRPr="006E7290">
        <w:rPr>
          <w:rFonts w:ascii="Times New Roman" w:hAnsi="Times New Roman"/>
          <w:sz w:val="20"/>
          <w:szCs w:val="20"/>
        </w:rPr>
        <w:t xml:space="preserve"> Supplemental Order, Order Approving Sale with Conditions (March 6, 2000) (</w:t>
      </w:r>
      <w:r w:rsidRPr="006E7290">
        <w:rPr>
          <w:rFonts w:ascii="Times New Roman" w:hAnsi="Times New Roman"/>
          <w:i/>
          <w:sz w:val="20"/>
          <w:szCs w:val="20"/>
        </w:rPr>
        <w:t>Centralia Case</w:t>
      </w:r>
      <w:r w:rsidRPr="006E7290">
        <w:rPr>
          <w:rFonts w:ascii="Times New Roman" w:hAnsi="Times New Roman"/>
          <w:sz w:val="20"/>
          <w:szCs w:val="20"/>
        </w:rPr>
        <w:t>).</w:t>
      </w:r>
    </w:p>
  </w:footnote>
  <w:footnote w:id="33">
    <w:p w14:paraId="548F0967" w14:textId="77777777" w:rsidR="00090D9B" w:rsidRDefault="00090D9B">
      <w:pPr>
        <w:pStyle w:val="FootnoteText"/>
      </w:pPr>
      <w:r>
        <w:rPr>
          <w:rStyle w:val="FootnoteReference"/>
        </w:rPr>
        <w:footnoteRef/>
      </w:r>
      <w:r>
        <w:t xml:space="preserve"> PSE Post-Hearing Brief at 9, ¶ 14.</w:t>
      </w:r>
    </w:p>
  </w:footnote>
  <w:footnote w:id="34">
    <w:p w14:paraId="0E6885F1" w14:textId="77777777" w:rsidR="00090D9B" w:rsidRPr="001B31FA" w:rsidRDefault="00090D9B" w:rsidP="003B3162">
      <w:pPr>
        <w:pStyle w:val="FootnoteText"/>
        <w:rPr>
          <w:rFonts w:cs="Times New Roman"/>
        </w:rPr>
      </w:pPr>
      <w:r w:rsidRPr="001B31FA">
        <w:rPr>
          <w:rStyle w:val="FootnoteReference"/>
          <w:rFonts w:cs="Times New Roman"/>
        </w:rPr>
        <w:footnoteRef/>
      </w:r>
      <w:r w:rsidRPr="001B31FA">
        <w:rPr>
          <w:rFonts w:cs="Times New Roman"/>
        </w:rPr>
        <w:t xml:space="preserve"> </w:t>
      </w:r>
      <w:r w:rsidRPr="003B3162">
        <w:rPr>
          <w:rFonts w:cs="Times New Roman"/>
          <w:szCs w:val="24"/>
        </w:rPr>
        <w:t xml:space="preserve">In any event, if </w:t>
      </w:r>
      <w:r>
        <w:rPr>
          <w:rFonts w:cs="Times New Roman"/>
          <w:szCs w:val="24"/>
        </w:rPr>
        <w:t xml:space="preserve">in fact it is </w:t>
      </w:r>
      <w:r w:rsidRPr="003B3162">
        <w:rPr>
          <w:rFonts w:cs="Times New Roman"/>
          <w:szCs w:val="24"/>
        </w:rPr>
        <w:t xml:space="preserve">undisputed that customers </w:t>
      </w:r>
      <w:r>
        <w:rPr>
          <w:rFonts w:cs="Times New Roman"/>
          <w:szCs w:val="24"/>
        </w:rPr>
        <w:t xml:space="preserve">will </w:t>
      </w:r>
      <w:r w:rsidRPr="003B3162">
        <w:rPr>
          <w:rFonts w:cs="Times New Roman"/>
          <w:szCs w:val="24"/>
        </w:rPr>
        <w:t xml:space="preserve">benefit by $103 million, the Commission should question why PSE is </w:t>
      </w:r>
      <w:r>
        <w:rPr>
          <w:rFonts w:cs="Times New Roman"/>
          <w:szCs w:val="24"/>
        </w:rPr>
        <w:t xml:space="preserve">not offering </w:t>
      </w:r>
      <w:r w:rsidRPr="003B3162">
        <w:rPr>
          <w:rFonts w:cs="Times New Roman"/>
          <w:szCs w:val="24"/>
        </w:rPr>
        <w:t>to record a regulatory liability guaranteeing th</w:t>
      </w:r>
      <w:r>
        <w:rPr>
          <w:rFonts w:cs="Times New Roman"/>
          <w:szCs w:val="24"/>
        </w:rPr>
        <w:t>at</w:t>
      </w:r>
      <w:r w:rsidRPr="003B3162">
        <w:rPr>
          <w:rFonts w:cs="Times New Roman"/>
          <w:szCs w:val="24"/>
        </w:rPr>
        <w:t xml:space="preserve"> benefit to customers.</w:t>
      </w:r>
      <w:r>
        <w:rPr>
          <w:rFonts w:cs="Times New Roman"/>
          <w:szCs w:val="24"/>
        </w:rPr>
        <w:t xml:space="preserve">  </w:t>
      </w:r>
      <w:r w:rsidRPr="001B31FA">
        <w:rPr>
          <w:rFonts w:cs="Times New Roman"/>
        </w:rPr>
        <w:t xml:space="preserve">Piliaris, TR. 73:24 to 74:3. </w:t>
      </w:r>
    </w:p>
  </w:footnote>
  <w:footnote w:id="35">
    <w:p w14:paraId="5AE73A01" w14:textId="77777777" w:rsidR="00090D9B" w:rsidRDefault="00090D9B">
      <w:pPr>
        <w:pStyle w:val="FootnoteText"/>
      </w:pPr>
      <w:r>
        <w:rPr>
          <w:rStyle w:val="FootnoteReference"/>
        </w:rPr>
        <w:footnoteRef/>
      </w:r>
      <w:r>
        <w:t xml:space="preserve"> PSE Post-Hearing Brief at 15, ¶ 22, quoting Piliaris Rebuttal, Exh. No. JAP-9T at 10:7-14 (emphasis in text of PSE’s brief).</w:t>
      </w:r>
    </w:p>
  </w:footnote>
  <w:footnote w:id="36">
    <w:p w14:paraId="73A90ED4" w14:textId="77777777" w:rsidR="00090D9B" w:rsidRDefault="00090D9B" w:rsidP="00C870A1">
      <w:pPr>
        <w:pStyle w:val="FootnoteText"/>
      </w:pPr>
      <w:r>
        <w:rPr>
          <w:rStyle w:val="FootnoteReference"/>
        </w:rPr>
        <w:footnoteRef/>
      </w:r>
      <w:r>
        <w:t xml:space="preserve"> Piliaris, TR. 90:12-15.</w:t>
      </w:r>
    </w:p>
  </w:footnote>
  <w:footnote w:id="37">
    <w:p w14:paraId="37AACC62" w14:textId="77777777" w:rsidR="00090D9B" w:rsidRDefault="00090D9B" w:rsidP="00C870A1">
      <w:pPr>
        <w:pStyle w:val="FootnoteText"/>
      </w:pPr>
      <w:r>
        <w:rPr>
          <w:rStyle w:val="FootnoteReference"/>
        </w:rPr>
        <w:footnoteRef/>
      </w:r>
      <w:r>
        <w:t xml:space="preserve"> Piliaris, TR. 90:16-25.</w:t>
      </w:r>
    </w:p>
  </w:footnote>
  <w:footnote w:id="38">
    <w:p w14:paraId="2E6F9EB3" w14:textId="77777777" w:rsidR="00090D9B" w:rsidRDefault="00090D9B" w:rsidP="00C870A1">
      <w:pPr>
        <w:pStyle w:val="FootnoteText"/>
      </w:pPr>
      <w:r>
        <w:rPr>
          <w:rStyle w:val="FootnoteReference"/>
        </w:rPr>
        <w:footnoteRef/>
      </w:r>
      <w:r>
        <w:t xml:space="preserve"> RCW 19.280.030 (integrated resource plan required) and RCW 19.280.010(9) (defines integrated resource plan).</w:t>
      </w:r>
    </w:p>
  </w:footnote>
  <w:footnote w:id="39">
    <w:p w14:paraId="0B27FD5E" w14:textId="77777777" w:rsidR="00090D9B" w:rsidRDefault="00090D9B" w:rsidP="00C870A1">
      <w:pPr>
        <w:pStyle w:val="FootnoteText"/>
      </w:pPr>
      <w:r>
        <w:rPr>
          <w:rStyle w:val="FootnoteReference"/>
        </w:rPr>
        <w:footnoteRef/>
      </w:r>
      <w:r>
        <w:t xml:space="preserve"> RCW 19.285.040(1).  In fact, if loss of customers is to be treated as conservation, PSE would be encouraging all of its customers in areas contiguous to electric cooperatives to change electricity providers.  That PSE has not adopted that strategy exposes the fallacy of the Company’s argument.</w:t>
      </w:r>
    </w:p>
  </w:footnote>
  <w:footnote w:id="40">
    <w:p w14:paraId="182FA571" w14:textId="77777777" w:rsidR="00090D9B" w:rsidRDefault="00090D9B">
      <w:pPr>
        <w:pStyle w:val="FootnoteText"/>
      </w:pPr>
      <w:r>
        <w:rPr>
          <w:rStyle w:val="FootnoteReference"/>
        </w:rPr>
        <w:footnoteRef/>
      </w:r>
      <w:r>
        <w:t xml:space="preserve"> Piliaris, Exh. </w:t>
      </w:r>
      <w:r>
        <w:rPr>
          <w:rFonts w:cs="Times New Roman"/>
          <w:szCs w:val="24"/>
        </w:rPr>
        <w:t>No. JAP-9T at 13:1-16; [$500m ÷ 20m MWh] ÷ 1m = $25 per MWh per customer.</w:t>
      </w:r>
    </w:p>
  </w:footnote>
  <w:footnote w:id="41">
    <w:p w14:paraId="76EA8C8E" w14:textId="77777777" w:rsidR="00090D9B" w:rsidRDefault="00090D9B">
      <w:pPr>
        <w:pStyle w:val="FootnoteText"/>
      </w:pPr>
      <w:r>
        <w:rPr>
          <w:rStyle w:val="FootnoteReference"/>
        </w:rPr>
        <w:footnoteRef/>
      </w:r>
      <w:r>
        <w:t xml:space="preserve"> Piliaris, Exh. No. JAP-9T at 13:11.  </w:t>
      </w:r>
      <w:r w:rsidRPr="009B3214">
        <w:rPr>
          <w:rFonts w:cs="Times New Roman"/>
          <w:szCs w:val="24"/>
        </w:rPr>
        <w:t>PSE concluded that the power cost from each scenario was the same: $26.3 per MWh.</w:t>
      </w:r>
    </w:p>
  </w:footnote>
  <w:footnote w:id="42">
    <w:p w14:paraId="1F1F1FBF" w14:textId="77777777" w:rsidR="00090D9B" w:rsidRDefault="00090D9B">
      <w:pPr>
        <w:pStyle w:val="FootnoteText"/>
      </w:pPr>
      <w:r>
        <w:rPr>
          <w:rStyle w:val="FootnoteReference"/>
        </w:rPr>
        <w:footnoteRef/>
      </w:r>
      <w:r>
        <w:t xml:space="preserve"> Municipalization Scenario:  </w:t>
      </w:r>
      <w:r>
        <w:rPr>
          <w:rFonts w:cs="Times New Roman"/>
          <w:szCs w:val="24"/>
        </w:rPr>
        <w:t>19m MWh ÷ 950,000 customers = 20 MWh/customer; 20 MWh/customer * $26.3/MWh = $526/customer.</w:t>
      </w:r>
    </w:p>
  </w:footnote>
  <w:footnote w:id="43">
    <w:p w14:paraId="0811951E" w14:textId="77777777" w:rsidR="00090D9B" w:rsidRDefault="00090D9B">
      <w:pPr>
        <w:pStyle w:val="FootnoteText"/>
      </w:pPr>
      <w:r>
        <w:rPr>
          <w:rStyle w:val="FootnoteReference"/>
        </w:rPr>
        <w:footnoteRef/>
      </w:r>
      <w:r>
        <w:t xml:space="preserve"> Conservation Scenario:  </w:t>
      </w:r>
      <w:r>
        <w:rPr>
          <w:rFonts w:cs="Times New Roman"/>
          <w:szCs w:val="24"/>
        </w:rPr>
        <w:t xml:space="preserve">19m MWH ÷ 1m customers = 19 MWh per customer.  19 MWh/customer * $26.3/MWh = $499.7/customer.  </w:t>
      </w:r>
    </w:p>
  </w:footnote>
  <w:footnote w:id="44">
    <w:p w14:paraId="25925241" w14:textId="77777777" w:rsidR="00090D9B" w:rsidRDefault="00090D9B">
      <w:pPr>
        <w:pStyle w:val="FootnoteText"/>
      </w:pPr>
      <w:r>
        <w:rPr>
          <w:rStyle w:val="FootnoteReference"/>
        </w:rPr>
        <w:footnoteRef/>
      </w:r>
      <w:r>
        <w:t xml:space="preserve"> PSE Post-Hearing Brief at 16-21, ¶¶ 25-34.</w:t>
      </w:r>
    </w:p>
  </w:footnote>
  <w:footnote w:id="45">
    <w:p w14:paraId="796A3D7C" w14:textId="77777777" w:rsidR="00090D9B" w:rsidRPr="00652EFC" w:rsidRDefault="00090D9B">
      <w:pPr>
        <w:pStyle w:val="FootnoteText"/>
      </w:pPr>
      <w:r>
        <w:rPr>
          <w:rStyle w:val="FootnoteReference"/>
        </w:rPr>
        <w:footnoteRef/>
      </w:r>
      <w:r>
        <w:t xml:space="preserve"> </w:t>
      </w:r>
      <w:r>
        <w:rPr>
          <w:i/>
        </w:rPr>
        <w:t xml:space="preserve">Centralia Case, supra, </w:t>
      </w:r>
      <w:r>
        <w:t>2</w:t>
      </w:r>
      <w:r w:rsidRPr="00652EFC">
        <w:rPr>
          <w:vertAlign w:val="superscript"/>
        </w:rPr>
        <w:t>nd</w:t>
      </w:r>
      <w:r>
        <w:t xml:space="preserve"> Supplemental Order at 28, ¶ 82 (emphasis added).</w:t>
      </w:r>
    </w:p>
  </w:footnote>
  <w:footnote w:id="46">
    <w:p w14:paraId="7BC5AEE3" w14:textId="77777777" w:rsidR="00090D9B" w:rsidRDefault="00090D9B">
      <w:pPr>
        <w:pStyle w:val="FootnoteText"/>
      </w:pPr>
      <w:r>
        <w:rPr>
          <w:rStyle w:val="FootnoteReference"/>
        </w:rPr>
        <w:footnoteRef/>
      </w:r>
      <w:r>
        <w:t xml:space="preserve"> PSE Post-Hearing Brief at 31, ¶ 49.</w:t>
      </w:r>
    </w:p>
  </w:footnote>
  <w:footnote w:id="47">
    <w:p w14:paraId="69D32995" w14:textId="77777777" w:rsidR="00090D9B" w:rsidRDefault="00090D9B">
      <w:pPr>
        <w:pStyle w:val="FootnoteText"/>
      </w:pPr>
      <w:r>
        <w:rPr>
          <w:rStyle w:val="FootnoteReference"/>
        </w:rPr>
        <w:footnoteRef/>
      </w:r>
      <w:r>
        <w:t xml:space="preserve"> Initial Brief on Behalf of Commission Staff at 21-23, ¶¶ 67-74.</w:t>
      </w:r>
    </w:p>
  </w:footnote>
  <w:footnote w:id="48">
    <w:p w14:paraId="64EF215A" w14:textId="77777777" w:rsidR="00090D9B" w:rsidRPr="007158C2" w:rsidRDefault="00090D9B">
      <w:pPr>
        <w:pStyle w:val="FootnoteText"/>
      </w:pPr>
      <w:r>
        <w:rPr>
          <w:rStyle w:val="FootnoteReference"/>
        </w:rPr>
        <w:footnoteRef/>
      </w:r>
      <w:r>
        <w:t xml:space="preserve"> </w:t>
      </w:r>
      <w:r>
        <w:rPr>
          <w:i/>
        </w:rPr>
        <w:t xml:space="preserve">E.g., Application of Cent. Maine Power, Inc., </w:t>
      </w:r>
      <w:r>
        <w:t>26 Pub. Util. Rep. (PUR) 4</w:t>
      </w:r>
      <w:r w:rsidRPr="008A7AFD">
        <w:rPr>
          <w:vertAlign w:val="superscript"/>
        </w:rPr>
        <w:t>th</w:t>
      </w:r>
      <w:r>
        <w:t xml:space="preserve"> 388, 413-14 (Maine PUC 1978).</w:t>
      </w:r>
      <w:r>
        <w:rPr>
          <w:i/>
        </w:rPr>
        <w:t xml:space="preserve"> </w:t>
      </w:r>
    </w:p>
  </w:footnote>
  <w:footnote w:id="49">
    <w:p w14:paraId="44DF6CEF" w14:textId="77777777" w:rsidR="00090D9B" w:rsidRPr="00035D55" w:rsidRDefault="00090D9B">
      <w:pPr>
        <w:pStyle w:val="FootnoteText"/>
      </w:pPr>
      <w:r>
        <w:rPr>
          <w:rStyle w:val="FootnoteReference"/>
        </w:rPr>
        <w:footnoteRef/>
      </w:r>
      <w:r>
        <w:t xml:space="preserve"> </w:t>
      </w:r>
      <w:r>
        <w:rPr>
          <w:i/>
        </w:rPr>
        <w:t>Narragansett Elec. Co. v. Burke</w:t>
      </w:r>
      <w:r>
        <w:t xml:space="preserve">, 415 A.2d 177 (R.I. 1980).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3251"/>
    <w:multiLevelType w:val="hybridMultilevel"/>
    <w:tmpl w:val="23AE3634"/>
    <w:lvl w:ilvl="0" w:tplc="D22439EA">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332DBB"/>
    <w:multiLevelType w:val="hybridMultilevel"/>
    <w:tmpl w:val="5BA42B90"/>
    <w:lvl w:ilvl="0" w:tplc="442A5D52">
      <w:start w:val="1"/>
      <w:numFmt w:val="decimal"/>
      <w:lvlText w:val="%1"/>
      <w:lvlJc w:val="left"/>
      <w:pPr>
        <w:ind w:left="720" w:hanging="720"/>
      </w:pPr>
      <w:rPr>
        <w:rFonts w:ascii="Times New Roman" w:hAnsi="Times New Roman" w:hint="default"/>
        <w:b w:val="0"/>
        <w:i/>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4527FF"/>
    <w:multiLevelType w:val="hybridMultilevel"/>
    <w:tmpl w:val="524EE17E"/>
    <w:lvl w:ilvl="0" w:tplc="2FB82D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B2DBF"/>
    <w:multiLevelType w:val="hybridMultilevel"/>
    <w:tmpl w:val="65F4CF9A"/>
    <w:lvl w:ilvl="0" w:tplc="9774A6D2">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B932DF"/>
    <w:multiLevelType w:val="hybridMultilevel"/>
    <w:tmpl w:val="1E589670"/>
    <w:lvl w:ilvl="0" w:tplc="E3CA3E4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5EF2E1E"/>
    <w:multiLevelType w:val="hybridMultilevel"/>
    <w:tmpl w:val="16841770"/>
    <w:lvl w:ilvl="0" w:tplc="6FCC7B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0A00AB"/>
    <w:multiLevelType w:val="hybridMultilevel"/>
    <w:tmpl w:val="4AD2A834"/>
    <w:lvl w:ilvl="0" w:tplc="C5D03C5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F10917"/>
    <w:multiLevelType w:val="hybridMultilevel"/>
    <w:tmpl w:val="1FDA47B2"/>
    <w:lvl w:ilvl="0" w:tplc="ABD2279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E9099F"/>
    <w:multiLevelType w:val="hybridMultilevel"/>
    <w:tmpl w:val="8A1E2992"/>
    <w:lvl w:ilvl="0" w:tplc="8EBAD93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0B15F7C"/>
    <w:multiLevelType w:val="hybridMultilevel"/>
    <w:tmpl w:val="33DCEFD2"/>
    <w:lvl w:ilvl="0" w:tplc="E79009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442304"/>
    <w:multiLevelType w:val="hybridMultilevel"/>
    <w:tmpl w:val="F0E06D46"/>
    <w:lvl w:ilvl="0" w:tplc="C5D03C5E">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54F7D98"/>
    <w:multiLevelType w:val="hybridMultilevel"/>
    <w:tmpl w:val="3CDE6296"/>
    <w:lvl w:ilvl="0" w:tplc="9DBA726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622AA9"/>
    <w:multiLevelType w:val="hybridMultilevel"/>
    <w:tmpl w:val="98323B4E"/>
    <w:lvl w:ilvl="0" w:tplc="442A5D52">
      <w:start w:val="1"/>
      <w:numFmt w:val="decimal"/>
      <w:lvlText w:val="%1"/>
      <w:lvlJc w:val="left"/>
      <w:pPr>
        <w:ind w:left="720" w:hanging="720"/>
      </w:pPr>
      <w:rPr>
        <w:rFonts w:ascii="Times New Roman" w:hAnsi="Times New Roman" w:hint="default"/>
        <w:b w:val="0"/>
        <w:i/>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D152C3E"/>
    <w:multiLevelType w:val="hybridMultilevel"/>
    <w:tmpl w:val="2A4CF15A"/>
    <w:lvl w:ilvl="0" w:tplc="CE96D4B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23F9D"/>
    <w:multiLevelType w:val="hybridMultilevel"/>
    <w:tmpl w:val="0A44231E"/>
    <w:lvl w:ilvl="0" w:tplc="393E4A8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0F90383"/>
    <w:multiLevelType w:val="hybridMultilevel"/>
    <w:tmpl w:val="EE3C0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9F4C65"/>
    <w:multiLevelType w:val="hybridMultilevel"/>
    <w:tmpl w:val="9E7C69F8"/>
    <w:lvl w:ilvl="0" w:tplc="AA6454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076778"/>
    <w:multiLevelType w:val="hybridMultilevel"/>
    <w:tmpl w:val="57F01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2517A65"/>
    <w:multiLevelType w:val="hybridMultilevel"/>
    <w:tmpl w:val="4CB41832"/>
    <w:lvl w:ilvl="0" w:tplc="39724B62">
      <w:start w:val="1"/>
      <w:numFmt w:val="decimal"/>
      <w:lvlText w:val="%1."/>
      <w:lvlJc w:val="left"/>
      <w:pPr>
        <w:ind w:left="1800" w:hanging="360"/>
      </w:pPr>
      <w:rPr>
        <w:rFonts w:eastAsiaTheme="minorHAnsi"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2D25C3B"/>
    <w:multiLevelType w:val="hybridMultilevel"/>
    <w:tmpl w:val="D88C1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ADE0F47"/>
    <w:multiLevelType w:val="hybridMultilevel"/>
    <w:tmpl w:val="B036798A"/>
    <w:lvl w:ilvl="0" w:tplc="F372E494">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E383630"/>
    <w:multiLevelType w:val="hybridMultilevel"/>
    <w:tmpl w:val="2236D8F4"/>
    <w:lvl w:ilvl="0" w:tplc="C4220376">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3EAB6C03"/>
    <w:multiLevelType w:val="hybridMultilevel"/>
    <w:tmpl w:val="A9385718"/>
    <w:lvl w:ilvl="0" w:tplc="7056F5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387FDC"/>
    <w:multiLevelType w:val="hybridMultilevel"/>
    <w:tmpl w:val="210889AE"/>
    <w:lvl w:ilvl="0" w:tplc="13725C6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0387408"/>
    <w:multiLevelType w:val="hybridMultilevel"/>
    <w:tmpl w:val="29D6530E"/>
    <w:lvl w:ilvl="0" w:tplc="4204FB58">
      <w:start w:val="2"/>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nsid w:val="43414F39"/>
    <w:multiLevelType w:val="hybridMultilevel"/>
    <w:tmpl w:val="399443DA"/>
    <w:lvl w:ilvl="0" w:tplc="7C788F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ACF3E3E"/>
    <w:multiLevelType w:val="hybridMultilevel"/>
    <w:tmpl w:val="1E9ED676"/>
    <w:lvl w:ilvl="0" w:tplc="109EC6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0A5A24"/>
    <w:multiLevelType w:val="hybridMultilevel"/>
    <w:tmpl w:val="D1462A1C"/>
    <w:lvl w:ilvl="0" w:tplc="442A5D52">
      <w:start w:val="1"/>
      <w:numFmt w:val="decimal"/>
      <w:lvlText w:val="%1"/>
      <w:lvlJc w:val="left"/>
      <w:pPr>
        <w:ind w:left="720" w:hanging="720"/>
      </w:pPr>
      <w:rPr>
        <w:rFonts w:ascii="Times New Roman" w:hAnsi="Times New Roman" w:hint="default"/>
        <w:b w:val="0"/>
        <w:i/>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0AD3081"/>
    <w:multiLevelType w:val="hybridMultilevel"/>
    <w:tmpl w:val="1A323294"/>
    <w:lvl w:ilvl="0" w:tplc="442A5D52">
      <w:start w:val="1"/>
      <w:numFmt w:val="decimal"/>
      <w:lvlText w:val="%1"/>
      <w:lvlJc w:val="left"/>
      <w:pPr>
        <w:ind w:left="720" w:hanging="720"/>
      </w:pPr>
      <w:rPr>
        <w:rFonts w:ascii="Times New Roman" w:hAnsi="Times New Roman" w:hint="default"/>
        <w:b w:val="0"/>
        <w:i/>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3BA5D0B"/>
    <w:multiLevelType w:val="hybridMultilevel"/>
    <w:tmpl w:val="486A87FE"/>
    <w:lvl w:ilvl="0" w:tplc="255C82C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7215C1B"/>
    <w:multiLevelType w:val="hybridMultilevel"/>
    <w:tmpl w:val="FD229644"/>
    <w:lvl w:ilvl="0" w:tplc="F372E494">
      <w:start w:val="1"/>
      <w:numFmt w:val="decimal"/>
      <w:lvlText w:val="%1"/>
      <w:lvlJc w:val="left"/>
      <w:pPr>
        <w:ind w:left="0" w:hanging="720"/>
      </w:pPr>
      <w:rPr>
        <w:rFonts w:ascii="Times New Roman" w:hAnsi="Times New Roman" w:hint="default"/>
        <w:b w:val="0"/>
        <w:i/>
        <w:sz w:val="24"/>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EC451F8"/>
    <w:multiLevelType w:val="hybridMultilevel"/>
    <w:tmpl w:val="B5BA2430"/>
    <w:lvl w:ilvl="0" w:tplc="547805AA">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nsid w:val="5F197C80"/>
    <w:multiLevelType w:val="hybridMultilevel"/>
    <w:tmpl w:val="C1CA174A"/>
    <w:lvl w:ilvl="0" w:tplc="2CAAC3BE">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0223E48"/>
    <w:multiLevelType w:val="hybridMultilevel"/>
    <w:tmpl w:val="D110F5FE"/>
    <w:lvl w:ilvl="0" w:tplc="8A32358E">
      <w:start w:val="1"/>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52F7B9E"/>
    <w:multiLevelType w:val="hybridMultilevel"/>
    <w:tmpl w:val="7D86FBCE"/>
    <w:lvl w:ilvl="0" w:tplc="6FF2241A">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B30589E"/>
    <w:multiLevelType w:val="hybridMultilevel"/>
    <w:tmpl w:val="328EDDD2"/>
    <w:lvl w:ilvl="0" w:tplc="E9445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F5B3401"/>
    <w:multiLevelType w:val="hybridMultilevel"/>
    <w:tmpl w:val="0890E122"/>
    <w:lvl w:ilvl="0" w:tplc="82CA1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08027D9"/>
    <w:multiLevelType w:val="hybridMultilevel"/>
    <w:tmpl w:val="51AEF388"/>
    <w:lvl w:ilvl="0" w:tplc="9774A6D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2C4329"/>
    <w:multiLevelType w:val="hybridMultilevel"/>
    <w:tmpl w:val="9BE0799E"/>
    <w:lvl w:ilvl="0" w:tplc="F372E494">
      <w:start w:val="1"/>
      <w:numFmt w:val="decimal"/>
      <w:lvlText w:val="%1"/>
      <w:lvlJc w:val="left"/>
      <w:pPr>
        <w:ind w:left="1440" w:hanging="36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7DA2FD2"/>
    <w:multiLevelType w:val="hybridMultilevel"/>
    <w:tmpl w:val="4EE87946"/>
    <w:lvl w:ilvl="0" w:tplc="DC380ABC">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nsid w:val="7E1B24C3"/>
    <w:multiLevelType w:val="hybridMultilevel"/>
    <w:tmpl w:val="F280D666"/>
    <w:lvl w:ilvl="0" w:tplc="5D06391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6"/>
  </w:num>
  <w:num w:numId="2">
    <w:abstractNumId w:val="26"/>
  </w:num>
  <w:num w:numId="3">
    <w:abstractNumId w:val="2"/>
  </w:num>
  <w:num w:numId="4">
    <w:abstractNumId w:val="0"/>
  </w:num>
  <w:num w:numId="5">
    <w:abstractNumId w:val="23"/>
  </w:num>
  <w:num w:numId="6">
    <w:abstractNumId w:val="34"/>
  </w:num>
  <w:num w:numId="7">
    <w:abstractNumId w:val="22"/>
  </w:num>
  <w:num w:numId="8">
    <w:abstractNumId w:val="9"/>
  </w:num>
  <w:num w:numId="9">
    <w:abstractNumId w:val="16"/>
  </w:num>
  <w:num w:numId="10">
    <w:abstractNumId w:val="32"/>
  </w:num>
  <w:num w:numId="11">
    <w:abstractNumId w:val="33"/>
  </w:num>
  <w:num w:numId="12">
    <w:abstractNumId w:val="25"/>
  </w:num>
  <w:num w:numId="13">
    <w:abstractNumId w:val="11"/>
  </w:num>
  <w:num w:numId="14">
    <w:abstractNumId w:val="36"/>
  </w:num>
  <w:num w:numId="15">
    <w:abstractNumId w:val="21"/>
  </w:num>
  <w:num w:numId="16">
    <w:abstractNumId w:val="5"/>
  </w:num>
  <w:num w:numId="17">
    <w:abstractNumId w:val="7"/>
  </w:num>
  <w:num w:numId="18">
    <w:abstractNumId w:val="14"/>
  </w:num>
  <w:num w:numId="19">
    <w:abstractNumId w:val="24"/>
  </w:num>
  <w:num w:numId="20">
    <w:abstractNumId w:val="40"/>
  </w:num>
  <w:num w:numId="21">
    <w:abstractNumId w:val="39"/>
  </w:num>
  <w:num w:numId="22">
    <w:abstractNumId w:val="31"/>
  </w:num>
  <w:num w:numId="23">
    <w:abstractNumId w:val="29"/>
  </w:num>
  <w:num w:numId="24">
    <w:abstractNumId w:val="8"/>
  </w:num>
  <w:num w:numId="25">
    <w:abstractNumId w:val="30"/>
  </w:num>
  <w:num w:numId="26">
    <w:abstractNumId w:val="4"/>
  </w:num>
  <w:num w:numId="27">
    <w:abstractNumId w:val="18"/>
  </w:num>
  <w:num w:numId="28">
    <w:abstractNumId w:val="17"/>
  </w:num>
  <w:num w:numId="29">
    <w:abstractNumId w:val="6"/>
  </w:num>
  <w:num w:numId="30">
    <w:abstractNumId w:val="38"/>
  </w:num>
  <w:num w:numId="31">
    <w:abstractNumId w:val="28"/>
  </w:num>
  <w:num w:numId="32">
    <w:abstractNumId w:val="10"/>
  </w:num>
  <w:num w:numId="33">
    <w:abstractNumId w:val="12"/>
  </w:num>
  <w:num w:numId="34">
    <w:abstractNumId w:val="27"/>
  </w:num>
  <w:num w:numId="35">
    <w:abstractNumId w:val="13"/>
  </w:num>
  <w:num w:numId="36">
    <w:abstractNumId w:val="15"/>
  </w:num>
  <w:num w:numId="37">
    <w:abstractNumId w:val="35"/>
  </w:num>
  <w:num w:numId="38">
    <w:abstractNumId w:val="19"/>
  </w:num>
  <w:num w:numId="39">
    <w:abstractNumId w:val="37"/>
  </w:num>
  <w:num w:numId="40">
    <w:abstractNumId w:val="20"/>
  </w:num>
  <w:num w:numId="41">
    <w:abstractNumId w:val="1"/>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A0C"/>
    <w:rsid w:val="00002CE4"/>
    <w:rsid w:val="0001148D"/>
    <w:rsid w:val="00012354"/>
    <w:rsid w:val="00014116"/>
    <w:rsid w:val="000243D9"/>
    <w:rsid w:val="0002570E"/>
    <w:rsid w:val="00035D55"/>
    <w:rsid w:val="00036F3D"/>
    <w:rsid w:val="00045E0A"/>
    <w:rsid w:val="00050C80"/>
    <w:rsid w:val="000536B0"/>
    <w:rsid w:val="000560B7"/>
    <w:rsid w:val="00057FE8"/>
    <w:rsid w:val="0006734E"/>
    <w:rsid w:val="000778C3"/>
    <w:rsid w:val="00083C7E"/>
    <w:rsid w:val="0008726B"/>
    <w:rsid w:val="00087451"/>
    <w:rsid w:val="00090A5E"/>
    <w:rsid w:val="00090D9B"/>
    <w:rsid w:val="00092555"/>
    <w:rsid w:val="00092FE0"/>
    <w:rsid w:val="000A05A2"/>
    <w:rsid w:val="000A3F5E"/>
    <w:rsid w:val="000A7152"/>
    <w:rsid w:val="000D667A"/>
    <w:rsid w:val="000E282B"/>
    <w:rsid w:val="000E3CEA"/>
    <w:rsid w:val="000F2D18"/>
    <w:rsid w:val="000F450B"/>
    <w:rsid w:val="00103E4C"/>
    <w:rsid w:val="001073DA"/>
    <w:rsid w:val="0011404E"/>
    <w:rsid w:val="00114625"/>
    <w:rsid w:val="00122218"/>
    <w:rsid w:val="00123DAC"/>
    <w:rsid w:val="001246E3"/>
    <w:rsid w:val="00125A4A"/>
    <w:rsid w:val="0013193C"/>
    <w:rsid w:val="00136D6A"/>
    <w:rsid w:val="0014148D"/>
    <w:rsid w:val="00141631"/>
    <w:rsid w:val="00141B4C"/>
    <w:rsid w:val="001446FB"/>
    <w:rsid w:val="00146B40"/>
    <w:rsid w:val="00150D03"/>
    <w:rsid w:val="00151EAE"/>
    <w:rsid w:val="00152F78"/>
    <w:rsid w:val="001543B6"/>
    <w:rsid w:val="00155815"/>
    <w:rsid w:val="0016350D"/>
    <w:rsid w:val="00163581"/>
    <w:rsid w:val="00164273"/>
    <w:rsid w:val="00165C88"/>
    <w:rsid w:val="001711CA"/>
    <w:rsid w:val="0017170B"/>
    <w:rsid w:val="00172B1A"/>
    <w:rsid w:val="00174057"/>
    <w:rsid w:val="0017452B"/>
    <w:rsid w:val="00184AC7"/>
    <w:rsid w:val="00187E6A"/>
    <w:rsid w:val="00190B24"/>
    <w:rsid w:val="00196DD6"/>
    <w:rsid w:val="001A31E4"/>
    <w:rsid w:val="001B4945"/>
    <w:rsid w:val="001B6671"/>
    <w:rsid w:val="001C5A85"/>
    <w:rsid w:val="001D04A9"/>
    <w:rsid w:val="001D1A95"/>
    <w:rsid w:val="001D567A"/>
    <w:rsid w:val="001D5A8B"/>
    <w:rsid w:val="001E1AD3"/>
    <w:rsid w:val="00213686"/>
    <w:rsid w:val="00221198"/>
    <w:rsid w:val="002316F9"/>
    <w:rsid w:val="0023179B"/>
    <w:rsid w:val="0023210C"/>
    <w:rsid w:val="00236685"/>
    <w:rsid w:val="00241D8A"/>
    <w:rsid w:val="00250258"/>
    <w:rsid w:val="00250470"/>
    <w:rsid w:val="00253296"/>
    <w:rsid w:val="00263AEF"/>
    <w:rsid w:val="002642BC"/>
    <w:rsid w:val="002713C4"/>
    <w:rsid w:val="00274589"/>
    <w:rsid w:val="00285EC8"/>
    <w:rsid w:val="002A2A7D"/>
    <w:rsid w:val="002A3BF0"/>
    <w:rsid w:val="002A4FFD"/>
    <w:rsid w:val="002A52FF"/>
    <w:rsid w:val="002B0A0C"/>
    <w:rsid w:val="002B67BB"/>
    <w:rsid w:val="002B693B"/>
    <w:rsid w:val="002C0765"/>
    <w:rsid w:val="002C2782"/>
    <w:rsid w:val="002D31B7"/>
    <w:rsid w:val="002D4D47"/>
    <w:rsid w:val="002E5DEC"/>
    <w:rsid w:val="002F15AA"/>
    <w:rsid w:val="002F324A"/>
    <w:rsid w:val="002F5146"/>
    <w:rsid w:val="0031558B"/>
    <w:rsid w:val="0032212C"/>
    <w:rsid w:val="00325FE1"/>
    <w:rsid w:val="00330FF7"/>
    <w:rsid w:val="00331758"/>
    <w:rsid w:val="0033556B"/>
    <w:rsid w:val="00337089"/>
    <w:rsid w:val="003404B7"/>
    <w:rsid w:val="00342653"/>
    <w:rsid w:val="00343CCB"/>
    <w:rsid w:val="003478BD"/>
    <w:rsid w:val="00352731"/>
    <w:rsid w:val="00356E97"/>
    <w:rsid w:val="0036045D"/>
    <w:rsid w:val="003610F8"/>
    <w:rsid w:val="00367D5F"/>
    <w:rsid w:val="00372759"/>
    <w:rsid w:val="003767BE"/>
    <w:rsid w:val="00380A22"/>
    <w:rsid w:val="00385F95"/>
    <w:rsid w:val="0038763E"/>
    <w:rsid w:val="00392E5E"/>
    <w:rsid w:val="003942A6"/>
    <w:rsid w:val="003A2577"/>
    <w:rsid w:val="003A3181"/>
    <w:rsid w:val="003A7F77"/>
    <w:rsid w:val="003B1D0A"/>
    <w:rsid w:val="003B1D76"/>
    <w:rsid w:val="003B3162"/>
    <w:rsid w:val="003C24A5"/>
    <w:rsid w:val="003D15B7"/>
    <w:rsid w:val="003D2622"/>
    <w:rsid w:val="003D32F6"/>
    <w:rsid w:val="003E4751"/>
    <w:rsid w:val="003F7CFC"/>
    <w:rsid w:val="00401215"/>
    <w:rsid w:val="00404DB2"/>
    <w:rsid w:val="00413A6A"/>
    <w:rsid w:val="00414E7D"/>
    <w:rsid w:val="00415C45"/>
    <w:rsid w:val="00417915"/>
    <w:rsid w:val="00417F17"/>
    <w:rsid w:val="004212A3"/>
    <w:rsid w:val="00426229"/>
    <w:rsid w:val="00430D6A"/>
    <w:rsid w:val="00432363"/>
    <w:rsid w:val="00441B96"/>
    <w:rsid w:val="004438E6"/>
    <w:rsid w:val="00445198"/>
    <w:rsid w:val="004455D9"/>
    <w:rsid w:val="00451EEB"/>
    <w:rsid w:val="004520A1"/>
    <w:rsid w:val="0045234A"/>
    <w:rsid w:val="0045266F"/>
    <w:rsid w:val="0045694B"/>
    <w:rsid w:val="00456DA6"/>
    <w:rsid w:val="00460C45"/>
    <w:rsid w:val="00462640"/>
    <w:rsid w:val="0046405B"/>
    <w:rsid w:val="00464572"/>
    <w:rsid w:val="004714D3"/>
    <w:rsid w:val="00474F10"/>
    <w:rsid w:val="00480468"/>
    <w:rsid w:val="00480928"/>
    <w:rsid w:val="00494637"/>
    <w:rsid w:val="0049752E"/>
    <w:rsid w:val="004A2E07"/>
    <w:rsid w:val="004A3592"/>
    <w:rsid w:val="004B0D0E"/>
    <w:rsid w:val="004B4A70"/>
    <w:rsid w:val="004B5E53"/>
    <w:rsid w:val="004B65E9"/>
    <w:rsid w:val="004B78FA"/>
    <w:rsid w:val="004D2098"/>
    <w:rsid w:val="004D3984"/>
    <w:rsid w:val="004E1949"/>
    <w:rsid w:val="004E62A3"/>
    <w:rsid w:val="004F1586"/>
    <w:rsid w:val="004F1FEE"/>
    <w:rsid w:val="004F2B03"/>
    <w:rsid w:val="00503D9C"/>
    <w:rsid w:val="00520741"/>
    <w:rsid w:val="00521DB6"/>
    <w:rsid w:val="005220E4"/>
    <w:rsid w:val="00525BAC"/>
    <w:rsid w:val="00526108"/>
    <w:rsid w:val="00527547"/>
    <w:rsid w:val="005314CB"/>
    <w:rsid w:val="005421DE"/>
    <w:rsid w:val="0054310A"/>
    <w:rsid w:val="00546F21"/>
    <w:rsid w:val="00551222"/>
    <w:rsid w:val="00561123"/>
    <w:rsid w:val="00581145"/>
    <w:rsid w:val="00581222"/>
    <w:rsid w:val="00581B3D"/>
    <w:rsid w:val="005A1887"/>
    <w:rsid w:val="005A1F0D"/>
    <w:rsid w:val="005A411A"/>
    <w:rsid w:val="005B21DB"/>
    <w:rsid w:val="005B7D27"/>
    <w:rsid w:val="005C445A"/>
    <w:rsid w:val="005C7090"/>
    <w:rsid w:val="005C71B3"/>
    <w:rsid w:val="005D0B2D"/>
    <w:rsid w:val="005D31D1"/>
    <w:rsid w:val="005D4798"/>
    <w:rsid w:val="005D66CC"/>
    <w:rsid w:val="005D6840"/>
    <w:rsid w:val="005D6889"/>
    <w:rsid w:val="005D6999"/>
    <w:rsid w:val="005D74BE"/>
    <w:rsid w:val="005D79CC"/>
    <w:rsid w:val="005E355F"/>
    <w:rsid w:val="005E5652"/>
    <w:rsid w:val="005F3636"/>
    <w:rsid w:val="005F3DD2"/>
    <w:rsid w:val="005F4A0F"/>
    <w:rsid w:val="005F582E"/>
    <w:rsid w:val="005F63A4"/>
    <w:rsid w:val="00603CF4"/>
    <w:rsid w:val="006046FB"/>
    <w:rsid w:val="0061332E"/>
    <w:rsid w:val="0061431A"/>
    <w:rsid w:val="006157AD"/>
    <w:rsid w:val="00620ED8"/>
    <w:rsid w:val="006219CC"/>
    <w:rsid w:val="00626062"/>
    <w:rsid w:val="00631216"/>
    <w:rsid w:val="006466D8"/>
    <w:rsid w:val="00652EFC"/>
    <w:rsid w:val="00660D60"/>
    <w:rsid w:val="006635E2"/>
    <w:rsid w:val="006668FB"/>
    <w:rsid w:val="006700C3"/>
    <w:rsid w:val="00677E26"/>
    <w:rsid w:val="006800A3"/>
    <w:rsid w:val="00684EED"/>
    <w:rsid w:val="006914B9"/>
    <w:rsid w:val="00694C2A"/>
    <w:rsid w:val="00697A05"/>
    <w:rsid w:val="006A0D58"/>
    <w:rsid w:val="006A70D4"/>
    <w:rsid w:val="006A7848"/>
    <w:rsid w:val="006A79E1"/>
    <w:rsid w:val="006B0D39"/>
    <w:rsid w:val="006B5D17"/>
    <w:rsid w:val="006C63F8"/>
    <w:rsid w:val="006D11D7"/>
    <w:rsid w:val="006D1A9D"/>
    <w:rsid w:val="006D2F92"/>
    <w:rsid w:val="006E02F9"/>
    <w:rsid w:val="006E7290"/>
    <w:rsid w:val="006F01EC"/>
    <w:rsid w:val="006F272F"/>
    <w:rsid w:val="007036D0"/>
    <w:rsid w:val="007104BA"/>
    <w:rsid w:val="007158C2"/>
    <w:rsid w:val="00720015"/>
    <w:rsid w:val="007329E7"/>
    <w:rsid w:val="007349F4"/>
    <w:rsid w:val="00735F35"/>
    <w:rsid w:val="00736E19"/>
    <w:rsid w:val="00740FBA"/>
    <w:rsid w:val="00743282"/>
    <w:rsid w:val="007521DC"/>
    <w:rsid w:val="00757EB2"/>
    <w:rsid w:val="00767B4F"/>
    <w:rsid w:val="007752E4"/>
    <w:rsid w:val="007830D6"/>
    <w:rsid w:val="00784964"/>
    <w:rsid w:val="00787C8C"/>
    <w:rsid w:val="00797C4F"/>
    <w:rsid w:val="007B4628"/>
    <w:rsid w:val="007B4C2B"/>
    <w:rsid w:val="007C3E1C"/>
    <w:rsid w:val="007D08F8"/>
    <w:rsid w:val="007F5858"/>
    <w:rsid w:val="008026AA"/>
    <w:rsid w:val="00807F90"/>
    <w:rsid w:val="0081343D"/>
    <w:rsid w:val="0081562C"/>
    <w:rsid w:val="00821541"/>
    <w:rsid w:val="0082469E"/>
    <w:rsid w:val="00824D00"/>
    <w:rsid w:val="00833EA6"/>
    <w:rsid w:val="008414AD"/>
    <w:rsid w:val="0084618B"/>
    <w:rsid w:val="008526C1"/>
    <w:rsid w:val="008528F1"/>
    <w:rsid w:val="008536A0"/>
    <w:rsid w:val="00860FE6"/>
    <w:rsid w:val="00865186"/>
    <w:rsid w:val="00870C86"/>
    <w:rsid w:val="00872334"/>
    <w:rsid w:val="008842F5"/>
    <w:rsid w:val="00887C9B"/>
    <w:rsid w:val="00891413"/>
    <w:rsid w:val="00893202"/>
    <w:rsid w:val="00895764"/>
    <w:rsid w:val="008A0FC1"/>
    <w:rsid w:val="008A2D50"/>
    <w:rsid w:val="008A4E01"/>
    <w:rsid w:val="008A7AFD"/>
    <w:rsid w:val="008B0CBE"/>
    <w:rsid w:val="008B76C0"/>
    <w:rsid w:val="008C155A"/>
    <w:rsid w:val="008C5567"/>
    <w:rsid w:val="008C5B34"/>
    <w:rsid w:val="008C67D6"/>
    <w:rsid w:val="008C6A65"/>
    <w:rsid w:val="008C7297"/>
    <w:rsid w:val="008D5C19"/>
    <w:rsid w:val="008E1312"/>
    <w:rsid w:val="008F0188"/>
    <w:rsid w:val="008F29F5"/>
    <w:rsid w:val="008F5810"/>
    <w:rsid w:val="008F654C"/>
    <w:rsid w:val="008F720E"/>
    <w:rsid w:val="009055FA"/>
    <w:rsid w:val="00910E85"/>
    <w:rsid w:val="00911C51"/>
    <w:rsid w:val="00913894"/>
    <w:rsid w:val="00922B45"/>
    <w:rsid w:val="009359B3"/>
    <w:rsid w:val="00942618"/>
    <w:rsid w:val="009433A9"/>
    <w:rsid w:val="0094527C"/>
    <w:rsid w:val="00952021"/>
    <w:rsid w:val="0095545C"/>
    <w:rsid w:val="00957F0F"/>
    <w:rsid w:val="00975A89"/>
    <w:rsid w:val="0099206A"/>
    <w:rsid w:val="00992CC7"/>
    <w:rsid w:val="0099426C"/>
    <w:rsid w:val="00995B1E"/>
    <w:rsid w:val="00996F2D"/>
    <w:rsid w:val="00996F42"/>
    <w:rsid w:val="009A1359"/>
    <w:rsid w:val="009A430D"/>
    <w:rsid w:val="009A7559"/>
    <w:rsid w:val="009A75CC"/>
    <w:rsid w:val="009B12C8"/>
    <w:rsid w:val="009B3214"/>
    <w:rsid w:val="009B54B8"/>
    <w:rsid w:val="009B5B79"/>
    <w:rsid w:val="009B6D3A"/>
    <w:rsid w:val="009C3739"/>
    <w:rsid w:val="009C5AC8"/>
    <w:rsid w:val="009C5B61"/>
    <w:rsid w:val="009D327B"/>
    <w:rsid w:val="009E1953"/>
    <w:rsid w:val="009E1B83"/>
    <w:rsid w:val="009E37BC"/>
    <w:rsid w:val="009E6A36"/>
    <w:rsid w:val="009F370E"/>
    <w:rsid w:val="00A15A5E"/>
    <w:rsid w:val="00A15F61"/>
    <w:rsid w:val="00A17E7A"/>
    <w:rsid w:val="00A26ADF"/>
    <w:rsid w:val="00A3126E"/>
    <w:rsid w:val="00A44EA9"/>
    <w:rsid w:val="00A5125F"/>
    <w:rsid w:val="00A577A7"/>
    <w:rsid w:val="00A70FE5"/>
    <w:rsid w:val="00A83C37"/>
    <w:rsid w:val="00A91B00"/>
    <w:rsid w:val="00A9370D"/>
    <w:rsid w:val="00AA467B"/>
    <w:rsid w:val="00AA7E4D"/>
    <w:rsid w:val="00AB4EEE"/>
    <w:rsid w:val="00AC15F3"/>
    <w:rsid w:val="00AC1F1C"/>
    <w:rsid w:val="00AD3BEB"/>
    <w:rsid w:val="00AD65FE"/>
    <w:rsid w:val="00AE07C7"/>
    <w:rsid w:val="00AE7228"/>
    <w:rsid w:val="00AF3039"/>
    <w:rsid w:val="00B009BC"/>
    <w:rsid w:val="00B039B6"/>
    <w:rsid w:val="00B10A02"/>
    <w:rsid w:val="00B2062A"/>
    <w:rsid w:val="00B2065E"/>
    <w:rsid w:val="00B25371"/>
    <w:rsid w:val="00B34733"/>
    <w:rsid w:val="00B3757F"/>
    <w:rsid w:val="00B40868"/>
    <w:rsid w:val="00B409F8"/>
    <w:rsid w:val="00B45C2F"/>
    <w:rsid w:val="00B52872"/>
    <w:rsid w:val="00B55DBA"/>
    <w:rsid w:val="00B601EC"/>
    <w:rsid w:val="00B62E99"/>
    <w:rsid w:val="00B63888"/>
    <w:rsid w:val="00B7332A"/>
    <w:rsid w:val="00B74343"/>
    <w:rsid w:val="00B75CB7"/>
    <w:rsid w:val="00B76890"/>
    <w:rsid w:val="00B76C50"/>
    <w:rsid w:val="00B802A6"/>
    <w:rsid w:val="00B817D9"/>
    <w:rsid w:val="00B81BB5"/>
    <w:rsid w:val="00B86518"/>
    <w:rsid w:val="00B87CD7"/>
    <w:rsid w:val="00B92FAD"/>
    <w:rsid w:val="00B94D11"/>
    <w:rsid w:val="00BA1227"/>
    <w:rsid w:val="00BA2592"/>
    <w:rsid w:val="00BA3599"/>
    <w:rsid w:val="00BA4ED2"/>
    <w:rsid w:val="00BA7F43"/>
    <w:rsid w:val="00BB39E0"/>
    <w:rsid w:val="00BB65DC"/>
    <w:rsid w:val="00BB6EF7"/>
    <w:rsid w:val="00BC17EE"/>
    <w:rsid w:val="00BC326B"/>
    <w:rsid w:val="00BC3D1B"/>
    <w:rsid w:val="00BC5691"/>
    <w:rsid w:val="00BE39AD"/>
    <w:rsid w:val="00BE509F"/>
    <w:rsid w:val="00BE525D"/>
    <w:rsid w:val="00BE6628"/>
    <w:rsid w:val="00BF2C21"/>
    <w:rsid w:val="00BF786F"/>
    <w:rsid w:val="00C05B99"/>
    <w:rsid w:val="00C075AC"/>
    <w:rsid w:val="00C15738"/>
    <w:rsid w:val="00C17550"/>
    <w:rsid w:val="00C25D9E"/>
    <w:rsid w:val="00C33AB0"/>
    <w:rsid w:val="00C34C14"/>
    <w:rsid w:val="00C46F5A"/>
    <w:rsid w:val="00C676E7"/>
    <w:rsid w:val="00C679EB"/>
    <w:rsid w:val="00C71DAA"/>
    <w:rsid w:val="00C81138"/>
    <w:rsid w:val="00C86EB1"/>
    <w:rsid w:val="00C870A1"/>
    <w:rsid w:val="00C87D11"/>
    <w:rsid w:val="00C96988"/>
    <w:rsid w:val="00CA0A60"/>
    <w:rsid w:val="00CA66CE"/>
    <w:rsid w:val="00CB246B"/>
    <w:rsid w:val="00CB2CAD"/>
    <w:rsid w:val="00CB5B0E"/>
    <w:rsid w:val="00CB70C6"/>
    <w:rsid w:val="00CD1919"/>
    <w:rsid w:val="00CD2750"/>
    <w:rsid w:val="00CE44CB"/>
    <w:rsid w:val="00CF07A3"/>
    <w:rsid w:val="00CF6004"/>
    <w:rsid w:val="00D00125"/>
    <w:rsid w:val="00D02AFD"/>
    <w:rsid w:val="00D21A20"/>
    <w:rsid w:val="00D23028"/>
    <w:rsid w:val="00D31138"/>
    <w:rsid w:val="00D34772"/>
    <w:rsid w:val="00D407DA"/>
    <w:rsid w:val="00D419BB"/>
    <w:rsid w:val="00D41C2E"/>
    <w:rsid w:val="00D53C7B"/>
    <w:rsid w:val="00D5708B"/>
    <w:rsid w:val="00D610B8"/>
    <w:rsid w:val="00D62646"/>
    <w:rsid w:val="00D62C1F"/>
    <w:rsid w:val="00D62F5E"/>
    <w:rsid w:val="00D634E6"/>
    <w:rsid w:val="00D72B89"/>
    <w:rsid w:val="00D730D5"/>
    <w:rsid w:val="00D7447C"/>
    <w:rsid w:val="00D754CC"/>
    <w:rsid w:val="00D804B3"/>
    <w:rsid w:val="00D808C5"/>
    <w:rsid w:val="00D80A07"/>
    <w:rsid w:val="00D80A64"/>
    <w:rsid w:val="00D82358"/>
    <w:rsid w:val="00D834D2"/>
    <w:rsid w:val="00D87D99"/>
    <w:rsid w:val="00DA1FF4"/>
    <w:rsid w:val="00DA4917"/>
    <w:rsid w:val="00DB38AF"/>
    <w:rsid w:val="00DB5212"/>
    <w:rsid w:val="00DB5C97"/>
    <w:rsid w:val="00DC0097"/>
    <w:rsid w:val="00DC6376"/>
    <w:rsid w:val="00DD2494"/>
    <w:rsid w:val="00DE1863"/>
    <w:rsid w:val="00DE2CE3"/>
    <w:rsid w:val="00DE48FA"/>
    <w:rsid w:val="00DE4DFC"/>
    <w:rsid w:val="00DF2B2E"/>
    <w:rsid w:val="00DF39FF"/>
    <w:rsid w:val="00DF4377"/>
    <w:rsid w:val="00DF676D"/>
    <w:rsid w:val="00E108AB"/>
    <w:rsid w:val="00E12514"/>
    <w:rsid w:val="00E12D77"/>
    <w:rsid w:val="00E14B55"/>
    <w:rsid w:val="00E16C42"/>
    <w:rsid w:val="00E17592"/>
    <w:rsid w:val="00E20C04"/>
    <w:rsid w:val="00E36086"/>
    <w:rsid w:val="00E4553A"/>
    <w:rsid w:val="00E50B09"/>
    <w:rsid w:val="00E5361D"/>
    <w:rsid w:val="00E62C6E"/>
    <w:rsid w:val="00E70116"/>
    <w:rsid w:val="00E7128C"/>
    <w:rsid w:val="00E71FA1"/>
    <w:rsid w:val="00E77C13"/>
    <w:rsid w:val="00E77E90"/>
    <w:rsid w:val="00E83DBE"/>
    <w:rsid w:val="00E87722"/>
    <w:rsid w:val="00E87B34"/>
    <w:rsid w:val="00E9207A"/>
    <w:rsid w:val="00E94774"/>
    <w:rsid w:val="00E972E7"/>
    <w:rsid w:val="00E9735C"/>
    <w:rsid w:val="00EA7AB4"/>
    <w:rsid w:val="00EA7BCA"/>
    <w:rsid w:val="00EB14D6"/>
    <w:rsid w:val="00EB201F"/>
    <w:rsid w:val="00EB526F"/>
    <w:rsid w:val="00EB57E1"/>
    <w:rsid w:val="00EC1B4A"/>
    <w:rsid w:val="00ED1372"/>
    <w:rsid w:val="00ED1EA6"/>
    <w:rsid w:val="00EE0059"/>
    <w:rsid w:val="00EE76B4"/>
    <w:rsid w:val="00EF272C"/>
    <w:rsid w:val="00EF4BE0"/>
    <w:rsid w:val="00EF54F9"/>
    <w:rsid w:val="00EF6540"/>
    <w:rsid w:val="00F020AD"/>
    <w:rsid w:val="00F0396C"/>
    <w:rsid w:val="00F052F8"/>
    <w:rsid w:val="00F055B9"/>
    <w:rsid w:val="00F05D2D"/>
    <w:rsid w:val="00F160E6"/>
    <w:rsid w:val="00F20D81"/>
    <w:rsid w:val="00F23F24"/>
    <w:rsid w:val="00F37798"/>
    <w:rsid w:val="00F421A6"/>
    <w:rsid w:val="00F427EC"/>
    <w:rsid w:val="00F47883"/>
    <w:rsid w:val="00F52FFB"/>
    <w:rsid w:val="00F57256"/>
    <w:rsid w:val="00F5726F"/>
    <w:rsid w:val="00F66A0E"/>
    <w:rsid w:val="00F76514"/>
    <w:rsid w:val="00F821F5"/>
    <w:rsid w:val="00F84231"/>
    <w:rsid w:val="00F87350"/>
    <w:rsid w:val="00F91613"/>
    <w:rsid w:val="00F92A4A"/>
    <w:rsid w:val="00F9331F"/>
    <w:rsid w:val="00FB3C7D"/>
    <w:rsid w:val="00FB6AEB"/>
    <w:rsid w:val="00FC2EC2"/>
    <w:rsid w:val="00FC72E0"/>
    <w:rsid w:val="00FE0820"/>
    <w:rsid w:val="00FE08CE"/>
    <w:rsid w:val="00FE1392"/>
    <w:rsid w:val="00FE676C"/>
    <w:rsid w:val="00FF1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BC6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A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0A0C"/>
    <w:rPr>
      <w:sz w:val="16"/>
      <w:szCs w:val="16"/>
    </w:rPr>
  </w:style>
  <w:style w:type="paragraph" w:styleId="CommentText">
    <w:name w:val="annotation text"/>
    <w:basedOn w:val="Normal"/>
    <w:link w:val="CommentTextChar"/>
    <w:uiPriority w:val="99"/>
    <w:semiHidden/>
    <w:unhideWhenUsed/>
    <w:rsid w:val="002B0A0C"/>
    <w:rPr>
      <w:sz w:val="20"/>
      <w:szCs w:val="20"/>
    </w:rPr>
  </w:style>
  <w:style w:type="character" w:customStyle="1" w:styleId="CommentTextChar">
    <w:name w:val="Comment Text Char"/>
    <w:basedOn w:val="DefaultParagraphFont"/>
    <w:link w:val="CommentText"/>
    <w:uiPriority w:val="99"/>
    <w:semiHidden/>
    <w:rsid w:val="002B0A0C"/>
    <w:rPr>
      <w:sz w:val="20"/>
      <w:szCs w:val="20"/>
    </w:rPr>
  </w:style>
  <w:style w:type="paragraph" w:styleId="CommentSubject">
    <w:name w:val="annotation subject"/>
    <w:basedOn w:val="CommentText"/>
    <w:next w:val="CommentText"/>
    <w:link w:val="CommentSubjectChar"/>
    <w:uiPriority w:val="99"/>
    <w:semiHidden/>
    <w:unhideWhenUsed/>
    <w:rsid w:val="002B0A0C"/>
    <w:rPr>
      <w:b/>
      <w:bCs/>
    </w:rPr>
  </w:style>
  <w:style w:type="character" w:customStyle="1" w:styleId="CommentSubjectChar">
    <w:name w:val="Comment Subject Char"/>
    <w:basedOn w:val="CommentTextChar"/>
    <w:link w:val="CommentSubject"/>
    <w:uiPriority w:val="99"/>
    <w:semiHidden/>
    <w:rsid w:val="002B0A0C"/>
    <w:rPr>
      <w:b/>
      <w:bCs/>
      <w:sz w:val="20"/>
      <w:szCs w:val="20"/>
    </w:rPr>
  </w:style>
  <w:style w:type="paragraph" w:styleId="BalloonText">
    <w:name w:val="Balloon Text"/>
    <w:basedOn w:val="Normal"/>
    <w:link w:val="BalloonTextChar"/>
    <w:uiPriority w:val="99"/>
    <w:semiHidden/>
    <w:unhideWhenUsed/>
    <w:rsid w:val="002B0A0C"/>
    <w:rPr>
      <w:rFonts w:ascii="Tahoma" w:hAnsi="Tahoma" w:cs="Tahoma"/>
      <w:sz w:val="16"/>
      <w:szCs w:val="16"/>
    </w:rPr>
  </w:style>
  <w:style w:type="character" w:customStyle="1" w:styleId="BalloonTextChar">
    <w:name w:val="Balloon Text Char"/>
    <w:basedOn w:val="DefaultParagraphFont"/>
    <w:link w:val="BalloonText"/>
    <w:uiPriority w:val="99"/>
    <w:semiHidden/>
    <w:rsid w:val="002B0A0C"/>
    <w:rPr>
      <w:rFonts w:ascii="Tahoma" w:hAnsi="Tahoma" w:cs="Tahoma"/>
      <w:sz w:val="16"/>
      <w:szCs w:val="16"/>
    </w:rPr>
  </w:style>
  <w:style w:type="paragraph" w:styleId="ListParagraph">
    <w:name w:val="List Paragraph"/>
    <w:basedOn w:val="Normal"/>
    <w:uiPriority w:val="34"/>
    <w:qFormat/>
    <w:rsid w:val="00A70FE5"/>
    <w:pPr>
      <w:ind w:left="720"/>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A70FE5"/>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A70FE5"/>
    <w:rPr>
      <w:sz w:val="20"/>
      <w:szCs w:val="20"/>
    </w:rPr>
  </w:style>
  <w:style w:type="character" w:styleId="FootnoteReference">
    <w:name w:val="footnote reference"/>
    <w:aliases w:val="o,fr,Style 3"/>
    <w:basedOn w:val="DefaultParagraphFont"/>
    <w:uiPriority w:val="99"/>
    <w:unhideWhenUsed/>
    <w:qFormat/>
    <w:rsid w:val="00A70FE5"/>
    <w:rPr>
      <w:vertAlign w:val="superscript"/>
    </w:rPr>
  </w:style>
  <w:style w:type="paragraph" w:customStyle="1" w:styleId="Answer-Testimony">
    <w:name w:val="Answer - Testimony"/>
    <w:basedOn w:val="Normal"/>
    <w:link w:val="Answer-TestimonyChar"/>
    <w:qFormat/>
    <w:rsid w:val="00AC1F1C"/>
    <w:pPr>
      <w:spacing w:line="480" w:lineRule="auto"/>
      <w:ind w:left="720" w:hanging="720"/>
    </w:pPr>
    <w:rPr>
      <w:rFonts w:eastAsia="Times New Roman" w:cs="Times New Roman"/>
      <w:szCs w:val="24"/>
    </w:rPr>
  </w:style>
  <w:style w:type="character" w:customStyle="1" w:styleId="Answer-TestimonyChar">
    <w:name w:val="Answer - Testimony Char"/>
    <w:basedOn w:val="DefaultParagraphFont"/>
    <w:link w:val="Answer-Testimony"/>
    <w:rsid w:val="00AC1F1C"/>
    <w:rPr>
      <w:rFonts w:eastAsia="Times New Roman" w:cs="Times New Roman"/>
      <w:szCs w:val="24"/>
    </w:rPr>
  </w:style>
  <w:style w:type="paragraph" w:styleId="BodyTextIndent2">
    <w:name w:val="Body Text Indent 2"/>
    <w:basedOn w:val="Normal"/>
    <w:link w:val="BodyTextIndent2Char"/>
    <w:rsid w:val="00413A6A"/>
    <w:pPr>
      <w:ind w:left="686"/>
    </w:pPr>
    <w:rPr>
      <w:rFonts w:ascii="Palatino Linotype" w:eastAsia="Times New Roman" w:hAnsi="Palatino Linotype" w:cs="Times New Roman"/>
      <w:szCs w:val="24"/>
    </w:rPr>
  </w:style>
  <w:style w:type="character" w:customStyle="1" w:styleId="BodyTextIndent2Char">
    <w:name w:val="Body Text Indent 2 Char"/>
    <w:basedOn w:val="DefaultParagraphFont"/>
    <w:link w:val="BodyTextIndent2"/>
    <w:rsid w:val="00413A6A"/>
    <w:rPr>
      <w:rFonts w:ascii="Palatino Linotype" w:eastAsia="Times New Roman" w:hAnsi="Palatino Linotype" w:cs="Times New Roman"/>
      <w:szCs w:val="24"/>
    </w:rPr>
  </w:style>
  <w:style w:type="paragraph" w:styleId="Header">
    <w:name w:val="header"/>
    <w:basedOn w:val="Normal"/>
    <w:link w:val="HeaderChar"/>
    <w:rsid w:val="00413A6A"/>
    <w:pPr>
      <w:tabs>
        <w:tab w:val="center" w:pos="4320"/>
        <w:tab w:val="right" w:pos="8640"/>
      </w:tabs>
    </w:pPr>
    <w:rPr>
      <w:rFonts w:ascii="Palatino Linotype" w:eastAsia="Times New Roman" w:hAnsi="Palatino Linotype" w:cs="Times New Roman"/>
      <w:szCs w:val="24"/>
    </w:rPr>
  </w:style>
  <w:style w:type="character" w:customStyle="1" w:styleId="HeaderChar">
    <w:name w:val="Header Char"/>
    <w:basedOn w:val="DefaultParagraphFont"/>
    <w:link w:val="Header"/>
    <w:rsid w:val="00413A6A"/>
    <w:rPr>
      <w:rFonts w:ascii="Palatino Linotype" w:eastAsia="Times New Roman" w:hAnsi="Palatino Linotype" w:cs="Times New Roman"/>
      <w:szCs w:val="24"/>
    </w:rPr>
  </w:style>
  <w:style w:type="paragraph" w:styleId="Footer">
    <w:name w:val="footer"/>
    <w:basedOn w:val="Normal"/>
    <w:link w:val="FooterChar"/>
    <w:uiPriority w:val="99"/>
    <w:unhideWhenUsed/>
    <w:rsid w:val="002F15AA"/>
    <w:pPr>
      <w:tabs>
        <w:tab w:val="center" w:pos="4680"/>
        <w:tab w:val="right" w:pos="9360"/>
      </w:tabs>
    </w:pPr>
  </w:style>
  <w:style w:type="character" w:customStyle="1" w:styleId="FooterChar">
    <w:name w:val="Footer Char"/>
    <w:basedOn w:val="DefaultParagraphFont"/>
    <w:link w:val="Footer"/>
    <w:uiPriority w:val="99"/>
    <w:rsid w:val="002F15AA"/>
  </w:style>
  <w:style w:type="paragraph" w:styleId="EndnoteText">
    <w:name w:val="endnote text"/>
    <w:basedOn w:val="Normal"/>
    <w:link w:val="EndnoteTextChar"/>
    <w:uiPriority w:val="99"/>
    <w:semiHidden/>
    <w:unhideWhenUsed/>
    <w:rsid w:val="005A1887"/>
    <w:rPr>
      <w:sz w:val="20"/>
      <w:szCs w:val="20"/>
    </w:rPr>
  </w:style>
  <w:style w:type="character" w:customStyle="1" w:styleId="EndnoteTextChar">
    <w:name w:val="Endnote Text Char"/>
    <w:basedOn w:val="DefaultParagraphFont"/>
    <w:link w:val="EndnoteText"/>
    <w:uiPriority w:val="99"/>
    <w:semiHidden/>
    <w:rsid w:val="005A1887"/>
    <w:rPr>
      <w:sz w:val="20"/>
      <w:szCs w:val="20"/>
    </w:rPr>
  </w:style>
  <w:style w:type="character" w:styleId="EndnoteReference">
    <w:name w:val="endnote reference"/>
    <w:basedOn w:val="DefaultParagraphFont"/>
    <w:uiPriority w:val="99"/>
    <w:semiHidden/>
    <w:unhideWhenUsed/>
    <w:rsid w:val="005A1887"/>
    <w:rPr>
      <w:vertAlign w:val="superscript"/>
    </w:rPr>
  </w:style>
  <w:style w:type="paragraph" w:styleId="BodyTextIndent">
    <w:name w:val="Body Text Indent"/>
    <w:basedOn w:val="Normal"/>
    <w:link w:val="BodyTextIndentChar"/>
    <w:uiPriority w:val="99"/>
    <w:semiHidden/>
    <w:unhideWhenUsed/>
    <w:rsid w:val="00B86518"/>
    <w:pPr>
      <w:spacing w:after="120"/>
      <w:ind w:left="360"/>
    </w:pPr>
  </w:style>
  <w:style w:type="character" w:customStyle="1" w:styleId="BodyTextIndentChar">
    <w:name w:val="Body Text Indent Char"/>
    <w:basedOn w:val="DefaultParagraphFont"/>
    <w:link w:val="BodyTextIndent"/>
    <w:uiPriority w:val="99"/>
    <w:semiHidden/>
    <w:rsid w:val="00B86518"/>
  </w:style>
  <w:style w:type="paragraph" w:customStyle="1" w:styleId="Level1">
    <w:name w:val="Level 1"/>
    <w:basedOn w:val="Normal"/>
    <w:uiPriority w:val="99"/>
    <w:rsid w:val="00B86518"/>
    <w:pPr>
      <w:widowControl w:val="0"/>
      <w:autoSpaceDE w:val="0"/>
      <w:autoSpaceDN w:val="0"/>
      <w:adjustRightInd w:val="0"/>
      <w:ind w:left="720" w:hanging="720"/>
      <w:outlineLvl w:val="0"/>
    </w:pPr>
    <w:rPr>
      <w:rFonts w:eastAsiaTheme="minorEastAsia" w:cs="Times New Roman"/>
      <w:szCs w:val="24"/>
    </w:rPr>
  </w:style>
  <w:style w:type="character" w:styleId="Hyperlink">
    <w:name w:val="Hyperlink"/>
    <w:basedOn w:val="DefaultParagraphFont"/>
    <w:uiPriority w:val="99"/>
    <w:unhideWhenUsed/>
    <w:rsid w:val="001B4945"/>
    <w:rPr>
      <w:color w:val="0000FF" w:themeColor="hyperlink"/>
      <w:u w:val="single"/>
    </w:rPr>
  </w:style>
  <w:style w:type="paragraph" w:styleId="Revision">
    <w:name w:val="Revision"/>
    <w:hidden/>
    <w:uiPriority w:val="99"/>
    <w:semiHidden/>
    <w:rsid w:val="006A0D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A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0A0C"/>
    <w:rPr>
      <w:sz w:val="16"/>
      <w:szCs w:val="16"/>
    </w:rPr>
  </w:style>
  <w:style w:type="paragraph" w:styleId="CommentText">
    <w:name w:val="annotation text"/>
    <w:basedOn w:val="Normal"/>
    <w:link w:val="CommentTextChar"/>
    <w:uiPriority w:val="99"/>
    <w:semiHidden/>
    <w:unhideWhenUsed/>
    <w:rsid w:val="002B0A0C"/>
    <w:rPr>
      <w:sz w:val="20"/>
      <w:szCs w:val="20"/>
    </w:rPr>
  </w:style>
  <w:style w:type="character" w:customStyle="1" w:styleId="CommentTextChar">
    <w:name w:val="Comment Text Char"/>
    <w:basedOn w:val="DefaultParagraphFont"/>
    <w:link w:val="CommentText"/>
    <w:uiPriority w:val="99"/>
    <w:semiHidden/>
    <w:rsid w:val="002B0A0C"/>
    <w:rPr>
      <w:sz w:val="20"/>
      <w:szCs w:val="20"/>
    </w:rPr>
  </w:style>
  <w:style w:type="paragraph" w:styleId="CommentSubject">
    <w:name w:val="annotation subject"/>
    <w:basedOn w:val="CommentText"/>
    <w:next w:val="CommentText"/>
    <w:link w:val="CommentSubjectChar"/>
    <w:uiPriority w:val="99"/>
    <w:semiHidden/>
    <w:unhideWhenUsed/>
    <w:rsid w:val="002B0A0C"/>
    <w:rPr>
      <w:b/>
      <w:bCs/>
    </w:rPr>
  </w:style>
  <w:style w:type="character" w:customStyle="1" w:styleId="CommentSubjectChar">
    <w:name w:val="Comment Subject Char"/>
    <w:basedOn w:val="CommentTextChar"/>
    <w:link w:val="CommentSubject"/>
    <w:uiPriority w:val="99"/>
    <w:semiHidden/>
    <w:rsid w:val="002B0A0C"/>
    <w:rPr>
      <w:b/>
      <w:bCs/>
      <w:sz w:val="20"/>
      <w:szCs w:val="20"/>
    </w:rPr>
  </w:style>
  <w:style w:type="paragraph" w:styleId="BalloonText">
    <w:name w:val="Balloon Text"/>
    <w:basedOn w:val="Normal"/>
    <w:link w:val="BalloonTextChar"/>
    <w:uiPriority w:val="99"/>
    <w:semiHidden/>
    <w:unhideWhenUsed/>
    <w:rsid w:val="002B0A0C"/>
    <w:rPr>
      <w:rFonts w:ascii="Tahoma" w:hAnsi="Tahoma" w:cs="Tahoma"/>
      <w:sz w:val="16"/>
      <w:szCs w:val="16"/>
    </w:rPr>
  </w:style>
  <w:style w:type="character" w:customStyle="1" w:styleId="BalloonTextChar">
    <w:name w:val="Balloon Text Char"/>
    <w:basedOn w:val="DefaultParagraphFont"/>
    <w:link w:val="BalloonText"/>
    <w:uiPriority w:val="99"/>
    <w:semiHidden/>
    <w:rsid w:val="002B0A0C"/>
    <w:rPr>
      <w:rFonts w:ascii="Tahoma" w:hAnsi="Tahoma" w:cs="Tahoma"/>
      <w:sz w:val="16"/>
      <w:szCs w:val="16"/>
    </w:rPr>
  </w:style>
  <w:style w:type="paragraph" w:styleId="ListParagraph">
    <w:name w:val="List Paragraph"/>
    <w:basedOn w:val="Normal"/>
    <w:uiPriority w:val="34"/>
    <w:qFormat/>
    <w:rsid w:val="00A70FE5"/>
    <w:pPr>
      <w:ind w:left="720"/>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A70FE5"/>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A70FE5"/>
    <w:rPr>
      <w:sz w:val="20"/>
      <w:szCs w:val="20"/>
    </w:rPr>
  </w:style>
  <w:style w:type="character" w:styleId="FootnoteReference">
    <w:name w:val="footnote reference"/>
    <w:aliases w:val="o,fr,Style 3"/>
    <w:basedOn w:val="DefaultParagraphFont"/>
    <w:uiPriority w:val="99"/>
    <w:unhideWhenUsed/>
    <w:qFormat/>
    <w:rsid w:val="00A70FE5"/>
    <w:rPr>
      <w:vertAlign w:val="superscript"/>
    </w:rPr>
  </w:style>
  <w:style w:type="paragraph" w:customStyle="1" w:styleId="Answer-Testimony">
    <w:name w:val="Answer - Testimony"/>
    <w:basedOn w:val="Normal"/>
    <w:link w:val="Answer-TestimonyChar"/>
    <w:qFormat/>
    <w:rsid w:val="00AC1F1C"/>
    <w:pPr>
      <w:spacing w:line="480" w:lineRule="auto"/>
      <w:ind w:left="720" w:hanging="720"/>
    </w:pPr>
    <w:rPr>
      <w:rFonts w:eastAsia="Times New Roman" w:cs="Times New Roman"/>
      <w:szCs w:val="24"/>
    </w:rPr>
  </w:style>
  <w:style w:type="character" w:customStyle="1" w:styleId="Answer-TestimonyChar">
    <w:name w:val="Answer - Testimony Char"/>
    <w:basedOn w:val="DefaultParagraphFont"/>
    <w:link w:val="Answer-Testimony"/>
    <w:rsid w:val="00AC1F1C"/>
    <w:rPr>
      <w:rFonts w:eastAsia="Times New Roman" w:cs="Times New Roman"/>
      <w:szCs w:val="24"/>
    </w:rPr>
  </w:style>
  <w:style w:type="paragraph" w:styleId="BodyTextIndent2">
    <w:name w:val="Body Text Indent 2"/>
    <w:basedOn w:val="Normal"/>
    <w:link w:val="BodyTextIndent2Char"/>
    <w:rsid w:val="00413A6A"/>
    <w:pPr>
      <w:ind w:left="686"/>
    </w:pPr>
    <w:rPr>
      <w:rFonts w:ascii="Palatino Linotype" w:eastAsia="Times New Roman" w:hAnsi="Palatino Linotype" w:cs="Times New Roman"/>
      <w:szCs w:val="24"/>
    </w:rPr>
  </w:style>
  <w:style w:type="character" w:customStyle="1" w:styleId="BodyTextIndent2Char">
    <w:name w:val="Body Text Indent 2 Char"/>
    <w:basedOn w:val="DefaultParagraphFont"/>
    <w:link w:val="BodyTextIndent2"/>
    <w:rsid w:val="00413A6A"/>
    <w:rPr>
      <w:rFonts w:ascii="Palatino Linotype" w:eastAsia="Times New Roman" w:hAnsi="Palatino Linotype" w:cs="Times New Roman"/>
      <w:szCs w:val="24"/>
    </w:rPr>
  </w:style>
  <w:style w:type="paragraph" w:styleId="Header">
    <w:name w:val="header"/>
    <w:basedOn w:val="Normal"/>
    <w:link w:val="HeaderChar"/>
    <w:rsid w:val="00413A6A"/>
    <w:pPr>
      <w:tabs>
        <w:tab w:val="center" w:pos="4320"/>
        <w:tab w:val="right" w:pos="8640"/>
      </w:tabs>
    </w:pPr>
    <w:rPr>
      <w:rFonts w:ascii="Palatino Linotype" w:eastAsia="Times New Roman" w:hAnsi="Palatino Linotype" w:cs="Times New Roman"/>
      <w:szCs w:val="24"/>
    </w:rPr>
  </w:style>
  <w:style w:type="character" w:customStyle="1" w:styleId="HeaderChar">
    <w:name w:val="Header Char"/>
    <w:basedOn w:val="DefaultParagraphFont"/>
    <w:link w:val="Header"/>
    <w:rsid w:val="00413A6A"/>
    <w:rPr>
      <w:rFonts w:ascii="Palatino Linotype" w:eastAsia="Times New Roman" w:hAnsi="Palatino Linotype" w:cs="Times New Roman"/>
      <w:szCs w:val="24"/>
    </w:rPr>
  </w:style>
  <w:style w:type="paragraph" w:styleId="Footer">
    <w:name w:val="footer"/>
    <w:basedOn w:val="Normal"/>
    <w:link w:val="FooterChar"/>
    <w:uiPriority w:val="99"/>
    <w:unhideWhenUsed/>
    <w:rsid w:val="002F15AA"/>
    <w:pPr>
      <w:tabs>
        <w:tab w:val="center" w:pos="4680"/>
        <w:tab w:val="right" w:pos="9360"/>
      </w:tabs>
    </w:pPr>
  </w:style>
  <w:style w:type="character" w:customStyle="1" w:styleId="FooterChar">
    <w:name w:val="Footer Char"/>
    <w:basedOn w:val="DefaultParagraphFont"/>
    <w:link w:val="Footer"/>
    <w:uiPriority w:val="99"/>
    <w:rsid w:val="002F15AA"/>
  </w:style>
  <w:style w:type="paragraph" w:styleId="EndnoteText">
    <w:name w:val="endnote text"/>
    <w:basedOn w:val="Normal"/>
    <w:link w:val="EndnoteTextChar"/>
    <w:uiPriority w:val="99"/>
    <w:semiHidden/>
    <w:unhideWhenUsed/>
    <w:rsid w:val="005A1887"/>
    <w:rPr>
      <w:sz w:val="20"/>
      <w:szCs w:val="20"/>
    </w:rPr>
  </w:style>
  <w:style w:type="character" w:customStyle="1" w:styleId="EndnoteTextChar">
    <w:name w:val="Endnote Text Char"/>
    <w:basedOn w:val="DefaultParagraphFont"/>
    <w:link w:val="EndnoteText"/>
    <w:uiPriority w:val="99"/>
    <w:semiHidden/>
    <w:rsid w:val="005A1887"/>
    <w:rPr>
      <w:sz w:val="20"/>
      <w:szCs w:val="20"/>
    </w:rPr>
  </w:style>
  <w:style w:type="character" w:styleId="EndnoteReference">
    <w:name w:val="endnote reference"/>
    <w:basedOn w:val="DefaultParagraphFont"/>
    <w:uiPriority w:val="99"/>
    <w:semiHidden/>
    <w:unhideWhenUsed/>
    <w:rsid w:val="005A1887"/>
    <w:rPr>
      <w:vertAlign w:val="superscript"/>
    </w:rPr>
  </w:style>
  <w:style w:type="paragraph" w:styleId="BodyTextIndent">
    <w:name w:val="Body Text Indent"/>
    <w:basedOn w:val="Normal"/>
    <w:link w:val="BodyTextIndentChar"/>
    <w:uiPriority w:val="99"/>
    <w:semiHidden/>
    <w:unhideWhenUsed/>
    <w:rsid w:val="00B86518"/>
    <w:pPr>
      <w:spacing w:after="120"/>
      <w:ind w:left="360"/>
    </w:pPr>
  </w:style>
  <w:style w:type="character" w:customStyle="1" w:styleId="BodyTextIndentChar">
    <w:name w:val="Body Text Indent Char"/>
    <w:basedOn w:val="DefaultParagraphFont"/>
    <w:link w:val="BodyTextIndent"/>
    <w:uiPriority w:val="99"/>
    <w:semiHidden/>
    <w:rsid w:val="00B86518"/>
  </w:style>
  <w:style w:type="paragraph" w:customStyle="1" w:styleId="Level1">
    <w:name w:val="Level 1"/>
    <w:basedOn w:val="Normal"/>
    <w:uiPriority w:val="99"/>
    <w:rsid w:val="00B86518"/>
    <w:pPr>
      <w:widowControl w:val="0"/>
      <w:autoSpaceDE w:val="0"/>
      <w:autoSpaceDN w:val="0"/>
      <w:adjustRightInd w:val="0"/>
      <w:ind w:left="720" w:hanging="720"/>
      <w:outlineLvl w:val="0"/>
    </w:pPr>
    <w:rPr>
      <w:rFonts w:eastAsiaTheme="minorEastAsia" w:cs="Times New Roman"/>
      <w:szCs w:val="24"/>
    </w:rPr>
  </w:style>
  <w:style w:type="character" w:styleId="Hyperlink">
    <w:name w:val="Hyperlink"/>
    <w:basedOn w:val="DefaultParagraphFont"/>
    <w:uiPriority w:val="99"/>
    <w:unhideWhenUsed/>
    <w:rsid w:val="001B4945"/>
    <w:rPr>
      <w:color w:val="0000FF" w:themeColor="hyperlink"/>
      <w:u w:val="single"/>
    </w:rPr>
  </w:style>
  <w:style w:type="paragraph" w:styleId="Revision">
    <w:name w:val="Revision"/>
    <w:hidden/>
    <w:uiPriority w:val="99"/>
    <w:semiHidden/>
    <w:rsid w:val="006A0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12489">
      <w:bodyDiv w:val="1"/>
      <w:marLeft w:val="0"/>
      <w:marRight w:val="0"/>
      <w:marTop w:val="0"/>
      <w:marBottom w:val="0"/>
      <w:divBdr>
        <w:top w:val="none" w:sz="0" w:space="0" w:color="auto"/>
        <w:left w:val="none" w:sz="0" w:space="0" w:color="auto"/>
        <w:bottom w:val="none" w:sz="0" w:space="0" w:color="auto"/>
        <w:right w:val="none" w:sz="0" w:space="0" w:color="auto"/>
      </w:divBdr>
      <w:divsChild>
        <w:div w:id="684017632">
          <w:marLeft w:val="0"/>
          <w:marRight w:val="0"/>
          <w:marTop w:val="0"/>
          <w:marBottom w:val="0"/>
          <w:divBdr>
            <w:top w:val="none" w:sz="0" w:space="0" w:color="auto"/>
            <w:left w:val="single" w:sz="6" w:space="0" w:color="D2D2D2"/>
            <w:bottom w:val="single" w:sz="6" w:space="0" w:color="D2D2D2"/>
            <w:right w:val="single" w:sz="6" w:space="0" w:color="D2D2D2"/>
          </w:divBdr>
          <w:divsChild>
            <w:div w:id="2002196823">
              <w:marLeft w:val="0"/>
              <w:marRight w:val="0"/>
              <w:marTop w:val="0"/>
              <w:marBottom w:val="0"/>
              <w:divBdr>
                <w:top w:val="none" w:sz="0" w:space="0" w:color="auto"/>
                <w:left w:val="none" w:sz="0" w:space="0" w:color="auto"/>
                <w:bottom w:val="none" w:sz="0" w:space="0" w:color="auto"/>
                <w:right w:val="single" w:sz="48" w:space="0" w:color="F6F6F6"/>
              </w:divBdr>
              <w:divsChild>
                <w:div w:id="8893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339755">
      <w:bodyDiv w:val="1"/>
      <w:marLeft w:val="0"/>
      <w:marRight w:val="0"/>
      <w:marTop w:val="0"/>
      <w:marBottom w:val="0"/>
      <w:divBdr>
        <w:top w:val="none" w:sz="0" w:space="0" w:color="auto"/>
        <w:left w:val="none" w:sz="0" w:space="0" w:color="auto"/>
        <w:bottom w:val="none" w:sz="0" w:space="0" w:color="auto"/>
        <w:right w:val="none" w:sz="0" w:space="0" w:color="auto"/>
      </w:divBdr>
    </w:div>
    <w:div w:id="1227031005">
      <w:bodyDiv w:val="1"/>
      <w:marLeft w:val="0"/>
      <w:marRight w:val="0"/>
      <w:marTop w:val="0"/>
      <w:marBottom w:val="0"/>
      <w:divBdr>
        <w:top w:val="none" w:sz="0" w:space="0" w:color="auto"/>
        <w:left w:val="none" w:sz="0" w:space="0" w:color="auto"/>
        <w:bottom w:val="none" w:sz="0" w:space="0" w:color="auto"/>
        <w:right w:val="none" w:sz="0" w:space="0" w:color="auto"/>
      </w:divBdr>
    </w:div>
    <w:div w:id="150801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7A0A5D7D9C4E4DAB7922844D35C890" ma:contentTypeVersion="135" ma:contentTypeDescription="" ma:contentTypeScope="" ma:versionID="70a3fd3cd15240eeeb6ebd65f477f9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2013-10-31T07:00:00+00:00</OpenedDate>
    <Date1 xmlns="dc463f71-b30c-4ab2-9473-d307f9d35888">2014-06-17T07:00:00+00:00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74796-D69D-47ED-8372-0FB55844BC3B}"/>
</file>

<file path=customXml/itemProps2.xml><?xml version="1.0" encoding="utf-8"?>
<ds:datastoreItem xmlns:ds="http://schemas.openxmlformats.org/officeDocument/2006/customXml" ds:itemID="{B0046374-E331-4C00-BE70-273378EE8DE6}"/>
</file>

<file path=customXml/itemProps3.xml><?xml version="1.0" encoding="utf-8"?>
<ds:datastoreItem xmlns:ds="http://schemas.openxmlformats.org/officeDocument/2006/customXml" ds:itemID="{1F00F879-EF82-4B41-8F02-86EC826A2C16}"/>
</file>

<file path=customXml/itemProps4.xml><?xml version="1.0" encoding="utf-8"?>
<ds:datastoreItem xmlns:ds="http://schemas.openxmlformats.org/officeDocument/2006/customXml" ds:itemID="{2E3E5FF8-EB51-4075-8F39-AC6D9A09304C}"/>
</file>

<file path=customXml/itemProps5.xml><?xml version="1.0" encoding="utf-8"?>
<ds:datastoreItem xmlns:ds="http://schemas.openxmlformats.org/officeDocument/2006/customXml" ds:itemID="{227E0608-8DE2-4ECF-AB35-E8FCDC49537D}"/>
</file>

<file path=docProps/app.xml><?xml version="1.0" encoding="utf-8"?>
<Properties xmlns="http://schemas.openxmlformats.org/officeDocument/2006/extended-properties" xmlns:vt="http://schemas.openxmlformats.org/officeDocument/2006/docPropsVTypes">
  <Template>Normal.dotm</Template>
  <TotalTime>3</TotalTime>
  <Pages>14</Pages>
  <Words>2861</Words>
  <Characters>16313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 Trotter</dc:creator>
  <cp:lastModifiedBy>Krista Gross</cp:lastModifiedBy>
  <cp:revision>5</cp:revision>
  <cp:lastPrinted>2014-06-17T17:14:00Z</cp:lastPrinted>
  <dcterms:created xsi:type="dcterms:W3CDTF">2014-06-16T22:21:00Z</dcterms:created>
  <dcterms:modified xsi:type="dcterms:W3CDTF">2014-06-17T17:15:00Z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0x0101006E56B4D1795A2E4DB2F0B01679ED314A00C87A0A5D7D9C4E4DAB7922844D35C890</vt:lpwstr>
  </property>
  <property fmtid="{D5CDD505-2E9C-101B-9397-08002B2CF9AE}" pid="3" name="_docset_NoMedatataSyncRequired">
    <vt:lpwstr>False</vt:lpwstr>
  </property>
</Properties>
</file>