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6F" w:rsidRPr="0028606F" w:rsidRDefault="0028606F" w:rsidP="0028606F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28606F">
        <w:rPr>
          <w:rFonts w:ascii="Arial" w:eastAsia="Times New Roman" w:hAnsi="Arial" w:cs="Arial"/>
          <w:color w:val="333333"/>
          <w:kern w:val="36"/>
          <w:sz w:val="48"/>
          <w:szCs w:val="48"/>
        </w:rPr>
        <w:t>Investors Find TIPS Appealing Once More</w:t>
      </w:r>
    </w:p>
    <w:p w:rsidR="0028606F" w:rsidRPr="0028606F" w:rsidRDefault="0028606F" w:rsidP="0028606F">
      <w:pPr>
        <w:spacing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28606F">
        <w:rPr>
          <w:rFonts w:ascii="Arial" w:eastAsia="Times New Roman" w:hAnsi="Arial" w:cs="Arial"/>
          <w:color w:val="333333"/>
          <w:sz w:val="36"/>
          <w:szCs w:val="36"/>
        </w:rPr>
        <w:t xml:space="preserve">Rally by inflation-protected </w:t>
      </w:r>
      <w:proofErr w:type="spellStart"/>
      <w:r w:rsidRPr="0028606F">
        <w:rPr>
          <w:rFonts w:ascii="Arial" w:eastAsia="Times New Roman" w:hAnsi="Arial" w:cs="Arial"/>
          <w:color w:val="333333"/>
          <w:sz w:val="36"/>
          <w:szCs w:val="36"/>
        </w:rPr>
        <w:t>Treasurys</w:t>
      </w:r>
      <w:proofErr w:type="spellEnd"/>
      <w:r w:rsidRPr="0028606F">
        <w:rPr>
          <w:rFonts w:ascii="Arial" w:eastAsia="Times New Roman" w:hAnsi="Arial" w:cs="Arial"/>
          <w:color w:val="333333"/>
          <w:sz w:val="36"/>
          <w:szCs w:val="36"/>
        </w:rPr>
        <w:t xml:space="preserve"> signals worries about deflation have been alleviated</w:t>
      </w:r>
    </w:p>
    <w:p w:rsidR="0028606F" w:rsidRPr="0028606F" w:rsidRDefault="0028606F" w:rsidP="0028606F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</w:rPr>
        <w:drawing>
          <wp:inline distT="0" distB="0" distL="0" distR="0">
            <wp:extent cx="4324350" cy="2805799"/>
            <wp:effectExtent l="0" t="0" r="0" b="0"/>
            <wp:docPr id="2" name="Picture 2" descr="http://si.wsj.net/public/resources/images/MI-CJ059_MTKLED_11U_2015042117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.wsj.net/public/resources/images/MI-CJ059_MTKLED_11U_20150421175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0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06F" w:rsidRPr="0028606F" w:rsidRDefault="0028606F" w:rsidP="0028606F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By </w:t>
      </w:r>
    </w:p>
    <w:p w:rsidR="0028606F" w:rsidRPr="0028606F" w:rsidRDefault="0028606F" w:rsidP="0028606F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Min Zeng </w:t>
      </w:r>
    </w:p>
    <w:p w:rsidR="0028606F" w:rsidRPr="0028606F" w:rsidRDefault="0028606F" w:rsidP="0028606F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333333"/>
          <w:sz w:val="15"/>
          <w:szCs w:val="15"/>
        </w:rPr>
      </w:pPr>
    </w:p>
    <w:p w:rsidR="0028606F" w:rsidRPr="0028606F" w:rsidRDefault="0028606F" w:rsidP="0028606F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bookmarkStart w:id="0" w:name="_GoBack"/>
      <w:bookmarkEnd w:id="0"/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April 21, 2015 7:36 p.m. ET 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>Investors are piling into U.S. government bonds that protect against inflation at the fastest pace in three years, a sign of diminishing fears over falling consumer prices.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>Money managers poured $3.55 billion into U.S. bond mutual funds and exchange-traded funds focusing on Treasury inflation-protected securities, according to fund-tracker Lipper data for 2015 through April 15. That follows two consecutive years of net outflows.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The rush into TIPS suggests that aggressive central-bank stimulus programs, </w:t>
      </w:r>
      <w:proofErr w:type="gramStart"/>
      <w:r w:rsidRPr="0028606F">
        <w:rPr>
          <w:rFonts w:ascii="Arial" w:eastAsia="Times New Roman" w:hAnsi="Arial" w:cs="Arial"/>
          <w:color w:val="333333"/>
          <w:sz w:val="15"/>
          <w:szCs w:val="15"/>
        </w:rPr>
        <w:t>a stabilization</w:t>
      </w:r>
      <w:proofErr w:type="gramEnd"/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 in oil prices and a pause in the dollar’s rally have alleviated investors’ worries about deflation, a cycle of declining consumer prices and deferred consumption that some economists say could lead to economic contraction.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>“The big picture is that the deflation scare may be behind us,’’ said Gemma Wright-</w:t>
      </w:r>
      <w:proofErr w:type="spellStart"/>
      <w:r w:rsidRPr="0028606F">
        <w:rPr>
          <w:rFonts w:ascii="Arial" w:eastAsia="Times New Roman" w:hAnsi="Arial" w:cs="Arial"/>
          <w:color w:val="333333"/>
          <w:sz w:val="15"/>
          <w:szCs w:val="15"/>
        </w:rPr>
        <w:t>Casparius</w:t>
      </w:r>
      <w:proofErr w:type="spellEnd"/>
      <w:r w:rsidRPr="0028606F">
        <w:rPr>
          <w:rFonts w:ascii="Arial" w:eastAsia="Times New Roman" w:hAnsi="Arial" w:cs="Arial"/>
          <w:color w:val="333333"/>
          <w:sz w:val="15"/>
          <w:szCs w:val="15"/>
        </w:rPr>
        <w:t>, senior bond-fund manager at Vanguard Group, which has over $3.26 trillion in global assets under management. “The overall sentiment will be inflation moving higher over the next 12 months.”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>If the rate of inflation in the U.S. breaches a certain threshold, holders of TIPS are repaid more than the face value of the bonds when the principal comes due. Rising prices can erode the value of regular bonds.</w:t>
      </w:r>
    </w:p>
    <w:p w:rsidR="0028606F" w:rsidRPr="0028606F" w:rsidRDefault="0028606F" w:rsidP="0028606F">
      <w:pPr>
        <w:shd w:val="clear" w:color="auto" w:fill="F5F5F5"/>
        <w:spacing w:after="0" w:line="240" w:lineRule="auto"/>
        <w:jc w:val="center"/>
        <w:rPr>
          <w:rFonts w:ascii="Helvetica" w:eastAsia="Times New Roman" w:hAnsi="Helvetica" w:cs="Helvetica"/>
          <w:color w:val="444444"/>
          <w:spacing w:val="6"/>
          <w:sz w:val="17"/>
          <w:szCs w:val="17"/>
        </w:rPr>
      </w:pPr>
      <w:r w:rsidRPr="0028606F">
        <w:rPr>
          <w:rFonts w:ascii="Helvetica" w:eastAsia="Times New Roman" w:hAnsi="Helvetica" w:cs="Helvetica"/>
          <w:color w:val="444444"/>
          <w:spacing w:val="6"/>
          <w:sz w:val="17"/>
          <w:szCs w:val="17"/>
        </w:rPr>
        <w:t>Advertisement</w:t>
      </w:r>
    </w:p>
    <w:p w:rsidR="0028606F" w:rsidRPr="0028606F" w:rsidRDefault="0028606F" w:rsidP="0028606F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It was the prospect of steadily falling prices that stoked worries about growth earlier in the year, especially in Europe. In the </w:t>
      </w:r>
      <w:proofErr w:type="spellStart"/>
      <w:r w:rsidRPr="0028606F">
        <w:rPr>
          <w:rFonts w:ascii="Arial" w:eastAsia="Times New Roman" w:hAnsi="Arial" w:cs="Arial"/>
          <w:color w:val="333333"/>
          <w:sz w:val="15"/>
          <w:szCs w:val="15"/>
        </w:rPr>
        <w:t>eurozone</w:t>
      </w:r>
      <w:proofErr w:type="spellEnd"/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, consumer prices have fallen every month since November. To battle the threat of deflation, the European Central Bank, led by President </w:t>
      </w:r>
      <w:hyperlink r:id="rId7" w:history="1">
        <w:r w:rsidRPr="0028606F">
          <w:rPr>
            <w:rFonts w:ascii="Arial" w:eastAsia="Times New Roman" w:hAnsi="Arial" w:cs="Arial"/>
            <w:color w:val="0000FF"/>
            <w:sz w:val="15"/>
            <w:szCs w:val="15"/>
          </w:rPr>
          <w:t xml:space="preserve">Mario </w:t>
        </w:r>
        <w:proofErr w:type="spellStart"/>
        <w:r w:rsidRPr="0028606F">
          <w:rPr>
            <w:rFonts w:ascii="Arial" w:eastAsia="Times New Roman" w:hAnsi="Arial" w:cs="Arial"/>
            <w:color w:val="0000FF"/>
            <w:sz w:val="15"/>
            <w:szCs w:val="15"/>
          </w:rPr>
          <w:t>Draghi</w:t>
        </w:r>
        <w:proofErr w:type="spellEnd"/>
      </w:hyperlink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, unleashed a bigger-than-expected bond-buying program last month. The </w:t>
      </w:r>
      <w:hyperlink r:id="rId8" w:history="1">
        <w:r w:rsidRPr="0028606F">
          <w:rPr>
            <w:rFonts w:ascii="Arial" w:eastAsia="Times New Roman" w:hAnsi="Arial" w:cs="Arial"/>
            <w:color w:val="0000FF"/>
            <w:sz w:val="15"/>
            <w:szCs w:val="15"/>
          </w:rPr>
          <w:t>Bank of Japan</w:t>
        </w:r>
      </w:hyperlink>
      <w:hyperlink r:id="rId9" w:history="1">
        <w:r w:rsidRPr="0028606F">
          <w:rPr>
            <w:rFonts w:ascii="Whitney SSm" w:eastAsia="Times New Roman" w:hAnsi="Whitney SSm" w:cs="Arial"/>
            <w:b/>
            <w:bCs/>
            <w:color w:val="0000FF"/>
            <w:sz w:val="18"/>
            <w:szCs w:val="18"/>
          </w:rPr>
          <w:t xml:space="preserve"> 8301 4.79 % </w:t>
        </w:r>
      </w:hyperlink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expanded its own program in October. </w:t>
      </w:r>
    </w:p>
    <w:p w:rsidR="0028606F" w:rsidRPr="0028606F" w:rsidRDefault="0028606F" w:rsidP="0028606F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</w:rPr>
        <w:lastRenderedPageBreak/>
        <w:drawing>
          <wp:inline distT="0" distB="0" distL="0" distR="0">
            <wp:extent cx="7134225" cy="4752975"/>
            <wp:effectExtent l="0" t="0" r="9525" b="9525"/>
            <wp:docPr id="1" name="Picture 1" descr="In Europe, ECB President Mario Draghi launched a bond-buying program last month to battle the threat of defl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 Europe, ECB President Mario Draghi launched a bond-buying program last month to battle the threat of deflatio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06F" w:rsidRPr="0028606F" w:rsidRDefault="0028606F" w:rsidP="0028606F">
      <w:pPr>
        <w:spacing w:after="0" w:line="270" w:lineRule="atLeast"/>
        <w:rPr>
          <w:rFonts w:ascii="Whitney SSm" w:eastAsia="Times New Roman" w:hAnsi="Whitney SSm" w:cs="Arial"/>
          <w:color w:val="666666"/>
          <w:sz w:val="20"/>
          <w:szCs w:val="20"/>
        </w:rPr>
      </w:pPr>
      <w:r w:rsidRPr="0028606F">
        <w:rPr>
          <w:rFonts w:ascii="Whitney SSm" w:eastAsia="Times New Roman" w:hAnsi="Whitney SSm" w:cs="Arial"/>
          <w:color w:val="666666"/>
          <w:sz w:val="20"/>
          <w:szCs w:val="20"/>
        </w:rPr>
        <w:t xml:space="preserve">In Europe, ECB President Mario </w:t>
      </w:r>
      <w:proofErr w:type="spellStart"/>
      <w:r w:rsidRPr="0028606F">
        <w:rPr>
          <w:rFonts w:ascii="Whitney SSm" w:eastAsia="Times New Roman" w:hAnsi="Whitney SSm" w:cs="Arial"/>
          <w:color w:val="666666"/>
          <w:sz w:val="20"/>
          <w:szCs w:val="20"/>
        </w:rPr>
        <w:t>Draghi</w:t>
      </w:r>
      <w:proofErr w:type="spellEnd"/>
      <w:r w:rsidRPr="0028606F">
        <w:rPr>
          <w:rFonts w:ascii="Whitney SSm" w:eastAsia="Times New Roman" w:hAnsi="Whitney SSm" w:cs="Arial"/>
          <w:color w:val="666666"/>
          <w:sz w:val="20"/>
          <w:szCs w:val="20"/>
        </w:rPr>
        <w:t xml:space="preserve"> launched a bond-buying program last month to battle the threat of deflation. </w:t>
      </w:r>
      <w:r w:rsidRPr="0028606F">
        <w:rPr>
          <w:rFonts w:ascii="Whitney SSm" w:eastAsia="Times New Roman" w:hAnsi="Whitney SSm" w:cs="Arial"/>
          <w:i/>
          <w:iCs/>
          <w:caps/>
          <w:color w:val="666666"/>
          <w:sz w:val="17"/>
          <w:szCs w:val="17"/>
        </w:rPr>
        <w:t xml:space="preserve">Photo: Andrew Harrer/Bloomberg News 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>In the past month, oil prices have rebounded from six-year lows and the dollar’s appreciation against major currencies has stalled. Both factors have lessened the likelihood that the U.S. could tip into deflation.</w:t>
      </w:r>
    </w:p>
    <w:p w:rsidR="0028606F" w:rsidRPr="0028606F" w:rsidRDefault="0028606F" w:rsidP="0028606F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The consumer-price index rose a seasonally adjusted 0.2% in March from a month earlier, but fell 0.1% on an annualized basis. </w:t>
      </w:r>
      <w:proofErr w:type="gramStart"/>
      <w:r w:rsidRPr="0028606F">
        <w:rPr>
          <w:rFonts w:ascii="Arial" w:eastAsia="Times New Roman" w:hAnsi="Arial" w:cs="Arial"/>
          <w:color w:val="333333"/>
          <w:sz w:val="15"/>
          <w:szCs w:val="15"/>
        </w:rPr>
        <w:t>Core CPI, which excludes volatile food and energy items, rose to 1.8% on an annualized basis last month.</w:t>
      </w:r>
      <w:proofErr w:type="gramEnd"/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 Strategists at </w:t>
      </w:r>
      <w:hyperlink r:id="rId11" w:history="1">
        <w:r w:rsidRPr="0028606F">
          <w:rPr>
            <w:rFonts w:ascii="Arial" w:eastAsia="Times New Roman" w:hAnsi="Arial" w:cs="Arial"/>
            <w:color w:val="0000FF"/>
            <w:sz w:val="15"/>
            <w:szCs w:val="15"/>
          </w:rPr>
          <w:t>Credit Suisse</w:t>
        </w:r>
      </w:hyperlink>
      <w:hyperlink r:id="rId12" w:history="1">
        <w:r w:rsidRPr="0028606F">
          <w:rPr>
            <w:rFonts w:ascii="Whitney SSm" w:eastAsia="Times New Roman" w:hAnsi="Whitney SSm" w:cs="Arial"/>
            <w:b/>
            <w:bCs/>
            <w:color w:val="0000FF"/>
            <w:sz w:val="18"/>
            <w:szCs w:val="18"/>
          </w:rPr>
          <w:t xml:space="preserve"> CS -0.08 % </w:t>
        </w:r>
      </w:hyperlink>
      <w:r w:rsidRPr="0028606F">
        <w:rPr>
          <w:rFonts w:ascii="Arial" w:eastAsia="Times New Roman" w:hAnsi="Arial" w:cs="Arial"/>
          <w:color w:val="333333"/>
          <w:sz w:val="15"/>
          <w:szCs w:val="15"/>
        </w:rPr>
        <w:t>forecast core CPI will accelerate to 2% by the end of September 2016.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>At the same time, Federal Reserve officials have played down the possibility of an increase in short-term benchmark interest rates this summer. That has bolstered the buying of TIPS because some investors see rising inflation risks down the road the longer the Fed maintains a loose monetary policy.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>On Friday, the yield on 10-year TIPS dipped to negative-0.03%, the lowest level since June 2013. Bond yields fall as prices rise.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>Yields have risen since then. On Tuesday, the yield on 10-year TIPS was 0.049%, still down from 0.506% at the end of 2014. The regular 10-year Treasury note yielded 1.913%.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Even as concerns about deflation fade, few investors see consumer prices rising rapidly, which limits TIPS’ appeal. The gap between yields on TIPS and regular 10-year </w:t>
      </w:r>
      <w:proofErr w:type="spellStart"/>
      <w:r w:rsidRPr="0028606F">
        <w:rPr>
          <w:rFonts w:ascii="Arial" w:eastAsia="Times New Roman" w:hAnsi="Arial" w:cs="Arial"/>
          <w:color w:val="333333"/>
          <w:sz w:val="15"/>
          <w:szCs w:val="15"/>
        </w:rPr>
        <w:t>Treasurys</w:t>
      </w:r>
      <w:proofErr w:type="spellEnd"/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 was 1.864 percentage point Tuesday.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This “break-even rate” is a measure of investors’ inflation expectations and suggests they see inflation running at a 1.864% annualized rate on average in a decade. The break-even rate hit 1.53 percentage </w:t>
      </w:r>
      <w:proofErr w:type="gramStart"/>
      <w:r w:rsidRPr="0028606F">
        <w:rPr>
          <w:rFonts w:ascii="Arial" w:eastAsia="Times New Roman" w:hAnsi="Arial" w:cs="Arial"/>
          <w:color w:val="333333"/>
          <w:sz w:val="15"/>
          <w:szCs w:val="15"/>
        </w:rPr>
        <w:t>point</w:t>
      </w:r>
      <w:proofErr w:type="gramEnd"/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 in January, the lowest level since 2010.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lastRenderedPageBreak/>
        <w:t>TIPS had a big selloff in the second half of 2014 as plunging oil prices galvanized deflation fears. TIPS funds saw net outflows of $2.98 billion in 2014 and $34.77 billion in 2013, according to Lipper. The recent rally in TIPS reflects investors’ struggle to obtain bonds that offer a good mix of income and safety. The $1.07 trillion TIPS market is part of the broader $12.6 trillion U.S. government-debt market.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More than a quarter of government bonds in Europe are now trading with negative yields, according to analysts. The ECB’s bond purchases are forcing money managers to scramble for alternatives outside the </w:t>
      </w:r>
      <w:proofErr w:type="spellStart"/>
      <w:r w:rsidRPr="0028606F">
        <w:rPr>
          <w:rFonts w:ascii="Arial" w:eastAsia="Times New Roman" w:hAnsi="Arial" w:cs="Arial"/>
          <w:color w:val="333333"/>
          <w:sz w:val="15"/>
          <w:szCs w:val="15"/>
        </w:rPr>
        <w:t>eurozone</w:t>
      </w:r>
      <w:proofErr w:type="spellEnd"/>
      <w:r w:rsidRPr="0028606F">
        <w:rPr>
          <w:rFonts w:ascii="Arial" w:eastAsia="Times New Roman" w:hAnsi="Arial" w:cs="Arial"/>
          <w:color w:val="333333"/>
          <w:sz w:val="15"/>
          <w:szCs w:val="15"/>
        </w:rPr>
        <w:t>.</w:t>
      </w:r>
    </w:p>
    <w:p w:rsidR="0028606F" w:rsidRPr="0028606F" w:rsidRDefault="0028606F" w:rsidP="0028606F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“Global demand has elevated valuation in U.S. Treasury markets, including TIPS,’’ said James Ong, a portfolio manager at asset-management firm </w:t>
      </w:r>
      <w:hyperlink r:id="rId13" w:history="1">
        <w:r w:rsidRPr="0028606F">
          <w:rPr>
            <w:rFonts w:ascii="Arial" w:eastAsia="Times New Roman" w:hAnsi="Arial" w:cs="Arial"/>
            <w:color w:val="0000FF"/>
            <w:sz w:val="15"/>
            <w:szCs w:val="15"/>
          </w:rPr>
          <w:t>Invesco</w:t>
        </w:r>
      </w:hyperlink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 Ltd.</w:t>
      </w:r>
      <w:hyperlink r:id="rId14" w:history="1">
        <w:r w:rsidRPr="0028606F">
          <w:rPr>
            <w:rFonts w:ascii="Whitney SSm" w:eastAsia="Times New Roman" w:hAnsi="Whitney SSm" w:cs="Arial"/>
            <w:b/>
            <w:bCs/>
            <w:color w:val="0000FF"/>
            <w:sz w:val="18"/>
            <w:szCs w:val="18"/>
          </w:rPr>
          <w:t xml:space="preserve"> IVZ 0.82 </w:t>
        </w:r>
        <w:proofErr w:type="gramStart"/>
        <w:r w:rsidRPr="0028606F">
          <w:rPr>
            <w:rFonts w:ascii="Whitney SSm" w:eastAsia="Times New Roman" w:hAnsi="Whitney SSm" w:cs="Arial"/>
            <w:b/>
            <w:bCs/>
            <w:color w:val="0000FF"/>
            <w:sz w:val="18"/>
            <w:szCs w:val="18"/>
          </w:rPr>
          <w:t xml:space="preserve">% </w:t>
        </w:r>
        <w:proofErr w:type="gramEnd"/>
      </w:hyperlink>
      <w:r w:rsidRPr="0028606F">
        <w:rPr>
          <w:rFonts w:ascii="Arial" w:eastAsia="Times New Roman" w:hAnsi="Arial" w:cs="Arial"/>
          <w:color w:val="333333"/>
          <w:sz w:val="15"/>
          <w:szCs w:val="15"/>
        </w:rPr>
        <w:t>, which has $798.3 billion of assets under management. “We recommended buying TIPS.</w:t>
      </w:r>
    </w:p>
    <w:p w:rsidR="0028606F" w:rsidRPr="0028606F" w:rsidRDefault="0028606F" w:rsidP="0028606F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TIPS overall have handed investors a total return—including price gains and interest payments—of 2.81% for this year through Monday, beating a 1.8% return on regular Treasury debt, according to </w:t>
      </w:r>
      <w:hyperlink r:id="rId15" w:history="1">
        <w:r w:rsidRPr="0028606F">
          <w:rPr>
            <w:rFonts w:ascii="Arial" w:eastAsia="Times New Roman" w:hAnsi="Arial" w:cs="Arial"/>
            <w:color w:val="0000FF"/>
            <w:sz w:val="15"/>
            <w:szCs w:val="15"/>
          </w:rPr>
          <w:t>Barclays</w:t>
        </w:r>
      </w:hyperlink>
      <w:hyperlink r:id="rId16" w:history="1">
        <w:r w:rsidRPr="0028606F">
          <w:rPr>
            <w:rFonts w:ascii="Whitney SSm" w:eastAsia="Times New Roman" w:hAnsi="Whitney SSm" w:cs="Arial"/>
            <w:b/>
            <w:bCs/>
            <w:color w:val="0000FF"/>
            <w:sz w:val="18"/>
            <w:szCs w:val="18"/>
          </w:rPr>
          <w:t xml:space="preserve"> BCS 0.39 % </w:t>
        </w:r>
      </w:hyperlink>
      <w:r w:rsidRPr="0028606F">
        <w:rPr>
          <w:rFonts w:ascii="Arial" w:eastAsia="Times New Roman" w:hAnsi="Arial" w:cs="Arial"/>
          <w:color w:val="333333"/>
          <w:sz w:val="15"/>
          <w:szCs w:val="15"/>
        </w:rPr>
        <w:t>PLC.</w:t>
      </w:r>
    </w:p>
    <w:p w:rsidR="0028606F" w:rsidRPr="0028606F" w:rsidRDefault="0028606F" w:rsidP="00286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“We still find TIPS attractive” even after their recent good performance, said </w:t>
      </w:r>
      <w:proofErr w:type="spellStart"/>
      <w:r w:rsidRPr="0028606F">
        <w:rPr>
          <w:rFonts w:ascii="Arial" w:eastAsia="Times New Roman" w:hAnsi="Arial" w:cs="Arial"/>
          <w:color w:val="333333"/>
          <w:sz w:val="15"/>
          <w:szCs w:val="15"/>
        </w:rPr>
        <w:t>Jeremie</w:t>
      </w:r>
      <w:proofErr w:type="spellEnd"/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proofErr w:type="spellStart"/>
      <w:r w:rsidRPr="0028606F">
        <w:rPr>
          <w:rFonts w:ascii="Arial" w:eastAsia="Times New Roman" w:hAnsi="Arial" w:cs="Arial"/>
          <w:color w:val="333333"/>
          <w:sz w:val="15"/>
          <w:szCs w:val="15"/>
        </w:rPr>
        <w:t>Banet</w:t>
      </w:r>
      <w:proofErr w:type="spellEnd"/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, a portfolio manager focusing on inflation-bond investments at Pacific Investment Management Co., with $1.59 trillion in assets under management at the end of March. </w:t>
      </w:r>
      <w:proofErr w:type="spellStart"/>
      <w:r w:rsidRPr="0028606F">
        <w:rPr>
          <w:rFonts w:ascii="Arial" w:eastAsia="Times New Roman" w:hAnsi="Arial" w:cs="Arial"/>
          <w:color w:val="333333"/>
          <w:sz w:val="15"/>
          <w:szCs w:val="15"/>
        </w:rPr>
        <w:t>Pimco</w:t>
      </w:r>
      <w:proofErr w:type="spellEnd"/>
      <w:r w:rsidRPr="0028606F">
        <w:rPr>
          <w:rFonts w:ascii="Arial" w:eastAsia="Times New Roman" w:hAnsi="Arial" w:cs="Arial"/>
          <w:color w:val="333333"/>
          <w:sz w:val="15"/>
          <w:szCs w:val="15"/>
        </w:rPr>
        <w:t>, one of the largest investors in TIPS, has boosted its exposure this year.</w:t>
      </w:r>
    </w:p>
    <w:p w:rsidR="0028606F" w:rsidRPr="0028606F" w:rsidRDefault="0028606F" w:rsidP="0028606F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28606F">
        <w:rPr>
          <w:rFonts w:ascii="Arial" w:eastAsia="Times New Roman" w:hAnsi="Arial" w:cs="Arial"/>
          <w:b/>
          <w:bCs/>
          <w:color w:val="333333"/>
          <w:sz w:val="15"/>
          <w:szCs w:val="15"/>
        </w:rPr>
        <w:t xml:space="preserve">Write to </w:t>
      </w:r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Min Zeng at </w:t>
      </w:r>
      <w:hyperlink r:id="rId17" w:tgtFrame="_blank" w:history="1">
        <w:r w:rsidRPr="0028606F">
          <w:rPr>
            <w:rFonts w:ascii="Arial" w:eastAsia="Times New Roman" w:hAnsi="Arial" w:cs="Arial"/>
            <w:color w:val="0000FF"/>
            <w:sz w:val="15"/>
            <w:szCs w:val="15"/>
          </w:rPr>
          <w:t>min.zeng@wsj.com</w:t>
        </w:r>
      </w:hyperlink>
      <w:r w:rsidRPr="0028606F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</w:p>
    <w:p w:rsidR="003A4F35" w:rsidRDefault="003A4F35"/>
    <w:sectPr w:rsidR="003A4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hitney SSm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6071"/>
    <w:multiLevelType w:val="multilevel"/>
    <w:tmpl w:val="3F76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28606F"/>
    <w:rsid w:val="002501F0"/>
    <w:rsid w:val="0028606F"/>
    <w:rsid w:val="002F7293"/>
    <w:rsid w:val="0038446F"/>
    <w:rsid w:val="003A1C33"/>
    <w:rsid w:val="003A4F35"/>
    <w:rsid w:val="00461041"/>
    <w:rsid w:val="00483479"/>
    <w:rsid w:val="00674271"/>
    <w:rsid w:val="0091413C"/>
    <w:rsid w:val="009F2BDF"/>
    <w:rsid w:val="009F4D52"/>
    <w:rsid w:val="00A5668B"/>
    <w:rsid w:val="00AA5395"/>
    <w:rsid w:val="00B16CAB"/>
    <w:rsid w:val="00D83039"/>
    <w:rsid w:val="00D92E79"/>
    <w:rsid w:val="00E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606F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8606F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06F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606F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8606F"/>
    <w:rPr>
      <w:strike w:val="0"/>
      <w:dstrike w:val="0"/>
      <w:color w:val="0000FF"/>
      <w:sz w:val="24"/>
      <w:szCs w:val="24"/>
      <w:u w:val="none"/>
      <w:effect w:val="none"/>
      <w:vertAlign w:val="baseline"/>
    </w:rPr>
  </w:style>
  <w:style w:type="character" w:styleId="Strong">
    <w:name w:val="Strong"/>
    <w:basedOn w:val="DefaultParagraphFont"/>
    <w:uiPriority w:val="22"/>
    <w:qFormat/>
    <w:rsid w:val="002860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sj-article-caption-content">
    <w:name w:val="wsj-article-caption-content"/>
    <w:basedOn w:val="DefaultParagraphFont"/>
    <w:rsid w:val="0028606F"/>
  </w:style>
  <w:style w:type="character" w:customStyle="1" w:styleId="wsj-article-credit1">
    <w:name w:val="wsj-article-credit1"/>
    <w:basedOn w:val="DefaultParagraphFont"/>
    <w:rsid w:val="0028606F"/>
    <w:rPr>
      <w:i/>
      <w:iCs/>
      <w:caps/>
      <w:sz w:val="17"/>
      <w:szCs w:val="17"/>
    </w:rPr>
  </w:style>
  <w:style w:type="character" w:customStyle="1" w:styleId="wsj-article-credit-tag1">
    <w:name w:val="wsj-article-credit-tag1"/>
    <w:basedOn w:val="DefaultParagraphFont"/>
    <w:rsid w:val="0028606F"/>
    <w:rPr>
      <w:i/>
      <w:iCs/>
      <w:caps/>
      <w:sz w:val="17"/>
      <w:szCs w:val="17"/>
    </w:rPr>
  </w:style>
  <w:style w:type="character" w:customStyle="1" w:styleId="name">
    <w:name w:val="name"/>
    <w:basedOn w:val="DefaultParagraphFont"/>
    <w:rsid w:val="0028606F"/>
  </w:style>
  <w:style w:type="character" w:customStyle="1" w:styleId="article-chiclet1">
    <w:name w:val="article-chiclet1"/>
    <w:basedOn w:val="DefaultParagraphFont"/>
    <w:rsid w:val="0028606F"/>
    <w:rPr>
      <w:rFonts w:ascii="Whitney SSm" w:hAnsi="Whitney SSm" w:hint="default"/>
      <w:b/>
      <w:bCs/>
      <w:sz w:val="18"/>
      <w:szCs w:val="18"/>
    </w:rPr>
  </w:style>
  <w:style w:type="character" w:customStyle="1" w:styleId="chiclet-ticker">
    <w:name w:val="chiclet-ticker"/>
    <w:basedOn w:val="DefaultParagraphFont"/>
    <w:rsid w:val="0028606F"/>
  </w:style>
  <w:style w:type="character" w:customStyle="1" w:styleId="chiclet-change-wrapper2">
    <w:name w:val="chiclet-change-wrapper2"/>
    <w:basedOn w:val="DefaultParagraphFont"/>
    <w:rsid w:val="0028606F"/>
  </w:style>
  <w:style w:type="character" w:customStyle="1" w:styleId="chiclet-change2">
    <w:name w:val="chiclet-change2"/>
    <w:basedOn w:val="DefaultParagraphFont"/>
    <w:rsid w:val="0028606F"/>
  </w:style>
  <w:style w:type="character" w:customStyle="1" w:styleId="chiclet-percent2">
    <w:name w:val="chiclet-percent2"/>
    <w:basedOn w:val="DefaultParagraphFont"/>
    <w:rsid w:val="0028606F"/>
  </w:style>
  <w:style w:type="character" w:customStyle="1" w:styleId="company-name-type1">
    <w:name w:val="company-name-type1"/>
    <w:basedOn w:val="DefaultParagraphFont"/>
    <w:rsid w:val="0028606F"/>
  </w:style>
  <w:style w:type="paragraph" w:styleId="BalloonText">
    <w:name w:val="Balloon Text"/>
    <w:basedOn w:val="Normal"/>
    <w:link w:val="BalloonTextChar"/>
    <w:uiPriority w:val="99"/>
    <w:semiHidden/>
    <w:unhideWhenUsed/>
    <w:rsid w:val="0028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606F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8606F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06F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606F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8606F"/>
    <w:rPr>
      <w:strike w:val="0"/>
      <w:dstrike w:val="0"/>
      <w:color w:val="0000FF"/>
      <w:sz w:val="24"/>
      <w:szCs w:val="24"/>
      <w:u w:val="none"/>
      <w:effect w:val="none"/>
      <w:vertAlign w:val="baseline"/>
    </w:rPr>
  </w:style>
  <w:style w:type="character" w:styleId="Strong">
    <w:name w:val="Strong"/>
    <w:basedOn w:val="DefaultParagraphFont"/>
    <w:uiPriority w:val="22"/>
    <w:qFormat/>
    <w:rsid w:val="002860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sj-article-caption-content">
    <w:name w:val="wsj-article-caption-content"/>
    <w:basedOn w:val="DefaultParagraphFont"/>
    <w:rsid w:val="0028606F"/>
  </w:style>
  <w:style w:type="character" w:customStyle="1" w:styleId="wsj-article-credit1">
    <w:name w:val="wsj-article-credit1"/>
    <w:basedOn w:val="DefaultParagraphFont"/>
    <w:rsid w:val="0028606F"/>
    <w:rPr>
      <w:i/>
      <w:iCs/>
      <w:caps/>
      <w:sz w:val="17"/>
      <w:szCs w:val="17"/>
    </w:rPr>
  </w:style>
  <w:style w:type="character" w:customStyle="1" w:styleId="wsj-article-credit-tag1">
    <w:name w:val="wsj-article-credit-tag1"/>
    <w:basedOn w:val="DefaultParagraphFont"/>
    <w:rsid w:val="0028606F"/>
    <w:rPr>
      <w:i/>
      <w:iCs/>
      <w:caps/>
      <w:sz w:val="17"/>
      <w:szCs w:val="17"/>
    </w:rPr>
  </w:style>
  <w:style w:type="character" w:customStyle="1" w:styleId="name">
    <w:name w:val="name"/>
    <w:basedOn w:val="DefaultParagraphFont"/>
    <w:rsid w:val="0028606F"/>
  </w:style>
  <w:style w:type="character" w:customStyle="1" w:styleId="article-chiclet1">
    <w:name w:val="article-chiclet1"/>
    <w:basedOn w:val="DefaultParagraphFont"/>
    <w:rsid w:val="0028606F"/>
    <w:rPr>
      <w:rFonts w:ascii="Whitney SSm" w:hAnsi="Whitney SSm" w:hint="default"/>
      <w:b/>
      <w:bCs/>
      <w:sz w:val="18"/>
      <w:szCs w:val="18"/>
    </w:rPr>
  </w:style>
  <w:style w:type="character" w:customStyle="1" w:styleId="chiclet-ticker">
    <w:name w:val="chiclet-ticker"/>
    <w:basedOn w:val="DefaultParagraphFont"/>
    <w:rsid w:val="0028606F"/>
  </w:style>
  <w:style w:type="character" w:customStyle="1" w:styleId="chiclet-change-wrapper2">
    <w:name w:val="chiclet-change-wrapper2"/>
    <w:basedOn w:val="DefaultParagraphFont"/>
    <w:rsid w:val="0028606F"/>
  </w:style>
  <w:style w:type="character" w:customStyle="1" w:styleId="chiclet-change2">
    <w:name w:val="chiclet-change2"/>
    <w:basedOn w:val="DefaultParagraphFont"/>
    <w:rsid w:val="0028606F"/>
  </w:style>
  <w:style w:type="character" w:customStyle="1" w:styleId="chiclet-percent2">
    <w:name w:val="chiclet-percent2"/>
    <w:basedOn w:val="DefaultParagraphFont"/>
    <w:rsid w:val="0028606F"/>
  </w:style>
  <w:style w:type="character" w:customStyle="1" w:styleId="company-name-type1">
    <w:name w:val="company-name-type1"/>
    <w:basedOn w:val="DefaultParagraphFont"/>
    <w:rsid w:val="0028606F"/>
  </w:style>
  <w:style w:type="paragraph" w:styleId="BalloonText">
    <w:name w:val="Balloon Text"/>
    <w:basedOn w:val="Normal"/>
    <w:link w:val="BalloonTextChar"/>
    <w:uiPriority w:val="99"/>
    <w:semiHidden/>
    <w:unhideWhenUsed/>
    <w:rsid w:val="0028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55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9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93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58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7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4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7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8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4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55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2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8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9176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3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8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otes.wsj.com/JP/XTKS/8301" TargetMode="External"/><Relationship Id="rId13" Type="http://schemas.openxmlformats.org/officeDocument/2006/relationships/hyperlink" Target="http://quotes.wsj.com/IV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hyperlink" Target="http://topics.wsj.com/person/D/Mario-Draghi/5738" TargetMode="External"/><Relationship Id="rId12" Type="http://schemas.openxmlformats.org/officeDocument/2006/relationships/hyperlink" Target="http://quotes.wsj.com/CS" TargetMode="External"/><Relationship Id="rId17" Type="http://schemas.openxmlformats.org/officeDocument/2006/relationships/hyperlink" Target="mailto:min.zeng@wsj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quotes.wsj.com/BCS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quotes.wsj.com/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quotes.wsj.com/BCS" TargetMode="External"/><Relationship Id="rId23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quotes.wsj.com/JP/XTKS/8301" TargetMode="External"/><Relationship Id="rId14" Type="http://schemas.openxmlformats.org/officeDocument/2006/relationships/hyperlink" Target="http://quotes.wsj.com/IVZ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2017-07-05T07:00:00+00:00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77FA06C-401F-4928-B9BB-2016E638F420}"/>
</file>

<file path=customXml/itemProps2.xml><?xml version="1.0" encoding="utf-8"?>
<ds:datastoreItem xmlns:ds="http://schemas.openxmlformats.org/officeDocument/2006/customXml" ds:itemID="{1999E865-CF8C-4ED2-8E03-96252EA7A046}"/>
</file>

<file path=customXml/itemProps3.xml><?xml version="1.0" encoding="utf-8"?>
<ds:datastoreItem xmlns:ds="http://schemas.openxmlformats.org/officeDocument/2006/customXml" ds:itemID="{FC4EBEBD-66A3-4A39-B321-A560E7C1A109}"/>
</file>

<file path=customXml/itemProps4.xml><?xml version="1.0" encoding="utf-8"?>
<ds:datastoreItem xmlns:ds="http://schemas.openxmlformats.org/officeDocument/2006/customXml" ds:itemID="{7D6A2C4C-02F7-4B0B-8A53-CE1968A0A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 - Smeal College of Business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Randall Woolridge</dc:creator>
  <cp:lastModifiedBy>J. Randall Woolridge</cp:lastModifiedBy>
  <cp:revision>1</cp:revision>
  <dcterms:created xsi:type="dcterms:W3CDTF">2015-04-23T11:50:00Z</dcterms:created>
  <dcterms:modified xsi:type="dcterms:W3CDTF">2015-04-23T11:50:00Z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