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D2" w:rsidRDefault="00675AD2" w:rsidP="00675AD2">
      <w:pPr>
        <w:pStyle w:val="CourtName"/>
      </w:pPr>
      <w:bookmarkStart w:id="0" w:name="_GoBack"/>
      <w:bookmarkEnd w:id="0"/>
      <w:r>
        <w:t xml:space="preserve">BEFORE THE WASHINGTON </w:t>
      </w:r>
      <w:r>
        <w:br/>
        <w:t>UTILITIES AND TRANSPORTATION COMMISSION</w:t>
      </w:r>
    </w:p>
    <w:p w:rsidR="00675AD2" w:rsidRDefault="00675AD2" w:rsidP="00675AD2">
      <w:pPr>
        <w:pStyle w:val="CourtName"/>
      </w:pPr>
    </w:p>
    <w:p w:rsidR="00675AD2" w:rsidRDefault="00675AD2" w:rsidP="00675AD2">
      <w:pPr>
        <w:pStyle w:val="CourtName"/>
      </w:pPr>
    </w:p>
    <w:p w:rsidR="00675AD2" w:rsidRDefault="00675AD2" w:rsidP="00675AD2">
      <w:pPr>
        <w:pStyle w:val="CourtName"/>
      </w:pPr>
    </w:p>
    <w:p w:rsidR="00675AD2" w:rsidRDefault="00675AD2" w:rsidP="00675AD2">
      <w:pPr>
        <w:pStyle w:val="CourtName"/>
      </w:pPr>
    </w:p>
    <w:p w:rsidR="00675AD2" w:rsidRDefault="00675AD2" w:rsidP="00675AD2">
      <w:pPr>
        <w:pStyle w:val="CourtName"/>
      </w:pPr>
    </w:p>
    <w:p w:rsidR="00675AD2" w:rsidRDefault="00675AD2" w:rsidP="00675AD2">
      <w:pPr>
        <w:pStyle w:val="CourtName"/>
      </w:pPr>
    </w:p>
    <w:p w:rsidR="00675AD2" w:rsidRDefault="00675AD2" w:rsidP="00675AD2">
      <w:pPr>
        <w:pStyle w:val="CourtName"/>
      </w:pPr>
    </w:p>
    <w:p w:rsidR="00675AD2" w:rsidRDefault="00675AD2" w:rsidP="00675AD2">
      <w:pPr>
        <w:pStyle w:val="CourtName"/>
      </w:pPr>
    </w:p>
    <w:tbl>
      <w:tblPr>
        <w:tblW w:w="9281" w:type="dxa"/>
        <w:tblInd w:w="90" w:type="dxa"/>
        <w:tblLayout w:type="fixed"/>
        <w:tblCellMar>
          <w:left w:w="0" w:type="dxa"/>
          <w:right w:w="0" w:type="dxa"/>
        </w:tblCellMar>
        <w:tblLook w:val="0000" w:firstRow="0" w:lastRow="0" w:firstColumn="0" w:lastColumn="0" w:noHBand="0" w:noVBand="0"/>
      </w:tblPr>
      <w:tblGrid>
        <w:gridCol w:w="4511"/>
        <w:gridCol w:w="169"/>
        <w:gridCol w:w="4601"/>
      </w:tblGrid>
      <w:tr w:rsidR="00675AD2" w:rsidTr="00675AD2">
        <w:tc>
          <w:tcPr>
            <w:tcW w:w="4511" w:type="dxa"/>
          </w:tcPr>
          <w:p w:rsidR="00675AD2" w:rsidRDefault="00675AD2" w:rsidP="00A91BA3">
            <w:pPr>
              <w:pStyle w:val="Parties"/>
            </w:pPr>
            <w:r>
              <w:t>WASHINGTON UTILITIES AND TRANSPORTATION COMMISSION,</w:t>
            </w:r>
          </w:p>
          <w:p w:rsidR="00675AD2" w:rsidRDefault="00675AD2" w:rsidP="00A91BA3">
            <w:pPr>
              <w:pStyle w:val="Parties"/>
            </w:pPr>
          </w:p>
          <w:p w:rsidR="00675AD2" w:rsidRDefault="00675AD2" w:rsidP="00A91BA3">
            <w:pPr>
              <w:pStyle w:val="Parties"/>
            </w:pPr>
            <w:r>
              <w:t xml:space="preserve">                                       Complainant,</w:t>
            </w:r>
          </w:p>
          <w:p w:rsidR="00675AD2" w:rsidRDefault="00675AD2" w:rsidP="00A91BA3">
            <w:pPr>
              <w:pStyle w:val="Parties"/>
            </w:pPr>
          </w:p>
          <w:p w:rsidR="00675AD2" w:rsidRDefault="00675AD2" w:rsidP="00A91BA3">
            <w:pPr>
              <w:pStyle w:val="Parties"/>
              <w:rPr>
                <w:lang w:val="es-ES"/>
              </w:rPr>
            </w:pPr>
            <w:r w:rsidRPr="009A54BC">
              <w:rPr>
                <w:lang w:val="es-ES"/>
              </w:rPr>
              <w:t xml:space="preserve">  </w:t>
            </w:r>
            <w:proofErr w:type="gramStart"/>
            <w:r w:rsidRPr="009A54BC">
              <w:rPr>
                <w:lang w:val="es-ES"/>
              </w:rPr>
              <w:t>v</w:t>
            </w:r>
            <w:r>
              <w:rPr>
                <w:lang w:val="es-ES"/>
              </w:rPr>
              <w:t>s</w:t>
            </w:r>
            <w:proofErr w:type="gramEnd"/>
            <w:r w:rsidRPr="009A54BC">
              <w:rPr>
                <w:lang w:val="es-ES"/>
              </w:rPr>
              <w:t>.</w:t>
            </w:r>
          </w:p>
          <w:p w:rsidR="00675AD2" w:rsidRDefault="00675AD2" w:rsidP="00A91BA3">
            <w:pPr>
              <w:pStyle w:val="Parties"/>
              <w:rPr>
                <w:lang w:val="es-ES"/>
              </w:rPr>
            </w:pPr>
          </w:p>
          <w:p w:rsidR="00675AD2" w:rsidRDefault="00675AD2" w:rsidP="00A91BA3">
            <w:pPr>
              <w:pStyle w:val="Parties"/>
              <w:rPr>
                <w:lang w:val="es-ES"/>
              </w:rPr>
            </w:pPr>
            <w:r>
              <w:rPr>
                <w:lang w:val="es-ES"/>
              </w:rPr>
              <w:t>PUGET SOUND ENERGY</w:t>
            </w:r>
          </w:p>
          <w:p w:rsidR="00675AD2" w:rsidRDefault="00675AD2" w:rsidP="00A91BA3">
            <w:pPr>
              <w:pStyle w:val="Parties"/>
              <w:rPr>
                <w:lang w:val="es-ES"/>
              </w:rPr>
            </w:pPr>
          </w:p>
          <w:p w:rsidR="00675AD2" w:rsidRPr="009A54BC" w:rsidRDefault="00675AD2" w:rsidP="00A91BA3">
            <w:pPr>
              <w:pStyle w:val="Parties"/>
              <w:rPr>
                <w:lang w:val="es-ES"/>
              </w:rPr>
            </w:pPr>
            <w:r>
              <w:rPr>
                <w:lang w:val="es-ES"/>
              </w:rPr>
              <w:t xml:space="preserve">                                     </w:t>
            </w:r>
            <w:proofErr w:type="spellStart"/>
            <w:r>
              <w:rPr>
                <w:lang w:val="es-ES"/>
              </w:rPr>
              <w:t>Respondent</w:t>
            </w:r>
            <w:proofErr w:type="spellEnd"/>
            <w:r>
              <w:rPr>
                <w:lang w:val="es-ES"/>
              </w:rPr>
              <w:t>.</w:t>
            </w:r>
          </w:p>
          <w:p w:rsidR="00675AD2" w:rsidRDefault="00675AD2" w:rsidP="00A91BA3">
            <w:pPr>
              <w:pStyle w:val="Parties"/>
            </w:pPr>
          </w:p>
        </w:tc>
        <w:tc>
          <w:tcPr>
            <w:tcW w:w="169" w:type="dxa"/>
          </w:tcPr>
          <w:p w:rsidR="00675AD2" w:rsidRDefault="00675AD2" w:rsidP="00A91BA3">
            <w:pPr>
              <w:pStyle w:val="Parties"/>
            </w:pPr>
            <w:r>
              <w:t>)</w:t>
            </w:r>
          </w:p>
          <w:p w:rsidR="00675AD2" w:rsidRDefault="00675AD2" w:rsidP="00A91BA3">
            <w:pPr>
              <w:pStyle w:val="Parties"/>
            </w:pPr>
            <w:r>
              <w:t>)</w:t>
            </w:r>
          </w:p>
          <w:p w:rsidR="00675AD2" w:rsidRDefault="00675AD2" w:rsidP="00A91BA3">
            <w:pPr>
              <w:pStyle w:val="Parties"/>
            </w:pPr>
            <w:r>
              <w:t>)</w:t>
            </w:r>
          </w:p>
          <w:p w:rsidR="00675AD2" w:rsidRDefault="00675AD2" w:rsidP="00A91BA3">
            <w:pPr>
              <w:pStyle w:val="Parties"/>
            </w:pPr>
            <w:r>
              <w:t>)</w:t>
            </w:r>
          </w:p>
          <w:p w:rsidR="00675AD2" w:rsidRDefault="00675AD2" w:rsidP="00A91BA3">
            <w:pPr>
              <w:pStyle w:val="Parties"/>
            </w:pPr>
            <w:r>
              <w:t>)</w:t>
            </w:r>
          </w:p>
          <w:p w:rsidR="00675AD2" w:rsidRDefault="00675AD2" w:rsidP="00A91BA3">
            <w:pPr>
              <w:pStyle w:val="Parties"/>
            </w:pPr>
            <w:r>
              <w:t>)</w:t>
            </w:r>
          </w:p>
          <w:p w:rsidR="00675AD2" w:rsidRDefault="00675AD2" w:rsidP="00A91BA3">
            <w:pPr>
              <w:pStyle w:val="Parties"/>
            </w:pPr>
            <w:r>
              <w:t>)</w:t>
            </w:r>
          </w:p>
          <w:p w:rsidR="00675AD2" w:rsidRDefault="00675AD2" w:rsidP="00A91BA3">
            <w:pPr>
              <w:pStyle w:val="Parties"/>
            </w:pPr>
            <w:r>
              <w:t>)</w:t>
            </w:r>
          </w:p>
          <w:p w:rsidR="00675AD2" w:rsidRDefault="00675AD2" w:rsidP="00A91BA3">
            <w:pPr>
              <w:pStyle w:val="Parties"/>
            </w:pPr>
            <w:r>
              <w:t>)</w:t>
            </w:r>
          </w:p>
          <w:p w:rsidR="00675AD2" w:rsidRDefault="00675AD2" w:rsidP="00A91BA3">
            <w:pPr>
              <w:pStyle w:val="Parties"/>
            </w:pPr>
            <w:r>
              <w:t>)</w:t>
            </w:r>
          </w:p>
          <w:p w:rsidR="00675AD2" w:rsidRDefault="00675AD2" w:rsidP="00A91BA3">
            <w:pPr>
              <w:pStyle w:val="Parties"/>
            </w:pPr>
            <w:r>
              <w:t>)</w:t>
            </w:r>
          </w:p>
        </w:tc>
        <w:tc>
          <w:tcPr>
            <w:tcW w:w="4601" w:type="dxa"/>
          </w:tcPr>
          <w:p w:rsidR="00675AD2" w:rsidRDefault="00675AD2" w:rsidP="00A91BA3">
            <w:pPr>
              <w:pStyle w:val="DocTitle"/>
            </w:pPr>
          </w:p>
          <w:p w:rsidR="001A2312" w:rsidRDefault="00675AD2" w:rsidP="00A91BA3">
            <w:pPr>
              <w:pStyle w:val="DocTitle"/>
              <w:spacing w:before="240"/>
            </w:pPr>
            <w:r w:rsidRPr="001A2312">
              <w:t xml:space="preserve">PSE General rate Case </w:t>
            </w:r>
          </w:p>
          <w:p w:rsidR="00675AD2" w:rsidRPr="001A2312" w:rsidRDefault="00675AD2" w:rsidP="00A91BA3">
            <w:pPr>
              <w:pStyle w:val="DocTitle"/>
              <w:spacing w:before="240"/>
            </w:pPr>
            <w:r w:rsidRPr="001A2312">
              <w:t>Docket No</w:t>
            </w:r>
            <w:r w:rsidR="001A2312" w:rsidRPr="001A2312">
              <w:t>s</w:t>
            </w:r>
            <w:r w:rsidRPr="001A2312">
              <w:t>.</w:t>
            </w:r>
          </w:p>
          <w:p w:rsidR="00675AD2" w:rsidRPr="001A2312" w:rsidRDefault="00675AD2" w:rsidP="00675AD2">
            <w:pPr>
              <w:rPr>
                <w:rFonts w:ascii="Times New Roman" w:hAnsi="Times New Roman" w:cs="Times New Roman"/>
              </w:rPr>
            </w:pPr>
            <w:r w:rsidRPr="001A2312">
              <w:rPr>
                <w:rFonts w:ascii="Times New Roman" w:hAnsi="Times New Roman" w:cs="Times New Roman"/>
              </w:rPr>
              <w:t>UE-111048 and  UG-111049</w:t>
            </w:r>
          </w:p>
          <w:p w:rsidR="00675AD2" w:rsidRDefault="00675AD2" w:rsidP="00A91BA3">
            <w:pPr>
              <w:pStyle w:val="DocTitle"/>
            </w:pPr>
          </w:p>
        </w:tc>
      </w:tr>
      <w:tr w:rsidR="00675AD2" w:rsidTr="00675AD2">
        <w:tc>
          <w:tcPr>
            <w:tcW w:w="4511" w:type="dxa"/>
            <w:tcBorders>
              <w:bottom w:val="single" w:sz="6" w:space="0" w:color="auto"/>
            </w:tcBorders>
          </w:tcPr>
          <w:p w:rsidR="00675AD2" w:rsidRDefault="00675AD2" w:rsidP="00A91BA3">
            <w:pPr>
              <w:pStyle w:val="Parties"/>
            </w:pPr>
          </w:p>
        </w:tc>
        <w:tc>
          <w:tcPr>
            <w:tcW w:w="169" w:type="dxa"/>
          </w:tcPr>
          <w:p w:rsidR="00675AD2" w:rsidRDefault="00675AD2" w:rsidP="00A91BA3">
            <w:pPr>
              <w:pStyle w:val="Parties"/>
            </w:pPr>
          </w:p>
        </w:tc>
        <w:tc>
          <w:tcPr>
            <w:tcW w:w="4601" w:type="dxa"/>
          </w:tcPr>
          <w:p w:rsidR="00675AD2" w:rsidRDefault="00675AD2" w:rsidP="00A91BA3">
            <w:pPr>
              <w:pStyle w:val="DocTitle"/>
            </w:pPr>
          </w:p>
        </w:tc>
      </w:tr>
    </w:tbl>
    <w:p w:rsidR="00675AD2" w:rsidRDefault="00675AD2" w:rsidP="00675AD2">
      <w:pPr>
        <w:rPr>
          <w:b/>
        </w:rPr>
      </w:pPr>
    </w:p>
    <w:p w:rsidR="00675AD2" w:rsidRDefault="00675AD2" w:rsidP="00675AD2">
      <w:pPr>
        <w:rPr>
          <w:b/>
        </w:rPr>
      </w:pPr>
    </w:p>
    <w:p w:rsidR="00675AD2" w:rsidRDefault="00675AD2" w:rsidP="00675AD2">
      <w:pPr>
        <w:rPr>
          <w:b/>
        </w:rPr>
      </w:pPr>
    </w:p>
    <w:p w:rsidR="00675AD2" w:rsidRDefault="00675AD2" w:rsidP="00675AD2">
      <w:pPr>
        <w:rPr>
          <w:b/>
        </w:rPr>
      </w:pPr>
    </w:p>
    <w:p w:rsidR="00675AD2" w:rsidRPr="00675AD2" w:rsidRDefault="00675AD2" w:rsidP="00411591">
      <w:pPr>
        <w:jc w:val="center"/>
      </w:pPr>
    </w:p>
    <w:p w:rsidR="00675AD2" w:rsidRDefault="001A2312" w:rsidP="00675AD2">
      <w:pPr>
        <w:rPr>
          <w:rFonts w:ascii="Times New Roman" w:hAnsi="Times New Roman" w:cs="Times New Roman"/>
          <w:sz w:val="28"/>
          <w:szCs w:val="28"/>
        </w:rPr>
      </w:pPr>
      <w:r>
        <w:rPr>
          <w:rFonts w:ascii="Times New Roman" w:hAnsi="Times New Roman" w:cs="Times New Roman"/>
          <w:sz w:val="28"/>
          <w:szCs w:val="28"/>
        </w:rPr>
        <w:t>POST-</w:t>
      </w:r>
      <w:r w:rsidR="00675AD2" w:rsidRPr="00675AD2">
        <w:rPr>
          <w:rFonts w:ascii="Times New Roman" w:hAnsi="Times New Roman" w:cs="Times New Roman"/>
          <w:sz w:val="28"/>
          <w:szCs w:val="28"/>
        </w:rPr>
        <w:t>HEARING BRIEF OF INTERVENOR THE ENERGY PROJECT</w:t>
      </w:r>
    </w:p>
    <w:p w:rsidR="00675AD2" w:rsidRPr="00675AD2" w:rsidRDefault="00675AD2" w:rsidP="00C871BB">
      <w:pPr>
        <w:jc w:val="center"/>
        <w:rPr>
          <w:rFonts w:ascii="Times New Roman" w:hAnsi="Times New Roman" w:cs="Times New Roman"/>
          <w:sz w:val="28"/>
          <w:szCs w:val="28"/>
        </w:rPr>
      </w:pPr>
      <w:r>
        <w:rPr>
          <w:rFonts w:ascii="Times New Roman" w:hAnsi="Times New Roman" w:cs="Times New Roman"/>
          <w:sz w:val="28"/>
          <w:szCs w:val="28"/>
        </w:rPr>
        <w:t>March 16, 2012</w:t>
      </w:r>
    </w:p>
    <w:p w:rsidR="00675AD2" w:rsidRDefault="00675AD2" w:rsidP="00411591">
      <w:pPr>
        <w:jc w:val="center"/>
        <w:rPr>
          <w:b/>
        </w:rPr>
      </w:pPr>
    </w:p>
    <w:p w:rsidR="00675AD2" w:rsidRDefault="00675AD2" w:rsidP="00411591">
      <w:pPr>
        <w:jc w:val="center"/>
        <w:rPr>
          <w:b/>
        </w:rPr>
      </w:pPr>
    </w:p>
    <w:p w:rsidR="00675AD2" w:rsidRDefault="00675AD2" w:rsidP="00411591">
      <w:pPr>
        <w:jc w:val="center"/>
        <w:rPr>
          <w:b/>
        </w:rPr>
      </w:pPr>
    </w:p>
    <w:p w:rsidR="00675AD2" w:rsidRDefault="00675AD2" w:rsidP="00411591">
      <w:pPr>
        <w:jc w:val="center"/>
        <w:rPr>
          <w:b/>
        </w:rPr>
      </w:pPr>
    </w:p>
    <w:p w:rsidR="00675AD2" w:rsidRDefault="00675AD2" w:rsidP="00411591">
      <w:pPr>
        <w:jc w:val="center"/>
        <w:rPr>
          <w:b/>
        </w:rPr>
      </w:pPr>
    </w:p>
    <w:p w:rsidR="00675AD2" w:rsidRDefault="00675AD2" w:rsidP="00411591">
      <w:pPr>
        <w:jc w:val="center"/>
        <w:rPr>
          <w:b/>
        </w:rPr>
      </w:pPr>
    </w:p>
    <w:p w:rsidR="00675AD2" w:rsidRDefault="00675AD2" w:rsidP="00411591">
      <w:pPr>
        <w:jc w:val="center"/>
        <w:rPr>
          <w:b/>
        </w:rPr>
      </w:pPr>
    </w:p>
    <w:p w:rsidR="00675AD2" w:rsidRDefault="00675AD2" w:rsidP="00411591">
      <w:pPr>
        <w:jc w:val="center"/>
        <w:rPr>
          <w:b/>
        </w:rPr>
      </w:pPr>
    </w:p>
    <w:p w:rsidR="00411591" w:rsidRPr="00675AD2" w:rsidRDefault="00411591" w:rsidP="00786807">
      <w:pPr>
        <w:jc w:val="center"/>
        <w:rPr>
          <w:rFonts w:ascii="Times New Roman" w:hAnsi="Times New Roman" w:cs="Times New Roman"/>
          <w:b/>
        </w:rPr>
      </w:pPr>
      <w:r w:rsidRPr="00675AD2">
        <w:rPr>
          <w:rFonts w:ascii="Times New Roman" w:hAnsi="Times New Roman" w:cs="Times New Roman"/>
          <w:b/>
        </w:rPr>
        <w:lastRenderedPageBreak/>
        <w:t>Introduction</w:t>
      </w:r>
    </w:p>
    <w:p w:rsidR="00A06C29" w:rsidRPr="00675AD2" w:rsidRDefault="00411591" w:rsidP="00483A55">
      <w:pPr>
        <w:spacing w:line="480" w:lineRule="auto"/>
        <w:rPr>
          <w:rFonts w:ascii="Times New Roman" w:hAnsi="Times New Roman" w:cs="Times New Roman"/>
        </w:rPr>
      </w:pPr>
      <w:r w:rsidRPr="00675AD2">
        <w:rPr>
          <w:rFonts w:ascii="Times New Roman" w:hAnsi="Times New Roman" w:cs="Times New Roman"/>
        </w:rPr>
        <w:t>The Energy Project in PSE general rate case (UE-111048 and UG-111049) will address the following subjects</w:t>
      </w:r>
      <w:r w:rsidR="00E911CA" w:rsidRPr="00675AD2">
        <w:rPr>
          <w:rFonts w:ascii="Times New Roman" w:hAnsi="Times New Roman" w:cs="Times New Roman"/>
        </w:rPr>
        <w:t xml:space="preserve"> regarding low income customers of PSE:</w:t>
      </w:r>
      <w:r w:rsidRPr="00675AD2">
        <w:rPr>
          <w:rFonts w:ascii="Times New Roman" w:hAnsi="Times New Roman" w:cs="Times New Roman"/>
        </w:rPr>
        <w:t xml:space="preserve"> </w:t>
      </w:r>
    </w:p>
    <w:p w:rsidR="00411591" w:rsidRPr="00675AD2" w:rsidRDefault="001A2312" w:rsidP="00702E6A">
      <w:pPr>
        <w:pStyle w:val="ListParagraph"/>
        <w:numPr>
          <w:ilvl w:val="0"/>
          <w:numId w:val="1"/>
        </w:numPr>
        <w:rPr>
          <w:rFonts w:ascii="Times New Roman" w:hAnsi="Times New Roman" w:cs="Times New Roman"/>
        </w:rPr>
      </w:pPr>
      <w:r>
        <w:rPr>
          <w:rFonts w:ascii="Times New Roman" w:hAnsi="Times New Roman" w:cs="Times New Roman"/>
        </w:rPr>
        <w:t>Why a</w:t>
      </w:r>
      <w:r w:rsidR="00411591" w:rsidRPr="00675AD2">
        <w:rPr>
          <w:rFonts w:ascii="Times New Roman" w:hAnsi="Times New Roman" w:cs="Times New Roman"/>
        </w:rPr>
        <w:t>n increase of 5 million dollars in funding for PSE’s low income rate assistance program</w:t>
      </w:r>
      <w:r>
        <w:rPr>
          <w:rFonts w:ascii="Times New Roman" w:hAnsi="Times New Roman" w:cs="Times New Roman"/>
        </w:rPr>
        <w:t xml:space="preserve"> </w:t>
      </w:r>
      <w:r w:rsidR="00411591" w:rsidRPr="00675AD2">
        <w:rPr>
          <w:rFonts w:ascii="Times New Roman" w:hAnsi="Times New Roman" w:cs="Times New Roman"/>
        </w:rPr>
        <w:t>(HELP)</w:t>
      </w:r>
      <w:r w:rsidR="00626C40" w:rsidRPr="00675AD2">
        <w:rPr>
          <w:rFonts w:ascii="Times New Roman" w:hAnsi="Times New Roman" w:cs="Times New Roman"/>
        </w:rPr>
        <w:t xml:space="preserve"> </w:t>
      </w:r>
      <w:r>
        <w:rPr>
          <w:rFonts w:ascii="Times New Roman" w:hAnsi="Times New Roman" w:cs="Times New Roman"/>
        </w:rPr>
        <w:t xml:space="preserve">is needed </w:t>
      </w:r>
    </w:p>
    <w:p w:rsidR="00EC1E20" w:rsidRDefault="00E911CA" w:rsidP="00BE67DD">
      <w:pPr>
        <w:ind w:left="720" w:hanging="360"/>
        <w:rPr>
          <w:rFonts w:ascii="Times New Roman" w:hAnsi="Times New Roman" w:cs="Times New Roman"/>
        </w:rPr>
      </w:pPr>
      <w:r w:rsidRPr="00675AD2">
        <w:rPr>
          <w:rFonts w:ascii="Times New Roman" w:hAnsi="Times New Roman" w:cs="Times New Roman"/>
        </w:rPr>
        <w:t xml:space="preserve">2. </w:t>
      </w:r>
      <w:r w:rsidR="001A2312">
        <w:rPr>
          <w:rFonts w:ascii="Times New Roman" w:hAnsi="Times New Roman" w:cs="Times New Roman"/>
        </w:rPr>
        <w:tab/>
        <w:t>Why e</w:t>
      </w:r>
      <w:r w:rsidR="00BC19C2" w:rsidRPr="00675AD2">
        <w:rPr>
          <w:rFonts w:ascii="Times New Roman" w:hAnsi="Times New Roman" w:cs="Times New Roman"/>
        </w:rPr>
        <w:t xml:space="preserve">stablishing rate assistance funding for low </w:t>
      </w:r>
      <w:r w:rsidRPr="00675AD2">
        <w:rPr>
          <w:rFonts w:ascii="Times New Roman" w:hAnsi="Times New Roman" w:cs="Times New Roman"/>
        </w:rPr>
        <w:t xml:space="preserve">income customers is </w:t>
      </w:r>
      <w:r w:rsidR="00BC19C2" w:rsidRPr="00675AD2">
        <w:rPr>
          <w:rFonts w:ascii="Times New Roman" w:hAnsi="Times New Roman" w:cs="Times New Roman"/>
        </w:rPr>
        <w:t xml:space="preserve">an appropriate role for the Utilities and </w:t>
      </w:r>
      <w:r w:rsidRPr="00675AD2">
        <w:rPr>
          <w:rFonts w:ascii="Times New Roman" w:hAnsi="Times New Roman" w:cs="Times New Roman"/>
        </w:rPr>
        <w:t>Transportation Commission</w:t>
      </w:r>
      <w:r w:rsidR="00626C40" w:rsidRPr="00675AD2">
        <w:rPr>
          <w:rFonts w:ascii="Times New Roman" w:hAnsi="Times New Roman" w:cs="Times New Roman"/>
        </w:rPr>
        <w:t xml:space="preserve">     </w:t>
      </w:r>
    </w:p>
    <w:p w:rsidR="00EC1E20" w:rsidRDefault="00E911CA" w:rsidP="00BE67DD">
      <w:pPr>
        <w:ind w:left="720" w:hanging="360"/>
        <w:rPr>
          <w:rFonts w:ascii="Times New Roman" w:hAnsi="Times New Roman" w:cs="Times New Roman"/>
        </w:rPr>
      </w:pPr>
      <w:r w:rsidRPr="00675AD2">
        <w:rPr>
          <w:rFonts w:ascii="Times New Roman" w:hAnsi="Times New Roman" w:cs="Times New Roman"/>
        </w:rPr>
        <w:t xml:space="preserve">3. </w:t>
      </w:r>
      <w:r w:rsidR="001A2312">
        <w:rPr>
          <w:rFonts w:ascii="Times New Roman" w:hAnsi="Times New Roman" w:cs="Times New Roman"/>
        </w:rPr>
        <w:tab/>
      </w:r>
      <w:r w:rsidR="00BC19C2" w:rsidRPr="00675AD2">
        <w:rPr>
          <w:rFonts w:ascii="Times New Roman" w:hAnsi="Times New Roman" w:cs="Times New Roman"/>
        </w:rPr>
        <w:t xml:space="preserve">Whether PSE’s conservation program provides benefits to low-income ratepayers that are roughly comparable to </w:t>
      </w:r>
      <w:r w:rsidR="001A2312">
        <w:rPr>
          <w:rFonts w:ascii="Times New Roman" w:hAnsi="Times New Roman" w:cs="Times New Roman"/>
        </w:rPr>
        <w:t xml:space="preserve">benefits received by </w:t>
      </w:r>
      <w:r w:rsidR="00BC19C2" w:rsidRPr="00675AD2">
        <w:rPr>
          <w:rFonts w:ascii="Times New Roman" w:hAnsi="Times New Roman" w:cs="Times New Roman"/>
        </w:rPr>
        <w:t>other ratepayers</w:t>
      </w:r>
      <w:r w:rsidRPr="00675AD2">
        <w:rPr>
          <w:rFonts w:ascii="Times New Roman" w:hAnsi="Times New Roman" w:cs="Times New Roman"/>
        </w:rPr>
        <w:t xml:space="preserve"> as required by the Commission’s report and policy </w:t>
      </w:r>
      <w:r w:rsidR="00960890" w:rsidRPr="00675AD2">
        <w:rPr>
          <w:rFonts w:ascii="Times New Roman" w:hAnsi="Times New Roman" w:cs="Times New Roman"/>
        </w:rPr>
        <w:t xml:space="preserve">statement </w:t>
      </w:r>
      <w:r w:rsidR="00960890">
        <w:rPr>
          <w:rFonts w:ascii="Times New Roman" w:hAnsi="Times New Roman" w:cs="Times New Roman"/>
        </w:rPr>
        <w:t xml:space="preserve">in </w:t>
      </w:r>
      <w:r w:rsidR="0045187A">
        <w:rPr>
          <w:rFonts w:ascii="Times New Roman" w:hAnsi="Times New Roman" w:cs="Times New Roman"/>
        </w:rPr>
        <w:t>Docket</w:t>
      </w:r>
      <w:r w:rsidR="0045187A" w:rsidRPr="00675AD2">
        <w:rPr>
          <w:rFonts w:ascii="Times New Roman" w:hAnsi="Times New Roman" w:cs="Times New Roman"/>
        </w:rPr>
        <w:t xml:space="preserve"> (</w:t>
      </w:r>
      <w:r w:rsidRPr="00675AD2">
        <w:rPr>
          <w:rFonts w:ascii="Times New Roman" w:hAnsi="Times New Roman" w:cs="Times New Roman"/>
        </w:rPr>
        <w:t>U-100522)</w:t>
      </w:r>
      <w:r w:rsidR="00626C40" w:rsidRPr="00675AD2">
        <w:rPr>
          <w:rFonts w:ascii="Times New Roman" w:hAnsi="Times New Roman" w:cs="Times New Roman"/>
        </w:rPr>
        <w:t xml:space="preserve">  </w:t>
      </w:r>
    </w:p>
    <w:p w:rsidR="00BC19C2" w:rsidRDefault="00B449C2" w:rsidP="00BE67DD">
      <w:pPr>
        <w:ind w:left="720" w:hanging="360"/>
        <w:rPr>
          <w:rFonts w:ascii="Times New Roman" w:hAnsi="Times New Roman" w:cs="Times New Roman"/>
        </w:rPr>
      </w:pPr>
      <w:r w:rsidRPr="00675AD2">
        <w:rPr>
          <w:rFonts w:ascii="Times New Roman" w:hAnsi="Times New Roman" w:cs="Times New Roman"/>
        </w:rPr>
        <w:t xml:space="preserve">4. </w:t>
      </w:r>
      <w:r w:rsidR="00AA13E7" w:rsidRPr="00675AD2">
        <w:rPr>
          <w:rFonts w:ascii="Times New Roman" w:hAnsi="Times New Roman" w:cs="Times New Roman"/>
        </w:rPr>
        <w:t xml:space="preserve"> </w:t>
      </w:r>
      <w:r w:rsidR="00BF28DE">
        <w:rPr>
          <w:rFonts w:ascii="Times New Roman" w:hAnsi="Times New Roman" w:cs="Times New Roman"/>
        </w:rPr>
        <w:tab/>
      </w:r>
      <w:r w:rsidR="001A2312">
        <w:rPr>
          <w:rFonts w:ascii="Times New Roman" w:hAnsi="Times New Roman" w:cs="Times New Roman"/>
        </w:rPr>
        <w:t>Whether</w:t>
      </w:r>
      <w:r w:rsidRPr="00675AD2">
        <w:rPr>
          <w:rFonts w:ascii="Times New Roman" w:hAnsi="Times New Roman" w:cs="Times New Roman"/>
        </w:rPr>
        <w:t xml:space="preserve"> Service Quality Index No.</w:t>
      </w:r>
      <w:r w:rsidR="001A2312">
        <w:rPr>
          <w:rFonts w:ascii="Times New Roman" w:hAnsi="Times New Roman" w:cs="Times New Roman"/>
        </w:rPr>
        <w:t xml:space="preserve"> </w:t>
      </w:r>
      <w:r w:rsidRPr="00675AD2">
        <w:rPr>
          <w:rFonts w:ascii="Times New Roman" w:hAnsi="Times New Roman" w:cs="Times New Roman"/>
        </w:rPr>
        <w:t xml:space="preserve">9 </w:t>
      </w:r>
      <w:r w:rsidR="001A2312">
        <w:rPr>
          <w:rFonts w:ascii="Times New Roman" w:hAnsi="Times New Roman" w:cs="Times New Roman"/>
        </w:rPr>
        <w:t xml:space="preserve">should </w:t>
      </w:r>
      <w:r w:rsidR="00960890" w:rsidRPr="00675AD2">
        <w:rPr>
          <w:rFonts w:ascii="Times New Roman" w:hAnsi="Times New Roman" w:cs="Times New Roman"/>
        </w:rPr>
        <w:t>be</w:t>
      </w:r>
      <w:r w:rsidR="00960890">
        <w:rPr>
          <w:rFonts w:ascii="Times New Roman" w:hAnsi="Times New Roman" w:cs="Times New Roman"/>
        </w:rPr>
        <w:t xml:space="preserve"> retained and reinstated </w:t>
      </w:r>
      <w:r w:rsidR="001A2312" w:rsidRPr="00675AD2">
        <w:rPr>
          <w:rFonts w:ascii="Times New Roman" w:hAnsi="Times New Roman" w:cs="Times New Roman"/>
        </w:rPr>
        <w:t xml:space="preserve">in </w:t>
      </w:r>
      <w:r w:rsidR="00960890">
        <w:rPr>
          <w:rFonts w:ascii="Times New Roman" w:hAnsi="Times New Roman" w:cs="Times New Roman"/>
        </w:rPr>
        <w:t xml:space="preserve">order to maintain an appropriate level of service quality for customers during </w:t>
      </w:r>
      <w:r w:rsidR="001A2312" w:rsidRPr="00675AD2">
        <w:rPr>
          <w:rFonts w:ascii="Times New Roman" w:hAnsi="Times New Roman" w:cs="Times New Roman"/>
        </w:rPr>
        <w:t xml:space="preserve"> difficult economic times</w:t>
      </w:r>
      <w:r w:rsidR="0048742A">
        <w:rPr>
          <w:rFonts w:ascii="Times New Roman" w:hAnsi="Times New Roman" w:cs="Times New Roman"/>
        </w:rPr>
        <w:t xml:space="preserve"> </w:t>
      </w:r>
    </w:p>
    <w:p w:rsidR="00AA13E7" w:rsidRPr="00675AD2" w:rsidRDefault="00551B8A" w:rsidP="00786807">
      <w:pPr>
        <w:ind w:left="360"/>
        <w:jc w:val="center"/>
        <w:rPr>
          <w:rFonts w:ascii="Times New Roman" w:hAnsi="Times New Roman" w:cs="Times New Roman"/>
          <w:b/>
        </w:rPr>
      </w:pPr>
      <w:r w:rsidRPr="00675AD2">
        <w:rPr>
          <w:rFonts w:ascii="Times New Roman" w:hAnsi="Times New Roman" w:cs="Times New Roman"/>
          <w:b/>
        </w:rPr>
        <w:t>I.</w:t>
      </w:r>
    </w:p>
    <w:p w:rsidR="00C011D3" w:rsidRDefault="00AA13E7" w:rsidP="00702E6A">
      <w:pPr>
        <w:ind w:left="360"/>
        <w:rPr>
          <w:rFonts w:ascii="Times New Roman" w:hAnsi="Times New Roman" w:cs="Times New Roman"/>
        </w:rPr>
      </w:pPr>
      <w:r w:rsidRPr="00675AD2">
        <w:rPr>
          <w:rFonts w:ascii="Times New Roman" w:hAnsi="Times New Roman" w:cs="Times New Roman"/>
          <w:b/>
        </w:rPr>
        <w:t xml:space="preserve">The Energy Project and Staff </w:t>
      </w:r>
      <w:r w:rsidR="00B1373A">
        <w:rPr>
          <w:rFonts w:ascii="Times New Roman" w:hAnsi="Times New Roman" w:cs="Times New Roman"/>
          <w:b/>
        </w:rPr>
        <w:t>Agree that</w:t>
      </w:r>
      <w:r w:rsidRPr="00675AD2">
        <w:rPr>
          <w:rFonts w:ascii="Times New Roman" w:hAnsi="Times New Roman" w:cs="Times New Roman"/>
          <w:b/>
        </w:rPr>
        <w:t xml:space="preserve"> HELP</w:t>
      </w:r>
      <w:r w:rsidR="00B1373A">
        <w:rPr>
          <w:rFonts w:ascii="Times New Roman" w:hAnsi="Times New Roman" w:cs="Times New Roman"/>
          <w:b/>
        </w:rPr>
        <w:t xml:space="preserve"> Should Have a $5 Million Increase; No Party Opposed the Increase</w:t>
      </w:r>
      <w:r w:rsidR="00C011D3" w:rsidRPr="00675AD2">
        <w:rPr>
          <w:rFonts w:ascii="Times New Roman" w:hAnsi="Times New Roman" w:cs="Times New Roman"/>
        </w:rPr>
        <w:t>.</w:t>
      </w:r>
    </w:p>
    <w:p w:rsidR="00C22419" w:rsidRPr="00483A55" w:rsidRDefault="00C22419" w:rsidP="00483A55">
      <w:pPr>
        <w:pStyle w:val="ListParagraph"/>
        <w:numPr>
          <w:ilvl w:val="0"/>
          <w:numId w:val="2"/>
        </w:numPr>
        <w:rPr>
          <w:rFonts w:ascii="Times New Roman" w:hAnsi="Times New Roman" w:cs="Times New Roman"/>
          <w:b/>
        </w:rPr>
      </w:pPr>
      <w:r w:rsidRPr="00483A55">
        <w:rPr>
          <w:rFonts w:ascii="Times New Roman" w:hAnsi="Times New Roman" w:cs="Times New Roman"/>
          <w:b/>
        </w:rPr>
        <w:t>A $5 Million Increase Is Urgently Needed</w:t>
      </w:r>
    </w:p>
    <w:p w:rsidR="003D6078" w:rsidRPr="00675AD2" w:rsidRDefault="003D6078" w:rsidP="00483A55">
      <w:pPr>
        <w:spacing w:after="0" w:line="480" w:lineRule="auto"/>
        <w:ind w:firstLine="720"/>
        <w:rPr>
          <w:rFonts w:ascii="Times New Roman" w:hAnsi="Times New Roman" w:cs="Times New Roman"/>
        </w:rPr>
      </w:pPr>
      <w:r w:rsidRPr="00675AD2">
        <w:rPr>
          <w:rFonts w:ascii="Times New Roman" w:hAnsi="Times New Roman" w:cs="Times New Roman"/>
        </w:rPr>
        <w:t xml:space="preserve">Public testimony </w:t>
      </w:r>
      <w:r>
        <w:rPr>
          <w:rFonts w:ascii="Times New Roman" w:hAnsi="Times New Roman" w:cs="Times New Roman"/>
        </w:rPr>
        <w:t xml:space="preserve">in </w:t>
      </w:r>
      <w:r w:rsidRPr="00675AD2">
        <w:rPr>
          <w:rFonts w:ascii="Times New Roman" w:hAnsi="Times New Roman" w:cs="Times New Roman"/>
        </w:rPr>
        <w:t xml:space="preserve">this rate case showed that many customers </w:t>
      </w:r>
      <w:r>
        <w:rPr>
          <w:rFonts w:ascii="Times New Roman" w:hAnsi="Times New Roman" w:cs="Times New Roman"/>
        </w:rPr>
        <w:t>who seek</w:t>
      </w:r>
      <w:r w:rsidRPr="00675AD2">
        <w:rPr>
          <w:rFonts w:ascii="Times New Roman" w:hAnsi="Times New Roman" w:cs="Times New Roman"/>
        </w:rPr>
        <w:t xml:space="preserve"> assistance </w:t>
      </w:r>
      <w:r>
        <w:rPr>
          <w:rFonts w:ascii="Times New Roman" w:hAnsi="Times New Roman" w:cs="Times New Roman"/>
        </w:rPr>
        <w:t xml:space="preserve">to pay </w:t>
      </w:r>
      <w:r w:rsidRPr="00675AD2">
        <w:rPr>
          <w:rFonts w:ascii="Times New Roman" w:hAnsi="Times New Roman" w:cs="Times New Roman"/>
        </w:rPr>
        <w:t>their utility bill</w:t>
      </w:r>
      <w:r>
        <w:rPr>
          <w:rFonts w:ascii="Times New Roman" w:hAnsi="Times New Roman" w:cs="Times New Roman"/>
        </w:rPr>
        <w:t>s are now</w:t>
      </w:r>
      <w:r w:rsidRPr="00675AD2">
        <w:rPr>
          <w:rFonts w:ascii="Times New Roman" w:hAnsi="Times New Roman" w:cs="Times New Roman"/>
        </w:rPr>
        <w:t xml:space="preserve"> </w:t>
      </w:r>
      <w:r>
        <w:rPr>
          <w:rFonts w:ascii="Times New Roman" w:hAnsi="Times New Roman" w:cs="Times New Roman"/>
        </w:rPr>
        <w:t>encountering a waiting list</w:t>
      </w:r>
      <w:r w:rsidRPr="00675AD2">
        <w:rPr>
          <w:rFonts w:ascii="Times New Roman" w:hAnsi="Times New Roman" w:cs="Times New Roman"/>
        </w:rPr>
        <w:t xml:space="preserve"> for the first time</w:t>
      </w:r>
      <w:r>
        <w:rPr>
          <w:rFonts w:ascii="Times New Roman" w:hAnsi="Times New Roman" w:cs="Times New Roman"/>
        </w:rPr>
        <w:t xml:space="preserve"> with a shrinking of federal funds.</w:t>
      </w:r>
      <w:r w:rsidRPr="00675AD2">
        <w:rPr>
          <w:rFonts w:ascii="Times New Roman" w:hAnsi="Times New Roman" w:cs="Times New Roman"/>
        </w:rPr>
        <w:t xml:space="preserve"> </w:t>
      </w:r>
      <w:r>
        <w:rPr>
          <w:rFonts w:ascii="Times New Roman" w:hAnsi="Times New Roman" w:cs="Times New Roman"/>
        </w:rPr>
        <w:t>As Lisa Clark a witness at PSE public hearing said “</w:t>
      </w:r>
      <w:proofErr w:type="gramStart"/>
      <w:r>
        <w:rPr>
          <w:rFonts w:ascii="Times New Roman" w:hAnsi="Times New Roman" w:cs="Times New Roman"/>
        </w:rPr>
        <w:t>It</w:t>
      </w:r>
      <w:proofErr w:type="gramEnd"/>
      <w:r>
        <w:rPr>
          <w:rFonts w:ascii="Times New Roman" w:hAnsi="Times New Roman" w:cs="Times New Roman"/>
        </w:rPr>
        <w:t xml:space="preserve"> is a recession… things haven’t changed and the need that I’ve seen in the last year--and I </w:t>
      </w:r>
      <w:proofErr w:type="spellStart"/>
      <w:r>
        <w:rPr>
          <w:rFonts w:ascii="Times New Roman" w:hAnsi="Times New Roman" w:cs="Times New Roman"/>
        </w:rPr>
        <w:t>ve</w:t>
      </w:r>
      <w:proofErr w:type="spellEnd"/>
      <w:r>
        <w:rPr>
          <w:rFonts w:ascii="Times New Roman" w:hAnsi="Times New Roman" w:cs="Times New Roman"/>
        </w:rPr>
        <w:t>’ been doing this for 15 years --is unprecedented” (TR-74:3-23 and 75:8-19)</w:t>
      </w:r>
      <w:r w:rsidRPr="00675AD2">
        <w:rPr>
          <w:rFonts w:ascii="Times New Roman" w:hAnsi="Times New Roman" w:cs="Times New Roman"/>
        </w:rPr>
        <w:t>.</w:t>
      </w:r>
      <w:r>
        <w:rPr>
          <w:rFonts w:ascii="Times New Roman" w:hAnsi="Times New Roman" w:cs="Times New Roman"/>
        </w:rPr>
        <w:t xml:space="preserve"> </w:t>
      </w:r>
      <w:r w:rsidRPr="00675AD2">
        <w:rPr>
          <w:rFonts w:ascii="Times New Roman" w:hAnsi="Times New Roman" w:cs="Times New Roman"/>
        </w:rPr>
        <w:t xml:space="preserve"> </w:t>
      </w:r>
      <w:r>
        <w:rPr>
          <w:rFonts w:ascii="Times New Roman" w:hAnsi="Times New Roman" w:cs="Times New Roman"/>
        </w:rPr>
        <w:t>In Island County ,where she lives and works, the average fixed income for seniors was about $694 and their utilities bill is between $150 and $200(TR-76:13-19).</w:t>
      </w:r>
    </w:p>
    <w:p w:rsidR="003D6078" w:rsidRPr="00675AD2" w:rsidRDefault="003D6078" w:rsidP="00483A55">
      <w:pPr>
        <w:spacing w:after="0" w:line="480" w:lineRule="auto"/>
        <w:ind w:firstLine="720"/>
        <w:rPr>
          <w:rFonts w:ascii="Times New Roman" w:hAnsi="Times New Roman" w:cs="Times New Roman"/>
        </w:rPr>
      </w:pPr>
      <w:r w:rsidRPr="00675AD2">
        <w:rPr>
          <w:rFonts w:ascii="Times New Roman" w:hAnsi="Times New Roman" w:cs="Times New Roman"/>
        </w:rPr>
        <w:t>In PSE’s service territory</w:t>
      </w:r>
      <w:r>
        <w:rPr>
          <w:rFonts w:ascii="Times New Roman" w:hAnsi="Times New Roman" w:cs="Times New Roman"/>
        </w:rPr>
        <w:t>,</w:t>
      </w:r>
      <w:r w:rsidRPr="00675AD2">
        <w:rPr>
          <w:rFonts w:ascii="Times New Roman" w:hAnsi="Times New Roman" w:cs="Times New Roman"/>
        </w:rPr>
        <w:t xml:space="preserve"> </w:t>
      </w:r>
      <w:r>
        <w:rPr>
          <w:rFonts w:ascii="Times New Roman" w:hAnsi="Times New Roman" w:cs="Times New Roman"/>
        </w:rPr>
        <w:t xml:space="preserve">as of </w:t>
      </w:r>
      <w:r w:rsidRPr="00675AD2">
        <w:rPr>
          <w:rFonts w:ascii="Times New Roman" w:hAnsi="Times New Roman" w:cs="Times New Roman"/>
        </w:rPr>
        <w:t>year-end 2010</w:t>
      </w:r>
      <w:r>
        <w:rPr>
          <w:rFonts w:ascii="Times New Roman" w:hAnsi="Times New Roman" w:cs="Times New Roman"/>
        </w:rPr>
        <w:t>,</w:t>
      </w:r>
      <w:r w:rsidRPr="00675AD2">
        <w:rPr>
          <w:rFonts w:ascii="Times New Roman" w:hAnsi="Times New Roman" w:cs="Times New Roman"/>
        </w:rPr>
        <w:t xml:space="preserve"> </w:t>
      </w:r>
      <w:r>
        <w:rPr>
          <w:rFonts w:ascii="Times New Roman" w:hAnsi="Times New Roman" w:cs="Times New Roman"/>
        </w:rPr>
        <w:t xml:space="preserve">approximately </w:t>
      </w:r>
      <w:r w:rsidRPr="00675AD2">
        <w:rPr>
          <w:rFonts w:ascii="Times New Roman" w:hAnsi="Times New Roman" w:cs="Times New Roman"/>
        </w:rPr>
        <w:t>255,000</w:t>
      </w:r>
      <w:r>
        <w:rPr>
          <w:rFonts w:ascii="Times New Roman" w:hAnsi="Times New Roman" w:cs="Times New Roman"/>
        </w:rPr>
        <w:t xml:space="preserve"> of the total 1,300,000 residential customers,</w:t>
      </w:r>
      <w:r w:rsidRPr="00675AD2">
        <w:rPr>
          <w:rFonts w:ascii="Times New Roman" w:hAnsi="Times New Roman" w:cs="Times New Roman"/>
        </w:rPr>
        <w:t xml:space="preserve"> or 19.6 percent</w:t>
      </w:r>
      <w:r>
        <w:rPr>
          <w:rFonts w:ascii="Times New Roman" w:hAnsi="Times New Roman" w:cs="Times New Roman"/>
        </w:rPr>
        <w:t xml:space="preserve">, were </w:t>
      </w:r>
      <w:r w:rsidRPr="00675AD2">
        <w:rPr>
          <w:rFonts w:ascii="Times New Roman" w:hAnsi="Times New Roman" w:cs="Times New Roman"/>
        </w:rPr>
        <w:t xml:space="preserve">at or below 150 percent of </w:t>
      </w:r>
      <w:r>
        <w:rPr>
          <w:rFonts w:ascii="Times New Roman" w:hAnsi="Times New Roman" w:cs="Times New Roman"/>
        </w:rPr>
        <w:t xml:space="preserve">the </w:t>
      </w:r>
      <w:r w:rsidRPr="00675AD2">
        <w:rPr>
          <w:rFonts w:ascii="Times New Roman" w:hAnsi="Times New Roman" w:cs="Times New Roman"/>
        </w:rPr>
        <w:t>federal poverty level</w:t>
      </w:r>
      <w:r>
        <w:rPr>
          <w:rFonts w:ascii="Times New Roman" w:hAnsi="Times New Roman" w:cs="Times New Roman"/>
        </w:rPr>
        <w:t xml:space="preserve"> </w:t>
      </w:r>
      <w:r w:rsidRPr="00675AD2">
        <w:rPr>
          <w:rFonts w:ascii="Times New Roman" w:hAnsi="Times New Roman" w:cs="Times New Roman"/>
        </w:rPr>
        <w:t xml:space="preserve">(SML-8CX). </w:t>
      </w:r>
      <w:r>
        <w:rPr>
          <w:rFonts w:ascii="Times New Roman" w:hAnsi="Times New Roman" w:cs="Times New Roman"/>
        </w:rPr>
        <w:t xml:space="preserve"> </w:t>
      </w:r>
      <w:r w:rsidRPr="00675AD2">
        <w:rPr>
          <w:rFonts w:ascii="Times New Roman" w:hAnsi="Times New Roman" w:cs="Times New Roman"/>
        </w:rPr>
        <w:t xml:space="preserve">A household of </w:t>
      </w:r>
      <w:r>
        <w:rPr>
          <w:rFonts w:ascii="Times New Roman" w:hAnsi="Times New Roman" w:cs="Times New Roman"/>
        </w:rPr>
        <w:t>three</w:t>
      </w:r>
      <w:r w:rsidRPr="00675AD2">
        <w:rPr>
          <w:rFonts w:ascii="Times New Roman" w:hAnsi="Times New Roman" w:cs="Times New Roman"/>
        </w:rPr>
        <w:t xml:space="preserve"> could have no more than $27,795  to be eligible for PSE’s rate assistance program in 2011 (Federal Register, Vol. 76 No.13, January 20, 2011, pp. 3637-3638).</w:t>
      </w:r>
    </w:p>
    <w:p w:rsidR="00E87971" w:rsidRPr="00675AD2" w:rsidRDefault="00C011D3" w:rsidP="00483A55">
      <w:pPr>
        <w:spacing w:after="0" w:line="480" w:lineRule="auto"/>
        <w:ind w:firstLine="720"/>
        <w:rPr>
          <w:rFonts w:ascii="Times New Roman" w:hAnsi="Times New Roman" w:cs="Times New Roman"/>
        </w:rPr>
      </w:pPr>
      <w:r w:rsidRPr="00675AD2">
        <w:rPr>
          <w:rFonts w:ascii="Times New Roman" w:hAnsi="Times New Roman" w:cs="Times New Roman"/>
        </w:rPr>
        <w:t>The Energy Project</w:t>
      </w:r>
      <w:r w:rsidR="00BA710B" w:rsidRPr="00675AD2">
        <w:rPr>
          <w:rFonts w:ascii="Times New Roman" w:hAnsi="Times New Roman" w:cs="Times New Roman"/>
        </w:rPr>
        <w:t>’</w:t>
      </w:r>
      <w:r w:rsidRPr="00675AD2">
        <w:rPr>
          <w:rFonts w:ascii="Times New Roman" w:hAnsi="Times New Roman" w:cs="Times New Roman"/>
        </w:rPr>
        <w:t>s witness John Howat in his direct testimony</w:t>
      </w:r>
      <w:r w:rsidR="00BA710B" w:rsidRPr="00675AD2">
        <w:rPr>
          <w:rFonts w:ascii="Times New Roman" w:hAnsi="Times New Roman" w:cs="Times New Roman"/>
        </w:rPr>
        <w:t xml:space="preserve"> (JGH-1T pp.7-8</w:t>
      </w:r>
      <w:r w:rsidR="00464ECB" w:rsidRPr="00675AD2">
        <w:rPr>
          <w:rFonts w:ascii="Times New Roman" w:hAnsi="Times New Roman" w:cs="Times New Roman"/>
        </w:rPr>
        <w:t xml:space="preserve">) </w:t>
      </w:r>
      <w:r w:rsidR="00654FEC">
        <w:rPr>
          <w:rFonts w:ascii="Times New Roman" w:hAnsi="Times New Roman" w:cs="Times New Roman"/>
        </w:rPr>
        <w:t>explained that</w:t>
      </w:r>
      <w:r w:rsidR="00464ECB" w:rsidRPr="00675AD2">
        <w:rPr>
          <w:rFonts w:ascii="Times New Roman" w:hAnsi="Times New Roman" w:cs="Times New Roman"/>
        </w:rPr>
        <w:t xml:space="preserve"> an</w:t>
      </w:r>
      <w:r w:rsidRPr="00675AD2">
        <w:rPr>
          <w:rFonts w:ascii="Times New Roman" w:hAnsi="Times New Roman" w:cs="Times New Roman"/>
        </w:rPr>
        <w:t xml:space="preserve"> increase in HELP</w:t>
      </w:r>
      <w:r w:rsidR="00BA710B" w:rsidRPr="00675AD2">
        <w:rPr>
          <w:rFonts w:ascii="Times New Roman" w:hAnsi="Times New Roman" w:cs="Times New Roman"/>
        </w:rPr>
        <w:t xml:space="preserve"> </w:t>
      </w:r>
      <w:r w:rsidR="00654FEC">
        <w:rPr>
          <w:rFonts w:ascii="Times New Roman" w:hAnsi="Times New Roman" w:cs="Times New Roman"/>
        </w:rPr>
        <w:t xml:space="preserve">is needed </w:t>
      </w:r>
      <w:r w:rsidR="00BA710B" w:rsidRPr="00675AD2">
        <w:rPr>
          <w:rFonts w:ascii="Times New Roman" w:hAnsi="Times New Roman" w:cs="Times New Roman"/>
        </w:rPr>
        <w:t>because under current funding levels</w:t>
      </w:r>
      <w:r w:rsidR="00654FEC">
        <w:rPr>
          <w:rFonts w:ascii="Times New Roman" w:hAnsi="Times New Roman" w:cs="Times New Roman"/>
        </w:rPr>
        <w:t>, only</w:t>
      </w:r>
      <w:r w:rsidR="00BA710B" w:rsidRPr="00675AD2">
        <w:rPr>
          <w:rFonts w:ascii="Times New Roman" w:hAnsi="Times New Roman" w:cs="Times New Roman"/>
        </w:rPr>
        <w:t xml:space="preserve"> about 23,789 of PSE</w:t>
      </w:r>
      <w:r w:rsidR="00654FEC">
        <w:rPr>
          <w:rFonts w:ascii="Times New Roman" w:hAnsi="Times New Roman" w:cs="Times New Roman"/>
        </w:rPr>
        <w:t>’s</w:t>
      </w:r>
      <w:r w:rsidR="00BA710B" w:rsidRPr="00675AD2">
        <w:rPr>
          <w:rFonts w:ascii="Times New Roman" w:hAnsi="Times New Roman" w:cs="Times New Roman"/>
        </w:rPr>
        <w:t xml:space="preserve"> </w:t>
      </w:r>
      <w:r w:rsidR="00BA710B" w:rsidRPr="00675AD2">
        <w:rPr>
          <w:rFonts w:ascii="Times New Roman" w:hAnsi="Times New Roman" w:cs="Times New Roman"/>
        </w:rPr>
        <w:lastRenderedPageBreak/>
        <w:t xml:space="preserve">residential customers </w:t>
      </w:r>
      <w:r w:rsidR="00654FEC">
        <w:rPr>
          <w:rFonts w:ascii="Times New Roman" w:hAnsi="Times New Roman" w:cs="Times New Roman"/>
        </w:rPr>
        <w:t>– less than 10% of those living below the poverty level – could</w:t>
      </w:r>
      <w:r w:rsidR="00BA710B" w:rsidRPr="00675AD2">
        <w:rPr>
          <w:rFonts w:ascii="Times New Roman" w:hAnsi="Times New Roman" w:cs="Times New Roman"/>
        </w:rPr>
        <w:t xml:space="preserve"> receive assistance from HELP. The average benefit level was $503.</w:t>
      </w:r>
      <w:r w:rsidR="00AA13E7" w:rsidRPr="00675AD2">
        <w:rPr>
          <w:rFonts w:ascii="Times New Roman" w:hAnsi="Times New Roman" w:cs="Times New Roman"/>
        </w:rPr>
        <w:t xml:space="preserve"> </w:t>
      </w:r>
      <w:r w:rsidR="00BA710B" w:rsidRPr="00675AD2">
        <w:rPr>
          <w:rFonts w:ascii="Times New Roman" w:hAnsi="Times New Roman" w:cs="Times New Roman"/>
        </w:rPr>
        <w:t xml:space="preserve">HELP benefits reduced </w:t>
      </w:r>
      <w:r w:rsidR="007F0860" w:rsidRPr="00675AD2">
        <w:rPr>
          <w:rFonts w:ascii="Times New Roman" w:hAnsi="Times New Roman" w:cs="Times New Roman"/>
        </w:rPr>
        <w:t>participants’</w:t>
      </w:r>
      <w:r w:rsidR="00BA710B" w:rsidRPr="00675AD2">
        <w:rPr>
          <w:rFonts w:ascii="Times New Roman" w:hAnsi="Times New Roman" w:cs="Times New Roman"/>
        </w:rPr>
        <w:t xml:space="preserve"> home energy bill by an average of </w:t>
      </w:r>
      <w:r w:rsidR="00BE67DD">
        <w:rPr>
          <w:rFonts w:ascii="Times New Roman" w:hAnsi="Times New Roman" w:cs="Times New Roman"/>
        </w:rPr>
        <w:t>36% in program year 2009 (</w:t>
      </w:r>
      <w:r w:rsidR="00BE67DD" w:rsidRPr="00BE67DD">
        <w:rPr>
          <w:rFonts w:ascii="Times New Roman" w:hAnsi="Times New Roman" w:cs="Times New Roman"/>
          <w:i/>
        </w:rPr>
        <w:t>s</w:t>
      </w:r>
      <w:r w:rsidR="007F0860" w:rsidRPr="00BE67DD">
        <w:rPr>
          <w:rFonts w:ascii="Times New Roman" w:hAnsi="Times New Roman" w:cs="Times New Roman"/>
          <w:i/>
        </w:rPr>
        <w:t>ee</w:t>
      </w:r>
      <w:r w:rsidR="007F0860" w:rsidRPr="00675AD2">
        <w:rPr>
          <w:rFonts w:ascii="Times New Roman" w:hAnsi="Times New Roman" w:cs="Times New Roman"/>
        </w:rPr>
        <w:t xml:space="preserve"> PSE Annual Report on Program Outcome on H</w:t>
      </w:r>
      <w:r w:rsidR="0019424D" w:rsidRPr="00675AD2">
        <w:rPr>
          <w:rFonts w:ascii="Times New Roman" w:hAnsi="Times New Roman" w:cs="Times New Roman"/>
        </w:rPr>
        <w:t>ELP</w:t>
      </w:r>
      <w:r w:rsidR="007F0860" w:rsidRPr="00675AD2">
        <w:rPr>
          <w:rFonts w:ascii="Times New Roman" w:hAnsi="Times New Roman" w:cs="Times New Roman"/>
        </w:rPr>
        <w:t xml:space="preserve"> SML-9CX). </w:t>
      </w:r>
      <w:r w:rsidR="00BE67DD">
        <w:rPr>
          <w:rFonts w:ascii="Times New Roman" w:hAnsi="Times New Roman" w:cs="Times New Roman"/>
        </w:rPr>
        <w:t xml:space="preserve"> </w:t>
      </w:r>
      <w:r w:rsidR="007F0860" w:rsidRPr="00675AD2">
        <w:rPr>
          <w:rFonts w:ascii="Times New Roman" w:hAnsi="Times New Roman" w:cs="Times New Roman"/>
        </w:rPr>
        <w:t xml:space="preserve">Under Mr. </w:t>
      </w:r>
      <w:proofErr w:type="gramStart"/>
      <w:r w:rsidR="00306A97" w:rsidRPr="00675AD2">
        <w:rPr>
          <w:rFonts w:ascii="Times New Roman" w:hAnsi="Times New Roman" w:cs="Times New Roman"/>
        </w:rPr>
        <w:t>Howat’ s</w:t>
      </w:r>
      <w:proofErr w:type="gramEnd"/>
      <w:r w:rsidR="007F0860" w:rsidRPr="00675AD2">
        <w:rPr>
          <w:rFonts w:ascii="Times New Roman" w:hAnsi="Times New Roman" w:cs="Times New Roman"/>
        </w:rPr>
        <w:t xml:space="preserve"> proposal to increase funding</w:t>
      </w:r>
      <w:r w:rsidR="00654FEC">
        <w:rPr>
          <w:rFonts w:ascii="Times New Roman" w:hAnsi="Times New Roman" w:cs="Times New Roman"/>
        </w:rPr>
        <w:t>,</w:t>
      </w:r>
      <w:r w:rsidR="007F0860" w:rsidRPr="00675AD2">
        <w:rPr>
          <w:rFonts w:ascii="Times New Roman" w:hAnsi="Times New Roman" w:cs="Times New Roman"/>
        </w:rPr>
        <w:t xml:space="preserve"> approximately 7950 additional customers could receive HELP assuming </w:t>
      </w:r>
      <w:r w:rsidR="00654FEC">
        <w:rPr>
          <w:rFonts w:ascii="Times New Roman" w:hAnsi="Times New Roman" w:cs="Times New Roman"/>
        </w:rPr>
        <w:t>the grant amount of $503 remained</w:t>
      </w:r>
      <w:r w:rsidR="007F0860" w:rsidRPr="00675AD2">
        <w:rPr>
          <w:rFonts w:ascii="Times New Roman" w:hAnsi="Times New Roman" w:cs="Times New Roman"/>
        </w:rPr>
        <w:t xml:space="preserve"> constant. </w:t>
      </w:r>
    </w:p>
    <w:p w:rsidR="007F0860" w:rsidRPr="00675AD2" w:rsidRDefault="00464ECB" w:rsidP="00483A55">
      <w:pPr>
        <w:spacing w:after="0" w:line="480" w:lineRule="auto"/>
        <w:ind w:firstLine="720"/>
        <w:rPr>
          <w:rFonts w:ascii="Times New Roman" w:hAnsi="Times New Roman" w:cs="Times New Roman"/>
        </w:rPr>
      </w:pPr>
      <w:r w:rsidRPr="00675AD2">
        <w:rPr>
          <w:rFonts w:ascii="Times New Roman" w:hAnsi="Times New Roman" w:cs="Times New Roman"/>
        </w:rPr>
        <w:t xml:space="preserve">While some residential customers will </w:t>
      </w:r>
      <w:r w:rsidR="0019424D" w:rsidRPr="00675AD2">
        <w:rPr>
          <w:rFonts w:ascii="Times New Roman" w:hAnsi="Times New Roman" w:cs="Times New Roman"/>
        </w:rPr>
        <w:t xml:space="preserve">also </w:t>
      </w:r>
      <w:r w:rsidRPr="00675AD2">
        <w:rPr>
          <w:rFonts w:ascii="Times New Roman" w:hAnsi="Times New Roman" w:cs="Times New Roman"/>
        </w:rPr>
        <w:t>be able to receive assistance from LIHEAP</w:t>
      </w:r>
      <w:r w:rsidR="00BE67DD">
        <w:rPr>
          <w:rFonts w:ascii="Times New Roman" w:hAnsi="Times New Roman" w:cs="Times New Roman"/>
        </w:rPr>
        <w:t>,</w:t>
      </w:r>
      <w:r w:rsidRPr="00675AD2">
        <w:rPr>
          <w:rFonts w:ascii="Times New Roman" w:hAnsi="Times New Roman" w:cs="Times New Roman"/>
        </w:rPr>
        <w:t xml:space="preserve"> th</w:t>
      </w:r>
      <w:r w:rsidR="0019424D" w:rsidRPr="00675AD2">
        <w:rPr>
          <w:rFonts w:ascii="Times New Roman" w:hAnsi="Times New Roman" w:cs="Times New Roman"/>
        </w:rPr>
        <w:t>is</w:t>
      </w:r>
      <w:r w:rsidRPr="00675AD2">
        <w:rPr>
          <w:rFonts w:ascii="Times New Roman" w:hAnsi="Times New Roman" w:cs="Times New Roman"/>
        </w:rPr>
        <w:t xml:space="preserve"> federal funding rate assistance program is projected to be reduced by 24 percent</w:t>
      </w:r>
      <w:r w:rsidR="0019424D" w:rsidRPr="00675AD2">
        <w:rPr>
          <w:rFonts w:ascii="Times New Roman" w:hAnsi="Times New Roman" w:cs="Times New Roman"/>
        </w:rPr>
        <w:t xml:space="preserve"> in 2012.</w:t>
      </w:r>
      <w:r w:rsidRPr="00675AD2">
        <w:rPr>
          <w:rFonts w:ascii="Times New Roman" w:hAnsi="Times New Roman" w:cs="Times New Roman"/>
        </w:rPr>
        <w:t xml:space="preserve"> </w:t>
      </w:r>
      <w:r w:rsidR="00654FEC">
        <w:rPr>
          <w:rFonts w:ascii="Times New Roman" w:hAnsi="Times New Roman" w:cs="Times New Roman"/>
        </w:rPr>
        <w:t xml:space="preserve"> </w:t>
      </w:r>
      <w:r w:rsidRPr="00675AD2">
        <w:rPr>
          <w:rFonts w:ascii="Times New Roman" w:hAnsi="Times New Roman" w:cs="Times New Roman"/>
        </w:rPr>
        <w:t>(</w:t>
      </w:r>
      <w:r w:rsidR="0019424D" w:rsidRPr="00675AD2">
        <w:rPr>
          <w:rFonts w:ascii="Times New Roman" w:hAnsi="Times New Roman" w:cs="Times New Roman"/>
        </w:rPr>
        <w:t>Exhibit_</w:t>
      </w:r>
      <w:r w:rsidRPr="00675AD2">
        <w:rPr>
          <w:rFonts w:ascii="Times New Roman" w:hAnsi="Times New Roman" w:cs="Times New Roman"/>
        </w:rPr>
        <w:t xml:space="preserve">JGH6). </w:t>
      </w:r>
    </w:p>
    <w:p w:rsidR="00464ECB" w:rsidRPr="00675AD2" w:rsidRDefault="0052350C" w:rsidP="00483A55">
      <w:pPr>
        <w:spacing w:after="0" w:line="480" w:lineRule="auto"/>
        <w:ind w:firstLine="720"/>
        <w:rPr>
          <w:rFonts w:ascii="Times New Roman" w:hAnsi="Times New Roman" w:cs="Times New Roman"/>
        </w:rPr>
      </w:pPr>
      <w:r>
        <w:rPr>
          <w:rFonts w:ascii="Times New Roman" w:hAnsi="Times New Roman" w:cs="Times New Roman"/>
        </w:rPr>
        <w:t xml:space="preserve">On behalf of Commission Staff, </w:t>
      </w:r>
      <w:r w:rsidR="00BF28DE">
        <w:rPr>
          <w:rFonts w:ascii="Times New Roman" w:hAnsi="Times New Roman" w:cs="Times New Roman"/>
        </w:rPr>
        <w:t xml:space="preserve">Deborah </w:t>
      </w:r>
      <w:r w:rsidR="00464ECB" w:rsidRPr="00675AD2">
        <w:rPr>
          <w:rFonts w:ascii="Times New Roman" w:hAnsi="Times New Roman" w:cs="Times New Roman"/>
        </w:rPr>
        <w:t xml:space="preserve">Reynolds </w:t>
      </w:r>
      <w:r>
        <w:rPr>
          <w:rFonts w:ascii="Times New Roman" w:hAnsi="Times New Roman" w:cs="Times New Roman"/>
        </w:rPr>
        <w:t>likewise</w:t>
      </w:r>
      <w:r w:rsidR="00464ECB" w:rsidRPr="00675AD2">
        <w:rPr>
          <w:rFonts w:ascii="Times New Roman" w:hAnsi="Times New Roman" w:cs="Times New Roman"/>
        </w:rPr>
        <w:t xml:space="preserve"> recognized the need for additional HELP assistance in</w:t>
      </w:r>
      <w:r w:rsidR="00D81003" w:rsidRPr="00675AD2">
        <w:rPr>
          <w:rFonts w:ascii="Times New Roman" w:hAnsi="Times New Roman" w:cs="Times New Roman"/>
        </w:rPr>
        <w:t xml:space="preserve"> PSE service area </w:t>
      </w:r>
      <w:r w:rsidR="00233295">
        <w:rPr>
          <w:rFonts w:ascii="Times New Roman" w:hAnsi="Times New Roman" w:cs="Times New Roman"/>
        </w:rPr>
        <w:t>(Exhibit DJR-</w:t>
      </w:r>
      <w:r>
        <w:rPr>
          <w:rFonts w:ascii="Times New Roman" w:hAnsi="Times New Roman" w:cs="Times New Roman"/>
        </w:rPr>
        <w:t xml:space="preserve"> </w:t>
      </w:r>
      <w:r w:rsidR="00233295">
        <w:rPr>
          <w:rFonts w:ascii="Times New Roman" w:hAnsi="Times New Roman" w:cs="Times New Roman"/>
        </w:rPr>
        <w:t>3T</w:t>
      </w:r>
      <w:r w:rsidR="00306A97">
        <w:rPr>
          <w:rFonts w:ascii="Times New Roman" w:hAnsi="Times New Roman" w:cs="Times New Roman"/>
        </w:rPr>
        <w:t xml:space="preserve"> p</w:t>
      </w:r>
      <w:r w:rsidR="00C423CB">
        <w:rPr>
          <w:rFonts w:ascii="Times New Roman" w:hAnsi="Times New Roman" w:cs="Times New Roman"/>
        </w:rPr>
        <w:t>p</w:t>
      </w:r>
      <w:r w:rsidR="00306A97">
        <w:rPr>
          <w:rFonts w:ascii="Times New Roman" w:hAnsi="Times New Roman" w:cs="Times New Roman"/>
        </w:rPr>
        <w:t>.18-19</w:t>
      </w:r>
      <w:r w:rsidR="00233295">
        <w:rPr>
          <w:rFonts w:ascii="Times New Roman" w:hAnsi="Times New Roman" w:cs="Times New Roman"/>
        </w:rPr>
        <w:t xml:space="preserve">). </w:t>
      </w:r>
      <w:r w:rsidR="002123F6" w:rsidRPr="00675AD2">
        <w:rPr>
          <w:rFonts w:ascii="Times New Roman" w:hAnsi="Times New Roman" w:cs="Times New Roman"/>
        </w:rPr>
        <w:t xml:space="preserve"> PSE, the only other party commenting on The Energy Project’s recommended increase to HELP</w:t>
      </w:r>
      <w:r w:rsidR="00B1373A">
        <w:rPr>
          <w:rFonts w:ascii="Times New Roman" w:hAnsi="Times New Roman" w:cs="Times New Roman"/>
        </w:rPr>
        <w:t>,</w:t>
      </w:r>
      <w:r w:rsidR="002123F6" w:rsidRPr="00675AD2">
        <w:rPr>
          <w:rFonts w:ascii="Times New Roman" w:hAnsi="Times New Roman" w:cs="Times New Roman"/>
        </w:rPr>
        <w:t xml:space="preserve"> did not take a position (Exhibit TAD</w:t>
      </w:r>
      <w:r w:rsidR="00306A97">
        <w:rPr>
          <w:rFonts w:ascii="Times New Roman" w:hAnsi="Times New Roman" w:cs="Times New Roman"/>
        </w:rPr>
        <w:t>-</w:t>
      </w:r>
      <w:r w:rsidR="002123F6" w:rsidRPr="00675AD2">
        <w:rPr>
          <w:rFonts w:ascii="Times New Roman" w:hAnsi="Times New Roman" w:cs="Times New Roman"/>
        </w:rPr>
        <w:t>4T</w:t>
      </w:r>
      <w:r w:rsidR="0019424D" w:rsidRPr="00675AD2">
        <w:rPr>
          <w:rFonts w:ascii="Times New Roman" w:hAnsi="Times New Roman" w:cs="Times New Roman"/>
        </w:rPr>
        <w:t xml:space="preserve"> </w:t>
      </w:r>
      <w:r w:rsidR="002123F6" w:rsidRPr="00675AD2">
        <w:rPr>
          <w:rFonts w:ascii="Times New Roman" w:hAnsi="Times New Roman" w:cs="Times New Roman"/>
        </w:rPr>
        <w:t>p.19).</w:t>
      </w:r>
    </w:p>
    <w:p w:rsidR="00D81003" w:rsidRPr="00675AD2" w:rsidRDefault="00D81003" w:rsidP="00483A55">
      <w:pPr>
        <w:spacing w:after="0" w:line="480" w:lineRule="auto"/>
        <w:ind w:firstLine="720"/>
        <w:rPr>
          <w:rFonts w:ascii="Times New Roman" w:hAnsi="Times New Roman" w:cs="Times New Roman"/>
        </w:rPr>
      </w:pPr>
      <w:r w:rsidRPr="00675AD2">
        <w:rPr>
          <w:rFonts w:ascii="Times New Roman" w:hAnsi="Times New Roman" w:cs="Times New Roman"/>
        </w:rPr>
        <w:t>Ms. Reynolds</w:t>
      </w:r>
      <w:r w:rsidR="0052350C">
        <w:rPr>
          <w:rFonts w:ascii="Times New Roman" w:hAnsi="Times New Roman" w:cs="Times New Roman"/>
        </w:rPr>
        <w:t>,</w:t>
      </w:r>
      <w:r w:rsidRPr="00675AD2">
        <w:rPr>
          <w:rFonts w:ascii="Times New Roman" w:hAnsi="Times New Roman" w:cs="Times New Roman"/>
        </w:rPr>
        <w:t xml:space="preserve"> both in </w:t>
      </w:r>
      <w:r w:rsidR="00D44C32" w:rsidRPr="00675AD2">
        <w:rPr>
          <w:rFonts w:ascii="Times New Roman" w:hAnsi="Times New Roman" w:cs="Times New Roman"/>
        </w:rPr>
        <w:t xml:space="preserve">her </w:t>
      </w:r>
      <w:proofErr w:type="spellStart"/>
      <w:r w:rsidR="0052350C">
        <w:rPr>
          <w:rFonts w:ascii="Times New Roman" w:hAnsi="Times New Roman" w:cs="Times New Roman"/>
        </w:rPr>
        <w:t>prefiled</w:t>
      </w:r>
      <w:proofErr w:type="spellEnd"/>
      <w:r w:rsidR="0052350C">
        <w:rPr>
          <w:rFonts w:ascii="Times New Roman" w:hAnsi="Times New Roman" w:cs="Times New Roman"/>
        </w:rPr>
        <w:t xml:space="preserve"> </w:t>
      </w:r>
      <w:r w:rsidR="00D44C32" w:rsidRPr="00675AD2">
        <w:rPr>
          <w:rFonts w:ascii="Times New Roman" w:hAnsi="Times New Roman" w:cs="Times New Roman"/>
        </w:rPr>
        <w:t>testimony</w:t>
      </w:r>
      <w:r w:rsidR="00814D29" w:rsidRPr="00675AD2">
        <w:rPr>
          <w:rFonts w:ascii="Times New Roman" w:hAnsi="Times New Roman" w:cs="Times New Roman"/>
        </w:rPr>
        <w:t xml:space="preserve"> and in response to questions from </w:t>
      </w:r>
      <w:r w:rsidR="00D44C32" w:rsidRPr="00675AD2">
        <w:rPr>
          <w:rFonts w:ascii="Times New Roman" w:hAnsi="Times New Roman" w:cs="Times New Roman"/>
        </w:rPr>
        <w:t xml:space="preserve">Chairman </w:t>
      </w:r>
      <w:proofErr w:type="spellStart"/>
      <w:r w:rsidR="0052350C">
        <w:rPr>
          <w:rFonts w:ascii="Times New Roman" w:hAnsi="Times New Roman" w:cs="Times New Roman"/>
        </w:rPr>
        <w:t>Goltz</w:t>
      </w:r>
      <w:proofErr w:type="spellEnd"/>
      <w:r w:rsidR="0052350C">
        <w:rPr>
          <w:rFonts w:ascii="Times New Roman" w:hAnsi="Times New Roman" w:cs="Times New Roman"/>
        </w:rPr>
        <w:t xml:space="preserve">, </w:t>
      </w:r>
      <w:r w:rsidR="00D44C32" w:rsidRPr="00675AD2">
        <w:rPr>
          <w:rFonts w:ascii="Times New Roman" w:hAnsi="Times New Roman" w:cs="Times New Roman"/>
        </w:rPr>
        <w:t>said</w:t>
      </w:r>
      <w:r w:rsidR="00814D29" w:rsidRPr="00675AD2">
        <w:rPr>
          <w:rFonts w:ascii="Times New Roman" w:hAnsi="Times New Roman" w:cs="Times New Roman"/>
        </w:rPr>
        <w:t xml:space="preserve"> that</w:t>
      </w:r>
      <w:r w:rsidR="00BE67DD">
        <w:rPr>
          <w:rFonts w:ascii="Times New Roman" w:hAnsi="Times New Roman" w:cs="Times New Roman"/>
        </w:rPr>
        <w:t>,</w:t>
      </w:r>
      <w:r w:rsidR="00814D29" w:rsidRPr="00675AD2">
        <w:rPr>
          <w:rFonts w:ascii="Times New Roman" w:hAnsi="Times New Roman" w:cs="Times New Roman"/>
        </w:rPr>
        <w:t xml:space="preserve"> </w:t>
      </w:r>
      <w:r w:rsidR="00D44C32" w:rsidRPr="00675AD2">
        <w:rPr>
          <w:rFonts w:ascii="Times New Roman" w:hAnsi="Times New Roman" w:cs="Times New Roman"/>
        </w:rPr>
        <w:t>“</w:t>
      </w:r>
      <w:r w:rsidR="00814D29" w:rsidRPr="00675AD2">
        <w:rPr>
          <w:rFonts w:ascii="Times New Roman" w:hAnsi="Times New Roman" w:cs="Times New Roman"/>
        </w:rPr>
        <w:t>Increas</w:t>
      </w:r>
      <w:r w:rsidR="00D44C32" w:rsidRPr="00675AD2">
        <w:rPr>
          <w:rFonts w:ascii="Times New Roman" w:hAnsi="Times New Roman" w:cs="Times New Roman"/>
        </w:rPr>
        <w:t>ing</w:t>
      </w:r>
      <w:r w:rsidR="00814D29" w:rsidRPr="00675AD2">
        <w:rPr>
          <w:rFonts w:ascii="Times New Roman" w:hAnsi="Times New Roman" w:cs="Times New Roman"/>
        </w:rPr>
        <w:t xml:space="preserve"> the funding as the Energy </w:t>
      </w:r>
      <w:r w:rsidR="00D44C32" w:rsidRPr="00675AD2">
        <w:rPr>
          <w:rFonts w:ascii="Times New Roman" w:hAnsi="Times New Roman" w:cs="Times New Roman"/>
        </w:rPr>
        <w:t>Project</w:t>
      </w:r>
      <w:r w:rsidR="00814D29" w:rsidRPr="00675AD2">
        <w:rPr>
          <w:rFonts w:ascii="Times New Roman" w:hAnsi="Times New Roman" w:cs="Times New Roman"/>
        </w:rPr>
        <w:t xml:space="preserve"> recommends is reasonable at this time. It is a minor increase and will have little impact on the Company’s remaining customers</w:t>
      </w:r>
      <w:r w:rsidR="00D44C32" w:rsidRPr="00675AD2">
        <w:rPr>
          <w:rFonts w:ascii="Times New Roman" w:hAnsi="Times New Roman" w:cs="Times New Roman"/>
        </w:rPr>
        <w:t xml:space="preserve"> that contribute to HELP funding PSE’s surcharge tariff Schedule 129-Low Income Program” (</w:t>
      </w:r>
      <w:r w:rsidR="00EB1D52" w:rsidRPr="00675AD2">
        <w:rPr>
          <w:rFonts w:ascii="Times New Roman" w:hAnsi="Times New Roman" w:cs="Times New Roman"/>
        </w:rPr>
        <w:t xml:space="preserve">Exhibit </w:t>
      </w:r>
      <w:r w:rsidR="00D44C32" w:rsidRPr="00675AD2">
        <w:rPr>
          <w:rFonts w:ascii="Times New Roman" w:hAnsi="Times New Roman" w:cs="Times New Roman"/>
        </w:rPr>
        <w:t>DJR</w:t>
      </w:r>
      <w:r w:rsidR="00306A97">
        <w:rPr>
          <w:rFonts w:ascii="Times New Roman" w:hAnsi="Times New Roman" w:cs="Times New Roman"/>
        </w:rPr>
        <w:t>-</w:t>
      </w:r>
      <w:r w:rsidR="00D44C32" w:rsidRPr="00675AD2">
        <w:rPr>
          <w:rFonts w:ascii="Times New Roman" w:hAnsi="Times New Roman" w:cs="Times New Roman"/>
        </w:rPr>
        <w:t>3T p.19</w:t>
      </w:r>
      <w:r w:rsidR="003757ED">
        <w:rPr>
          <w:rFonts w:ascii="Times New Roman" w:hAnsi="Times New Roman" w:cs="Times New Roman"/>
        </w:rPr>
        <w:t xml:space="preserve"> TR 764-765</w:t>
      </w:r>
      <w:r w:rsidR="00D44C32" w:rsidRPr="00675AD2">
        <w:rPr>
          <w:rFonts w:ascii="Times New Roman" w:hAnsi="Times New Roman" w:cs="Times New Roman"/>
        </w:rPr>
        <w:t>).</w:t>
      </w:r>
    </w:p>
    <w:p w:rsidR="00D44C32" w:rsidRPr="00675AD2" w:rsidRDefault="0052350C" w:rsidP="00483A55">
      <w:pPr>
        <w:spacing w:after="0" w:line="480" w:lineRule="auto"/>
        <w:ind w:firstLine="720"/>
        <w:rPr>
          <w:rFonts w:ascii="Times New Roman" w:hAnsi="Times New Roman" w:cs="Times New Roman"/>
        </w:rPr>
      </w:pPr>
      <w:r>
        <w:rPr>
          <w:rFonts w:ascii="Times New Roman" w:hAnsi="Times New Roman" w:cs="Times New Roman"/>
        </w:rPr>
        <w:t>M</w:t>
      </w:r>
      <w:r w:rsidR="00D44C32" w:rsidRPr="00675AD2">
        <w:rPr>
          <w:rFonts w:ascii="Times New Roman" w:hAnsi="Times New Roman" w:cs="Times New Roman"/>
        </w:rPr>
        <w:t>s. Reynolds</w:t>
      </w:r>
      <w:r>
        <w:rPr>
          <w:rFonts w:ascii="Times New Roman" w:hAnsi="Times New Roman" w:cs="Times New Roman"/>
        </w:rPr>
        <w:t>’</w:t>
      </w:r>
      <w:r w:rsidR="00D44C32" w:rsidRPr="00675AD2">
        <w:rPr>
          <w:rFonts w:ascii="Times New Roman" w:hAnsi="Times New Roman" w:cs="Times New Roman"/>
        </w:rPr>
        <w:t xml:space="preserve"> observation about the average customer bill impacts is borne out by PSE’s response to The Energy Project</w:t>
      </w:r>
      <w:r w:rsidR="00BE67DD">
        <w:rPr>
          <w:rFonts w:ascii="Times New Roman" w:hAnsi="Times New Roman" w:cs="Times New Roman"/>
        </w:rPr>
        <w:t xml:space="preserve"> data requests</w:t>
      </w:r>
      <w:r>
        <w:rPr>
          <w:rFonts w:ascii="Times New Roman" w:hAnsi="Times New Roman" w:cs="Times New Roman"/>
        </w:rPr>
        <w:t>,</w:t>
      </w:r>
      <w:r w:rsidR="00D44C32" w:rsidRPr="00675AD2">
        <w:rPr>
          <w:rFonts w:ascii="Times New Roman" w:hAnsi="Times New Roman" w:cs="Times New Roman"/>
        </w:rPr>
        <w:t xml:space="preserve"> which shows</w:t>
      </w:r>
      <w:r>
        <w:rPr>
          <w:rFonts w:ascii="Times New Roman" w:hAnsi="Times New Roman" w:cs="Times New Roman"/>
        </w:rPr>
        <w:t xml:space="preserve"> that </w:t>
      </w:r>
      <w:r w:rsidR="00C33948">
        <w:rPr>
          <w:rFonts w:ascii="Times New Roman" w:hAnsi="Times New Roman" w:cs="Times New Roman"/>
        </w:rPr>
        <w:t xml:space="preserve">providing increased HELP funding would </w:t>
      </w:r>
      <w:r>
        <w:rPr>
          <w:rFonts w:ascii="Times New Roman" w:hAnsi="Times New Roman" w:cs="Times New Roman"/>
        </w:rPr>
        <w:t xml:space="preserve">increase </w:t>
      </w:r>
      <w:r w:rsidR="00C33948">
        <w:rPr>
          <w:rFonts w:ascii="Times New Roman" w:hAnsi="Times New Roman" w:cs="Times New Roman"/>
        </w:rPr>
        <w:t xml:space="preserve">an </w:t>
      </w:r>
      <w:r>
        <w:rPr>
          <w:rFonts w:ascii="Times New Roman" w:hAnsi="Times New Roman" w:cs="Times New Roman"/>
        </w:rPr>
        <w:t>average monthly bill for residential service</w:t>
      </w:r>
      <w:r w:rsidR="00D44C32" w:rsidRPr="00675AD2">
        <w:rPr>
          <w:rFonts w:ascii="Times New Roman" w:hAnsi="Times New Roman" w:cs="Times New Roman"/>
        </w:rPr>
        <w:t xml:space="preserve"> </w:t>
      </w:r>
      <w:r w:rsidR="00C33948">
        <w:rPr>
          <w:rFonts w:ascii="Times New Roman" w:hAnsi="Times New Roman" w:cs="Times New Roman"/>
        </w:rPr>
        <w:t>by only</w:t>
      </w:r>
      <w:r>
        <w:rPr>
          <w:rFonts w:ascii="Times New Roman" w:hAnsi="Times New Roman" w:cs="Times New Roman"/>
        </w:rPr>
        <w:t xml:space="preserve"> </w:t>
      </w:r>
      <w:r w:rsidR="00D44C32" w:rsidRPr="00675AD2">
        <w:rPr>
          <w:rFonts w:ascii="Times New Roman" w:hAnsi="Times New Roman" w:cs="Times New Roman"/>
        </w:rPr>
        <w:t>$</w:t>
      </w:r>
      <w:r>
        <w:rPr>
          <w:rFonts w:ascii="Times New Roman" w:hAnsi="Times New Roman" w:cs="Times New Roman"/>
        </w:rPr>
        <w:t>0</w:t>
      </w:r>
      <w:r w:rsidR="00D44C32" w:rsidRPr="00675AD2">
        <w:rPr>
          <w:rFonts w:ascii="Times New Roman" w:hAnsi="Times New Roman" w:cs="Times New Roman"/>
        </w:rPr>
        <w:t>.19</w:t>
      </w:r>
      <w:r w:rsidR="00CE4DF4" w:rsidRPr="00675AD2">
        <w:rPr>
          <w:rFonts w:ascii="Times New Roman" w:hAnsi="Times New Roman" w:cs="Times New Roman"/>
        </w:rPr>
        <w:t xml:space="preserve"> for $5</w:t>
      </w:r>
      <w:r w:rsidR="00C33948">
        <w:rPr>
          <w:rFonts w:ascii="Times New Roman" w:hAnsi="Times New Roman" w:cs="Times New Roman"/>
        </w:rPr>
        <w:t xml:space="preserve"> </w:t>
      </w:r>
      <w:r w:rsidR="00CE4DF4" w:rsidRPr="00675AD2">
        <w:rPr>
          <w:rFonts w:ascii="Times New Roman" w:hAnsi="Times New Roman" w:cs="Times New Roman"/>
        </w:rPr>
        <w:t>million, $</w:t>
      </w:r>
      <w:r>
        <w:rPr>
          <w:rFonts w:ascii="Times New Roman" w:hAnsi="Times New Roman" w:cs="Times New Roman"/>
        </w:rPr>
        <w:t>0</w:t>
      </w:r>
      <w:r w:rsidR="00CE4DF4" w:rsidRPr="00675AD2">
        <w:rPr>
          <w:rFonts w:ascii="Times New Roman" w:hAnsi="Times New Roman" w:cs="Times New Roman"/>
        </w:rPr>
        <w:t>.23 for $6 million and $</w:t>
      </w:r>
      <w:r>
        <w:rPr>
          <w:rFonts w:ascii="Times New Roman" w:hAnsi="Times New Roman" w:cs="Times New Roman"/>
        </w:rPr>
        <w:t>0</w:t>
      </w:r>
      <w:r w:rsidR="00CE4DF4" w:rsidRPr="00675AD2">
        <w:rPr>
          <w:rFonts w:ascii="Times New Roman" w:hAnsi="Times New Roman" w:cs="Times New Roman"/>
        </w:rPr>
        <w:t>.26 for $7 million.</w:t>
      </w:r>
      <w:r w:rsidR="00D44C32" w:rsidRPr="00675AD2">
        <w:rPr>
          <w:rFonts w:ascii="Times New Roman" w:hAnsi="Times New Roman" w:cs="Times New Roman"/>
        </w:rPr>
        <w:t xml:space="preserve"> </w:t>
      </w:r>
      <w:r w:rsidR="00EB1D52" w:rsidRPr="00675AD2">
        <w:rPr>
          <w:rFonts w:ascii="Times New Roman" w:hAnsi="Times New Roman" w:cs="Times New Roman"/>
        </w:rPr>
        <w:t xml:space="preserve">(Exhibit </w:t>
      </w:r>
      <w:r w:rsidR="00D44C32" w:rsidRPr="00675AD2">
        <w:rPr>
          <w:rFonts w:ascii="Times New Roman" w:hAnsi="Times New Roman" w:cs="Times New Roman"/>
        </w:rPr>
        <w:t>TAD</w:t>
      </w:r>
      <w:r w:rsidR="00EB1D52" w:rsidRPr="00675AD2">
        <w:rPr>
          <w:rFonts w:ascii="Times New Roman" w:hAnsi="Times New Roman" w:cs="Times New Roman"/>
        </w:rPr>
        <w:t>_</w:t>
      </w:r>
      <w:r w:rsidR="00CE4DF4" w:rsidRPr="00675AD2">
        <w:rPr>
          <w:rFonts w:ascii="Times New Roman" w:hAnsi="Times New Roman" w:cs="Times New Roman"/>
        </w:rPr>
        <w:t xml:space="preserve"> 8-CX)</w:t>
      </w:r>
    </w:p>
    <w:p w:rsidR="00BD1A7B" w:rsidRDefault="00BD1A7B" w:rsidP="00483A55">
      <w:pPr>
        <w:spacing w:after="0" w:line="480" w:lineRule="auto"/>
        <w:ind w:firstLine="720"/>
        <w:rPr>
          <w:rFonts w:ascii="Times New Roman" w:hAnsi="Times New Roman" w:cs="Times New Roman"/>
        </w:rPr>
      </w:pPr>
      <w:r>
        <w:rPr>
          <w:rFonts w:ascii="Times New Roman" w:hAnsi="Times New Roman" w:cs="Times New Roman"/>
        </w:rPr>
        <w:t>John Howat</w:t>
      </w:r>
      <w:r w:rsidR="00C33948" w:rsidRPr="00675AD2">
        <w:rPr>
          <w:rFonts w:ascii="Times New Roman" w:hAnsi="Times New Roman" w:cs="Times New Roman"/>
        </w:rPr>
        <w:t xml:space="preserve"> review</w:t>
      </w:r>
      <w:r w:rsidR="00C33948">
        <w:rPr>
          <w:rFonts w:ascii="Times New Roman" w:hAnsi="Times New Roman" w:cs="Times New Roman"/>
        </w:rPr>
        <w:t>ed</w:t>
      </w:r>
      <w:r w:rsidR="00C33948" w:rsidRPr="00675AD2">
        <w:rPr>
          <w:rFonts w:ascii="Times New Roman" w:hAnsi="Times New Roman" w:cs="Times New Roman"/>
        </w:rPr>
        <w:t xml:space="preserve"> the percentage of revenue spent on bill assistance programs </w:t>
      </w:r>
      <w:r w:rsidR="00FB73F7">
        <w:rPr>
          <w:rFonts w:ascii="Times New Roman" w:hAnsi="Times New Roman" w:cs="Times New Roman"/>
        </w:rPr>
        <w:t xml:space="preserve">elsewhere in the </w:t>
      </w:r>
      <w:r w:rsidR="00C33948" w:rsidRPr="00675AD2">
        <w:rPr>
          <w:rFonts w:ascii="Times New Roman" w:hAnsi="Times New Roman" w:cs="Times New Roman"/>
        </w:rPr>
        <w:t xml:space="preserve">country, in the west and Washington State to provide a range of </w:t>
      </w:r>
      <w:r w:rsidR="00C33948">
        <w:rPr>
          <w:rFonts w:ascii="Times New Roman" w:hAnsi="Times New Roman" w:cs="Times New Roman"/>
        </w:rPr>
        <w:t>u</w:t>
      </w:r>
      <w:r w:rsidR="00C33948" w:rsidRPr="00675AD2">
        <w:rPr>
          <w:rFonts w:ascii="Times New Roman" w:hAnsi="Times New Roman" w:cs="Times New Roman"/>
        </w:rPr>
        <w:t>tilities</w:t>
      </w:r>
      <w:r w:rsidR="00C33948">
        <w:rPr>
          <w:rFonts w:ascii="Times New Roman" w:hAnsi="Times New Roman" w:cs="Times New Roman"/>
        </w:rPr>
        <w:t>’</w:t>
      </w:r>
      <w:r w:rsidR="00C33948" w:rsidRPr="00675AD2">
        <w:rPr>
          <w:rFonts w:ascii="Times New Roman" w:hAnsi="Times New Roman" w:cs="Times New Roman"/>
        </w:rPr>
        <w:t xml:space="preserve"> commitments to these programs</w:t>
      </w:r>
      <w:r>
        <w:rPr>
          <w:rFonts w:ascii="Times New Roman" w:hAnsi="Times New Roman" w:cs="Times New Roman"/>
        </w:rPr>
        <w:t xml:space="preserve"> </w:t>
      </w:r>
      <w:r w:rsidR="00C33948" w:rsidRPr="00675AD2">
        <w:rPr>
          <w:rFonts w:ascii="Times New Roman" w:hAnsi="Times New Roman" w:cs="Times New Roman"/>
        </w:rPr>
        <w:t>(Exhibit JGH_5)</w:t>
      </w:r>
      <w:r>
        <w:rPr>
          <w:rFonts w:ascii="Times New Roman" w:hAnsi="Times New Roman" w:cs="Times New Roman"/>
        </w:rPr>
        <w:t xml:space="preserve">.  As Staff witness Ms. Reynolds explained, these studies show that PSE devoted a smaller percentage of its revenue to low income assistance than any other utility in the </w:t>
      </w:r>
      <w:proofErr w:type="gramStart"/>
      <w:r>
        <w:rPr>
          <w:rFonts w:ascii="Times New Roman" w:hAnsi="Times New Roman" w:cs="Times New Roman"/>
        </w:rPr>
        <w:t xml:space="preserve">group </w:t>
      </w:r>
      <w:r w:rsidRPr="00675AD2">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Exhibit DJR-3T at p</w:t>
      </w:r>
      <w:r w:rsidR="007F47E4">
        <w:rPr>
          <w:rFonts w:ascii="Times New Roman" w:hAnsi="Times New Roman" w:cs="Times New Roman"/>
        </w:rPr>
        <w:t>p</w:t>
      </w:r>
      <w:r>
        <w:rPr>
          <w:rFonts w:ascii="Times New Roman" w:hAnsi="Times New Roman" w:cs="Times New Roman"/>
        </w:rPr>
        <w:t>. 18-19; TR 765:</w:t>
      </w:r>
      <w:r w:rsidR="007F47E4">
        <w:rPr>
          <w:rFonts w:ascii="Times New Roman" w:hAnsi="Times New Roman" w:cs="Times New Roman"/>
        </w:rPr>
        <w:t>13-</w:t>
      </w:r>
      <w:r>
        <w:rPr>
          <w:rFonts w:ascii="Times New Roman" w:hAnsi="Times New Roman" w:cs="Times New Roman"/>
        </w:rPr>
        <w:t>16).</w:t>
      </w:r>
    </w:p>
    <w:p w:rsidR="009125BA" w:rsidRPr="00675AD2" w:rsidRDefault="00C33948" w:rsidP="00483A55">
      <w:pPr>
        <w:spacing w:after="0" w:line="480" w:lineRule="auto"/>
        <w:ind w:firstLine="720"/>
        <w:rPr>
          <w:rFonts w:ascii="Times New Roman" w:hAnsi="Times New Roman" w:cs="Times New Roman"/>
        </w:rPr>
      </w:pPr>
      <w:r>
        <w:rPr>
          <w:rFonts w:ascii="Times New Roman" w:hAnsi="Times New Roman" w:cs="Times New Roman"/>
        </w:rPr>
        <w:lastRenderedPageBreak/>
        <w:t>N</w:t>
      </w:r>
      <w:r w:rsidR="00CE4DF4" w:rsidRPr="00675AD2">
        <w:rPr>
          <w:rFonts w:ascii="Times New Roman" w:hAnsi="Times New Roman" w:cs="Times New Roman"/>
        </w:rPr>
        <w:t xml:space="preserve">umerous states have rate assistance programs </w:t>
      </w:r>
      <w:r>
        <w:rPr>
          <w:rFonts w:ascii="Times New Roman" w:hAnsi="Times New Roman" w:cs="Times New Roman"/>
        </w:rPr>
        <w:t>and they use varying approaches</w:t>
      </w:r>
      <w:r w:rsidR="00CE4DF4" w:rsidRPr="00675AD2">
        <w:rPr>
          <w:rFonts w:ascii="Times New Roman" w:hAnsi="Times New Roman" w:cs="Times New Roman"/>
        </w:rPr>
        <w:t xml:space="preserve"> </w:t>
      </w:r>
      <w:r w:rsidR="00EB1D52" w:rsidRPr="00675AD2">
        <w:rPr>
          <w:rFonts w:ascii="Times New Roman" w:hAnsi="Times New Roman" w:cs="Times New Roman"/>
        </w:rPr>
        <w:t xml:space="preserve">to determine </w:t>
      </w:r>
      <w:r w:rsidR="00CE4DF4" w:rsidRPr="00675AD2">
        <w:rPr>
          <w:rFonts w:ascii="Times New Roman" w:hAnsi="Times New Roman" w:cs="Times New Roman"/>
        </w:rPr>
        <w:t>increase</w:t>
      </w:r>
      <w:r>
        <w:rPr>
          <w:rFonts w:ascii="Times New Roman" w:hAnsi="Times New Roman" w:cs="Times New Roman"/>
        </w:rPr>
        <w:t>s</w:t>
      </w:r>
      <w:r w:rsidR="00EB1D52" w:rsidRPr="00675AD2">
        <w:rPr>
          <w:rFonts w:ascii="Times New Roman" w:hAnsi="Times New Roman" w:cs="Times New Roman"/>
        </w:rPr>
        <w:t xml:space="preserve"> in the</w:t>
      </w:r>
      <w:r w:rsidR="00CE4DF4" w:rsidRPr="00675AD2">
        <w:rPr>
          <w:rFonts w:ascii="Times New Roman" w:hAnsi="Times New Roman" w:cs="Times New Roman"/>
        </w:rPr>
        <w:t xml:space="preserve"> amount of funding. </w:t>
      </w:r>
      <w:r>
        <w:rPr>
          <w:rFonts w:ascii="Times New Roman" w:hAnsi="Times New Roman" w:cs="Times New Roman"/>
        </w:rPr>
        <w:t xml:space="preserve"> </w:t>
      </w:r>
      <w:r w:rsidR="00BD1A7B">
        <w:rPr>
          <w:rFonts w:ascii="Times New Roman" w:hAnsi="Times New Roman" w:cs="Times New Roman"/>
        </w:rPr>
        <w:t xml:space="preserve">Mr. Howat did not suggest </w:t>
      </w:r>
      <w:r w:rsidR="00BD1A7B" w:rsidRPr="00675AD2">
        <w:rPr>
          <w:rFonts w:ascii="Times New Roman" w:hAnsi="Times New Roman" w:cs="Times New Roman"/>
        </w:rPr>
        <w:t xml:space="preserve">a </w:t>
      </w:r>
      <w:r w:rsidR="00BD1A7B">
        <w:rPr>
          <w:rFonts w:ascii="Times New Roman" w:hAnsi="Times New Roman" w:cs="Times New Roman"/>
        </w:rPr>
        <w:t xml:space="preserve">particular </w:t>
      </w:r>
      <w:r w:rsidR="003D6078">
        <w:rPr>
          <w:rFonts w:ascii="Times New Roman" w:hAnsi="Times New Roman" w:cs="Times New Roman"/>
        </w:rPr>
        <w:t>metric</w:t>
      </w:r>
      <w:r w:rsidR="00BD1A7B" w:rsidRPr="00675AD2">
        <w:rPr>
          <w:rFonts w:ascii="Times New Roman" w:hAnsi="Times New Roman" w:cs="Times New Roman"/>
        </w:rPr>
        <w:t xml:space="preserve"> </w:t>
      </w:r>
      <w:r w:rsidR="00BD1A7B">
        <w:rPr>
          <w:rFonts w:ascii="Times New Roman" w:hAnsi="Times New Roman" w:cs="Times New Roman"/>
        </w:rPr>
        <w:t xml:space="preserve">for increases in funding </w:t>
      </w:r>
      <w:r w:rsidR="00BD1A7B" w:rsidRPr="00675AD2">
        <w:rPr>
          <w:rFonts w:ascii="Times New Roman" w:hAnsi="Times New Roman" w:cs="Times New Roman"/>
        </w:rPr>
        <w:t>for rate assistance programs</w:t>
      </w:r>
      <w:r w:rsidR="00BD1A7B">
        <w:rPr>
          <w:rFonts w:ascii="Times New Roman" w:hAnsi="Times New Roman" w:cs="Times New Roman"/>
        </w:rPr>
        <w:t xml:space="preserve">.  </w:t>
      </w:r>
      <w:r>
        <w:rPr>
          <w:rFonts w:ascii="Times New Roman" w:hAnsi="Times New Roman" w:cs="Times New Roman"/>
        </w:rPr>
        <w:t>I</w:t>
      </w:r>
      <w:r w:rsidR="00CE4DF4" w:rsidRPr="00675AD2">
        <w:rPr>
          <w:rFonts w:ascii="Times New Roman" w:hAnsi="Times New Roman" w:cs="Times New Roman"/>
        </w:rPr>
        <w:t>n this docket</w:t>
      </w:r>
      <w:r>
        <w:rPr>
          <w:rFonts w:ascii="Times New Roman" w:hAnsi="Times New Roman" w:cs="Times New Roman"/>
        </w:rPr>
        <w:t xml:space="preserve">, The Energy Project focused primarily on issues within PSE’s service territory: </w:t>
      </w:r>
      <w:r w:rsidR="00CE4DF4" w:rsidRPr="00675AD2">
        <w:rPr>
          <w:rFonts w:ascii="Times New Roman" w:hAnsi="Times New Roman" w:cs="Times New Roman"/>
        </w:rPr>
        <w:t xml:space="preserve"> the need of </w:t>
      </w:r>
      <w:r>
        <w:rPr>
          <w:rFonts w:ascii="Times New Roman" w:hAnsi="Times New Roman" w:cs="Times New Roman"/>
        </w:rPr>
        <w:t xml:space="preserve">PSE’s </w:t>
      </w:r>
      <w:r w:rsidR="00CE4DF4" w:rsidRPr="00675AD2">
        <w:rPr>
          <w:rFonts w:ascii="Times New Roman" w:hAnsi="Times New Roman" w:cs="Times New Roman"/>
        </w:rPr>
        <w:t xml:space="preserve">customers to maintain their utility service </w:t>
      </w:r>
      <w:r>
        <w:rPr>
          <w:rFonts w:ascii="Times New Roman" w:hAnsi="Times New Roman" w:cs="Times New Roman"/>
        </w:rPr>
        <w:t>and the limited impact that increased HELP funding would have on residential ratepayers generally</w:t>
      </w:r>
      <w:r w:rsidR="00E828BA" w:rsidRPr="00675AD2">
        <w:rPr>
          <w:rFonts w:ascii="Times New Roman" w:hAnsi="Times New Roman" w:cs="Times New Roman"/>
        </w:rPr>
        <w:t>.</w:t>
      </w:r>
      <w:r>
        <w:rPr>
          <w:rFonts w:ascii="Times New Roman" w:hAnsi="Times New Roman" w:cs="Times New Roman"/>
        </w:rPr>
        <w:t xml:space="preserve"> </w:t>
      </w:r>
      <w:r w:rsidR="00EB1D52" w:rsidRPr="00675AD2">
        <w:rPr>
          <w:rFonts w:ascii="Times New Roman" w:hAnsi="Times New Roman" w:cs="Times New Roman"/>
        </w:rPr>
        <w:t xml:space="preserve"> </w:t>
      </w:r>
      <w:r w:rsidR="00667397" w:rsidRPr="00675AD2">
        <w:rPr>
          <w:rFonts w:ascii="Times New Roman" w:hAnsi="Times New Roman" w:cs="Times New Roman"/>
        </w:rPr>
        <w:t xml:space="preserve">If the Commission </w:t>
      </w:r>
      <w:r>
        <w:rPr>
          <w:rFonts w:ascii="Times New Roman" w:hAnsi="Times New Roman" w:cs="Times New Roman"/>
        </w:rPr>
        <w:t>approves</w:t>
      </w:r>
      <w:r w:rsidR="00667397" w:rsidRPr="00675AD2">
        <w:rPr>
          <w:rFonts w:ascii="Times New Roman" w:hAnsi="Times New Roman" w:cs="Times New Roman"/>
        </w:rPr>
        <w:t xml:space="preserve"> the increase in HELP funding</w:t>
      </w:r>
      <w:r>
        <w:rPr>
          <w:rFonts w:ascii="Times New Roman" w:hAnsi="Times New Roman" w:cs="Times New Roman"/>
        </w:rPr>
        <w:t>,</w:t>
      </w:r>
      <w:r w:rsidR="00667397" w:rsidRPr="00675AD2">
        <w:rPr>
          <w:rFonts w:ascii="Times New Roman" w:hAnsi="Times New Roman" w:cs="Times New Roman"/>
        </w:rPr>
        <w:t xml:space="preserve"> it will certainly provide assistance to </w:t>
      </w:r>
      <w:r>
        <w:rPr>
          <w:rFonts w:ascii="Times New Roman" w:hAnsi="Times New Roman" w:cs="Times New Roman"/>
        </w:rPr>
        <w:t>thousands of</w:t>
      </w:r>
      <w:r w:rsidR="00667397" w:rsidRPr="00675AD2">
        <w:rPr>
          <w:rFonts w:ascii="Times New Roman" w:hAnsi="Times New Roman" w:cs="Times New Roman"/>
        </w:rPr>
        <w:t xml:space="preserve"> customers who </w:t>
      </w:r>
      <w:r>
        <w:rPr>
          <w:rFonts w:ascii="Times New Roman" w:hAnsi="Times New Roman" w:cs="Times New Roman"/>
        </w:rPr>
        <w:t xml:space="preserve">otherwise would be </w:t>
      </w:r>
      <w:r w:rsidR="00667397" w:rsidRPr="00675AD2">
        <w:rPr>
          <w:rFonts w:ascii="Times New Roman" w:hAnsi="Times New Roman" w:cs="Times New Roman"/>
        </w:rPr>
        <w:t>disconnected from utility service or threatened with disconnection</w:t>
      </w:r>
      <w:r w:rsidR="00C22419">
        <w:rPr>
          <w:rFonts w:ascii="Times New Roman" w:hAnsi="Times New Roman" w:cs="Times New Roman"/>
        </w:rPr>
        <w:t xml:space="preserve">.  Given </w:t>
      </w:r>
      <w:r w:rsidR="00D12FC5" w:rsidRPr="00675AD2">
        <w:rPr>
          <w:rFonts w:ascii="Times New Roman" w:hAnsi="Times New Roman" w:cs="Times New Roman"/>
        </w:rPr>
        <w:t>that about 20% of PSE’s customers are below the federal poverty level</w:t>
      </w:r>
      <w:r w:rsidR="00C22419">
        <w:rPr>
          <w:rFonts w:ascii="Times New Roman" w:hAnsi="Times New Roman" w:cs="Times New Roman"/>
        </w:rPr>
        <w:t>, the need is pressing</w:t>
      </w:r>
      <w:r w:rsidR="00D12FC5" w:rsidRPr="00675AD2">
        <w:rPr>
          <w:rFonts w:ascii="Times New Roman" w:hAnsi="Times New Roman" w:cs="Times New Roman"/>
        </w:rPr>
        <w:t xml:space="preserve">. </w:t>
      </w:r>
    </w:p>
    <w:p w:rsidR="00EF3FBB" w:rsidRPr="00483A55" w:rsidRDefault="00EF3FBB" w:rsidP="00483A55">
      <w:pPr>
        <w:pStyle w:val="ListParagraph"/>
        <w:numPr>
          <w:ilvl w:val="0"/>
          <w:numId w:val="2"/>
        </w:numPr>
        <w:rPr>
          <w:rFonts w:ascii="Times New Roman" w:hAnsi="Times New Roman" w:cs="Times New Roman"/>
          <w:b/>
        </w:rPr>
      </w:pPr>
      <w:r w:rsidRPr="00483A55">
        <w:rPr>
          <w:rFonts w:ascii="Times New Roman" w:hAnsi="Times New Roman" w:cs="Times New Roman"/>
          <w:b/>
        </w:rPr>
        <w:t xml:space="preserve">Timing for Increased HELP Funding  </w:t>
      </w:r>
    </w:p>
    <w:p w:rsidR="00483A55" w:rsidRPr="00675AD2" w:rsidRDefault="00EF3FBB" w:rsidP="00483A55">
      <w:pPr>
        <w:spacing w:after="0" w:line="480" w:lineRule="auto"/>
        <w:ind w:firstLine="720"/>
        <w:rPr>
          <w:rFonts w:ascii="Times New Roman" w:hAnsi="Times New Roman" w:cs="Times New Roman"/>
        </w:rPr>
      </w:pPr>
      <w:r w:rsidRPr="00675AD2">
        <w:rPr>
          <w:rFonts w:ascii="Times New Roman" w:hAnsi="Times New Roman" w:cs="Times New Roman"/>
        </w:rPr>
        <w:t>The Energy Project believes that when new rates go into effect then an increase in rate assistance funding should also go be available. PSE suggest</w:t>
      </w:r>
      <w:r>
        <w:rPr>
          <w:rFonts w:ascii="Times New Roman" w:hAnsi="Times New Roman" w:cs="Times New Roman"/>
        </w:rPr>
        <w:t>s</w:t>
      </w:r>
      <w:r w:rsidRPr="00675AD2">
        <w:rPr>
          <w:rFonts w:ascii="Times New Roman" w:hAnsi="Times New Roman" w:cs="Times New Roman"/>
        </w:rPr>
        <w:t xml:space="preserve"> </w:t>
      </w:r>
      <w:r>
        <w:rPr>
          <w:rFonts w:ascii="Times New Roman" w:hAnsi="Times New Roman" w:cs="Times New Roman"/>
        </w:rPr>
        <w:t xml:space="preserve">delaying </w:t>
      </w:r>
      <w:r w:rsidRPr="00675AD2">
        <w:rPr>
          <w:rFonts w:ascii="Times New Roman" w:hAnsi="Times New Roman" w:cs="Times New Roman"/>
        </w:rPr>
        <w:t xml:space="preserve">the increase in HELP funding regardless of the effective date of the rate increase </w:t>
      </w:r>
      <w:r>
        <w:rPr>
          <w:rFonts w:ascii="Times New Roman" w:hAnsi="Times New Roman" w:cs="Times New Roman"/>
        </w:rPr>
        <w:t xml:space="preserve">until </w:t>
      </w:r>
      <w:r w:rsidRPr="00675AD2">
        <w:rPr>
          <w:rFonts w:ascii="Times New Roman" w:hAnsi="Times New Roman" w:cs="Times New Roman"/>
        </w:rPr>
        <w:t>August 31</w:t>
      </w:r>
      <w:r>
        <w:rPr>
          <w:rFonts w:ascii="Times New Roman" w:hAnsi="Times New Roman" w:cs="Times New Roman"/>
        </w:rPr>
        <w:t>, 2013,</w:t>
      </w:r>
      <w:r w:rsidRPr="00675AD2">
        <w:rPr>
          <w:rFonts w:ascii="Times New Roman" w:hAnsi="Times New Roman" w:cs="Times New Roman"/>
        </w:rPr>
        <w:t xml:space="preserve"> as part of the normal ongoing annual true –up compliance filing (Exhibit </w:t>
      </w:r>
      <w:r w:rsidR="0024690D" w:rsidRPr="0024690D">
        <w:rPr>
          <w:rFonts w:ascii="Times New Roman" w:hAnsi="Times New Roman" w:cs="Times New Roman"/>
        </w:rPr>
        <w:t>TAD-</w:t>
      </w:r>
      <w:r w:rsidRPr="0024690D">
        <w:rPr>
          <w:rFonts w:ascii="Times New Roman" w:hAnsi="Times New Roman" w:cs="Times New Roman"/>
        </w:rPr>
        <w:t>4T p.20</w:t>
      </w:r>
      <w:r w:rsidR="0024690D">
        <w:rPr>
          <w:rFonts w:ascii="Times New Roman" w:hAnsi="Times New Roman" w:cs="Times New Roman"/>
        </w:rPr>
        <w:t>:3-7</w:t>
      </w:r>
      <w:r w:rsidRPr="00675AD2">
        <w:rPr>
          <w:rFonts w:ascii="Times New Roman" w:hAnsi="Times New Roman" w:cs="Times New Roman"/>
        </w:rPr>
        <w:t xml:space="preserve">).  </w:t>
      </w:r>
      <w:r w:rsidR="0024690D">
        <w:rPr>
          <w:rFonts w:ascii="Times New Roman" w:hAnsi="Times New Roman" w:cs="Times New Roman"/>
        </w:rPr>
        <w:t xml:space="preserve">In other words, PSE’s </w:t>
      </w:r>
      <w:r>
        <w:rPr>
          <w:rFonts w:ascii="Times New Roman" w:hAnsi="Times New Roman" w:cs="Times New Roman"/>
        </w:rPr>
        <w:t xml:space="preserve">low income customers could have a 12-month lag between the time its rates increase, if it occurred in September and the true up in August of the following year.  There is no justification for this delay.  It could leave needy customers facing rate increases with no further assistance until the August 31.  </w:t>
      </w:r>
      <w:r w:rsidRPr="00675AD2">
        <w:rPr>
          <w:rFonts w:ascii="Times New Roman" w:hAnsi="Times New Roman" w:cs="Times New Roman"/>
        </w:rPr>
        <w:t>When ratepayers see their bill increase, as a result of a rate case, then available funding should be available to PSE’s customer for assistance with their bill. This is the approach that has been used with AVISTA and it should be used in a PSE rate case also</w:t>
      </w:r>
      <w:r w:rsidR="00483A55" w:rsidRPr="00675AD2">
        <w:rPr>
          <w:rFonts w:ascii="Times New Roman" w:hAnsi="Times New Roman" w:cs="Times New Roman"/>
        </w:rPr>
        <w:t xml:space="preserve">. </w:t>
      </w:r>
    </w:p>
    <w:p w:rsidR="00EF3FBB" w:rsidRPr="00675AD2" w:rsidRDefault="00EF3FBB" w:rsidP="00EF3FBB">
      <w:pPr>
        <w:ind w:left="360"/>
        <w:jc w:val="center"/>
        <w:rPr>
          <w:rFonts w:ascii="Times New Roman" w:hAnsi="Times New Roman" w:cs="Times New Roman"/>
          <w:b/>
        </w:rPr>
      </w:pPr>
      <w:proofErr w:type="gramStart"/>
      <w:r w:rsidRPr="00675AD2">
        <w:rPr>
          <w:rFonts w:ascii="Times New Roman" w:hAnsi="Times New Roman" w:cs="Times New Roman"/>
          <w:b/>
        </w:rPr>
        <w:t>I</w:t>
      </w:r>
      <w:r w:rsidR="00483A55">
        <w:rPr>
          <w:rFonts w:ascii="Times New Roman" w:hAnsi="Times New Roman" w:cs="Times New Roman"/>
          <w:b/>
        </w:rPr>
        <w:t>I</w:t>
      </w:r>
      <w:r w:rsidRPr="00675AD2">
        <w:rPr>
          <w:rFonts w:ascii="Times New Roman" w:hAnsi="Times New Roman" w:cs="Times New Roman"/>
          <w:b/>
        </w:rPr>
        <w:t>I.</w:t>
      </w:r>
      <w:proofErr w:type="gramEnd"/>
    </w:p>
    <w:p w:rsidR="00EF3FBB" w:rsidRDefault="00483A55" w:rsidP="00EF3FBB">
      <w:pPr>
        <w:ind w:left="360"/>
        <w:rPr>
          <w:rFonts w:ascii="Times New Roman" w:hAnsi="Times New Roman" w:cs="Times New Roman"/>
        </w:rPr>
      </w:pPr>
      <w:r>
        <w:rPr>
          <w:rFonts w:ascii="Times New Roman" w:hAnsi="Times New Roman" w:cs="Times New Roman"/>
          <w:b/>
        </w:rPr>
        <w:t xml:space="preserve">It Is Appropriate for the Commission </w:t>
      </w:r>
      <w:proofErr w:type="gramStart"/>
      <w:r>
        <w:rPr>
          <w:rFonts w:ascii="Times New Roman" w:hAnsi="Times New Roman" w:cs="Times New Roman"/>
          <w:b/>
        </w:rPr>
        <w:t>To</w:t>
      </w:r>
      <w:proofErr w:type="gramEnd"/>
      <w:r>
        <w:rPr>
          <w:rFonts w:ascii="Times New Roman" w:hAnsi="Times New Roman" w:cs="Times New Roman"/>
          <w:b/>
        </w:rPr>
        <w:t xml:space="preserve"> Exercise its Authority To Fund Low income Rate Assistance</w:t>
      </w:r>
      <w:r w:rsidR="00EF3FBB" w:rsidRPr="00675AD2">
        <w:rPr>
          <w:rFonts w:ascii="Times New Roman" w:hAnsi="Times New Roman" w:cs="Times New Roman"/>
        </w:rPr>
        <w:t>.</w:t>
      </w:r>
    </w:p>
    <w:p w:rsidR="00483A55" w:rsidRPr="00550B00" w:rsidRDefault="002D157D" w:rsidP="00483A55">
      <w:pPr>
        <w:spacing w:after="0" w:line="480" w:lineRule="auto"/>
        <w:ind w:firstLine="720"/>
        <w:rPr>
          <w:rFonts w:ascii="Times New Roman" w:hAnsi="Times New Roman" w:cs="Times New Roman"/>
        </w:rPr>
      </w:pPr>
      <w:r w:rsidRPr="00675AD2">
        <w:rPr>
          <w:rFonts w:ascii="Times New Roman" w:hAnsi="Times New Roman" w:cs="Times New Roman"/>
        </w:rPr>
        <w:t xml:space="preserve">In </w:t>
      </w:r>
      <w:r>
        <w:rPr>
          <w:rFonts w:ascii="Times New Roman" w:hAnsi="Times New Roman" w:cs="Times New Roman"/>
        </w:rPr>
        <w:t>1999</w:t>
      </w:r>
      <w:r w:rsidR="00BE67DD">
        <w:rPr>
          <w:rFonts w:ascii="Times New Roman" w:hAnsi="Times New Roman" w:cs="Times New Roman"/>
        </w:rPr>
        <w:t>, the</w:t>
      </w:r>
      <w:r>
        <w:rPr>
          <w:rFonts w:ascii="Times New Roman" w:hAnsi="Times New Roman" w:cs="Times New Roman"/>
        </w:rPr>
        <w:t xml:space="preserve"> </w:t>
      </w:r>
      <w:r w:rsidR="00E828BA" w:rsidRPr="00675AD2">
        <w:rPr>
          <w:rFonts w:ascii="Times New Roman" w:hAnsi="Times New Roman" w:cs="Times New Roman"/>
        </w:rPr>
        <w:t>Washington</w:t>
      </w:r>
      <w:r w:rsidR="00BE67DD">
        <w:rPr>
          <w:rFonts w:ascii="Times New Roman" w:hAnsi="Times New Roman" w:cs="Times New Roman"/>
        </w:rPr>
        <w:t xml:space="preserve"> L</w:t>
      </w:r>
      <w:r w:rsidR="00550B00">
        <w:rPr>
          <w:rFonts w:ascii="Times New Roman" w:hAnsi="Times New Roman" w:cs="Times New Roman"/>
        </w:rPr>
        <w:t xml:space="preserve">egislature adopted legislation that </w:t>
      </w:r>
      <w:r w:rsidR="00550B00" w:rsidRPr="00675AD2">
        <w:rPr>
          <w:rFonts w:ascii="Times New Roman" w:hAnsi="Times New Roman" w:cs="Times New Roman"/>
        </w:rPr>
        <w:t>expressly</w:t>
      </w:r>
      <w:r w:rsidR="00C22419">
        <w:rPr>
          <w:rFonts w:ascii="Times New Roman" w:hAnsi="Times New Roman" w:cs="Times New Roman"/>
        </w:rPr>
        <w:t xml:space="preserve"> authorizes the Commission, upon the request of</w:t>
      </w:r>
      <w:r w:rsidR="00550B00">
        <w:rPr>
          <w:rFonts w:ascii="Times New Roman" w:hAnsi="Times New Roman" w:cs="Times New Roman"/>
        </w:rPr>
        <w:t xml:space="preserve"> an electric or </w:t>
      </w:r>
      <w:proofErr w:type="gramStart"/>
      <w:r w:rsidR="00550B00">
        <w:rPr>
          <w:rFonts w:ascii="Times New Roman" w:hAnsi="Times New Roman" w:cs="Times New Roman"/>
        </w:rPr>
        <w:t>gas company</w:t>
      </w:r>
      <w:proofErr w:type="gramEnd"/>
      <w:r w:rsidR="00550B00">
        <w:rPr>
          <w:rFonts w:ascii="Times New Roman" w:hAnsi="Times New Roman" w:cs="Times New Roman"/>
        </w:rPr>
        <w:t xml:space="preserve">, </w:t>
      </w:r>
      <w:r>
        <w:rPr>
          <w:rFonts w:ascii="Times New Roman" w:hAnsi="Times New Roman" w:cs="Times New Roman"/>
        </w:rPr>
        <w:t>to approve rates at a discount</w:t>
      </w:r>
      <w:r w:rsidR="00C22419">
        <w:rPr>
          <w:rFonts w:ascii="Times New Roman" w:hAnsi="Times New Roman" w:cs="Times New Roman"/>
        </w:rPr>
        <w:t xml:space="preserve"> for low-income customers through increased charges to customers generally</w:t>
      </w:r>
      <w:r w:rsidR="007F47E4">
        <w:rPr>
          <w:rFonts w:ascii="Times New Roman" w:hAnsi="Times New Roman" w:cs="Times New Roman"/>
        </w:rPr>
        <w:t>.</w:t>
      </w:r>
      <w:r w:rsidR="00C22419">
        <w:rPr>
          <w:rFonts w:ascii="Times New Roman" w:hAnsi="Times New Roman" w:cs="Times New Roman"/>
        </w:rPr>
        <w:t xml:space="preserve"> </w:t>
      </w:r>
      <w:r w:rsidR="00550B00">
        <w:rPr>
          <w:rFonts w:ascii="Times New Roman" w:hAnsi="Times New Roman" w:cs="Times New Roman"/>
        </w:rPr>
        <w:t xml:space="preserve"> </w:t>
      </w:r>
      <w:proofErr w:type="gramStart"/>
      <w:r w:rsidR="00550B00" w:rsidRPr="00550B00">
        <w:rPr>
          <w:rFonts w:ascii="Times New Roman" w:hAnsi="Times New Roman" w:cs="Times New Roman"/>
        </w:rPr>
        <w:t>Laws 1999 c 62 § 1</w:t>
      </w:r>
      <w:r w:rsidR="00550B00">
        <w:rPr>
          <w:rFonts w:ascii="Times New Roman" w:hAnsi="Times New Roman" w:cs="Times New Roman"/>
        </w:rPr>
        <w:t>.</w:t>
      </w:r>
      <w:proofErr w:type="gramEnd"/>
    </w:p>
    <w:p w:rsidR="00483A55" w:rsidRPr="00675AD2" w:rsidRDefault="00DF172B" w:rsidP="00483A55">
      <w:pPr>
        <w:spacing w:after="0" w:line="480" w:lineRule="auto"/>
        <w:ind w:firstLine="720"/>
        <w:rPr>
          <w:rFonts w:ascii="Times New Roman" w:hAnsi="Times New Roman" w:cs="Times New Roman"/>
        </w:rPr>
      </w:pPr>
      <w:r>
        <w:rPr>
          <w:rFonts w:ascii="Times New Roman" w:hAnsi="Times New Roman" w:cs="Times New Roman"/>
        </w:rPr>
        <w:t>Recent</w:t>
      </w:r>
      <w:r w:rsidR="00C44330">
        <w:rPr>
          <w:rFonts w:ascii="Times New Roman" w:hAnsi="Times New Roman" w:cs="Times New Roman"/>
        </w:rPr>
        <w:t xml:space="preserve"> legislative activity </w:t>
      </w:r>
      <w:r>
        <w:rPr>
          <w:rFonts w:ascii="Times New Roman" w:hAnsi="Times New Roman" w:cs="Times New Roman"/>
        </w:rPr>
        <w:t>demonstrates</w:t>
      </w:r>
      <w:r w:rsidR="00C44330">
        <w:rPr>
          <w:rFonts w:ascii="Times New Roman" w:hAnsi="Times New Roman" w:cs="Times New Roman"/>
        </w:rPr>
        <w:t xml:space="preserve"> a legislative intent that the Commission should exercise its authority</w:t>
      </w:r>
      <w:r>
        <w:rPr>
          <w:rFonts w:ascii="Times New Roman" w:hAnsi="Times New Roman" w:cs="Times New Roman"/>
        </w:rPr>
        <w:t xml:space="preserve"> to provide rate relief as circumstances warrant</w:t>
      </w:r>
      <w:r w:rsidR="00C44330">
        <w:rPr>
          <w:rFonts w:ascii="Times New Roman" w:hAnsi="Times New Roman" w:cs="Times New Roman"/>
        </w:rPr>
        <w:t xml:space="preserve">.  The 2009 Legislature enacted a bill that </w:t>
      </w:r>
      <w:r w:rsidR="00C44330">
        <w:rPr>
          <w:rFonts w:ascii="Times New Roman" w:hAnsi="Times New Roman" w:cs="Times New Roman"/>
        </w:rPr>
        <w:lastRenderedPageBreak/>
        <w:t>expanded the circumstances under which the Commission could pr</w:t>
      </w:r>
      <w:r w:rsidR="007F47E4">
        <w:rPr>
          <w:rFonts w:ascii="Times New Roman" w:hAnsi="Times New Roman" w:cs="Times New Roman"/>
        </w:rPr>
        <w:t>ovide rate relief.  Laws 2009, C</w:t>
      </w:r>
      <w:r w:rsidR="00C44330">
        <w:rPr>
          <w:rFonts w:ascii="Times New Roman" w:hAnsi="Times New Roman" w:cs="Times New Roman"/>
        </w:rPr>
        <w:t>h</w:t>
      </w:r>
      <w:r w:rsidR="007F47E4">
        <w:rPr>
          <w:rFonts w:ascii="Times New Roman" w:hAnsi="Times New Roman" w:cs="Times New Roman"/>
        </w:rPr>
        <w:t>.</w:t>
      </w:r>
      <w:r w:rsidR="00C44330">
        <w:rPr>
          <w:rFonts w:ascii="Times New Roman" w:hAnsi="Times New Roman" w:cs="Times New Roman"/>
        </w:rPr>
        <w:t xml:space="preserve"> 32, Sec. 1 (codified at RCW 80.28.068).  Prior to 2009, only the company could ask the Commission to approve a rate relief program.  With the 2009 amendment, any party to a rate case – such as The Energy Project – may request a rate relief program.  This signals the Legislature’s intent that rate relief programs be more broadly available.  Several parties testified in support of the amendment in the</w:t>
      </w:r>
      <w:r w:rsidR="00712231" w:rsidRPr="00675AD2">
        <w:rPr>
          <w:rFonts w:ascii="Times New Roman" w:hAnsi="Times New Roman" w:cs="Times New Roman"/>
        </w:rPr>
        <w:t xml:space="preserve"> House </w:t>
      </w:r>
      <w:r w:rsidR="00C44330">
        <w:rPr>
          <w:rFonts w:ascii="Times New Roman" w:hAnsi="Times New Roman" w:cs="Times New Roman"/>
        </w:rPr>
        <w:t xml:space="preserve">and </w:t>
      </w:r>
      <w:r w:rsidR="00712231" w:rsidRPr="00675AD2">
        <w:rPr>
          <w:rFonts w:ascii="Times New Roman" w:hAnsi="Times New Roman" w:cs="Times New Roman"/>
        </w:rPr>
        <w:t>Senate</w:t>
      </w:r>
      <w:r w:rsidR="00C44330">
        <w:rPr>
          <w:rFonts w:ascii="Times New Roman" w:hAnsi="Times New Roman" w:cs="Times New Roman"/>
        </w:rPr>
        <w:t xml:space="preserve">: </w:t>
      </w:r>
      <w:r w:rsidR="00712231" w:rsidRPr="00675AD2">
        <w:rPr>
          <w:rFonts w:ascii="Times New Roman" w:hAnsi="Times New Roman" w:cs="Times New Roman"/>
        </w:rPr>
        <w:t xml:space="preserve"> Dave Danner and Pat Oshie </w:t>
      </w:r>
      <w:r>
        <w:rPr>
          <w:rFonts w:ascii="Times New Roman" w:hAnsi="Times New Roman" w:cs="Times New Roman"/>
        </w:rPr>
        <w:t>on behalf of the Commission;</w:t>
      </w:r>
      <w:r w:rsidR="00712231" w:rsidRPr="00675AD2">
        <w:rPr>
          <w:rFonts w:ascii="Times New Roman" w:hAnsi="Times New Roman" w:cs="Times New Roman"/>
        </w:rPr>
        <w:t xml:space="preserve"> Chuck Eberdt </w:t>
      </w:r>
      <w:r>
        <w:rPr>
          <w:rFonts w:ascii="Times New Roman" w:hAnsi="Times New Roman" w:cs="Times New Roman"/>
        </w:rPr>
        <w:t>for</w:t>
      </w:r>
      <w:r w:rsidR="00712231" w:rsidRPr="00675AD2">
        <w:rPr>
          <w:rFonts w:ascii="Times New Roman" w:hAnsi="Times New Roman" w:cs="Times New Roman"/>
        </w:rPr>
        <w:t xml:space="preserve"> The Energy Project</w:t>
      </w:r>
      <w:r>
        <w:rPr>
          <w:rFonts w:ascii="Times New Roman" w:hAnsi="Times New Roman" w:cs="Times New Roman"/>
        </w:rPr>
        <w:t>;</w:t>
      </w:r>
      <w:r w:rsidR="00712231" w:rsidRPr="00675AD2">
        <w:rPr>
          <w:rFonts w:ascii="Times New Roman" w:hAnsi="Times New Roman" w:cs="Times New Roman"/>
        </w:rPr>
        <w:t xml:space="preserve"> and Seth Dawson </w:t>
      </w:r>
      <w:r>
        <w:rPr>
          <w:rFonts w:ascii="Times New Roman" w:hAnsi="Times New Roman" w:cs="Times New Roman"/>
        </w:rPr>
        <w:t>for</w:t>
      </w:r>
      <w:r w:rsidR="00712231" w:rsidRPr="00675AD2">
        <w:rPr>
          <w:rFonts w:ascii="Times New Roman" w:hAnsi="Times New Roman" w:cs="Times New Roman"/>
        </w:rPr>
        <w:t xml:space="preserve"> the Washington State Association for Community Action</w:t>
      </w:r>
      <w:r>
        <w:rPr>
          <w:rFonts w:ascii="Times New Roman" w:hAnsi="Times New Roman" w:cs="Times New Roman"/>
        </w:rPr>
        <w:t xml:space="preserve"> </w:t>
      </w:r>
      <w:r w:rsidRPr="00675AD2">
        <w:rPr>
          <w:rFonts w:ascii="Times New Roman" w:hAnsi="Times New Roman" w:cs="Times New Roman"/>
        </w:rPr>
        <w:t>House</w:t>
      </w:r>
      <w:r w:rsidRPr="00DF172B">
        <w:rPr>
          <w:rFonts w:ascii="Times New Roman" w:hAnsi="Times New Roman" w:cs="Times New Roman"/>
        </w:rPr>
        <w:t xml:space="preserve"> </w:t>
      </w:r>
      <w:r w:rsidRPr="00675AD2">
        <w:rPr>
          <w:rFonts w:ascii="Times New Roman" w:hAnsi="Times New Roman" w:cs="Times New Roman"/>
        </w:rPr>
        <w:t>Bill Report SSB 5290</w:t>
      </w:r>
      <w:r>
        <w:rPr>
          <w:rFonts w:ascii="Times New Roman" w:hAnsi="Times New Roman" w:cs="Times New Roman"/>
        </w:rPr>
        <w:t>; and Senate Bill Report SSB 5290</w:t>
      </w:r>
      <w:r w:rsidRPr="00675AD2">
        <w:rPr>
          <w:rFonts w:ascii="Times New Roman" w:hAnsi="Times New Roman" w:cs="Times New Roman"/>
        </w:rPr>
        <w:t>.</w:t>
      </w:r>
      <w:r>
        <w:rPr>
          <w:rFonts w:ascii="Times New Roman" w:hAnsi="Times New Roman" w:cs="Times New Roman"/>
        </w:rPr>
        <w:t xml:space="preserve">  No one testified in opposition to the bill and it passed unanimously in both houses.  </w:t>
      </w:r>
      <w:r>
        <w:rPr>
          <w:rFonts w:ascii="Times New Roman" w:hAnsi="Times New Roman" w:cs="Times New Roman"/>
          <w:i/>
        </w:rPr>
        <w:t>Id.</w:t>
      </w:r>
      <w:r>
        <w:t xml:space="preserve">  </w:t>
      </w:r>
    </w:p>
    <w:p w:rsidR="00483A55" w:rsidRDefault="009376D5" w:rsidP="00483A55">
      <w:pPr>
        <w:spacing w:after="0" w:line="480" w:lineRule="auto"/>
        <w:ind w:firstLine="720"/>
        <w:rPr>
          <w:rFonts w:ascii="Times New Roman" w:hAnsi="Times New Roman" w:cs="Times New Roman"/>
        </w:rPr>
      </w:pPr>
      <w:r>
        <w:rPr>
          <w:rFonts w:ascii="Times New Roman" w:hAnsi="Times New Roman" w:cs="Times New Roman"/>
        </w:rPr>
        <w:t xml:space="preserve">The Commission was created by statute and is tasked with carrying out the Legislature’s intent with regard to rate-making policies.  As evidenced by RCW 80.28.068, one of those policies is that the Commission should provide for the funding of low income assistance programs through generally applicable rates and charges.  </w:t>
      </w:r>
      <w:r w:rsidR="00701CD8">
        <w:rPr>
          <w:rFonts w:ascii="Times New Roman" w:hAnsi="Times New Roman" w:cs="Times New Roman"/>
        </w:rPr>
        <w:t xml:space="preserve">There would be no need for the statute unless the Legislature wanted the Commission to create assistance programs.  Of course the statute gives the Commission </w:t>
      </w:r>
      <w:r w:rsidR="00550B00">
        <w:rPr>
          <w:rFonts w:ascii="Times New Roman" w:hAnsi="Times New Roman" w:cs="Times New Roman"/>
        </w:rPr>
        <w:t xml:space="preserve">the authority </w:t>
      </w:r>
      <w:r w:rsidR="00701CD8">
        <w:rPr>
          <w:rFonts w:ascii="Times New Roman" w:hAnsi="Times New Roman" w:cs="Times New Roman"/>
        </w:rPr>
        <w:t>to determine on a case-by-case basis when an assistance program is needed and how programs should be established.</w:t>
      </w:r>
      <w:r w:rsidR="00483A55" w:rsidRPr="00483A55">
        <w:rPr>
          <w:rFonts w:ascii="Times New Roman" w:hAnsi="Times New Roman" w:cs="Times New Roman"/>
        </w:rPr>
        <w:t xml:space="preserve"> </w:t>
      </w:r>
      <w:r w:rsidR="00550B00">
        <w:rPr>
          <w:rFonts w:ascii="Times New Roman" w:hAnsi="Times New Roman" w:cs="Times New Roman"/>
        </w:rPr>
        <w:t xml:space="preserve">  This includes a determination of how programs should be funded and the amount of funding.</w:t>
      </w:r>
    </w:p>
    <w:p w:rsidR="00483A55" w:rsidRPr="00675AD2" w:rsidRDefault="007F47E4" w:rsidP="00A22F31">
      <w:pPr>
        <w:spacing w:after="0" w:line="480" w:lineRule="auto"/>
        <w:ind w:firstLine="720"/>
        <w:rPr>
          <w:rFonts w:ascii="Times New Roman" w:hAnsi="Times New Roman" w:cs="Times New Roman"/>
        </w:rPr>
      </w:pPr>
      <w:r>
        <w:rPr>
          <w:rFonts w:ascii="Times New Roman" w:hAnsi="Times New Roman" w:cs="Times New Roman"/>
        </w:rPr>
        <w:t>Here, The Energy Project is a party to the rate case.  By providing bill-paying assistance, HELP provides low-income customers with charges and services at a discount. Consistent with the statutory intent, the revenue decrease if any that results from increased HELP funding would be recovered through a very modest increase in charges to other customers.  Thus approval of The Energy Project’s request falls squarely within the Commission’s statutory authority.</w:t>
      </w:r>
      <w:r w:rsidR="00483A55" w:rsidRPr="00483A55">
        <w:rPr>
          <w:rFonts w:ascii="Times New Roman" w:hAnsi="Times New Roman" w:cs="Times New Roman"/>
        </w:rPr>
        <w:t xml:space="preserve"> </w:t>
      </w:r>
    </w:p>
    <w:p w:rsidR="0024690D" w:rsidRDefault="00DF172B" w:rsidP="004F1ED1">
      <w:pPr>
        <w:spacing w:after="0" w:line="480" w:lineRule="auto"/>
        <w:ind w:firstLine="720"/>
        <w:rPr>
          <w:rFonts w:ascii="Times New Roman" w:hAnsi="Times New Roman" w:cs="Times New Roman"/>
        </w:rPr>
      </w:pPr>
      <w:r>
        <w:rPr>
          <w:rFonts w:ascii="Times New Roman" w:hAnsi="Times New Roman" w:cs="Times New Roman"/>
        </w:rPr>
        <w:t xml:space="preserve">This case surely presents circumstances that warrant increased relief for low-income customers.  The need for assistance is being driven up by increases in the number of customers below the poverty level and by increases in bills.   At the same time, other available sources of assistance are shrinking with cuts to the LIHEAP program.  </w:t>
      </w:r>
    </w:p>
    <w:p w:rsidR="004F1ED1" w:rsidRDefault="004F1ED1" w:rsidP="004F1ED1">
      <w:pPr>
        <w:spacing w:after="0" w:line="480" w:lineRule="auto"/>
        <w:ind w:firstLine="720"/>
        <w:rPr>
          <w:rFonts w:ascii="Times New Roman" w:hAnsi="Times New Roman" w:cs="Times New Roman"/>
        </w:rPr>
      </w:pPr>
      <w:r>
        <w:rPr>
          <w:rFonts w:ascii="Times New Roman" w:hAnsi="Times New Roman" w:cs="Times New Roman"/>
        </w:rPr>
        <w:lastRenderedPageBreak/>
        <w:t>Electricity is a necessity for a safe and healthy household.  To lose electricity</w:t>
      </w:r>
      <w:r w:rsidR="0045187A">
        <w:rPr>
          <w:rFonts w:ascii="Times New Roman" w:hAnsi="Times New Roman" w:cs="Times New Roman"/>
        </w:rPr>
        <w:t xml:space="preserve"> </w:t>
      </w:r>
      <w:r>
        <w:rPr>
          <w:rFonts w:ascii="Times New Roman" w:hAnsi="Times New Roman" w:cs="Times New Roman"/>
        </w:rPr>
        <w:t>at a residence means to lose light and heat for a home as well as internet access and with that, the disruption of connections with schools, health-care providers and other community resources.  Electricity</w:t>
      </w:r>
      <w:r w:rsidR="0045187A">
        <w:rPr>
          <w:rFonts w:ascii="Times New Roman" w:hAnsi="Times New Roman" w:cs="Times New Roman"/>
        </w:rPr>
        <w:t xml:space="preserve"> and gas heat</w:t>
      </w:r>
      <w:r>
        <w:rPr>
          <w:rFonts w:ascii="Times New Roman" w:hAnsi="Times New Roman" w:cs="Times New Roman"/>
        </w:rPr>
        <w:t xml:space="preserve"> </w:t>
      </w:r>
      <w:r w:rsidR="0045187A">
        <w:rPr>
          <w:rFonts w:ascii="Times New Roman" w:hAnsi="Times New Roman" w:cs="Times New Roman"/>
        </w:rPr>
        <w:t>are</w:t>
      </w:r>
      <w:r>
        <w:rPr>
          <w:rFonts w:ascii="Times New Roman" w:hAnsi="Times New Roman" w:cs="Times New Roman"/>
        </w:rPr>
        <w:t xml:space="preserve"> a necessity that many Washingtonians cannot afford. </w:t>
      </w:r>
      <w:r w:rsidR="0024690D">
        <w:rPr>
          <w:rFonts w:ascii="Times New Roman" w:hAnsi="Times New Roman" w:cs="Times New Roman"/>
        </w:rPr>
        <w:t xml:space="preserve"> About 20 percent of </w:t>
      </w:r>
      <w:r>
        <w:rPr>
          <w:rFonts w:ascii="Times New Roman" w:hAnsi="Times New Roman" w:cs="Times New Roman"/>
        </w:rPr>
        <w:t>PSE</w:t>
      </w:r>
      <w:r w:rsidR="0024690D">
        <w:rPr>
          <w:rFonts w:ascii="Times New Roman" w:hAnsi="Times New Roman" w:cs="Times New Roman"/>
        </w:rPr>
        <w:t>’s</w:t>
      </w:r>
      <w:r>
        <w:rPr>
          <w:rFonts w:ascii="Times New Roman" w:hAnsi="Times New Roman" w:cs="Times New Roman"/>
        </w:rPr>
        <w:t xml:space="preserve"> residential customers </w:t>
      </w:r>
      <w:r w:rsidR="0024690D">
        <w:rPr>
          <w:rFonts w:ascii="Times New Roman" w:hAnsi="Times New Roman" w:cs="Times New Roman"/>
        </w:rPr>
        <w:t xml:space="preserve">live </w:t>
      </w:r>
      <w:r w:rsidR="00355CD0">
        <w:rPr>
          <w:rFonts w:ascii="Times New Roman" w:hAnsi="Times New Roman" w:cs="Times New Roman"/>
        </w:rPr>
        <w:t>below</w:t>
      </w:r>
      <w:r>
        <w:rPr>
          <w:rFonts w:ascii="Times New Roman" w:hAnsi="Times New Roman" w:cs="Times New Roman"/>
        </w:rPr>
        <w:t xml:space="preserve"> the federal poverty level.</w:t>
      </w:r>
    </w:p>
    <w:p w:rsidR="001D46CE" w:rsidRDefault="004F1ED1" w:rsidP="0024690D">
      <w:pPr>
        <w:spacing w:after="0" w:line="480" w:lineRule="auto"/>
        <w:ind w:firstLine="720"/>
        <w:rPr>
          <w:rFonts w:ascii="Times New Roman" w:hAnsi="Times New Roman" w:cs="Times New Roman"/>
        </w:rPr>
      </w:pPr>
      <w:r>
        <w:rPr>
          <w:rFonts w:ascii="Times New Roman" w:hAnsi="Times New Roman" w:cs="Times New Roman"/>
        </w:rPr>
        <w:t xml:space="preserve">The </w:t>
      </w:r>
      <w:r w:rsidR="00BB5DD2">
        <w:rPr>
          <w:rFonts w:ascii="Times New Roman" w:hAnsi="Times New Roman" w:cs="Times New Roman"/>
        </w:rPr>
        <w:t>Commission’s role</w:t>
      </w:r>
      <w:r>
        <w:rPr>
          <w:rFonts w:ascii="Times New Roman" w:hAnsi="Times New Roman" w:cs="Times New Roman"/>
        </w:rPr>
        <w:t xml:space="preserve"> is to regulate in the public interest</w:t>
      </w:r>
      <w:r w:rsidR="0024690D">
        <w:rPr>
          <w:rFonts w:ascii="Times New Roman" w:hAnsi="Times New Roman" w:cs="Times New Roman"/>
        </w:rPr>
        <w:t>;</w:t>
      </w:r>
      <w:r w:rsidR="0045187A">
        <w:rPr>
          <w:rFonts w:ascii="Times New Roman" w:hAnsi="Times New Roman" w:cs="Times New Roman"/>
        </w:rPr>
        <w:t xml:space="preserve"> all charges </w:t>
      </w:r>
      <w:r w:rsidR="00D87A74">
        <w:rPr>
          <w:rFonts w:ascii="Times New Roman" w:hAnsi="Times New Roman" w:cs="Times New Roman"/>
        </w:rPr>
        <w:t xml:space="preserve">must </w:t>
      </w:r>
      <w:r w:rsidR="0045187A">
        <w:rPr>
          <w:rFonts w:ascii="Times New Roman" w:hAnsi="Times New Roman" w:cs="Times New Roman"/>
        </w:rPr>
        <w:t>be just, fair, reasonable and sufficient</w:t>
      </w:r>
      <w:r w:rsidR="0024690D">
        <w:rPr>
          <w:rFonts w:ascii="Times New Roman" w:hAnsi="Times New Roman" w:cs="Times New Roman"/>
        </w:rPr>
        <w:t xml:space="preserve">. </w:t>
      </w:r>
      <w:r w:rsidR="0045187A">
        <w:rPr>
          <w:rFonts w:ascii="Times New Roman" w:hAnsi="Times New Roman" w:cs="Times New Roman"/>
        </w:rPr>
        <w:t xml:space="preserve"> </w:t>
      </w:r>
      <w:proofErr w:type="gramStart"/>
      <w:r w:rsidR="0045187A">
        <w:rPr>
          <w:rFonts w:ascii="Times New Roman" w:hAnsi="Times New Roman" w:cs="Times New Roman"/>
        </w:rPr>
        <w:t>RCW 80</w:t>
      </w:r>
      <w:r w:rsidR="0024690D">
        <w:rPr>
          <w:rFonts w:ascii="Times New Roman" w:hAnsi="Times New Roman" w:cs="Times New Roman"/>
        </w:rPr>
        <w:t xml:space="preserve">.01.040 </w:t>
      </w:r>
      <w:r>
        <w:rPr>
          <w:rFonts w:ascii="Times New Roman" w:hAnsi="Times New Roman" w:cs="Times New Roman"/>
        </w:rPr>
        <w:t xml:space="preserve">and </w:t>
      </w:r>
      <w:r w:rsidR="0045187A">
        <w:rPr>
          <w:rFonts w:ascii="Times New Roman" w:hAnsi="Times New Roman" w:cs="Times New Roman"/>
        </w:rPr>
        <w:t>RCW 80.28.010.</w:t>
      </w:r>
      <w:proofErr w:type="gramEnd"/>
      <w:r w:rsidR="0045187A">
        <w:rPr>
          <w:rFonts w:ascii="Times New Roman" w:hAnsi="Times New Roman" w:cs="Times New Roman"/>
        </w:rPr>
        <w:t xml:space="preserve"> </w:t>
      </w:r>
      <w:r w:rsidR="00D87A74">
        <w:rPr>
          <w:rFonts w:ascii="Times New Roman" w:hAnsi="Times New Roman" w:cs="Times New Roman"/>
        </w:rPr>
        <w:t xml:space="preserve"> </w:t>
      </w:r>
      <w:r>
        <w:rPr>
          <w:rFonts w:ascii="Times New Roman" w:hAnsi="Times New Roman" w:cs="Times New Roman"/>
        </w:rPr>
        <w:t xml:space="preserve">The </w:t>
      </w:r>
      <w:r w:rsidR="00BB5DD2">
        <w:rPr>
          <w:rFonts w:ascii="Times New Roman" w:hAnsi="Times New Roman" w:cs="Times New Roman"/>
        </w:rPr>
        <w:t>Energy Project</w:t>
      </w:r>
      <w:r>
        <w:rPr>
          <w:rFonts w:ascii="Times New Roman" w:hAnsi="Times New Roman" w:cs="Times New Roman"/>
        </w:rPr>
        <w:t xml:space="preserve"> believes that </w:t>
      </w:r>
      <w:r w:rsidR="00D87A74">
        <w:rPr>
          <w:rFonts w:ascii="Times New Roman" w:hAnsi="Times New Roman" w:cs="Times New Roman"/>
        </w:rPr>
        <w:t xml:space="preserve">the Commission’s authority to regulate in the public interest would extend to addressing the needs of </w:t>
      </w:r>
      <w:r>
        <w:rPr>
          <w:rFonts w:ascii="Times New Roman" w:hAnsi="Times New Roman" w:cs="Times New Roman"/>
        </w:rPr>
        <w:t xml:space="preserve">low </w:t>
      </w:r>
      <w:r w:rsidR="00BB5DD2">
        <w:rPr>
          <w:rFonts w:ascii="Times New Roman" w:hAnsi="Times New Roman" w:cs="Times New Roman"/>
        </w:rPr>
        <w:t>income residential</w:t>
      </w:r>
      <w:r>
        <w:rPr>
          <w:rFonts w:ascii="Times New Roman" w:hAnsi="Times New Roman" w:cs="Times New Roman"/>
        </w:rPr>
        <w:t xml:space="preserve"> </w:t>
      </w:r>
      <w:r w:rsidR="00BB5DD2">
        <w:rPr>
          <w:rFonts w:ascii="Times New Roman" w:hAnsi="Times New Roman" w:cs="Times New Roman"/>
        </w:rPr>
        <w:t>customers</w:t>
      </w:r>
      <w:r>
        <w:rPr>
          <w:rFonts w:ascii="Times New Roman" w:hAnsi="Times New Roman" w:cs="Times New Roman"/>
        </w:rPr>
        <w:t xml:space="preserve"> </w:t>
      </w:r>
      <w:r w:rsidR="00D87A74">
        <w:rPr>
          <w:rFonts w:ascii="Times New Roman" w:hAnsi="Times New Roman" w:cs="Times New Roman"/>
        </w:rPr>
        <w:t xml:space="preserve">that are triggered by </w:t>
      </w:r>
      <w:r>
        <w:rPr>
          <w:rFonts w:ascii="Times New Roman" w:hAnsi="Times New Roman" w:cs="Times New Roman"/>
        </w:rPr>
        <w:t xml:space="preserve">yearly </w:t>
      </w:r>
      <w:r w:rsidR="00BB5DD2">
        <w:rPr>
          <w:rFonts w:ascii="Times New Roman" w:hAnsi="Times New Roman" w:cs="Times New Roman"/>
        </w:rPr>
        <w:t xml:space="preserve">rate </w:t>
      </w:r>
      <w:r w:rsidR="0045187A">
        <w:rPr>
          <w:rFonts w:ascii="Times New Roman" w:hAnsi="Times New Roman" w:cs="Times New Roman"/>
        </w:rPr>
        <w:t>increases</w:t>
      </w:r>
      <w:r w:rsidR="00D87A74">
        <w:rPr>
          <w:rFonts w:ascii="Times New Roman" w:hAnsi="Times New Roman" w:cs="Times New Roman"/>
        </w:rPr>
        <w:t xml:space="preserve">, even in the absence of the express statutory authority under RCW 80.28.068 to provide for low income rate assistance. </w:t>
      </w:r>
      <w:r w:rsidR="0045187A">
        <w:rPr>
          <w:rFonts w:ascii="Times New Roman" w:hAnsi="Times New Roman" w:cs="Times New Roman"/>
        </w:rPr>
        <w:t xml:space="preserve"> </w:t>
      </w:r>
      <w:r w:rsidR="00403EFC">
        <w:rPr>
          <w:rFonts w:ascii="Times New Roman" w:hAnsi="Times New Roman" w:cs="Times New Roman"/>
        </w:rPr>
        <w:t xml:space="preserve">For several reasons, it is in the public interest generally, as well as in the interest of low income customers, to provide low income rate assistance.  </w:t>
      </w:r>
      <w:r w:rsidR="00C423CB">
        <w:rPr>
          <w:rFonts w:ascii="Times New Roman" w:hAnsi="Times New Roman" w:cs="Times New Roman"/>
        </w:rPr>
        <w:t xml:space="preserve"> Utility</w:t>
      </w:r>
      <w:r>
        <w:rPr>
          <w:rFonts w:ascii="Times New Roman" w:hAnsi="Times New Roman" w:cs="Times New Roman"/>
        </w:rPr>
        <w:t xml:space="preserve"> bills that are more affordable are likely to result in higher bill payment thereby reducing some of the utility costs that would otherwise be incurred due to non-payment. Examples of </w:t>
      </w:r>
      <w:r w:rsidRPr="004F1ED1">
        <w:rPr>
          <w:rFonts w:ascii="Times New Roman" w:hAnsi="Times New Roman" w:cs="Times New Roman"/>
        </w:rPr>
        <w:t xml:space="preserve">utility costs that accrue when customers fall behind on their bills are (1) </w:t>
      </w:r>
      <w:r w:rsidR="00403EFC">
        <w:rPr>
          <w:rFonts w:ascii="Times New Roman" w:hAnsi="Times New Roman" w:cs="Times New Roman"/>
        </w:rPr>
        <w:t xml:space="preserve">costs of </w:t>
      </w:r>
      <w:r w:rsidRPr="004F1ED1">
        <w:rPr>
          <w:rFonts w:ascii="Times New Roman" w:hAnsi="Times New Roman" w:cs="Times New Roman"/>
        </w:rPr>
        <w:t>credit and collection</w:t>
      </w:r>
      <w:r>
        <w:rPr>
          <w:rFonts w:ascii="Times New Roman" w:hAnsi="Times New Roman" w:cs="Times New Roman"/>
        </w:rPr>
        <w:t xml:space="preserve"> activities, including sending shut-off notices, making personal contact with customers prior to disconnection of service, disconnecting and re-connecting service,</w:t>
      </w:r>
      <w:r w:rsidR="00A22F31">
        <w:rPr>
          <w:rFonts w:ascii="Times New Roman" w:hAnsi="Times New Roman" w:cs="Times New Roman"/>
        </w:rPr>
        <w:t xml:space="preserve"> </w:t>
      </w:r>
      <w:r>
        <w:rPr>
          <w:rFonts w:ascii="Times New Roman" w:hAnsi="Times New Roman" w:cs="Times New Roman"/>
        </w:rPr>
        <w:t xml:space="preserve">(2) bad debts write-offs and (3) working </w:t>
      </w:r>
      <w:r w:rsidR="00355CD0">
        <w:rPr>
          <w:rFonts w:ascii="Times New Roman" w:hAnsi="Times New Roman" w:cs="Times New Roman"/>
        </w:rPr>
        <w:t>capital</w:t>
      </w:r>
      <w:r>
        <w:rPr>
          <w:rFonts w:ascii="Times New Roman" w:hAnsi="Times New Roman" w:cs="Times New Roman"/>
        </w:rPr>
        <w:t xml:space="preserve"> expenses associated with the lag between the time service is rendered and late payment</w:t>
      </w:r>
      <w:r w:rsidR="0097441A">
        <w:rPr>
          <w:rFonts w:ascii="Times New Roman" w:hAnsi="Times New Roman" w:cs="Times New Roman"/>
        </w:rPr>
        <w:t xml:space="preserve"> (TR-787:10-21)</w:t>
      </w:r>
      <w:r w:rsidR="00355CD0">
        <w:rPr>
          <w:rFonts w:ascii="Times New Roman" w:hAnsi="Times New Roman" w:cs="Times New Roman"/>
        </w:rPr>
        <w:t xml:space="preserve"> (SML-1T 47-48).</w:t>
      </w:r>
    </w:p>
    <w:p w:rsidR="0029693C" w:rsidRDefault="00D57682" w:rsidP="007D6D18">
      <w:pPr>
        <w:spacing w:after="0" w:line="480" w:lineRule="auto"/>
        <w:ind w:firstLine="720"/>
        <w:rPr>
          <w:rFonts w:ascii="Times New Roman" w:hAnsi="Times New Roman" w:cs="Times New Roman"/>
        </w:rPr>
      </w:pPr>
      <w:r>
        <w:rPr>
          <w:rFonts w:ascii="Times New Roman" w:hAnsi="Times New Roman" w:cs="Times New Roman"/>
        </w:rPr>
        <w:t>Providing for low income rate assistance has become the norm for state utility regulators. E</w:t>
      </w:r>
      <w:r w:rsidR="00A22F31">
        <w:rPr>
          <w:rFonts w:ascii="Times New Roman" w:hAnsi="Times New Roman" w:cs="Times New Roman"/>
        </w:rPr>
        <w:t xml:space="preserve">stablishing bill assistance </w:t>
      </w:r>
      <w:r w:rsidR="00355CD0">
        <w:rPr>
          <w:rFonts w:ascii="Times New Roman" w:hAnsi="Times New Roman" w:cs="Times New Roman"/>
        </w:rPr>
        <w:t>programs for low</w:t>
      </w:r>
      <w:r w:rsidR="00A22F31">
        <w:rPr>
          <w:rFonts w:ascii="Times New Roman" w:hAnsi="Times New Roman" w:cs="Times New Roman"/>
        </w:rPr>
        <w:t xml:space="preserve"> income </w:t>
      </w:r>
      <w:proofErr w:type="gramStart"/>
      <w:r w:rsidR="00A22F31">
        <w:rPr>
          <w:rFonts w:ascii="Times New Roman" w:hAnsi="Times New Roman" w:cs="Times New Roman"/>
        </w:rPr>
        <w:t xml:space="preserve">customers  </w:t>
      </w:r>
      <w:r>
        <w:rPr>
          <w:rFonts w:ascii="Times New Roman" w:hAnsi="Times New Roman" w:cs="Times New Roman"/>
        </w:rPr>
        <w:t>is</w:t>
      </w:r>
      <w:proofErr w:type="gramEnd"/>
      <w:r>
        <w:rPr>
          <w:rFonts w:ascii="Times New Roman" w:hAnsi="Times New Roman" w:cs="Times New Roman"/>
        </w:rPr>
        <w:t xml:space="preserve"> </w:t>
      </w:r>
      <w:r w:rsidR="00A22F31">
        <w:rPr>
          <w:rFonts w:ascii="Times New Roman" w:hAnsi="Times New Roman" w:cs="Times New Roman"/>
        </w:rPr>
        <w:t>beneficial for both customers and the utility.</w:t>
      </w:r>
      <w:r w:rsidR="00BB5DD2">
        <w:rPr>
          <w:rFonts w:ascii="Times New Roman" w:hAnsi="Times New Roman" w:cs="Times New Roman"/>
        </w:rPr>
        <w:t xml:space="preserve"> </w:t>
      </w:r>
      <w:r w:rsidR="00A22F31">
        <w:rPr>
          <w:rFonts w:ascii="Times New Roman" w:hAnsi="Times New Roman" w:cs="Times New Roman"/>
        </w:rPr>
        <w:t xml:space="preserve"> </w:t>
      </w:r>
      <w:r w:rsidR="0029693C">
        <w:rPr>
          <w:rFonts w:ascii="Times New Roman" w:hAnsi="Times New Roman" w:cs="Times New Roman"/>
        </w:rPr>
        <w:t xml:space="preserve">Chairman </w:t>
      </w:r>
      <w:proofErr w:type="spellStart"/>
      <w:r w:rsidR="0029693C">
        <w:rPr>
          <w:rFonts w:ascii="Times New Roman" w:hAnsi="Times New Roman" w:cs="Times New Roman"/>
        </w:rPr>
        <w:t>Goltz</w:t>
      </w:r>
      <w:proofErr w:type="spellEnd"/>
      <w:r w:rsidR="0029693C">
        <w:rPr>
          <w:rFonts w:ascii="Times New Roman" w:hAnsi="Times New Roman" w:cs="Times New Roman"/>
        </w:rPr>
        <w:t xml:space="preserve"> asked</w:t>
      </w:r>
      <w:r w:rsidR="00BB5DD2">
        <w:rPr>
          <w:rFonts w:ascii="Times New Roman" w:hAnsi="Times New Roman" w:cs="Times New Roman"/>
        </w:rPr>
        <w:t xml:space="preserve"> </w:t>
      </w:r>
      <w:r w:rsidR="00355CD0">
        <w:rPr>
          <w:rFonts w:ascii="Times New Roman" w:hAnsi="Times New Roman" w:cs="Times New Roman"/>
        </w:rPr>
        <w:t>John</w:t>
      </w:r>
      <w:r w:rsidR="00BB5DD2">
        <w:rPr>
          <w:rFonts w:ascii="Times New Roman" w:hAnsi="Times New Roman" w:cs="Times New Roman"/>
        </w:rPr>
        <w:t xml:space="preserve"> </w:t>
      </w:r>
      <w:r w:rsidR="00355CD0">
        <w:rPr>
          <w:rFonts w:ascii="Times New Roman" w:hAnsi="Times New Roman" w:cs="Times New Roman"/>
        </w:rPr>
        <w:t>Howat on</w:t>
      </w:r>
      <w:r w:rsidR="00BB5DD2">
        <w:rPr>
          <w:rFonts w:ascii="Times New Roman" w:hAnsi="Times New Roman" w:cs="Times New Roman"/>
        </w:rPr>
        <w:t xml:space="preserve"> cross </w:t>
      </w:r>
      <w:r w:rsidR="00355CD0">
        <w:rPr>
          <w:rFonts w:ascii="Times New Roman" w:hAnsi="Times New Roman" w:cs="Times New Roman"/>
        </w:rPr>
        <w:t>examination if</w:t>
      </w:r>
      <w:r w:rsidR="0029693C">
        <w:rPr>
          <w:rFonts w:ascii="Times New Roman" w:hAnsi="Times New Roman" w:cs="Times New Roman"/>
        </w:rPr>
        <w:t xml:space="preserve"> he </w:t>
      </w:r>
      <w:r>
        <w:rPr>
          <w:rFonts w:ascii="Times New Roman" w:hAnsi="Times New Roman" w:cs="Times New Roman"/>
        </w:rPr>
        <w:t xml:space="preserve">knew what </w:t>
      </w:r>
      <w:r w:rsidR="0029693C">
        <w:rPr>
          <w:rFonts w:ascii="Times New Roman" w:hAnsi="Times New Roman" w:cs="Times New Roman"/>
        </w:rPr>
        <w:t xml:space="preserve">number of states </w:t>
      </w:r>
      <w:r>
        <w:rPr>
          <w:rFonts w:ascii="Times New Roman" w:hAnsi="Times New Roman" w:cs="Times New Roman"/>
        </w:rPr>
        <w:t>had</w:t>
      </w:r>
      <w:r w:rsidR="0029693C">
        <w:rPr>
          <w:rFonts w:ascii="Times New Roman" w:hAnsi="Times New Roman" w:cs="Times New Roman"/>
        </w:rPr>
        <w:t xml:space="preserve"> rate assistance programs “for their investor owned utilities similar to Puget</w:t>
      </w:r>
      <w:r w:rsidR="00BB5DD2">
        <w:rPr>
          <w:rFonts w:ascii="Times New Roman" w:hAnsi="Times New Roman" w:cs="Times New Roman"/>
        </w:rPr>
        <w:t>?</w:t>
      </w:r>
      <w:r w:rsidR="0029693C">
        <w:rPr>
          <w:rFonts w:ascii="Times New Roman" w:hAnsi="Times New Roman" w:cs="Times New Roman"/>
        </w:rPr>
        <w:t xml:space="preserve">” </w:t>
      </w:r>
      <w:r w:rsidR="00BB5DD2">
        <w:rPr>
          <w:rFonts w:ascii="Times New Roman" w:hAnsi="Times New Roman" w:cs="Times New Roman"/>
        </w:rPr>
        <w:t>(</w:t>
      </w:r>
      <w:r w:rsidR="0029693C">
        <w:rPr>
          <w:rFonts w:ascii="Times New Roman" w:hAnsi="Times New Roman" w:cs="Times New Roman"/>
        </w:rPr>
        <w:t>TR p 504:17-</w:t>
      </w:r>
      <w:r w:rsidR="00032969">
        <w:rPr>
          <w:rFonts w:ascii="Times New Roman" w:hAnsi="Times New Roman" w:cs="Times New Roman"/>
        </w:rPr>
        <w:t>20</w:t>
      </w:r>
      <w:r w:rsidR="0029693C">
        <w:rPr>
          <w:rFonts w:ascii="Times New Roman" w:hAnsi="Times New Roman" w:cs="Times New Roman"/>
        </w:rPr>
        <w:t>.</w:t>
      </w:r>
      <w:r w:rsidR="00BB5DD2">
        <w:rPr>
          <w:rFonts w:ascii="Times New Roman" w:hAnsi="Times New Roman" w:cs="Times New Roman"/>
        </w:rPr>
        <w:t>)</w:t>
      </w:r>
      <w:r w:rsidR="0029693C">
        <w:rPr>
          <w:rFonts w:ascii="Times New Roman" w:hAnsi="Times New Roman" w:cs="Times New Roman"/>
        </w:rPr>
        <w:t xml:space="preserve"> </w:t>
      </w:r>
      <w:r w:rsidR="00032969">
        <w:rPr>
          <w:rFonts w:ascii="Times New Roman" w:hAnsi="Times New Roman" w:cs="Times New Roman"/>
        </w:rPr>
        <w:t xml:space="preserve"> </w:t>
      </w:r>
      <w:r w:rsidR="0029693C">
        <w:rPr>
          <w:rFonts w:ascii="Times New Roman" w:hAnsi="Times New Roman" w:cs="Times New Roman"/>
        </w:rPr>
        <w:t xml:space="preserve"> Mr</w:t>
      </w:r>
      <w:r w:rsidR="00EE1F01">
        <w:rPr>
          <w:rFonts w:ascii="Times New Roman" w:hAnsi="Times New Roman" w:cs="Times New Roman"/>
        </w:rPr>
        <w:t>. Howat responded that</w:t>
      </w:r>
      <w:r>
        <w:rPr>
          <w:rFonts w:ascii="Times New Roman" w:hAnsi="Times New Roman" w:cs="Times New Roman"/>
        </w:rPr>
        <w:t>,</w:t>
      </w:r>
      <w:r w:rsidR="00032969">
        <w:rPr>
          <w:rFonts w:ascii="Times New Roman" w:hAnsi="Times New Roman" w:cs="Times New Roman"/>
        </w:rPr>
        <w:t xml:space="preserve"> </w:t>
      </w:r>
      <w:r>
        <w:rPr>
          <w:rFonts w:ascii="Times New Roman" w:hAnsi="Times New Roman" w:cs="Times New Roman"/>
        </w:rPr>
        <w:t>“</w:t>
      </w:r>
      <w:r w:rsidR="00032969">
        <w:rPr>
          <w:rFonts w:ascii="Times New Roman" w:hAnsi="Times New Roman" w:cs="Times New Roman"/>
        </w:rPr>
        <w:t>I believe about</w:t>
      </w:r>
      <w:r w:rsidR="00EE1F01">
        <w:rPr>
          <w:rFonts w:ascii="Times New Roman" w:hAnsi="Times New Roman" w:cs="Times New Roman"/>
        </w:rPr>
        <w:t xml:space="preserve"> 30 states</w:t>
      </w:r>
      <w:r w:rsidR="00032969">
        <w:rPr>
          <w:rFonts w:ascii="Times New Roman" w:hAnsi="Times New Roman" w:cs="Times New Roman"/>
        </w:rPr>
        <w:t xml:space="preserve"> right now have programs that operate throughout most of the state that are similar to Puget’s</w:t>
      </w:r>
      <w:r>
        <w:rPr>
          <w:rFonts w:ascii="Times New Roman" w:hAnsi="Times New Roman" w:cs="Times New Roman"/>
        </w:rPr>
        <w:t>.</w:t>
      </w:r>
      <w:r w:rsidR="00355CD0">
        <w:rPr>
          <w:rFonts w:ascii="Times New Roman" w:hAnsi="Times New Roman" w:cs="Times New Roman"/>
        </w:rPr>
        <w:t>” (</w:t>
      </w:r>
      <w:r w:rsidR="00032969">
        <w:rPr>
          <w:rFonts w:ascii="Times New Roman" w:hAnsi="Times New Roman" w:cs="Times New Roman"/>
        </w:rPr>
        <w:t>TR p 504:21-23.</w:t>
      </w:r>
      <w:r w:rsidR="00BB5DD2">
        <w:rPr>
          <w:rFonts w:ascii="Times New Roman" w:hAnsi="Times New Roman" w:cs="Times New Roman"/>
        </w:rPr>
        <w:t>)</w:t>
      </w:r>
      <w:r w:rsidR="00032969">
        <w:rPr>
          <w:rFonts w:ascii="Times New Roman" w:hAnsi="Times New Roman" w:cs="Times New Roman"/>
        </w:rPr>
        <w:t xml:space="preserve"> </w:t>
      </w:r>
      <w:r w:rsidR="00EE1F01">
        <w:rPr>
          <w:rFonts w:ascii="Times New Roman" w:hAnsi="Times New Roman" w:cs="Times New Roman"/>
        </w:rPr>
        <w:t xml:space="preserve"> I</w:t>
      </w:r>
      <w:r w:rsidR="0029693C">
        <w:rPr>
          <w:rFonts w:ascii="Times New Roman" w:hAnsi="Times New Roman" w:cs="Times New Roman"/>
        </w:rPr>
        <w:t xml:space="preserve">n order to </w:t>
      </w:r>
      <w:r w:rsidR="00032969">
        <w:rPr>
          <w:rFonts w:ascii="Times New Roman" w:hAnsi="Times New Roman" w:cs="Times New Roman"/>
        </w:rPr>
        <w:t xml:space="preserve">provide </w:t>
      </w:r>
      <w:r w:rsidR="00EE1F01">
        <w:rPr>
          <w:rFonts w:ascii="Times New Roman" w:hAnsi="Times New Roman" w:cs="Times New Roman"/>
        </w:rPr>
        <w:t>a complete</w:t>
      </w:r>
      <w:r w:rsidR="0029693C">
        <w:rPr>
          <w:rFonts w:ascii="Times New Roman" w:hAnsi="Times New Roman" w:cs="Times New Roman"/>
        </w:rPr>
        <w:t xml:space="preserve"> </w:t>
      </w:r>
      <w:r w:rsidR="00EE1F01">
        <w:rPr>
          <w:rFonts w:ascii="Times New Roman" w:hAnsi="Times New Roman" w:cs="Times New Roman"/>
        </w:rPr>
        <w:t>record on this subject</w:t>
      </w:r>
      <w:r>
        <w:rPr>
          <w:rFonts w:ascii="Times New Roman" w:hAnsi="Times New Roman" w:cs="Times New Roman"/>
        </w:rPr>
        <w:t>,</w:t>
      </w:r>
      <w:r w:rsidR="00EE1F01">
        <w:rPr>
          <w:rFonts w:ascii="Times New Roman" w:hAnsi="Times New Roman" w:cs="Times New Roman"/>
        </w:rPr>
        <w:t xml:space="preserve"> Mr. Howat </w:t>
      </w:r>
      <w:r>
        <w:rPr>
          <w:rFonts w:ascii="Times New Roman" w:hAnsi="Times New Roman" w:cs="Times New Roman"/>
        </w:rPr>
        <w:t>researched</w:t>
      </w:r>
      <w:r w:rsidR="0029693C">
        <w:rPr>
          <w:rFonts w:ascii="Times New Roman" w:hAnsi="Times New Roman" w:cs="Times New Roman"/>
        </w:rPr>
        <w:t xml:space="preserve"> the</w:t>
      </w:r>
      <w:r w:rsidR="00EE1F01">
        <w:rPr>
          <w:rFonts w:ascii="Times New Roman" w:hAnsi="Times New Roman" w:cs="Times New Roman"/>
        </w:rPr>
        <w:t xml:space="preserve"> US Department of Health and Human Services LIHEAP Clearing</w:t>
      </w:r>
      <w:r>
        <w:rPr>
          <w:rFonts w:ascii="Times New Roman" w:hAnsi="Times New Roman" w:cs="Times New Roman"/>
        </w:rPr>
        <w:t>h</w:t>
      </w:r>
      <w:r w:rsidR="00EE1F01">
        <w:rPr>
          <w:rFonts w:ascii="Times New Roman" w:hAnsi="Times New Roman" w:cs="Times New Roman"/>
        </w:rPr>
        <w:t xml:space="preserve">ouse list </w:t>
      </w:r>
      <w:proofErr w:type="gramStart"/>
      <w:r w:rsidR="00EE1F01">
        <w:rPr>
          <w:rFonts w:ascii="Times New Roman" w:hAnsi="Times New Roman" w:cs="Times New Roman"/>
        </w:rPr>
        <w:t xml:space="preserve">of </w:t>
      </w:r>
      <w:r w:rsidR="00BB5DD2">
        <w:rPr>
          <w:rFonts w:ascii="Times New Roman" w:hAnsi="Times New Roman" w:cs="Times New Roman"/>
        </w:rPr>
        <w:t xml:space="preserve"> </w:t>
      </w:r>
      <w:r>
        <w:rPr>
          <w:rFonts w:ascii="Times New Roman" w:hAnsi="Times New Roman" w:cs="Times New Roman"/>
        </w:rPr>
        <w:t>states</w:t>
      </w:r>
      <w:proofErr w:type="gramEnd"/>
      <w:r>
        <w:rPr>
          <w:rFonts w:ascii="Times New Roman" w:hAnsi="Times New Roman" w:cs="Times New Roman"/>
        </w:rPr>
        <w:t xml:space="preserve"> </w:t>
      </w:r>
      <w:r w:rsidR="00032969">
        <w:rPr>
          <w:rFonts w:ascii="Times New Roman" w:hAnsi="Times New Roman" w:cs="Times New Roman"/>
        </w:rPr>
        <w:t>that have such programs</w:t>
      </w:r>
      <w:r>
        <w:rPr>
          <w:rFonts w:ascii="Times New Roman" w:hAnsi="Times New Roman" w:cs="Times New Roman"/>
        </w:rPr>
        <w:t xml:space="preserve">.  </w:t>
      </w:r>
      <w:r w:rsidR="0097441A">
        <w:rPr>
          <w:rFonts w:ascii="Times New Roman" w:hAnsi="Times New Roman" w:cs="Times New Roman"/>
        </w:rPr>
        <w:t>(</w:t>
      </w:r>
      <w:r w:rsidR="007D6D18">
        <w:rPr>
          <w:rFonts w:ascii="Times New Roman" w:hAnsi="Times New Roman" w:cs="Times New Roman"/>
        </w:rPr>
        <w:t>See</w:t>
      </w:r>
      <w:r w:rsidR="00032969">
        <w:rPr>
          <w:rFonts w:ascii="Times New Roman" w:hAnsi="Times New Roman" w:cs="Times New Roman"/>
        </w:rPr>
        <w:t xml:space="preserve">: LIHEAP Clearinghouse </w:t>
      </w:r>
      <w:hyperlink r:id="rId9" w:history="1">
        <w:r w:rsidRPr="00F653F7">
          <w:rPr>
            <w:rStyle w:val="Hyperlink"/>
            <w:rFonts w:ascii="Times New Roman" w:hAnsi="Times New Roman" w:cs="Times New Roman"/>
          </w:rPr>
          <w:t>http://www.liheap.ncat.org/Supplements/2010/supplement10htm</w:t>
        </w:r>
      </w:hyperlink>
      <w:r w:rsidR="0097441A">
        <w:rPr>
          <w:rFonts w:ascii="Times New Roman" w:hAnsi="Times New Roman" w:cs="Times New Roman"/>
        </w:rPr>
        <w:t>)</w:t>
      </w:r>
      <w:r w:rsidR="00A22F31">
        <w:rPr>
          <w:rFonts w:ascii="Times New Roman" w:hAnsi="Times New Roman" w:cs="Times New Roman"/>
        </w:rPr>
        <w:t>.</w:t>
      </w:r>
      <w:r>
        <w:rPr>
          <w:rFonts w:ascii="Times New Roman" w:hAnsi="Times New Roman" w:cs="Times New Roman"/>
        </w:rPr>
        <w:t xml:space="preserve">  Information from the Clearinghouse is set forth in Attachment A to this brief.  It reflects that 32 states plus the District of Columbia have such programs.  Since the Clearinghouse compiled its list, Vermont has joined the ranks of states provided rate assistance.  </w:t>
      </w:r>
      <w:r w:rsidR="0007688C">
        <w:rPr>
          <w:rFonts w:ascii="Times New Roman" w:hAnsi="Times New Roman" w:cs="Times New Roman"/>
        </w:rPr>
        <w:t xml:space="preserve">State of Vermont Public Service Board, Docket No. </w:t>
      </w:r>
      <w:r w:rsidR="007D6D18">
        <w:rPr>
          <w:rFonts w:ascii="Times New Roman" w:hAnsi="Times New Roman" w:cs="Times New Roman"/>
        </w:rPr>
        <w:t xml:space="preserve">7535 (Order entered 7/22/2011).  Thus two-thirds of all states have these programs. </w:t>
      </w:r>
    </w:p>
    <w:p w:rsidR="00E87971" w:rsidRPr="00E84117" w:rsidRDefault="00E84117" w:rsidP="00900013">
      <w:pPr>
        <w:spacing w:after="0" w:line="480" w:lineRule="auto"/>
        <w:ind w:firstLine="720"/>
        <w:jc w:val="center"/>
        <w:rPr>
          <w:rFonts w:ascii="Times New Roman" w:hAnsi="Times New Roman" w:cs="Times New Roman"/>
          <w:b/>
        </w:rPr>
      </w:pPr>
      <w:r w:rsidRPr="00E84117">
        <w:rPr>
          <w:rFonts w:ascii="Times New Roman" w:hAnsi="Times New Roman" w:cs="Times New Roman"/>
          <w:b/>
        </w:rPr>
        <w:t>I</w:t>
      </w:r>
      <w:r w:rsidR="00483A55">
        <w:rPr>
          <w:rFonts w:ascii="Times New Roman" w:hAnsi="Times New Roman" w:cs="Times New Roman"/>
          <w:b/>
        </w:rPr>
        <w:t>V</w:t>
      </w:r>
    </w:p>
    <w:p w:rsidR="00CE4DF4" w:rsidRDefault="00145233" w:rsidP="00EF3FBB">
      <w:pPr>
        <w:ind w:left="360"/>
        <w:rPr>
          <w:rFonts w:ascii="Times New Roman" w:hAnsi="Times New Roman" w:cs="Times New Roman"/>
          <w:b/>
        </w:rPr>
      </w:pPr>
      <w:r>
        <w:rPr>
          <w:rFonts w:ascii="Times New Roman" w:hAnsi="Times New Roman" w:cs="Times New Roman"/>
          <w:b/>
        </w:rPr>
        <w:t xml:space="preserve">PSE’s </w:t>
      </w:r>
      <w:r w:rsidR="00237552">
        <w:rPr>
          <w:rFonts w:ascii="Times New Roman" w:hAnsi="Times New Roman" w:cs="Times New Roman"/>
          <w:b/>
        </w:rPr>
        <w:t xml:space="preserve">Has Not Achieved “Comparability” of Benefits for Low-Income Efficiency Programs </w:t>
      </w:r>
    </w:p>
    <w:p w:rsidR="00237552" w:rsidRPr="00237552" w:rsidRDefault="00237552" w:rsidP="00237552">
      <w:pPr>
        <w:spacing w:after="0" w:line="480" w:lineRule="auto"/>
        <w:ind w:firstLine="720"/>
        <w:rPr>
          <w:rFonts w:ascii="Times New Roman" w:hAnsi="Times New Roman"/>
        </w:rPr>
      </w:pPr>
      <w:r w:rsidRPr="00237552">
        <w:rPr>
          <w:rFonts w:ascii="Times New Roman" w:hAnsi="Times New Roman"/>
        </w:rPr>
        <w:t xml:space="preserve">As a preliminary matter, the Energy Project and the agencies it represents applaud PSE for working collaboratively on energy efficiency for low-income households.  Nevertheless, PSE’s decoupling proposal fails to meet the comparability test for low income energy efficiency programs established by the Commission’s policy statement.  </w:t>
      </w:r>
      <w:r w:rsidRPr="00237552">
        <w:rPr>
          <w:rFonts w:ascii="Times New Roman" w:hAnsi="Times New Roman"/>
          <w:i/>
        </w:rPr>
        <w:t xml:space="preserve">In the Matter of the Washington Utilities and Transportation Commission’s Investigation into Energy Conservation Incentives, </w:t>
      </w:r>
      <w:r w:rsidRPr="00237552">
        <w:rPr>
          <w:rFonts w:ascii="Times New Roman" w:hAnsi="Times New Roman"/>
        </w:rPr>
        <w:t xml:space="preserve"> </w:t>
      </w:r>
      <w:r w:rsidRPr="00237552">
        <w:rPr>
          <w:rFonts w:ascii="Times New Roman" w:hAnsi="Times New Roman"/>
          <w:u w:val="single"/>
        </w:rPr>
        <w:t>Report and Policy Statement on Regulatory Mechanisms, Including Decoupling, To Encourage Utilities to Meet or Exceed Their Conservation Targets</w:t>
      </w:r>
      <w:r w:rsidRPr="00237552">
        <w:rPr>
          <w:rFonts w:ascii="Times New Roman" w:hAnsi="Times New Roman"/>
        </w:rPr>
        <w:t>, Docket U-100522 (Nov. 4, 2010) (“</w:t>
      </w:r>
      <w:r w:rsidRPr="00237552">
        <w:rPr>
          <w:rFonts w:ascii="Times New Roman" w:hAnsi="Times New Roman"/>
          <w:u w:val="single"/>
        </w:rPr>
        <w:t>Decoupling Policy Statement”)</w:t>
      </w:r>
      <w:r w:rsidRPr="00237552">
        <w:rPr>
          <w:rFonts w:ascii="Times New Roman" w:hAnsi="Times New Roman"/>
        </w:rPr>
        <w:t>, at page 13, item #6 and page 18 item#4. And to the extent that either PSE’s or the NWEC’s mechanisms demands further payment from PSE’s  low-income customers, we believe, contrary to Mr. Cavanagh’s assertion ( TR p. 466 :16-17), this issue has very much to do with revenue decoupling.</w:t>
      </w:r>
    </w:p>
    <w:p w:rsidR="00237552" w:rsidRPr="00237552" w:rsidRDefault="00237552" w:rsidP="00237552">
      <w:pPr>
        <w:spacing w:after="0" w:line="480" w:lineRule="auto"/>
        <w:ind w:firstLine="720"/>
        <w:rPr>
          <w:rFonts w:ascii="Times New Roman" w:hAnsi="Times New Roman"/>
          <w:i/>
        </w:rPr>
      </w:pPr>
      <w:r w:rsidRPr="00237552">
        <w:rPr>
          <w:rFonts w:ascii="Times New Roman" w:hAnsi="Times New Roman"/>
        </w:rPr>
        <w:t xml:space="preserve">In the </w:t>
      </w:r>
      <w:r w:rsidRPr="00237552">
        <w:rPr>
          <w:rFonts w:ascii="Times New Roman" w:hAnsi="Times New Roman"/>
          <w:u w:val="single"/>
        </w:rPr>
        <w:t>Decoupling Policy Statement</w:t>
      </w:r>
      <w:r w:rsidRPr="00237552">
        <w:rPr>
          <w:rFonts w:ascii="Times New Roman" w:hAnsi="Times New Roman"/>
        </w:rPr>
        <w:t>, the Commission directed utilities proposing a “</w:t>
      </w:r>
      <w:proofErr w:type="gramStart"/>
      <w:r w:rsidRPr="00237552">
        <w:rPr>
          <w:rFonts w:ascii="Times New Roman" w:hAnsi="Times New Roman"/>
        </w:rPr>
        <w:t>decoupling  mechanism</w:t>
      </w:r>
      <w:proofErr w:type="gramEnd"/>
      <w:r w:rsidRPr="00237552">
        <w:rPr>
          <w:rFonts w:ascii="Times New Roman" w:hAnsi="Times New Roman"/>
        </w:rPr>
        <w:t xml:space="preserve">” to demonstrate “whether or not its conservation programs provide benefits to low-income ratepayers that are </w:t>
      </w:r>
      <w:r w:rsidRPr="00237552">
        <w:rPr>
          <w:rFonts w:ascii="Times New Roman" w:hAnsi="Times New Roman"/>
          <w:i/>
        </w:rPr>
        <w:t>roughly comparable to other ratepayers</w:t>
      </w:r>
      <w:r w:rsidRPr="00237552">
        <w:rPr>
          <w:rFonts w:ascii="Times New Roman" w:hAnsi="Times New Roman"/>
        </w:rPr>
        <w:t xml:space="preserve">[.]”  </w:t>
      </w:r>
      <w:r w:rsidRPr="00237552">
        <w:rPr>
          <w:rFonts w:ascii="Times New Roman" w:hAnsi="Times New Roman"/>
          <w:i/>
        </w:rPr>
        <w:t>Id.</w:t>
      </w:r>
      <w:r w:rsidRPr="00237552">
        <w:rPr>
          <w:rFonts w:ascii="Times New Roman" w:hAnsi="Times New Roman"/>
        </w:rPr>
        <w:t xml:space="preserve"> (emphasis added).</w:t>
      </w:r>
      <w:r w:rsidRPr="00237552">
        <w:rPr>
          <w:rFonts w:ascii="Times New Roman" w:hAnsi="Times New Roman"/>
          <w:i/>
        </w:rPr>
        <w:t xml:space="preserve"> </w:t>
      </w:r>
      <w:r w:rsidRPr="00237552">
        <w:rPr>
          <w:rFonts w:ascii="Times New Roman" w:hAnsi="Times New Roman"/>
        </w:rPr>
        <w:t xml:space="preserve"> If the programs do not already provide roughly comparable benefits to low income customers, the utility “must provide low-income ratepayers targeted programs aimed at achieving a level of conservation comparable to that achieved by other ratepayers, so long as such programs are feasible within cost-effectiveness standards.” </w:t>
      </w:r>
      <w:r w:rsidRPr="00237552">
        <w:rPr>
          <w:rFonts w:ascii="Times New Roman" w:hAnsi="Times New Roman"/>
          <w:i/>
        </w:rPr>
        <w:t xml:space="preserve">Id. </w:t>
      </w:r>
      <w:r w:rsidRPr="00237552">
        <w:rPr>
          <w:rFonts w:ascii="Times New Roman" w:hAnsi="Times New Roman"/>
        </w:rPr>
        <w:t xml:space="preserve"> </w:t>
      </w:r>
    </w:p>
    <w:p w:rsidR="00237552" w:rsidRPr="00237552" w:rsidRDefault="00237552" w:rsidP="00237552">
      <w:pPr>
        <w:spacing w:after="0" w:line="480" w:lineRule="auto"/>
        <w:ind w:firstLine="720"/>
        <w:rPr>
          <w:rFonts w:ascii="Times New Roman" w:hAnsi="Times New Roman"/>
        </w:rPr>
      </w:pPr>
      <w:r w:rsidRPr="00237552">
        <w:rPr>
          <w:rFonts w:ascii="Times New Roman" w:hAnsi="Times New Roman"/>
        </w:rPr>
        <w:t xml:space="preserve">In order to assess comparability objectively, one needs to consider the topic from multiple perspectives.  Since the overall issue is an economic one, it is only natural to look at how much money is </w:t>
      </w:r>
      <w:r w:rsidRPr="00237552">
        <w:rPr>
          <w:rFonts w:ascii="Times New Roman" w:hAnsi="Times New Roman"/>
        </w:rPr>
        <w:lastRenderedPageBreak/>
        <w:t>spent on low-income energy conservation programs compared to all programs, or all residential programs.  One might, however, also look at the number of households that receive benefit from the programs. TR-511:9-17.  A third consideration is the amount of savings that result from the program.  A fair assessment of comparability would at least attempt to consider all three of these perspectives.</w:t>
      </w:r>
    </w:p>
    <w:p w:rsidR="00237552" w:rsidRPr="00237552" w:rsidRDefault="00237552" w:rsidP="00237552">
      <w:pPr>
        <w:spacing w:after="0" w:line="480" w:lineRule="auto"/>
        <w:ind w:firstLine="720"/>
        <w:rPr>
          <w:rFonts w:ascii="Times New Roman" w:hAnsi="Times New Roman"/>
        </w:rPr>
      </w:pPr>
      <w:r w:rsidRPr="00237552">
        <w:rPr>
          <w:rFonts w:ascii="Times New Roman" w:hAnsi="Times New Roman"/>
        </w:rPr>
        <w:t xml:space="preserve">PSE witnesses </w:t>
      </w:r>
      <w:proofErr w:type="spellStart"/>
      <w:r w:rsidRPr="00237552">
        <w:rPr>
          <w:rFonts w:ascii="Times New Roman" w:hAnsi="Times New Roman"/>
        </w:rPr>
        <w:t>DeBoer</w:t>
      </w:r>
      <w:proofErr w:type="spellEnd"/>
      <w:r w:rsidRPr="00237552">
        <w:rPr>
          <w:rFonts w:ascii="Times New Roman" w:hAnsi="Times New Roman"/>
        </w:rPr>
        <w:t xml:space="preserve"> and </w:t>
      </w:r>
      <w:proofErr w:type="spellStart"/>
      <w:r w:rsidRPr="00237552">
        <w:rPr>
          <w:rFonts w:ascii="Times New Roman" w:hAnsi="Times New Roman"/>
        </w:rPr>
        <w:t>Stolarski</w:t>
      </w:r>
      <w:proofErr w:type="spellEnd"/>
      <w:r w:rsidRPr="00237552">
        <w:rPr>
          <w:rFonts w:ascii="Times New Roman" w:hAnsi="Times New Roman"/>
        </w:rPr>
        <w:t xml:space="preserve"> attempted to address the comparability issue, but neither made the demonstration required by the Commission.  Mr. </w:t>
      </w:r>
      <w:proofErr w:type="spellStart"/>
      <w:r w:rsidRPr="00237552">
        <w:rPr>
          <w:rFonts w:ascii="Times New Roman" w:hAnsi="Times New Roman"/>
        </w:rPr>
        <w:t>DeBoer</w:t>
      </w:r>
      <w:proofErr w:type="spellEnd"/>
      <w:r w:rsidRPr="00237552">
        <w:rPr>
          <w:rFonts w:ascii="Times New Roman" w:hAnsi="Times New Roman"/>
        </w:rPr>
        <w:t xml:space="preserve"> appears to take the first approach identified </w:t>
      </w:r>
      <w:r w:rsidR="002537F9" w:rsidRPr="00237552">
        <w:rPr>
          <w:rFonts w:ascii="Times New Roman" w:hAnsi="Times New Roman"/>
        </w:rPr>
        <w:t>above that</w:t>
      </w:r>
      <w:r w:rsidRPr="00237552">
        <w:rPr>
          <w:rFonts w:ascii="Times New Roman" w:hAnsi="Times New Roman"/>
        </w:rPr>
        <w:t xml:space="preserve"> is, focusing on spending levels.  He suggests that low-income customers receive comparable benefits because “approximately two percent of PSE’s residential electric customers” receive bill assistance through the utility ratepayer funded programs “and are allocated approximately 13 percent of the budget for direct residential conservation programs.”  Yet the 13 percent figure overstates program funding levels by approximately 100%.  The direct conservation program budget he cites (Exhibit No. ___TAD-1T, p. 25) is not an accurate reflection of the low-income energy efficiency program funding because it includes a one-time addition to the budget from Renewable Energy Credit funds that ended in 2011 and nearly doubled the low-income electric program funding allocation  (TR-510:7-18) (TAD-16 CX Attachment  A)</w:t>
      </w:r>
      <w:r w:rsidR="002537F9">
        <w:rPr>
          <w:rFonts w:ascii="Times New Roman" w:hAnsi="Times New Roman"/>
        </w:rPr>
        <w:t>.</w:t>
      </w:r>
      <w:r w:rsidRPr="00237552">
        <w:rPr>
          <w:rFonts w:ascii="Times New Roman" w:hAnsi="Times New Roman"/>
        </w:rPr>
        <w:t xml:space="preserve">  </w:t>
      </w:r>
    </w:p>
    <w:p w:rsidR="00237552" w:rsidRPr="00237552" w:rsidRDefault="00237552" w:rsidP="00237552">
      <w:pPr>
        <w:spacing w:after="0" w:line="480" w:lineRule="auto"/>
        <w:ind w:firstLine="720"/>
        <w:rPr>
          <w:rFonts w:ascii="Times New Roman" w:hAnsi="Times New Roman"/>
        </w:rPr>
      </w:pPr>
      <w:r w:rsidRPr="00237552">
        <w:rPr>
          <w:rFonts w:ascii="Times New Roman" w:hAnsi="Times New Roman"/>
        </w:rPr>
        <w:t xml:space="preserve">PSE Annual Report </w:t>
      </w:r>
      <w:r w:rsidR="002537F9" w:rsidRPr="00237552">
        <w:rPr>
          <w:rFonts w:ascii="Times New Roman" w:hAnsi="Times New Roman"/>
        </w:rPr>
        <w:t>of</w:t>
      </w:r>
      <w:r w:rsidR="002537F9">
        <w:rPr>
          <w:rFonts w:ascii="Times New Roman" w:hAnsi="Times New Roman"/>
        </w:rPr>
        <w:t xml:space="preserve"> Energy</w:t>
      </w:r>
      <w:r w:rsidRPr="00237552">
        <w:rPr>
          <w:rFonts w:ascii="Times New Roman" w:hAnsi="Times New Roman"/>
        </w:rPr>
        <w:t xml:space="preserve"> Efficiency Services (EES</w:t>
      </w:r>
      <w:r w:rsidR="008A6F74">
        <w:rPr>
          <w:rFonts w:ascii="Times New Roman" w:hAnsi="Times New Roman"/>
        </w:rPr>
        <w:t>) Programs (Exhibit RWS-15-</w:t>
      </w:r>
      <w:proofErr w:type="gramStart"/>
      <w:r w:rsidR="008A6F74">
        <w:rPr>
          <w:rFonts w:ascii="Times New Roman" w:hAnsi="Times New Roman"/>
        </w:rPr>
        <w:t xml:space="preserve">CX  </w:t>
      </w:r>
      <w:r w:rsidRPr="00237552">
        <w:rPr>
          <w:rFonts w:ascii="Times New Roman" w:hAnsi="Times New Roman"/>
        </w:rPr>
        <w:t>Appendix</w:t>
      </w:r>
      <w:proofErr w:type="gramEnd"/>
      <w:r w:rsidRPr="00237552">
        <w:rPr>
          <w:rFonts w:ascii="Times New Roman" w:hAnsi="Times New Roman"/>
        </w:rPr>
        <w:t xml:space="preserve"> A) shows the planned low-income program allocation was $2,774,500 while the combined gas and electric residential conservation budget was $45,652,880.  That works out to an allocation of only approximately 6% percent to low income, as Mr.  </w:t>
      </w:r>
      <w:proofErr w:type="spellStart"/>
      <w:r w:rsidRPr="00237552">
        <w:rPr>
          <w:rFonts w:ascii="Times New Roman" w:hAnsi="Times New Roman"/>
        </w:rPr>
        <w:t>Stolarski</w:t>
      </w:r>
      <w:proofErr w:type="spellEnd"/>
      <w:r w:rsidRPr="00237552">
        <w:rPr>
          <w:rFonts w:ascii="Times New Roman" w:hAnsi="Times New Roman"/>
        </w:rPr>
        <w:t xml:space="preserve"> confirmed on cross examination (TR- 702:.16 704:.2).  A spending level of 6 percent on low income programs is insufficient to establish comparability.   </w:t>
      </w:r>
    </w:p>
    <w:p w:rsidR="00237552" w:rsidRPr="00237552" w:rsidRDefault="00237552" w:rsidP="00237552">
      <w:pPr>
        <w:spacing w:after="0" w:line="480" w:lineRule="auto"/>
        <w:ind w:firstLine="720"/>
        <w:rPr>
          <w:rFonts w:ascii="Times New Roman" w:hAnsi="Times New Roman"/>
        </w:rPr>
      </w:pPr>
      <w:r w:rsidRPr="00237552">
        <w:rPr>
          <w:rFonts w:ascii="Times New Roman" w:hAnsi="Times New Roman"/>
        </w:rPr>
        <w:t>According to PSE (SML-8 CX)</w:t>
      </w:r>
      <w:r w:rsidR="008A6F74" w:rsidRPr="00237552">
        <w:rPr>
          <w:rFonts w:ascii="Times New Roman" w:hAnsi="Times New Roman"/>
        </w:rPr>
        <w:t>, approximately</w:t>
      </w:r>
      <w:r w:rsidRPr="00237552">
        <w:rPr>
          <w:rFonts w:ascii="Times New Roman" w:hAnsi="Times New Roman"/>
        </w:rPr>
        <w:t xml:space="preserve"> 255,000 of their 1,300,000 customers have incomes at or below 150% of the federal poverty level.  Accordingly, almost 20% of their residential customers qualify as low income.  Although all customers benefit from the avoided marginal resource cost that results from conservation programs, as Commissioner Oshie pointed out during cross examination of witness Ralph Cavanagh (TR</w:t>
      </w:r>
      <w:r w:rsidR="00FB73F7">
        <w:rPr>
          <w:rFonts w:ascii="Times New Roman" w:hAnsi="Times New Roman"/>
        </w:rPr>
        <w:t xml:space="preserve"> </w:t>
      </w:r>
      <w:r w:rsidR="008A6F74" w:rsidRPr="00FB73F7">
        <w:rPr>
          <w:rFonts w:ascii="Times New Roman" w:hAnsi="Times New Roman"/>
        </w:rPr>
        <w:t>p. 465:</w:t>
      </w:r>
      <w:r w:rsidRPr="00FB73F7">
        <w:rPr>
          <w:rFonts w:ascii="Times New Roman" w:hAnsi="Times New Roman"/>
        </w:rPr>
        <w:t>16</w:t>
      </w:r>
      <w:r w:rsidR="00FB73F7">
        <w:rPr>
          <w:rFonts w:ascii="Times New Roman" w:hAnsi="Times New Roman"/>
        </w:rPr>
        <w:t>-</w:t>
      </w:r>
      <w:r w:rsidR="008A6F74" w:rsidRPr="00FB73F7">
        <w:rPr>
          <w:rFonts w:ascii="Times New Roman" w:hAnsi="Times New Roman"/>
        </w:rPr>
        <w:t xml:space="preserve"> p.</w:t>
      </w:r>
      <w:r w:rsidRPr="00FB73F7">
        <w:rPr>
          <w:rFonts w:ascii="Times New Roman" w:hAnsi="Times New Roman"/>
        </w:rPr>
        <w:t>466:14</w:t>
      </w:r>
      <w:r w:rsidR="008A6F74" w:rsidRPr="00FB73F7">
        <w:rPr>
          <w:rFonts w:ascii="Times New Roman" w:hAnsi="Times New Roman"/>
        </w:rPr>
        <w:t>)</w:t>
      </w:r>
      <w:r w:rsidRPr="00FB73F7">
        <w:rPr>
          <w:rFonts w:ascii="Times New Roman" w:hAnsi="Times New Roman"/>
        </w:rPr>
        <w:t>,</w:t>
      </w:r>
      <w:r w:rsidRPr="00237552">
        <w:rPr>
          <w:rFonts w:ascii="Times New Roman" w:hAnsi="Times New Roman"/>
        </w:rPr>
        <w:t xml:space="preserve"> customers who do not participate in the energy conservation programs still pay for their cost.  This is a particular hardship for low-income </w:t>
      </w:r>
      <w:r w:rsidRPr="00237552">
        <w:rPr>
          <w:rFonts w:ascii="Times New Roman" w:hAnsi="Times New Roman"/>
        </w:rPr>
        <w:lastRenderedPageBreak/>
        <w:t xml:space="preserve">customers who have no means to bear any part of the cost.  If they do not participate to the same extent as other customers, then the cost of the conservation program is disproportionately shifted to them.  </w:t>
      </w:r>
    </w:p>
    <w:p w:rsidR="00237552" w:rsidRPr="00237552" w:rsidRDefault="00237552" w:rsidP="00237552">
      <w:pPr>
        <w:spacing w:after="0" w:line="480" w:lineRule="auto"/>
        <w:ind w:firstLine="720"/>
        <w:rPr>
          <w:rFonts w:ascii="Times New Roman" w:hAnsi="Times New Roman"/>
        </w:rPr>
      </w:pPr>
      <w:r w:rsidRPr="00237552">
        <w:rPr>
          <w:rFonts w:ascii="Times New Roman" w:hAnsi="Times New Roman"/>
        </w:rPr>
        <w:t xml:space="preserve">Mr. </w:t>
      </w:r>
      <w:proofErr w:type="spellStart"/>
      <w:r w:rsidRPr="00237552">
        <w:rPr>
          <w:rFonts w:ascii="Times New Roman" w:hAnsi="Times New Roman"/>
        </w:rPr>
        <w:t>DeBoer’s</w:t>
      </w:r>
      <w:proofErr w:type="spellEnd"/>
      <w:r w:rsidRPr="00237552">
        <w:rPr>
          <w:rFonts w:ascii="Times New Roman" w:hAnsi="Times New Roman"/>
        </w:rPr>
        <w:t xml:space="preserve"> testimony confuses rate assistance with energy efficiency programs but the two are entirely different. (TAD-1Tp. 25:14-20) His testimony that 2% of customers who receive bill assistance also received energy conservation assistance is flawed in two ways. The bill assistance program simply helps a customer pay bills for service; it does not reduce the customer’s need to use energy – it does not make the dwelling or appliances more efficient in the use of energy.  Unlike the installation of energy efficiency measures, participation in the bill assistance program does not provide a long-term benefit to participants by reducing consumption year after year.   Mr. </w:t>
      </w:r>
      <w:proofErr w:type="spellStart"/>
      <w:r w:rsidRPr="00237552">
        <w:rPr>
          <w:rFonts w:ascii="Times New Roman" w:hAnsi="Times New Roman"/>
        </w:rPr>
        <w:t>DeBoer’s</w:t>
      </w:r>
      <w:proofErr w:type="spellEnd"/>
      <w:r w:rsidRPr="00237552">
        <w:rPr>
          <w:rFonts w:ascii="Times New Roman" w:hAnsi="Times New Roman"/>
        </w:rPr>
        <w:t xml:space="preserve"> statement is also flawed in that it suggests all of the customers on rate assistance see some conservation dollars to their benefit.  This is far from accurate.  While slightly over 10% of the income eligible </w:t>
      </w:r>
      <w:r w:rsidR="008A6F74" w:rsidRPr="00237552">
        <w:rPr>
          <w:rFonts w:ascii="Times New Roman" w:hAnsi="Times New Roman"/>
        </w:rPr>
        <w:t>population receives</w:t>
      </w:r>
      <w:r w:rsidRPr="00237552">
        <w:rPr>
          <w:rFonts w:ascii="Times New Roman" w:hAnsi="Times New Roman"/>
        </w:rPr>
        <w:t xml:space="preserve"> bill assistance, slightly less than 1% see conservation funding targeted to low-income customers.</w:t>
      </w:r>
    </w:p>
    <w:p w:rsidR="00237552" w:rsidRPr="00237552" w:rsidRDefault="00237552" w:rsidP="00237552">
      <w:pPr>
        <w:spacing w:after="0" w:line="480" w:lineRule="auto"/>
        <w:ind w:firstLine="720"/>
        <w:rPr>
          <w:rFonts w:ascii="Times New Roman" w:hAnsi="Times New Roman"/>
        </w:rPr>
      </w:pPr>
      <w:r w:rsidRPr="00237552">
        <w:rPr>
          <w:rFonts w:ascii="Times New Roman" w:hAnsi="Times New Roman"/>
        </w:rPr>
        <w:t xml:space="preserve">Only 2275 low income households participate in PSE’s </w:t>
      </w:r>
      <w:r w:rsidRPr="00237552">
        <w:rPr>
          <w:rFonts w:ascii="Times New Roman" w:hAnsi="Times New Roman"/>
          <w:i/>
        </w:rPr>
        <w:t>targeted</w:t>
      </w:r>
      <w:r w:rsidRPr="00237552">
        <w:rPr>
          <w:rFonts w:ascii="Times New Roman" w:hAnsi="Times New Roman"/>
        </w:rPr>
        <w:t xml:space="preserve"> gas and electric low-income energy efficiency program according to PSE’s Annual Report of Energy Efficiency Services</w:t>
      </w:r>
      <w:r w:rsidR="008A6F74">
        <w:rPr>
          <w:rFonts w:ascii="Times New Roman" w:hAnsi="Times New Roman"/>
        </w:rPr>
        <w:t xml:space="preserve"> Programs</w:t>
      </w:r>
      <w:r w:rsidRPr="00237552">
        <w:rPr>
          <w:rFonts w:ascii="Times New Roman" w:hAnsi="Times New Roman"/>
        </w:rPr>
        <w:t>.   This is a participation rate of less than one percent of the 255,000 income-eligible customers at 150% of the federal poverty level.(TR-704:11-25,705:1-18)  The Energy Project would be surprised to find that PSE would be satisfied if 99% of their residential customers were paying for programs that provided direct conservation benefits only to the remaining 1%.</w:t>
      </w:r>
    </w:p>
    <w:p w:rsidR="00237552" w:rsidRPr="00237552" w:rsidRDefault="00237552" w:rsidP="00237552">
      <w:pPr>
        <w:spacing w:after="0" w:line="480" w:lineRule="auto"/>
        <w:ind w:firstLine="720"/>
        <w:rPr>
          <w:rFonts w:ascii="Times New Roman" w:hAnsi="Times New Roman"/>
        </w:rPr>
      </w:pPr>
      <w:r w:rsidRPr="00237552">
        <w:rPr>
          <w:rFonts w:ascii="Times New Roman" w:hAnsi="Times New Roman"/>
        </w:rPr>
        <w:t xml:space="preserve">Mr. </w:t>
      </w:r>
      <w:proofErr w:type="spellStart"/>
      <w:r w:rsidRPr="00237552">
        <w:rPr>
          <w:rFonts w:ascii="Times New Roman" w:hAnsi="Times New Roman"/>
        </w:rPr>
        <w:t>Stolarski</w:t>
      </w:r>
      <w:proofErr w:type="spellEnd"/>
      <w:r w:rsidRPr="00237552">
        <w:rPr>
          <w:rFonts w:ascii="Times New Roman" w:hAnsi="Times New Roman"/>
        </w:rPr>
        <w:t xml:space="preserve"> appears to recognize the discrepancy regarding numbers served and tries to shore them up by arguing that PSE has been providing energy efficiency to many multifamily buildings at no cost to the occupants and since a large percentage of low-income households live in multifamily buildings, PSE must be helping some </w:t>
      </w:r>
      <w:r w:rsidR="008A6F74">
        <w:rPr>
          <w:rFonts w:ascii="Times New Roman" w:hAnsi="Times New Roman"/>
        </w:rPr>
        <w:t xml:space="preserve">of them (Exhibit RWS-1T p. </w:t>
      </w:r>
      <w:proofErr w:type="gramStart"/>
      <w:r w:rsidR="008A6F74">
        <w:rPr>
          <w:rFonts w:ascii="Times New Roman" w:hAnsi="Times New Roman"/>
        </w:rPr>
        <w:t>25 :</w:t>
      </w:r>
      <w:proofErr w:type="gramEnd"/>
      <w:r w:rsidRPr="00237552">
        <w:rPr>
          <w:rFonts w:ascii="Times New Roman" w:hAnsi="Times New Roman"/>
        </w:rPr>
        <w:t xml:space="preserve">10-13).   But he does not provide any </w:t>
      </w:r>
      <w:r w:rsidR="008A6F74" w:rsidRPr="00237552">
        <w:rPr>
          <w:rFonts w:ascii="Times New Roman" w:hAnsi="Times New Roman"/>
        </w:rPr>
        <w:t>data that</w:t>
      </w:r>
      <w:r w:rsidRPr="00237552">
        <w:rPr>
          <w:rFonts w:ascii="Times New Roman" w:hAnsi="Times New Roman"/>
        </w:rPr>
        <w:t xml:space="preserve"> would indicate how many low-income households benefit in this </w:t>
      </w:r>
      <w:r w:rsidR="008A6F74" w:rsidRPr="00237552">
        <w:rPr>
          <w:rFonts w:ascii="Times New Roman" w:hAnsi="Times New Roman"/>
        </w:rPr>
        <w:t>way (</w:t>
      </w:r>
      <w:r w:rsidRPr="00237552">
        <w:rPr>
          <w:rFonts w:ascii="Times New Roman" w:hAnsi="Times New Roman"/>
        </w:rPr>
        <w:t>TR 706:7-25,707:1-8).</w:t>
      </w:r>
    </w:p>
    <w:p w:rsidR="00237552" w:rsidRPr="00237552" w:rsidRDefault="00237552" w:rsidP="00237552">
      <w:pPr>
        <w:spacing w:after="0" w:line="480" w:lineRule="auto"/>
        <w:ind w:firstLine="720"/>
        <w:rPr>
          <w:rFonts w:ascii="Times New Roman" w:hAnsi="Times New Roman"/>
        </w:rPr>
      </w:pPr>
      <w:r w:rsidRPr="00237552">
        <w:rPr>
          <w:rFonts w:ascii="Times New Roman" w:hAnsi="Times New Roman"/>
        </w:rPr>
        <w:t xml:space="preserve">It is also unclear whether building owners who do carry some of the cost of the efficiency work pass that cost on to occupants in rent increases or other assessments.  At the very least, PSE has not put </w:t>
      </w:r>
      <w:r w:rsidRPr="00237552">
        <w:rPr>
          <w:rFonts w:ascii="Times New Roman" w:hAnsi="Times New Roman"/>
        </w:rPr>
        <w:lastRenderedPageBreak/>
        <w:t xml:space="preserve">any agreement in place that would prevent building owners from passing costs on to low-income </w:t>
      </w:r>
      <w:r w:rsidR="002537F9" w:rsidRPr="00237552">
        <w:rPr>
          <w:rFonts w:ascii="Times New Roman" w:hAnsi="Times New Roman"/>
        </w:rPr>
        <w:t>tenants (</w:t>
      </w:r>
      <w:r w:rsidRPr="00237552">
        <w:rPr>
          <w:rFonts w:ascii="Times New Roman" w:hAnsi="Times New Roman"/>
        </w:rPr>
        <w:t>TR- 708: 15 –710:15)</w:t>
      </w:r>
      <w:r w:rsidR="002537F9">
        <w:rPr>
          <w:rFonts w:ascii="Times New Roman" w:hAnsi="Times New Roman"/>
        </w:rPr>
        <w:t>.</w:t>
      </w:r>
      <w:r w:rsidRPr="00237552">
        <w:rPr>
          <w:rFonts w:ascii="Times New Roman" w:hAnsi="Times New Roman"/>
        </w:rPr>
        <w:t xml:space="preserve">  There has been no attempt to direct this multifamily effort to zip codes where low-income households are known to </w:t>
      </w:r>
      <w:r w:rsidR="002537F9" w:rsidRPr="00237552">
        <w:rPr>
          <w:rFonts w:ascii="Times New Roman" w:hAnsi="Times New Roman"/>
        </w:rPr>
        <w:t>predominate (</w:t>
      </w:r>
      <w:r w:rsidRPr="00237552">
        <w:rPr>
          <w:rFonts w:ascii="Times New Roman" w:hAnsi="Times New Roman"/>
        </w:rPr>
        <w:t>RWS-</w:t>
      </w:r>
      <w:proofErr w:type="gramStart"/>
      <w:r w:rsidRPr="00237552">
        <w:rPr>
          <w:rFonts w:ascii="Times New Roman" w:hAnsi="Times New Roman"/>
        </w:rPr>
        <w:t>17CX</w:t>
      </w:r>
      <w:r w:rsidR="008A6F74">
        <w:rPr>
          <w:rFonts w:ascii="Times New Roman" w:hAnsi="Times New Roman"/>
        </w:rPr>
        <w:t xml:space="preserve"> </w:t>
      </w:r>
      <w:r w:rsidRPr="00237552">
        <w:rPr>
          <w:rFonts w:ascii="Times New Roman" w:hAnsi="Times New Roman"/>
        </w:rPr>
        <w:t xml:space="preserve"> b</w:t>
      </w:r>
      <w:proofErr w:type="gramEnd"/>
      <w:r w:rsidRPr="00237552">
        <w:rPr>
          <w:rFonts w:ascii="Times New Roman" w:hAnsi="Times New Roman"/>
        </w:rPr>
        <w:t>.)</w:t>
      </w:r>
      <w:r w:rsidR="002537F9">
        <w:rPr>
          <w:rFonts w:ascii="Times New Roman" w:hAnsi="Times New Roman"/>
        </w:rPr>
        <w:t>.</w:t>
      </w:r>
      <w:r w:rsidRPr="00237552">
        <w:rPr>
          <w:rFonts w:ascii="Times New Roman" w:hAnsi="Times New Roman"/>
        </w:rPr>
        <w:t xml:space="preserve">   While we agree that some low-income </w:t>
      </w:r>
      <w:r w:rsidRPr="00237552">
        <w:rPr>
          <w:rFonts w:ascii="Times New Roman" w:hAnsi="Times New Roman"/>
          <w:i/>
        </w:rPr>
        <w:t xml:space="preserve">may </w:t>
      </w:r>
      <w:r w:rsidRPr="00237552">
        <w:rPr>
          <w:rFonts w:ascii="Times New Roman" w:hAnsi="Times New Roman"/>
        </w:rPr>
        <w:t xml:space="preserve">be benefitting from this multifamily effort, it is clearly not </w:t>
      </w:r>
      <w:r w:rsidRPr="00237552">
        <w:rPr>
          <w:rFonts w:ascii="Times New Roman" w:hAnsi="Times New Roman"/>
          <w:i/>
        </w:rPr>
        <w:t>targeted</w:t>
      </w:r>
      <w:r w:rsidRPr="00237552">
        <w:rPr>
          <w:rFonts w:ascii="Times New Roman" w:hAnsi="Times New Roman"/>
        </w:rPr>
        <w:t xml:space="preserve"> to low-income customers within the meaning of the </w:t>
      </w:r>
      <w:r w:rsidRPr="00237552">
        <w:rPr>
          <w:rFonts w:ascii="Times New Roman" w:hAnsi="Times New Roman"/>
          <w:u w:val="single"/>
        </w:rPr>
        <w:t>Decoupling Policy Statement</w:t>
      </w:r>
      <w:r w:rsidRPr="00237552">
        <w:rPr>
          <w:rFonts w:ascii="Times New Roman" w:hAnsi="Times New Roman"/>
        </w:rPr>
        <w:t xml:space="preserve"> and is in no way sufficient to establish that the Company’s low-income energy efficiency efforts are comparable to the other residential programs.  </w:t>
      </w:r>
    </w:p>
    <w:p w:rsidR="00237552" w:rsidRPr="00237552" w:rsidRDefault="00237552" w:rsidP="00237552">
      <w:pPr>
        <w:spacing w:after="0" w:line="480" w:lineRule="auto"/>
        <w:ind w:firstLine="720"/>
        <w:rPr>
          <w:rFonts w:ascii="Times New Roman" w:hAnsi="Times New Roman"/>
        </w:rPr>
      </w:pPr>
      <w:r w:rsidRPr="00237552">
        <w:rPr>
          <w:rFonts w:ascii="Times New Roman" w:hAnsi="Times New Roman"/>
        </w:rPr>
        <w:t xml:space="preserve">Looking at the third perspective – that of savings achieved – one sees that the low-income program, while apparently achieving approximately twice as much savings as was targeted, does not represent as large a share of the overall savings as it takes of the budget (Exhibit RWS-15CX Appendix A).  As Mr. </w:t>
      </w:r>
      <w:proofErr w:type="spellStart"/>
      <w:r w:rsidRPr="00237552">
        <w:rPr>
          <w:rFonts w:ascii="Times New Roman" w:hAnsi="Times New Roman"/>
        </w:rPr>
        <w:t>Stolarski</w:t>
      </w:r>
      <w:proofErr w:type="spellEnd"/>
      <w:r w:rsidRPr="00237552">
        <w:rPr>
          <w:rFonts w:ascii="Times New Roman" w:hAnsi="Times New Roman"/>
        </w:rPr>
        <w:t xml:space="preserve"> noted, the utility pays the full, avoided cost for measures in the low-income program, whereas the other programs rely on substantial contribution from the participants.  </w:t>
      </w:r>
    </w:p>
    <w:p w:rsidR="00BB5DD2" w:rsidRDefault="00237552" w:rsidP="00237552">
      <w:pPr>
        <w:spacing w:after="0" w:line="480" w:lineRule="auto"/>
        <w:ind w:firstLine="720"/>
        <w:rPr>
          <w:rFonts w:ascii="Times New Roman" w:hAnsi="Times New Roman"/>
        </w:rPr>
      </w:pPr>
      <w:r w:rsidRPr="00237552">
        <w:rPr>
          <w:rFonts w:ascii="Times New Roman" w:hAnsi="Times New Roman"/>
        </w:rPr>
        <w:t>Returning to Mr. Cavanagh’s assertion that shifting the cost of conservation programs to a subset of customers, possibly the low-income sector, has “nothing to do with revenue decoupling” (TR-466: 16-17), the Energy Project disagrees and believes this also should be considered when measuring comparability.  According to Mr. Cavanagh, the study of some 88 decoupling adjustments indicated “</w:t>
      </w:r>
      <w:r w:rsidRPr="00237552">
        <w:rPr>
          <w:rFonts w:ascii="Times New Roman" w:hAnsi="Times New Roman"/>
          <w:i/>
        </w:rPr>
        <w:t>almost</w:t>
      </w:r>
      <w:r w:rsidRPr="00237552">
        <w:rPr>
          <w:rFonts w:ascii="Times New Roman" w:hAnsi="Times New Roman"/>
        </w:rPr>
        <w:t xml:space="preserve"> all  of which were at or below seven cents a day for electricity, five cents a day for natural gas utilities,” (TR 437: 18-21; emphasis added).  Later Mr. Cavanagh cites comparable figures of $1.50/month for gas customers or $2/month for electric </w:t>
      </w:r>
      <w:r w:rsidR="002537F9" w:rsidRPr="00237552">
        <w:rPr>
          <w:rFonts w:ascii="Times New Roman" w:hAnsi="Times New Roman"/>
        </w:rPr>
        <w:t>customers (</w:t>
      </w:r>
      <w:r w:rsidRPr="00237552">
        <w:rPr>
          <w:rFonts w:ascii="Times New Roman" w:hAnsi="Times New Roman"/>
        </w:rPr>
        <w:t xml:space="preserve">TR 452: 6-9).  Keeping in mind Commissioner </w:t>
      </w:r>
      <w:proofErr w:type="spellStart"/>
      <w:r w:rsidRPr="00237552">
        <w:rPr>
          <w:rFonts w:ascii="Times New Roman" w:hAnsi="Times New Roman"/>
        </w:rPr>
        <w:t>Oshie’s</w:t>
      </w:r>
      <w:proofErr w:type="spellEnd"/>
      <w:r w:rsidRPr="00237552">
        <w:rPr>
          <w:rFonts w:ascii="Times New Roman" w:hAnsi="Times New Roman"/>
        </w:rPr>
        <w:t xml:space="preserve"> comments (TR 466: 8-14) regarding the shift of the cost of conservation onto the backs of those least able to participate in the programs, it is interesting to note that these charges would amount to over $6.5 million dollars if all 255,000 low-income households living at or below150% of the federal poverty level are charged the $.07/day Mr. Cavanagh posits.  This is far above the level of funds currently spent from PSE’s conservation budgets, which low-income householders, as ratepayers, are already helping to fund. Further, this does not include the impact that the $.05/day gas </w:t>
      </w:r>
      <w:proofErr w:type="gramStart"/>
      <w:r w:rsidRPr="00237552">
        <w:rPr>
          <w:rFonts w:ascii="Times New Roman" w:hAnsi="Times New Roman"/>
        </w:rPr>
        <w:t>charge, as it is unclear whether that would be added to the electric charge or in some cases, perhaps, supplant</w:t>
      </w:r>
      <w:proofErr w:type="gramEnd"/>
      <w:r w:rsidRPr="00237552">
        <w:rPr>
          <w:rFonts w:ascii="Times New Roman" w:hAnsi="Times New Roman"/>
        </w:rPr>
        <w:t xml:space="preserve"> some of that charge. </w:t>
      </w:r>
    </w:p>
    <w:p w:rsidR="00237552" w:rsidRPr="00237552" w:rsidRDefault="00BB5DD2" w:rsidP="00237552">
      <w:pPr>
        <w:spacing w:after="0" w:line="480" w:lineRule="auto"/>
        <w:ind w:firstLine="720"/>
        <w:rPr>
          <w:rFonts w:ascii="Times New Roman" w:hAnsi="Times New Roman"/>
        </w:rPr>
      </w:pPr>
      <w:r>
        <w:rPr>
          <w:rFonts w:ascii="Times New Roman" w:hAnsi="Times New Roman"/>
        </w:rPr>
        <w:lastRenderedPageBreak/>
        <w:t>Andrea Crane</w:t>
      </w:r>
      <w:r w:rsidR="007D6D18">
        <w:rPr>
          <w:rFonts w:ascii="Times New Roman" w:hAnsi="Times New Roman"/>
        </w:rPr>
        <w:t>,</w:t>
      </w:r>
      <w:r>
        <w:rPr>
          <w:rFonts w:ascii="Times New Roman" w:hAnsi="Times New Roman"/>
        </w:rPr>
        <w:t xml:space="preserve"> a joint</w:t>
      </w:r>
      <w:r w:rsidR="00263133">
        <w:rPr>
          <w:rFonts w:ascii="Times New Roman" w:hAnsi="Times New Roman"/>
        </w:rPr>
        <w:t xml:space="preserve"> witness of Public Counsel and T</w:t>
      </w:r>
      <w:r>
        <w:rPr>
          <w:rFonts w:ascii="Times New Roman" w:hAnsi="Times New Roman"/>
        </w:rPr>
        <w:t>he Energy Project</w:t>
      </w:r>
      <w:r w:rsidR="007D6D18">
        <w:rPr>
          <w:rFonts w:ascii="Times New Roman" w:hAnsi="Times New Roman"/>
        </w:rPr>
        <w:t>,</w:t>
      </w:r>
      <w:r w:rsidR="00263133">
        <w:rPr>
          <w:rFonts w:ascii="Times New Roman" w:hAnsi="Times New Roman"/>
        </w:rPr>
        <w:t xml:space="preserve"> </w:t>
      </w:r>
      <w:r w:rsidR="00AA6F55">
        <w:rPr>
          <w:rFonts w:ascii="Times New Roman" w:hAnsi="Times New Roman"/>
        </w:rPr>
        <w:t>concluded that PSE had not met the comparability requirement of the Commission’s policy statement.  She noted</w:t>
      </w:r>
      <w:r w:rsidR="00263133">
        <w:rPr>
          <w:rFonts w:ascii="Times New Roman" w:hAnsi="Times New Roman"/>
        </w:rPr>
        <w:t xml:space="preserve"> PSE’s lack of data regarding </w:t>
      </w:r>
      <w:r w:rsidR="00AA6F55">
        <w:rPr>
          <w:rFonts w:ascii="Times New Roman" w:hAnsi="Times New Roman"/>
        </w:rPr>
        <w:t>the extent to which</w:t>
      </w:r>
      <w:r w:rsidR="00263133">
        <w:rPr>
          <w:rFonts w:ascii="Times New Roman" w:hAnsi="Times New Roman"/>
        </w:rPr>
        <w:t xml:space="preserve"> low income </w:t>
      </w:r>
      <w:r w:rsidR="00AA6F55">
        <w:rPr>
          <w:rFonts w:ascii="Times New Roman" w:hAnsi="Times New Roman"/>
        </w:rPr>
        <w:t xml:space="preserve">customers participate </w:t>
      </w:r>
      <w:r w:rsidR="00263133">
        <w:rPr>
          <w:rFonts w:ascii="Times New Roman" w:hAnsi="Times New Roman"/>
        </w:rPr>
        <w:t>in conservation. She said that PSE is unable to demonstrate the impact of its conservation program on its low income customers</w:t>
      </w:r>
      <w:r w:rsidR="007D6D18">
        <w:rPr>
          <w:rFonts w:ascii="Times New Roman" w:hAnsi="Times New Roman"/>
        </w:rPr>
        <w:t xml:space="preserve"> </w:t>
      </w:r>
      <w:r w:rsidR="00C1331B">
        <w:rPr>
          <w:rFonts w:ascii="Times New Roman" w:hAnsi="Times New Roman"/>
        </w:rPr>
        <w:t>and has no information by income on its other customers</w:t>
      </w:r>
      <w:r w:rsidR="00263133">
        <w:rPr>
          <w:rFonts w:ascii="Times New Roman" w:hAnsi="Times New Roman"/>
        </w:rPr>
        <w:t>.</w:t>
      </w:r>
      <w:r w:rsidR="00237552" w:rsidRPr="00237552">
        <w:rPr>
          <w:rFonts w:ascii="Times New Roman" w:hAnsi="Times New Roman"/>
        </w:rPr>
        <w:t xml:space="preserve">  </w:t>
      </w:r>
      <w:r w:rsidR="00C1331B">
        <w:rPr>
          <w:rFonts w:ascii="Times New Roman" w:hAnsi="Times New Roman"/>
        </w:rPr>
        <w:t>“Low-income customers</w:t>
      </w:r>
      <w:r w:rsidR="00C1331B" w:rsidRPr="00237552">
        <w:rPr>
          <w:rFonts w:ascii="Times New Roman" w:hAnsi="Times New Roman"/>
        </w:rPr>
        <w:t xml:space="preserve"> </w:t>
      </w:r>
      <w:r w:rsidR="00C1331B">
        <w:rPr>
          <w:rFonts w:ascii="Times New Roman" w:hAnsi="Times New Roman"/>
        </w:rPr>
        <w:t>could end up paying a disproportionate share of the CSA surcharge, depending upon the extent to which low-income customers achieve conservation savings relative to other residential customers</w:t>
      </w:r>
      <w:r w:rsidR="007D6D18">
        <w:rPr>
          <w:rFonts w:ascii="Times New Roman" w:hAnsi="Times New Roman"/>
        </w:rPr>
        <w:t>”</w:t>
      </w:r>
      <w:r w:rsidR="00C1331B">
        <w:rPr>
          <w:rFonts w:ascii="Times New Roman" w:hAnsi="Times New Roman"/>
        </w:rPr>
        <w:t xml:space="preserve"> (ACC-1T: p 21-22). </w:t>
      </w:r>
    </w:p>
    <w:p w:rsidR="00145233" w:rsidRPr="00675AD2" w:rsidRDefault="00237552" w:rsidP="00AA6F55">
      <w:pPr>
        <w:spacing w:after="0" w:line="480" w:lineRule="auto"/>
        <w:ind w:firstLine="720"/>
        <w:rPr>
          <w:rFonts w:ascii="Times New Roman" w:hAnsi="Times New Roman" w:cs="Times New Roman"/>
        </w:rPr>
      </w:pPr>
      <w:r w:rsidRPr="00237552">
        <w:rPr>
          <w:rFonts w:ascii="Times New Roman" w:hAnsi="Times New Roman"/>
        </w:rPr>
        <w:t xml:space="preserve">In conclusion, the impact of the CSA or a decoupling charge is not insignificant for the low –income population.   If performance by </w:t>
      </w:r>
      <w:r w:rsidRPr="00237552">
        <w:rPr>
          <w:rFonts w:ascii="Times New Roman" w:hAnsi="Times New Roman"/>
          <w:i/>
        </w:rPr>
        <w:t>targeted</w:t>
      </w:r>
      <w:r w:rsidRPr="00237552">
        <w:rPr>
          <w:rFonts w:ascii="Times New Roman" w:hAnsi="Times New Roman"/>
        </w:rPr>
        <w:t xml:space="preserve"> low-income energy conservation programs comparable to the Company’s other residential program is a critical factor in allowing such a charge, the Company has not shown sufficient comparability.  </w:t>
      </w:r>
      <w:r w:rsidR="00AA6F55">
        <w:rPr>
          <w:rFonts w:ascii="Times New Roman" w:hAnsi="Times New Roman"/>
        </w:rPr>
        <w:t>Further, The Energy Project adopts the brief of Public Counsel regarding the CSA.</w:t>
      </w:r>
    </w:p>
    <w:p w:rsidR="00145233" w:rsidRPr="00E84117" w:rsidRDefault="00145233" w:rsidP="00145233">
      <w:pPr>
        <w:ind w:left="360"/>
        <w:jc w:val="center"/>
        <w:rPr>
          <w:rFonts w:ascii="Times New Roman" w:hAnsi="Times New Roman" w:cs="Times New Roman"/>
          <w:b/>
        </w:rPr>
      </w:pPr>
      <w:r>
        <w:rPr>
          <w:rFonts w:ascii="Times New Roman" w:hAnsi="Times New Roman" w:cs="Times New Roman"/>
          <w:b/>
        </w:rPr>
        <w:t>V</w:t>
      </w:r>
    </w:p>
    <w:p w:rsidR="00145233" w:rsidRDefault="00145233" w:rsidP="00145233">
      <w:pPr>
        <w:ind w:left="360"/>
        <w:rPr>
          <w:rFonts w:ascii="Times New Roman" w:hAnsi="Times New Roman" w:cs="Times New Roman"/>
          <w:b/>
        </w:rPr>
      </w:pPr>
      <w:r w:rsidRPr="00E84117">
        <w:rPr>
          <w:rFonts w:ascii="Times New Roman" w:hAnsi="Times New Roman" w:cs="Times New Roman"/>
          <w:b/>
        </w:rPr>
        <w:t xml:space="preserve">The </w:t>
      </w:r>
      <w:r>
        <w:rPr>
          <w:rFonts w:ascii="Times New Roman" w:hAnsi="Times New Roman" w:cs="Times New Roman"/>
          <w:b/>
        </w:rPr>
        <w:t xml:space="preserve">Commission Should Retain and Reinstate </w:t>
      </w:r>
      <w:r w:rsidRPr="00E84117">
        <w:rPr>
          <w:rFonts w:ascii="Times New Roman" w:hAnsi="Times New Roman" w:cs="Times New Roman"/>
          <w:b/>
        </w:rPr>
        <w:t xml:space="preserve">Service Quality Index 9 </w:t>
      </w:r>
      <w:proofErr w:type="gramStart"/>
      <w:r>
        <w:rPr>
          <w:rFonts w:ascii="Times New Roman" w:hAnsi="Times New Roman" w:cs="Times New Roman"/>
          <w:b/>
        </w:rPr>
        <w:t>L</w:t>
      </w:r>
      <w:r w:rsidRPr="00E84117">
        <w:rPr>
          <w:rFonts w:ascii="Times New Roman" w:hAnsi="Times New Roman" w:cs="Times New Roman"/>
          <w:b/>
        </w:rPr>
        <w:t>imitation</w:t>
      </w:r>
      <w:proofErr w:type="gramEnd"/>
      <w:r w:rsidRPr="00E84117">
        <w:rPr>
          <w:rFonts w:ascii="Times New Roman" w:hAnsi="Times New Roman" w:cs="Times New Roman"/>
          <w:b/>
        </w:rPr>
        <w:t xml:space="preserve"> on </w:t>
      </w:r>
      <w:r>
        <w:rPr>
          <w:rFonts w:ascii="Times New Roman" w:hAnsi="Times New Roman" w:cs="Times New Roman"/>
          <w:b/>
        </w:rPr>
        <w:t>D</w:t>
      </w:r>
      <w:r w:rsidRPr="00E84117">
        <w:rPr>
          <w:rFonts w:ascii="Times New Roman" w:hAnsi="Times New Roman" w:cs="Times New Roman"/>
          <w:b/>
        </w:rPr>
        <w:t xml:space="preserve">isconnections </w:t>
      </w:r>
      <w:r>
        <w:rPr>
          <w:rFonts w:ascii="Times New Roman" w:hAnsi="Times New Roman" w:cs="Times New Roman"/>
          <w:b/>
        </w:rPr>
        <w:t>D</w:t>
      </w:r>
      <w:r w:rsidRPr="00E84117">
        <w:rPr>
          <w:rFonts w:ascii="Times New Roman" w:hAnsi="Times New Roman" w:cs="Times New Roman"/>
          <w:b/>
        </w:rPr>
        <w:t xml:space="preserve">uring the </w:t>
      </w:r>
      <w:r>
        <w:rPr>
          <w:rFonts w:ascii="Times New Roman" w:hAnsi="Times New Roman" w:cs="Times New Roman"/>
          <w:b/>
        </w:rPr>
        <w:t>E</w:t>
      </w:r>
      <w:r w:rsidRPr="00E84117">
        <w:rPr>
          <w:rFonts w:ascii="Times New Roman" w:hAnsi="Times New Roman" w:cs="Times New Roman"/>
          <w:b/>
        </w:rPr>
        <w:t xml:space="preserve">conomic </w:t>
      </w:r>
      <w:r>
        <w:rPr>
          <w:rFonts w:ascii="Times New Roman" w:hAnsi="Times New Roman" w:cs="Times New Roman"/>
          <w:b/>
        </w:rPr>
        <w:t>Down</w:t>
      </w:r>
      <w:r w:rsidRPr="00E84117">
        <w:rPr>
          <w:rFonts w:ascii="Times New Roman" w:hAnsi="Times New Roman" w:cs="Times New Roman"/>
          <w:b/>
        </w:rPr>
        <w:t>turn.</w:t>
      </w:r>
    </w:p>
    <w:p w:rsidR="00145233" w:rsidRDefault="00145233" w:rsidP="00145233">
      <w:pPr>
        <w:ind w:left="360"/>
        <w:jc w:val="center"/>
        <w:rPr>
          <w:rFonts w:ascii="Times New Roman" w:hAnsi="Times New Roman" w:cs="Times New Roman"/>
          <w:b/>
        </w:rPr>
      </w:pPr>
    </w:p>
    <w:p w:rsidR="00145233" w:rsidRPr="00675AD2" w:rsidRDefault="0060124F" w:rsidP="00145233">
      <w:pPr>
        <w:spacing w:after="0" w:line="480" w:lineRule="auto"/>
        <w:ind w:firstLine="720"/>
        <w:rPr>
          <w:rFonts w:ascii="Times New Roman" w:hAnsi="Times New Roman" w:cs="Times New Roman"/>
        </w:rPr>
      </w:pPr>
      <w:r>
        <w:rPr>
          <w:rFonts w:ascii="Times New Roman" w:hAnsi="Times New Roman" w:cs="Times New Roman"/>
        </w:rPr>
        <w:t>Service Quality Index 9</w:t>
      </w:r>
      <w:r w:rsidR="00BF7F51">
        <w:rPr>
          <w:rFonts w:ascii="Times New Roman" w:hAnsi="Times New Roman" w:cs="Times New Roman"/>
        </w:rPr>
        <w:t xml:space="preserve"> (SQI-9) </w:t>
      </w:r>
      <w:r>
        <w:rPr>
          <w:rFonts w:ascii="Times New Roman" w:hAnsi="Times New Roman" w:cs="Times New Roman"/>
        </w:rPr>
        <w:t xml:space="preserve">provides an important incentive for PSE to work with customers on arrangements for bill payment instead of disconnecting them.  During the current economic downturn, more customers than ever are at risk of temporary inability to pay.  Therefore, SQI-9 </w:t>
      </w:r>
      <w:r w:rsidR="00E84117">
        <w:rPr>
          <w:rFonts w:ascii="Times New Roman" w:hAnsi="Times New Roman" w:cs="Times New Roman"/>
        </w:rPr>
        <w:t xml:space="preserve">should </w:t>
      </w:r>
      <w:r w:rsidR="003E4957">
        <w:rPr>
          <w:rFonts w:ascii="Times New Roman" w:hAnsi="Times New Roman" w:cs="Times New Roman"/>
        </w:rPr>
        <w:t xml:space="preserve">be reinstated and </w:t>
      </w:r>
      <w:r w:rsidR="00E84117">
        <w:rPr>
          <w:rFonts w:ascii="Times New Roman" w:hAnsi="Times New Roman" w:cs="Times New Roman"/>
        </w:rPr>
        <w:t xml:space="preserve">remain as part of </w:t>
      </w:r>
      <w:r w:rsidR="00550B00">
        <w:rPr>
          <w:rFonts w:ascii="Times New Roman" w:hAnsi="Times New Roman" w:cs="Times New Roman"/>
        </w:rPr>
        <w:t>the</w:t>
      </w:r>
      <w:r w:rsidR="00E84117">
        <w:rPr>
          <w:rFonts w:ascii="Times New Roman" w:hAnsi="Times New Roman" w:cs="Times New Roman"/>
        </w:rPr>
        <w:t xml:space="preserve"> </w:t>
      </w:r>
      <w:r w:rsidR="00517238">
        <w:rPr>
          <w:rFonts w:ascii="Times New Roman" w:hAnsi="Times New Roman" w:cs="Times New Roman"/>
        </w:rPr>
        <w:t>plan</w:t>
      </w:r>
      <w:r w:rsidR="00E84117">
        <w:rPr>
          <w:rFonts w:ascii="Times New Roman" w:hAnsi="Times New Roman" w:cs="Times New Roman"/>
        </w:rPr>
        <w:t xml:space="preserve"> to insure service quality</w:t>
      </w:r>
      <w:r w:rsidR="00517238">
        <w:rPr>
          <w:rFonts w:ascii="Times New Roman" w:hAnsi="Times New Roman" w:cs="Times New Roman"/>
        </w:rPr>
        <w:t xml:space="preserve">. </w:t>
      </w:r>
    </w:p>
    <w:p w:rsidR="00145233" w:rsidRPr="00675AD2" w:rsidRDefault="0060124F" w:rsidP="00145233">
      <w:pPr>
        <w:spacing w:after="0" w:line="480" w:lineRule="auto"/>
        <w:ind w:firstLine="720"/>
        <w:rPr>
          <w:rFonts w:ascii="Times New Roman" w:hAnsi="Times New Roman" w:cs="Times New Roman"/>
        </w:rPr>
      </w:pPr>
      <w:r>
        <w:rPr>
          <w:rFonts w:ascii="Times New Roman" w:hAnsi="Times New Roman" w:cs="Times New Roman"/>
        </w:rPr>
        <w:t xml:space="preserve">It is indisputable </w:t>
      </w:r>
      <w:r w:rsidR="00517238">
        <w:rPr>
          <w:rFonts w:ascii="Times New Roman" w:hAnsi="Times New Roman" w:cs="Times New Roman"/>
        </w:rPr>
        <w:t xml:space="preserve">that </w:t>
      </w:r>
      <w:r w:rsidR="003E4957">
        <w:rPr>
          <w:rFonts w:ascii="Times New Roman" w:hAnsi="Times New Roman" w:cs="Times New Roman"/>
        </w:rPr>
        <w:t xml:space="preserve">many </w:t>
      </w:r>
      <w:r>
        <w:rPr>
          <w:rFonts w:ascii="Times New Roman" w:hAnsi="Times New Roman" w:cs="Times New Roman"/>
        </w:rPr>
        <w:t xml:space="preserve">of </w:t>
      </w:r>
      <w:r w:rsidR="00517238">
        <w:rPr>
          <w:rFonts w:ascii="Times New Roman" w:hAnsi="Times New Roman" w:cs="Times New Roman"/>
        </w:rPr>
        <w:t>PSE’</w:t>
      </w:r>
      <w:r w:rsidR="00154D1C">
        <w:rPr>
          <w:rFonts w:ascii="Times New Roman" w:hAnsi="Times New Roman" w:cs="Times New Roman"/>
        </w:rPr>
        <w:t>s</w:t>
      </w:r>
      <w:r w:rsidR="00517238">
        <w:rPr>
          <w:rFonts w:ascii="Times New Roman" w:hAnsi="Times New Roman" w:cs="Times New Roman"/>
        </w:rPr>
        <w:t xml:space="preserve"> customers </w:t>
      </w:r>
      <w:r>
        <w:rPr>
          <w:rFonts w:ascii="Times New Roman" w:hAnsi="Times New Roman" w:cs="Times New Roman"/>
        </w:rPr>
        <w:t xml:space="preserve">have </w:t>
      </w:r>
      <w:r w:rsidR="00517238">
        <w:rPr>
          <w:rFonts w:ascii="Times New Roman" w:hAnsi="Times New Roman" w:cs="Times New Roman"/>
        </w:rPr>
        <w:t xml:space="preserve">difficulty </w:t>
      </w:r>
      <w:r>
        <w:rPr>
          <w:rFonts w:ascii="Times New Roman" w:hAnsi="Times New Roman" w:cs="Times New Roman"/>
        </w:rPr>
        <w:t xml:space="preserve">in absorbing the </w:t>
      </w:r>
      <w:r w:rsidR="00517238">
        <w:rPr>
          <w:rFonts w:ascii="Times New Roman" w:hAnsi="Times New Roman" w:cs="Times New Roman"/>
        </w:rPr>
        <w:t xml:space="preserve">annual rate increases in their utility bills. </w:t>
      </w:r>
      <w:r w:rsidR="00BF7F51">
        <w:rPr>
          <w:rFonts w:ascii="Times New Roman" w:hAnsi="Times New Roman" w:cs="Times New Roman"/>
        </w:rPr>
        <w:t xml:space="preserve"> </w:t>
      </w:r>
      <w:r w:rsidR="00154D1C">
        <w:rPr>
          <w:rFonts w:ascii="Times New Roman" w:hAnsi="Times New Roman" w:cs="Times New Roman"/>
        </w:rPr>
        <w:t xml:space="preserve"> The economic downturn is still </w:t>
      </w:r>
      <w:r>
        <w:rPr>
          <w:rFonts w:ascii="Times New Roman" w:hAnsi="Times New Roman" w:cs="Times New Roman"/>
        </w:rPr>
        <w:t xml:space="preserve">prevalent </w:t>
      </w:r>
      <w:r w:rsidR="00154D1C">
        <w:rPr>
          <w:rFonts w:ascii="Times New Roman" w:hAnsi="Times New Roman" w:cs="Times New Roman"/>
        </w:rPr>
        <w:t xml:space="preserve">in our state. </w:t>
      </w:r>
      <w:r w:rsidR="00BF7F51">
        <w:rPr>
          <w:rFonts w:ascii="Times New Roman" w:hAnsi="Times New Roman" w:cs="Times New Roman"/>
        </w:rPr>
        <w:t xml:space="preserve">Many customers at </w:t>
      </w:r>
      <w:r w:rsidR="00F44BDA">
        <w:rPr>
          <w:rFonts w:ascii="Times New Roman" w:hAnsi="Times New Roman" w:cs="Times New Roman"/>
        </w:rPr>
        <w:t>public hearings have</w:t>
      </w:r>
      <w:r w:rsidR="00BF7F51">
        <w:rPr>
          <w:rFonts w:ascii="Times New Roman" w:hAnsi="Times New Roman" w:cs="Times New Roman"/>
        </w:rPr>
        <w:t xml:space="preserve"> wondered why </w:t>
      </w:r>
      <w:r w:rsidR="00F44BDA">
        <w:rPr>
          <w:rFonts w:ascii="Times New Roman" w:hAnsi="Times New Roman" w:cs="Times New Roman"/>
        </w:rPr>
        <w:t>a</w:t>
      </w:r>
      <w:r w:rsidR="00BF7F51">
        <w:rPr>
          <w:rFonts w:ascii="Times New Roman" w:hAnsi="Times New Roman" w:cs="Times New Roman"/>
        </w:rPr>
        <w:t xml:space="preserve"> utility receives yearly rate increase but their fixed income remains the same.</w:t>
      </w:r>
      <w:r w:rsidR="00F44BDA">
        <w:rPr>
          <w:rFonts w:ascii="Times New Roman" w:hAnsi="Times New Roman" w:cs="Times New Roman"/>
        </w:rPr>
        <w:t xml:space="preserve"> </w:t>
      </w:r>
      <w:r>
        <w:rPr>
          <w:rFonts w:ascii="Times New Roman" w:hAnsi="Times New Roman" w:cs="Times New Roman"/>
        </w:rPr>
        <w:t xml:space="preserve">The </w:t>
      </w:r>
      <w:r w:rsidR="00517238">
        <w:rPr>
          <w:rFonts w:ascii="Times New Roman" w:hAnsi="Times New Roman" w:cs="Times New Roman"/>
        </w:rPr>
        <w:t xml:space="preserve">protection </w:t>
      </w:r>
      <w:r>
        <w:rPr>
          <w:rFonts w:ascii="Times New Roman" w:hAnsi="Times New Roman" w:cs="Times New Roman"/>
        </w:rPr>
        <w:t xml:space="preserve">afforded by SQI-9 </w:t>
      </w:r>
      <w:r w:rsidR="00517238">
        <w:rPr>
          <w:rFonts w:ascii="Times New Roman" w:hAnsi="Times New Roman" w:cs="Times New Roman"/>
        </w:rPr>
        <w:t xml:space="preserve">has been available since </w:t>
      </w:r>
      <w:r w:rsidR="007907B5">
        <w:rPr>
          <w:rFonts w:ascii="Times New Roman" w:hAnsi="Times New Roman" w:cs="Times New Roman"/>
        </w:rPr>
        <w:t>1997</w:t>
      </w:r>
      <w:r>
        <w:rPr>
          <w:rFonts w:ascii="Times New Roman" w:hAnsi="Times New Roman" w:cs="Times New Roman"/>
        </w:rPr>
        <w:t>.  This is not the time to take it away.</w:t>
      </w:r>
      <w:r w:rsidR="007907B5">
        <w:rPr>
          <w:rFonts w:ascii="Times New Roman" w:hAnsi="Times New Roman" w:cs="Times New Roman"/>
        </w:rPr>
        <w:t xml:space="preserve"> </w:t>
      </w:r>
      <w:r>
        <w:rPr>
          <w:rFonts w:ascii="Times New Roman" w:hAnsi="Times New Roman" w:cs="Times New Roman"/>
        </w:rPr>
        <w:t xml:space="preserve"> The Energy Project </w:t>
      </w:r>
      <w:r w:rsidR="00517238">
        <w:rPr>
          <w:rFonts w:ascii="Times New Roman" w:hAnsi="Times New Roman" w:cs="Times New Roman"/>
        </w:rPr>
        <w:t>do</w:t>
      </w:r>
      <w:r>
        <w:rPr>
          <w:rFonts w:ascii="Times New Roman" w:hAnsi="Times New Roman" w:cs="Times New Roman"/>
        </w:rPr>
        <w:t>es</w:t>
      </w:r>
      <w:r w:rsidR="00517238">
        <w:rPr>
          <w:rFonts w:ascii="Times New Roman" w:hAnsi="Times New Roman" w:cs="Times New Roman"/>
        </w:rPr>
        <w:t xml:space="preserve"> not agree with staff and PSE that elimination of this cap on disconnections will have no detrimental effect on customer service.</w:t>
      </w:r>
      <w:r w:rsidR="00CC7D81">
        <w:rPr>
          <w:rFonts w:ascii="Times New Roman" w:hAnsi="Times New Roman" w:cs="Times New Roman"/>
        </w:rPr>
        <w:t xml:space="preserve"> The customers who are disconnected </w:t>
      </w:r>
      <w:r w:rsidR="00CC7D81">
        <w:rPr>
          <w:rFonts w:ascii="Times New Roman" w:hAnsi="Times New Roman" w:cs="Times New Roman"/>
        </w:rPr>
        <w:lastRenderedPageBreak/>
        <w:t xml:space="preserve">are likely to hold a different opinion and may experience some unintended effects on their families. The goal of SQI-9 is to </w:t>
      </w:r>
      <w:r w:rsidR="009A17F3">
        <w:rPr>
          <w:rFonts w:ascii="Times New Roman" w:hAnsi="Times New Roman" w:cs="Times New Roman"/>
        </w:rPr>
        <w:t>limit</w:t>
      </w:r>
      <w:r w:rsidR="00CC7D81">
        <w:rPr>
          <w:rFonts w:ascii="Times New Roman" w:hAnsi="Times New Roman" w:cs="Times New Roman"/>
        </w:rPr>
        <w:t xml:space="preserve"> disconnections and encourage strongly the Company to work with customers to limit disconnections.</w:t>
      </w:r>
      <w:r w:rsidR="00145233">
        <w:rPr>
          <w:rFonts w:ascii="Times New Roman" w:hAnsi="Times New Roman" w:cs="Times New Roman"/>
        </w:rPr>
        <w:t xml:space="preserve"> </w:t>
      </w:r>
    </w:p>
    <w:p w:rsidR="00145233" w:rsidRPr="00675AD2" w:rsidRDefault="00F836D1" w:rsidP="00145233">
      <w:pPr>
        <w:spacing w:after="0" w:line="480" w:lineRule="auto"/>
        <w:ind w:firstLine="720"/>
        <w:rPr>
          <w:rFonts w:ascii="Times New Roman" w:hAnsi="Times New Roman" w:cs="Times New Roman"/>
        </w:rPr>
      </w:pPr>
      <w:r>
        <w:rPr>
          <w:rFonts w:ascii="Times New Roman" w:hAnsi="Times New Roman" w:cs="Times New Roman"/>
        </w:rPr>
        <w:t>SQI</w:t>
      </w:r>
      <w:r w:rsidR="00E53398">
        <w:rPr>
          <w:rFonts w:ascii="Times New Roman" w:hAnsi="Times New Roman" w:cs="Times New Roman"/>
        </w:rPr>
        <w:t xml:space="preserve"> 9 </w:t>
      </w:r>
      <w:r w:rsidR="0060124F">
        <w:rPr>
          <w:rFonts w:ascii="Times New Roman" w:hAnsi="Times New Roman" w:cs="Times New Roman"/>
        </w:rPr>
        <w:t xml:space="preserve">provides </w:t>
      </w:r>
      <w:r w:rsidR="00550B00">
        <w:rPr>
          <w:rFonts w:ascii="Times New Roman" w:hAnsi="Times New Roman" w:cs="Times New Roman"/>
        </w:rPr>
        <w:t>an important benefit</w:t>
      </w:r>
      <w:r w:rsidR="0060124F">
        <w:rPr>
          <w:rFonts w:ascii="Times New Roman" w:hAnsi="Times New Roman" w:cs="Times New Roman"/>
        </w:rPr>
        <w:t xml:space="preserve"> that </w:t>
      </w:r>
      <w:r w:rsidR="00550B00">
        <w:rPr>
          <w:rFonts w:ascii="Times New Roman" w:hAnsi="Times New Roman" w:cs="Times New Roman"/>
        </w:rPr>
        <w:t xml:space="preserve">is </w:t>
      </w:r>
      <w:r w:rsidR="0060124F">
        <w:rPr>
          <w:rFonts w:ascii="Times New Roman" w:hAnsi="Times New Roman" w:cs="Times New Roman"/>
        </w:rPr>
        <w:t xml:space="preserve">not available through PSE’s low-income programs.   </w:t>
      </w:r>
      <w:r w:rsidR="00550B00">
        <w:rPr>
          <w:rFonts w:ascii="Times New Roman" w:hAnsi="Times New Roman" w:cs="Times New Roman"/>
        </w:rPr>
        <w:t>It</w:t>
      </w:r>
      <w:r w:rsidR="0060124F">
        <w:rPr>
          <w:rFonts w:ascii="Times New Roman" w:hAnsi="Times New Roman" w:cs="Times New Roman"/>
        </w:rPr>
        <w:t xml:space="preserve"> </w:t>
      </w:r>
      <w:r w:rsidR="003E4957">
        <w:rPr>
          <w:rFonts w:ascii="Times New Roman" w:hAnsi="Times New Roman" w:cs="Times New Roman"/>
        </w:rPr>
        <w:t>is</w:t>
      </w:r>
      <w:r w:rsidR="00E53398">
        <w:rPr>
          <w:rFonts w:ascii="Times New Roman" w:hAnsi="Times New Roman" w:cs="Times New Roman"/>
        </w:rPr>
        <w:t xml:space="preserve"> </w:t>
      </w:r>
      <w:r w:rsidR="0060124F">
        <w:rPr>
          <w:rFonts w:ascii="Times New Roman" w:hAnsi="Times New Roman" w:cs="Times New Roman"/>
        </w:rPr>
        <w:t xml:space="preserve">not means-based; instead it is </w:t>
      </w:r>
      <w:r w:rsidR="00E53398">
        <w:rPr>
          <w:rFonts w:ascii="Times New Roman" w:hAnsi="Times New Roman" w:cs="Times New Roman"/>
        </w:rPr>
        <w:t xml:space="preserve">available to all residential </w:t>
      </w:r>
      <w:r>
        <w:rPr>
          <w:rFonts w:ascii="Times New Roman" w:hAnsi="Times New Roman" w:cs="Times New Roman"/>
        </w:rPr>
        <w:t>customers</w:t>
      </w:r>
      <w:r w:rsidR="0060124F">
        <w:rPr>
          <w:rFonts w:ascii="Times New Roman" w:hAnsi="Times New Roman" w:cs="Times New Roman"/>
        </w:rPr>
        <w:t>.  Thus it</w:t>
      </w:r>
      <w:r w:rsidR="00CF1B7A">
        <w:rPr>
          <w:rFonts w:ascii="Times New Roman" w:hAnsi="Times New Roman" w:cs="Times New Roman"/>
        </w:rPr>
        <w:t xml:space="preserve"> can</w:t>
      </w:r>
      <w:r w:rsidR="0060124F">
        <w:rPr>
          <w:rFonts w:ascii="Times New Roman" w:hAnsi="Times New Roman" w:cs="Times New Roman"/>
        </w:rPr>
        <w:t xml:space="preserve"> provide much-needed protection to customers </w:t>
      </w:r>
      <w:r w:rsidR="006848E3">
        <w:rPr>
          <w:rFonts w:ascii="Times New Roman" w:hAnsi="Times New Roman" w:cs="Times New Roman"/>
        </w:rPr>
        <w:t xml:space="preserve">whose incomes are slightly above the poverty level but still </w:t>
      </w:r>
      <w:r w:rsidR="0060124F">
        <w:rPr>
          <w:rFonts w:ascii="Times New Roman" w:hAnsi="Times New Roman" w:cs="Times New Roman"/>
        </w:rPr>
        <w:t>near the bottom of the economic ladder</w:t>
      </w:r>
      <w:r w:rsidR="003E4957">
        <w:rPr>
          <w:rFonts w:ascii="Times New Roman" w:hAnsi="Times New Roman" w:cs="Times New Roman"/>
        </w:rPr>
        <w:t>.</w:t>
      </w:r>
      <w:r w:rsidR="006848E3">
        <w:rPr>
          <w:rFonts w:ascii="Times New Roman" w:hAnsi="Times New Roman" w:cs="Times New Roman"/>
        </w:rPr>
        <w:t xml:space="preserve">  Customers in this category c</w:t>
      </w:r>
      <w:r w:rsidR="00550B00">
        <w:rPr>
          <w:rFonts w:ascii="Times New Roman" w:hAnsi="Times New Roman" w:cs="Times New Roman"/>
        </w:rPr>
        <w:t>an be particularly vulnerable</w:t>
      </w:r>
      <w:r w:rsidR="006848E3">
        <w:rPr>
          <w:rFonts w:ascii="Times New Roman" w:hAnsi="Times New Roman" w:cs="Times New Roman"/>
        </w:rPr>
        <w:t xml:space="preserve">. </w:t>
      </w:r>
    </w:p>
    <w:p w:rsidR="00145233" w:rsidRPr="00675AD2" w:rsidRDefault="007907B5" w:rsidP="00145233">
      <w:pPr>
        <w:spacing w:after="0" w:line="480" w:lineRule="auto"/>
        <w:ind w:firstLine="720"/>
        <w:rPr>
          <w:rFonts w:ascii="Times New Roman" w:hAnsi="Times New Roman" w:cs="Times New Roman"/>
        </w:rPr>
      </w:pPr>
      <w:r>
        <w:rPr>
          <w:rFonts w:ascii="Times New Roman" w:hAnsi="Times New Roman" w:cs="Times New Roman"/>
        </w:rPr>
        <w:t>PSE</w:t>
      </w:r>
      <w:r w:rsidR="00550B00">
        <w:rPr>
          <w:rFonts w:ascii="Times New Roman" w:hAnsi="Times New Roman" w:cs="Times New Roman"/>
        </w:rPr>
        <w:t>’s</w:t>
      </w:r>
      <w:r>
        <w:rPr>
          <w:rFonts w:ascii="Times New Roman" w:hAnsi="Times New Roman" w:cs="Times New Roman"/>
        </w:rPr>
        <w:t xml:space="preserve">  Annual  Report for 2010 on SQI and Electric Service Reliability ( Exhibit  RK-2) </w:t>
      </w:r>
      <w:r w:rsidR="006848E3">
        <w:rPr>
          <w:rFonts w:ascii="Times New Roman" w:hAnsi="Times New Roman" w:cs="Times New Roman"/>
        </w:rPr>
        <w:t xml:space="preserve">clearly demonstrates that SQI-9 provides meaningful protection against disconnections related to the economic downturn: </w:t>
      </w:r>
      <w:r>
        <w:rPr>
          <w:rFonts w:ascii="Times New Roman" w:hAnsi="Times New Roman" w:cs="Times New Roman"/>
        </w:rPr>
        <w:t xml:space="preserve"> “The number of disconnect complaints remain relatively stable from 2009 to 2010 </w:t>
      </w:r>
      <w:r w:rsidRPr="007907B5">
        <w:rPr>
          <w:rFonts w:ascii="Times New Roman" w:hAnsi="Times New Roman" w:cs="Times New Roman"/>
          <w:i/>
        </w:rPr>
        <w:t>even with the significant increase in completed disconnects</w:t>
      </w:r>
      <w:r w:rsidR="003E4957">
        <w:rPr>
          <w:rFonts w:ascii="Times New Roman" w:hAnsi="Times New Roman" w:cs="Times New Roman"/>
          <w:i/>
        </w:rPr>
        <w:t xml:space="preserve"> </w:t>
      </w:r>
      <w:r w:rsidRPr="007907B5">
        <w:rPr>
          <w:rFonts w:ascii="Times New Roman" w:hAnsi="Times New Roman" w:cs="Times New Roman"/>
          <w:i/>
        </w:rPr>
        <w:t>from 53,500 in 2009 to 70,500 in 2010</w:t>
      </w: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emphasis added.” Th</w:t>
      </w:r>
      <w:r w:rsidR="00CC7D81">
        <w:rPr>
          <w:rFonts w:ascii="Times New Roman" w:hAnsi="Times New Roman" w:cs="Times New Roman"/>
        </w:rPr>
        <w:t>is</w:t>
      </w:r>
      <w:r>
        <w:rPr>
          <w:rFonts w:ascii="Times New Roman" w:hAnsi="Times New Roman" w:cs="Times New Roman"/>
        </w:rPr>
        <w:t xml:space="preserve"> trend </w:t>
      </w:r>
      <w:r w:rsidR="003E4957">
        <w:rPr>
          <w:rFonts w:ascii="Times New Roman" w:hAnsi="Times New Roman" w:cs="Times New Roman"/>
        </w:rPr>
        <w:t xml:space="preserve">of a </w:t>
      </w:r>
      <w:r>
        <w:rPr>
          <w:rFonts w:ascii="Times New Roman" w:hAnsi="Times New Roman" w:cs="Times New Roman"/>
        </w:rPr>
        <w:t xml:space="preserve">greater number of disconnects continues </w:t>
      </w:r>
      <w:r w:rsidR="003E4957">
        <w:rPr>
          <w:rFonts w:ascii="Times New Roman" w:hAnsi="Times New Roman" w:cs="Times New Roman"/>
        </w:rPr>
        <w:t>from 2009</w:t>
      </w:r>
      <w:r w:rsidR="00CC7D81">
        <w:rPr>
          <w:rFonts w:ascii="Times New Roman" w:hAnsi="Times New Roman" w:cs="Times New Roman"/>
        </w:rPr>
        <w:t xml:space="preserve"> to over 64,000 in 2011 (Exhibit JAP-65 CX</w:t>
      </w:r>
      <w:r w:rsidR="006848E3">
        <w:rPr>
          <w:rFonts w:ascii="Times New Roman" w:hAnsi="Times New Roman" w:cs="Times New Roman"/>
        </w:rPr>
        <w:t>, p. 16</w:t>
      </w:r>
      <w:r w:rsidR="00CC7D81">
        <w:rPr>
          <w:rFonts w:ascii="Times New Roman" w:hAnsi="Times New Roman" w:cs="Times New Roman"/>
        </w:rPr>
        <w:t>).</w:t>
      </w:r>
      <w:r w:rsidR="00BF7F51">
        <w:rPr>
          <w:rFonts w:ascii="Times New Roman" w:hAnsi="Times New Roman" w:cs="Times New Roman"/>
        </w:rPr>
        <w:t xml:space="preserve"> </w:t>
      </w:r>
    </w:p>
    <w:p w:rsidR="00145233" w:rsidRPr="00675AD2" w:rsidRDefault="00F44BDA" w:rsidP="00145233">
      <w:pPr>
        <w:spacing w:after="0" w:line="480" w:lineRule="auto"/>
        <w:ind w:firstLine="720"/>
        <w:rPr>
          <w:rFonts w:ascii="Times New Roman" w:hAnsi="Times New Roman" w:cs="Times New Roman"/>
        </w:rPr>
      </w:pPr>
      <w:r>
        <w:rPr>
          <w:rFonts w:ascii="Times New Roman" w:hAnsi="Times New Roman" w:cs="Times New Roman"/>
        </w:rPr>
        <w:t xml:space="preserve"> Staff acknowledges that th</w:t>
      </w:r>
      <w:r w:rsidR="00E53398">
        <w:rPr>
          <w:rFonts w:ascii="Times New Roman" w:hAnsi="Times New Roman" w:cs="Times New Roman"/>
        </w:rPr>
        <w:t>e above</w:t>
      </w:r>
      <w:r>
        <w:rPr>
          <w:rFonts w:ascii="Times New Roman" w:hAnsi="Times New Roman" w:cs="Times New Roman"/>
        </w:rPr>
        <w:t xml:space="preserve"> increase from 2009 to 2010 is a 32 percent increase in the number of disconnects</w:t>
      </w:r>
      <w:r w:rsidR="00E53398">
        <w:rPr>
          <w:rFonts w:ascii="Times New Roman" w:hAnsi="Times New Roman" w:cs="Times New Roman"/>
        </w:rPr>
        <w:t xml:space="preserve"> and that</w:t>
      </w:r>
      <w:r>
        <w:rPr>
          <w:rFonts w:ascii="Times New Roman" w:hAnsi="Times New Roman" w:cs="Times New Roman"/>
        </w:rPr>
        <w:t xml:space="preserve"> complaints to the Commission only rose 4.8 percent (</w:t>
      </w:r>
      <w:r w:rsidR="003E4957">
        <w:rPr>
          <w:rFonts w:ascii="Times New Roman" w:hAnsi="Times New Roman" w:cs="Times New Roman"/>
        </w:rPr>
        <w:t>Exhibit RK</w:t>
      </w:r>
      <w:r>
        <w:rPr>
          <w:rFonts w:ascii="Times New Roman" w:hAnsi="Times New Roman" w:cs="Times New Roman"/>
        </w:rPr>
        <w:t xml:space="preserve">-1T p. 8). The Energy Project </w:t>
      </w:r>
      <w:r w:rsidR="00E53398">
        <w:rPr>
          <w:rFonts w:ascii="Times New Roman" w:hAnsi="Times New Roman" w:cs="Times New Roman"/>
        </w:rPr>
        <w:t>acknowledges the</w:t>
      </w:r>
      <w:r>
        <w:rPr>
          <w:rFonts w:ascii="Times New Roman" w:hAnsi="Times New Roman" w:cs="Times New Roman"/>
        </w:rPr>
        <w:t xml:space="preserve"> good work the</w:t>
      </w:r>
      <w:r w:rsidR="00E53398">
        <w:rPr>
          <w:rFonts w:ascii="Times New Roman" w:hAnsi="Times New Roman" w:cs="Times New Roman"/>
        </w:rPr>
        <w:t xml:space="preserve"> WUTC’s</w:t>
      </w:r>
      <w:r>
        <w:rPr>
          <w:rFonts w:ascii="Times New Roman" w:hAnsi="Times New Roman" w:cs="Times New Roman"/>
        </w:rPr>
        <w:t xml:space="preserve"> </w:t>
      </w:r>
      <w:r w:rsidR="00E53398">
        <w:rPr>
          <w:rFonts w:ascii="Times New Roman" w:hAnsi="Times New Roman" w:cs="Times New Roman"/>
        </w:rPr>
        <w:t>consumer protection</w:t>
      </w:r>
      <w:r>
        <w:rPr>
          <w:rFonts w:ascii="Times New Roman" w:hAnsi="Times New Roman" w:cs="Times New Roman"/>
        </w:rPr>
        <w:t xml:space="preserve"> section</w:t>
      </w:r>
      <w:r w:rsidR="00E53398">
        <w:rPr>
          <w:rFonts w:ascii="Times New Roman" w:hAnsi="Times New Roman" w:cs="Times New Roman"/>
        </w:rPr>
        <w:t xml:space="preserve"> does in working with customers. But we believe that the vast majority of customers are not aware of the Commission customer complaint procedure and this may account for the small uptick in complaints.</w:t>
      </w:r>
      <w:r w:rsidR="00145233">
        <w:rPr>
          <w:rFonts w:ascii="Times New Roman" w:hAnsi="Times New Roman" w:cs="Times New Roman"/>
        </w:rPr>
        <w:t xml:space="preserve"> </w:t>
      </w:r>
      <w:r w:rsidR="00857AEC">
        <w:rPr>
          <w:rFonts w:ascii="Times New Roman" w:hAnsi="Times New Roman" w:cs="Times New Roman"/>
        </w:rPr>
        <w:t xml:space="preserve">Nor does comparing the level of complaints </w:t>
      </w:r>
      <w:r w:rsidR="00032969">
        <w:rPr>
          <w:rFonts w:ascii="Times New Roman" w:hAnsi="Times New Roman" w:cs="Times New Roman"/>
        </w:rPr>
        <w:t>necessarily</w:t>
      </w:r>
      <w:r w:rsidR="00857AEC">
        <w:rPr>
          <w:rFonts w:ascii="Times New Roman" w:hAnsi="Times New Roman" w:cs="Times New Roman"/>
        </w:rPr>
        <w:t xml:space="preserve"> reflect whether PSE is adequately working with customers to limit </w:t>
      </w:r>
      <w:r w:rsidR="00032969">
        <w:rPr>
          <w:rFonts w:ascii="Times New Roman" w:hAnsi="Times New Roman" w:cs="Times New Roman"/>
        </w:rPr>
        <w:t>disconnection, but</w:t>
      </w:r>
      <w:r w:rsidR="00857AEC">
        <w:rPr>
          <w:rFonts w:ascii="Times New Roman" w:hAnsi="Times New Roman" w:cs="Times New Roman"/>
        </w:rPr>
        <w:t xml:space="preserve"> rather reflects accounts wherein the customer believes the discon</w:t>
      </w:r>
      <w:r w:rsidR="004512A1">
        <w:rPr>
          <w:rFonts w:ascii="Times New Roman" w:hAnsi="Times New Roman" w:cs="Times New Roman"/>
        </w:rPr>
        <w:t>n</w:t>
      </w:r>
      <w:r w:rsidR="00857AEC">
        <w:rPr>
          <w:rFonts w:ascii="Times New Roman" w:hAnsi="Times New Roman" w:cs="Times New Roman"/>
        </w:rPr>
        <w:t>ection was improper.</w:t>
      </w:r>
    </w:p>
    <w:p w:rsidR="00145233" w:rsidRPr="00675AD2" w:rsidRDefault="00BF7F51" w:rsidP="00145233">
      <w:pPr>
        <w:spacing w:after="0" w:line="480" w:lineRule="auto"/>
        <w:ind w:firstLine="720"/>
        <w:rPr>
          <w:rFonts w:ascii="Times New Roman" w:hAnsi="Times New Roman" w:cs="Times New Roman"/>
        </w:rPr>
      </w:pPr>
      <w:r>
        <w:rPr>
          <w:rFonts w:ascii="Times New Roman" w:hAnsi="Times New Roman" w:cs="Times New Roman"/>
        </w:rPr>
        <w:t xml:space="preserve">Mr. </w:t>
      </w:r>
      <w:proofErr w:type="spellStart"/>
      <w:r w:rsidR="002537F9">
        <w:rPr>
          <w:rFonts w:ascii="Times New Roman" w:hAnsi="Times New Roman" w:cs="Times New Roman"/>
        </w:rPr>
        <w:t>Kouchi</w:t>
      </w:r>
      <w:proofErr w:type="spellEnd"/>
      <w:r w:rsidR="002537F9">
        <w:rPr>
          <w:rFonts w:ascii="Times New Roman" w:hAnsi="Times New Roman" w:cs="Times New Roman"/>
        </w:rPr>
        <w:t xml:space="preserve"> testified</w:t>
      </w:r>
      <w:r w:rsidR="002909C9">
        <w:rPr>
          <w:rFonts w:ascii="Times New Roman" w:hAnsi="Times New Roman" w:cs="Times New Roman"/>
        </w:rPr>
        <w:t xml:space="preserve"> that eliminating SQI-9 will not harm customers because </w:t>
      </w:r>
      <w:r w:rsidR="00ED3E13">
        <w:rPr>
          <w:rFonts w:ascii="Times New Roman" w:hAnsi="Times New Roman" w:cs="Times New Roman"/>
        </w:rPr>
        <w:t>other</w:t>
      </w:r>
      <w:r w:rsidR="002909C9">
        <w:rPr>
          <w:rFonts w:ascii="Times New Roman" w:hAnsi="Times New Roman" w:cs="Times New Roman"/>
        </w:rPr>
        <w:t xml:space="preserve"> Commission rules </w:t>
      </w:r>
      <w:r w:rsidR="00767045">
        <w:rPr>
          <w:rFonts w:ascii="Times New Roman" w:hAnsi="Times New Roman" w:cs="Times New Roman"/>
        </w:rPr>
        <w:t>already</w:t>
      </w:r>
      <w:r w:rsidR="002909C9">
        <w:rPr>
          <w:rFonts w:ascii="Times New Roman" w:hAnsi="Times New Roman" w:cs="Times New Roman"/>
        </w:rPr>
        <w:t xml:space="preserve"> offer meaningful cus</w:t>
      </w:r>
      <w:r w:rsidR="003E4957">
        <w:rPr>
          <w:rFonts w:ascii="Times New Roman" w:hAnsi="Times New Roman" w:cs="Times New Roman"/>
        </w:rPr>
        <w:t>tomer protection (RK-1T pp. 6-9:</w:t>
      </w:r>
      <w:r w:rsidR="002909C9">
        <w:rPr>
          <w:rFonts w:ascii="Times New Roman" w:hAnsi="Times New Roman" w:cs="Times New Roman"/>
        </w:rPr>
        <w:t xml:space="preserve"> l-6)</w:t>
      </w:r>
      <w:r w:rsidR="00767045">
        <w:rPr>
          <w:rFonts w:ascii="Times New Roman" w:hAnsi="Times New Roman" w:cs="Times New Roman"/>
        </w:rPr>
        <w:t>.</w:t>
      </w:r>
      <w:r w:rsidR="003E4957">
        <w:rPr>
          <w:rFonts w:ascii="Times New Roman" w:hAnsi="Times New Roman" w:cs="Times New Roman"/>
        </w:rPr>
        <w:t xml:space="preserve"> </w:t>
      </w:r>
      <w:r w:rsidR="00767045">
        <w:rPr>
          <w:rFonts w:ascii="Times New Roman" w:hAnsi="Times New Roman" w:cs="Times New Roman"/>
        </w:rPr>
        <w:t xml:space="preserve"> </w:t>
      </w:r>
      <w:r w:rsidR="00134D83">
        <w:rPr>
          <w:rFonts w:ascii="Times New Roman" w:hAnsi="Times New Roman" w:cs="Times New Roman"/>
        </w:rPr>
        <w:t xml:space="preserve">Although the rules to which he cited do provide some protections, none addresses </w:t>
      </w:r>
      <w:r w:rsidR="0079728D">
        <w:rPr>
          <w:rFonts w:ascii="Times New Roman" w:hAnsi="Times New Roman" w:cs="Times New Roman"/>
        </w:rPr>
        <w:t xml:space="preserve">any assistance from </w:t>
      </w:r>
      <w:r w:rsidR="00134D83">
        <w:rPr>
          <w:rFonts w:ascii="Times New Roman" w:hAnsi="Times New Roman" w:cs="Times New Roman"/>
        </w:rPr>
        <w:t xml:space="preserve">disconnection.  Thus they do not provide the same type of protection as SQI-9.  </w:t>
      </w:r>
      <w:r w:rsidR="00F836D1">
        <w:rPr>
          <w:rFonts w:ascii="Times New Roman" w:hAnsi="Times New Roman" w:cs="Times New Roman"/>
        </w:rPr>
        <w:t xml:space="preserve">He also said that the SQI 9 may result in inequitable treatment of customers because it limits the number of customers that PSE can disconnect. </w:t>
      </w:r>
      <w:r w:rsidR="005D5615">
        <w:rPr>
          <w:rFonts w:ascii="Times New Roman" w:hAnsi="Times New Roman" w:cs="Times New Roman"/>
        </w:rPr>
        <w:t xml:space="preserve"> </w:t>
      </w:r>
      <w:r w:rsidR="00142AE6">
        <w:rPr>
          <w:rFonts w:ascii="Times New Roman" w:hAnsi="Times New Roman" w:cs="Times New Roman"/>
        </w:rPr>
        <w:t xml:space="preserve">Ms. McLain </w:t>
      </w:r>
      <w:r w:rsidR="00142AE6">
        <w:rPr>
          <w:rFonts w:ascii="Times New Roman" w:hAnsi="Times New Roman" w:cs="Times New Roman"/>
        </w:rPr>
        <w:lastRenderedPageBreak/>
        <w:t xml:space="preserve">(TR 788-789) agreed on cross examination that this inequity with this measure is simply an inherent feature of having a limitation on disconnections. </w:t>
      </w:r>
    </w:p>
    <w:p w:rsidR="00145233" w:rsidRPr="00675AD2" w:rsidRDefault="00F55D1C" w:rsidP="00145233">
      <w:pPr>
        <w:spacing w:after="0" w:line="480" w:lineRule="auto"/>
        <w:ind w:firstLine="720"/>
        <w:rPr>
          <w:rFonts w:ascii="Times New Roman" w:hAnsi="Times New Roman" w:cs="Times New Roman"/>
        </w:rPr>
      </w:pPr>
      <w:r>
        <w:rPr>
          <w:rFonts w:ascii="Times New Roman" w:hAnsi="Times New Roman" w:cs="Times New Roman"/>
        </w:rPr>
        <w:t xml:space="preserve"> The </w:t>
      </w:r>
      <w:r w:rsidR="00F836D1">
        <w:rPr>
          <w:rFonts w:ascii="Times New Roman" w:hAnsi="Times New Roman" w:cs="Times New Roman"/>
        </w:rPr>
        <w:t>SQI</w:t>
      </w:r>
      <w:r w:rsidR="005D5615">
        <w:rPr>
          <w:rFonts w:ascii="Times New Roman" w:hAnsi="Times New Roman" w:cs="Times New Roman"/>
        </w:rPr>
        <w:t>-</w:t>
      </w:r>
      <w:r w:rsidR="002537F9">
        <w:rPr>
          <w:rFonts w:ascii="Times New Roman" w:hAnsi="Times New Roman" w:cs="Times New Roman"/>
        </w:rPr>
        <w:t>9 limitation</w:t>
      </w:r>
      <w:r w:rsidR="00F836D1">
        <w:rPr>
          <w:rFonts w:ascii="Times New Roman" w:hAnsi="Times New Roman" w:cs="Times New Roman"/>
        </w:rPr>
        <w:t xml:space="preserve"> may </w:t>
      </w:r>
      <w:r w:rsidR="00154D1C">
        <w:rPr>
          <w:rFonts w:ascii="Times New Roman" w:hAnsi="Times New Roman" w:cs="Times New Roman"/>
        </w:rPr>
        <w:t xml:space="preserve">also </w:t>
      </w:r>
      <w:r w:rsidR="00F836D1">
        <w:rPr>
          <w:rFonts w:ascii="Times New Roman" w:hAnsi="Times New Roman" w:cs="Times New Roman"/>
        </w:rPr>
        <w:t xml:space="preserve">be of value to </w:t>
      </w:r>
      <w:r w:rsidR="002537F9">
        <w:rPr>
          <w:rFonts w:ascii="Times New Roman" w:hAnsi="Times New Roman" w:cs="Times New Roman"/>
        </w:rPr>
        <w:t>maintain an</w:t>
      </w:r>
      <w:r w:rsidR="00F836D1">
        <w:rPr>
          <w:rFonts w:ascii="Times New Roman" w:hAnsi="Times New Roman" w:cs="Times New Roman"/>
        </w:rPr>
        <w:t xml:space="preserve"> essential necessity</w:t>
      </w:r>
      <w:r w:rsidR="005D5615">
        <w:rPr>
          <w:rFonts w:ascii="Times New Roman" w:hAnsi="Times New Roman" w:cs="Times New Roman"/>
        </w:rPr>
        <w:t>, utility service</w:t>
      </w:r>
      <w:proofErr w:type="gramStart"/>
      <w:r w:rsidR="005D5615">
        <w:rPr>
          <w:rFonts w:ascii="Times New Roman" w:hAnsi="Times New Roman" w:cs="Times New Roman"/>
        </w:rPr>
        <w:t>,</w:t>
      </w:r>
      <w:r w:rsidR="00F836D1">
        <w:rPr>
          <w:rFonts w:ascii="Times New Roman" w:hAnsi="Times New Roman" w:cs="Times New Roman"/>
        </w:rPr>
        <w:t xml:space="preserve">  and</w:t>
      </w:r>
      <w:proofErr w:type="gramEnd"/>
      <w:r w:rsidR="00F836D1">
        <w:rPr>
          <w:rFonts w:ascii="Times New Roman" w:hAnsi="Times New Roman" w:cs="Times New Roman"/>
        </w:rPr>
        <w:t xml:space="preserve"> encourage a payment plan or other solution to keep a customer on the system while experience payment difficulties. </w:t>
      </w:r>
      <w:r w:rsidR="006848E3">
        <w:rPr>
          <w:rFonts w:ascii="Times New Roman" w:hAnsi="Times New Roman" w:cs="Times New Roman"/>
        </w:rPr>
        <w:t>Although</w:t>
      </w:r>
      <w:r w:rsidR="00F836D1">
        <w:rPr>
          <w:rFonts w:ascii="Times New Roman" w:hAnsi="Times New Roman" w:cs="Times New Roman"/>
        </w:rPr>
        <w:t xml:space="preserve"> SQI does reduce the</w:t>
      </w:r>
      <w:r w:rsidR="006848E3">
        <w:rPr>
          <w:rFonts w:ascii="Times New Roman" w:hAnsi="Times New Roman" w:cs="Times New Roman"/>
        </w:rPr>
        <w:t xml:space="preserve"> total</w:t>
      </w:r>
      <w:r w:rsidR="00F836D1">
        <w:rPr>
          <w:rFonts w:ascii="Times New Roman" w:hAnsi="Times New Roman" w:cs="Times New Roman"/>
        </w:rPr>
        <w:t xml:space="preserve"> number of disconnections</w:t>
      </w:r>
      <w:r w:rsidR="006848E3">
        <w:rPr>
          <w:rFonts w:ascii="Times New Roman" w:hAnsi="Times New Roman" w:cs="Times New Roman"/>
        </w:rPr>
        <w:t>,</w:t>
      </w:r>
      <w:r w:rsidR="00F836D1">
        <w:rPr>
          <w:rFonts w:ascii="Times New Roman" w:hAnsi="Times New Roman" w:cs="Times New Roman"/>
        </w:rPr>
        <w:t xml:space="preserve"> PSE </w:t>
      </w:r>
      <w:r w:rsidR="006848E3">
        <w:rPr>
          <w:rFonts w:ascii="Times New Roman" w:hAnsi="Times New Roman" w:cs="Times New Roman"/>
        </w:rPr>
        <w:t>retains</w:t>
      </w:r>
      <w:r w:rsidR="00F836D1">
        <w:rPr>
          <w:rFonts w:ascii="Times New Roman" w:hAnsi="Times New Roman" w:cs="Times New Roman"/>
        </w:rPr>
        <w:t xml:space="preserve"> the authority to disconnect a customer when there is nonpayment</w:t>
      </w:r>
      <w:r w:rsidR="00154D1C">
        <w:rPr>
          <w:rFonts w:ascii="Times New Roman" w:hAnsi="Times New Roman" w:cs="Times New Roman"/>
        </w:rPr>
        <w:t xml:space="preserve">, a </w:t>
      </w:r>
      <w:r w:rsidR="00F836D1">
        <w:rPr>
          <w:rFonts w:ascii="Times New Roman" w:hAnsi="Times New Roman" w:cs="Times New Roman"/>
        </w:rPr>
        <w:t>safety issue</w:t>
      </w:r>
      <w:r w:rsidR="005D5615">
        <w:rPr>
          <w:rFonts w:ascii="Times New Roman" w:hAnsi="Times New Roman" w:cs="Times New Roman"/>
        </w:rPr>
        <w:t xml:space="preserve"> or other violation of the Commission rules. </w:t>
      </w:r>
      <w:r w:rsidR="006848E3">
        <w:rPr>
          <w:rFonts w:ascii="Times New Roman" w:hAnsi="Times New Roman" w:cs="Times New Roman"/>
        </w:rPr>
        <w:t>In that way,</w:t>
      </w:r>
      <w:r w:rsidR="00F836D1">
        <w:rPr>
          <w:rFonts w:ascii="Times New Roman" w:hAnsi="Times New Roman" w:cs="Times New Roman"/>
        </w:rPr>
        <w:t xml:space="preserve"> SQI</w:t>
      </w:r>
      <w:r w:rsidR="003B4332">
        <w:rPr>
          <w:rFonts w:ascii="Times New Roman" w:hAnsi="Times New Roman" w:cs="Times New Roman"/>
        </w:rPr>
        <w:t>-9</w:t>
      </w:r>
      <w:r w:rsidR="00F836D1">
        <w:rPr>
          <w:rFonts w:ascii="Times New Roman" w:hAnsi="Times New Roman" w:cs="Times New Roman"/>
        </w:rPr>
        <w:t xml:space="preserve"> provide</w:t>
      </w:r>
      <w:r w:rsidR="006848E3">
        <w:rPr>
          <w:rFonts w:ascii="Times New Roman" w:hAnsi="Times New Roman" w:cs="Times New Roman"/>
        </w:rPr>
        <w:t>s</w:t>
      </w:r>
      <w:r w:rsidR="00F836D1">
        <w:rPr>
          <w:rFonts w:ascii="Times New Roman" w:hAnsi="Times New Roman" w:cs="Times New Roman"/>
        </w:rPr>
        <w:t xml:space="preserve"> an incentive </w:t>
      </w:r>
      <w:r w:rsidR="006848E3">
        <w:rPr>
          <w:rFonts w:ascii="Times New Roman" w:hAnsi="Times New Roman" w:cs="Times New Roman"/>
        </w:rPr>
        <w:t xml:space="preserve">for </w:t>
      </w:r>
      <w:r w:rsidR="00154D1C">
        <w:rPr>
          <w:rFonts w:ascii="Times New Roman" w:hAnsi="Times New Roman" w:cs="Times New Roman"/>
        </w:rPr>
        <w:t xml:space="preserve">PSE to </w:t>
      </w:r>
      <w:r w:rsidR="00F836D1">
        <w:rPr>
          <w:rFonts w:ascii="Times New Roman" w:hAnsi="Times New Roman" w:cs="Times New Roman"/>
        </w:rPr>
        <w:t>work closely with customer</w:t>
      </w:r>
      <w:r w:rsidR="006848E3">
        <w:rPr>
          <w:rFonts w:ascii="Times New Roman" w:hAnsi="Times New Roman" w:cs="Times New Roman"/>
        </w:rPr>
        <w:t>s</w:t>
      </w:r>
      <w:r w:rsidR="00F836D1">
        <w:rPr>
          <w:rFonts w:ascii="Times New Roman" w:hAnsi="Times New Roman" w:cs="Times New Roman"/>
        </w:rPr>
        <w:t xml:space="preserve"> and makes </w:t>
      </w:r>
      <w:r w:rsidR="005D5615">
        <w:rPr>
          <w:rFonts w:ascii="Times New Roman" w:hAnsi="Times New Roman" w:cs="Times New Roman"/>
        </w:rPr>
        <w:t>disconnection</w:t>
      </w:r>
      <w:r w:rsidR="00F836D1">
        <w:rPr>
          <w:rFonts w:ascii="Times New Roman" w:hAnsi="Times New Roman" w:cs="Times New Roman"/>
        </w:rPr>
        <w:t xml:space="preserve"> the last option</w:t>
      </w:r>
      <w:r w:rsidR="005D5615">
        <w:rPr>
          <w:rFonts w:ascii="Times New Roman" w:hAnsi="Times New Roman" w:cs="Times New Roman"/>
        </w:rPr>
        <w:t>.</w:t>
      </w:r>
      <w:r w:rsidR="003B4332">
        <w:rPr>
          <w:rFonts w:ascii="Times New Roman" w:hAnsi="Times New Roman" w:cs="Times New Roman"/>
        </w:rPr>
        <w:t xml:space="preserve"> </w:t>
      </w:r>
      <w:r w:rsidR="00C51A24">
        <w:rPr>
          <w:rFonts w:ascii="Times New Roman" w:hAnsi="Times New Roman" w:cs="Times New Roman"/>
        </w:rPr>
        <w:t xml:space="preserve"> As  Ms. McL</w:t>
      </w:r>
      <w:r w:rsidR="003E57C1">
        <w:rPr>
          <w:rFonts w:ascii="Times New Roman" w:hAnsi="Times New Roman" w:cs="Times New Roman"/>
        </w:rPr>
        <w:t xml:space="preserve">ain said in her cross examination “during difficult economic times we have seen an increase in the number of customers pushing to that </w:t>
      </w:r>
      <w:r w:rsidR="00C51A24">
        <w:rPr>
          <w:rFonts w:ascii="Times New Roman" w:hAnsi="Times New Roman" w:cs="Times New Roman"/>
        </w:rPr>
        <w:t>threshold, and</w:t>
      </w:r>
      <w:r w:rsidR="003E57C1">
        <w:rPr>
          <w:rFonts w:ascii="Times New Roman" w:hAnsi="Times New Roman" w:cs="Times New Roman"/>
        </w:rPr>
        <w:t xml:space="preserve"> in some cases</w:t>
      </w:r>
      <w:r w:rsidR="00C51A24">
        <w:rPr>
          <w:rFonts w:ascii="Times New Roman" w:hAnsi="Times New Roman" w:cs="Times New Roman"/>
        </w:rPr>
        <w:t xml:space="preserve"> customers are not necessarily reaching out to us or responding to  those disconnection  notices…”(TR 785 ).</w:t>
      </w:r>
      <w:r w:rsidR="003E57C1">
        <w:rPr>
          <w:rFonts w:ascii="Times New Roman" w:hAnsi="Times New Roman" w:cs="Times New Roman"/>
        </w:rPr>
        <w:t xml:space="preserve"> This SQI</w:t>
      </w:r>
      <w:r w:rsidR="003B4332">
        <w:rPr>
          <w:rFonts w:ascii="Times New Roman" w:hAnsi="Times New Roman" w:cs="Times New Roman"/>
        </w:rPr>
        <w:t xml:space="preserve"> </w:t>
      </w:r>
      <w:r w:rsidR="00F61D76">
        <w:rPr>
          <w:rFonts w:ascii="Times New Roman" w:hAnsi="Times New Roman" w:cs="Times New Roman"/>
        </w:rPr>
        <w:t xml:space="preserve">could potentially </w:t>
      </w:r>
      <w:r w:rsidR="006848E3">
        <w:rPr>
          <w:rFonts w:ascii="Times New Roman" w:hAnsi="Times New Roman" w:cs="Times New Roman"/>
        </w:rPr>
        <w:t>curtail PSE</w:t>
      </w:r>
      <w:r w:rsidR="00F61D76">
        <w:rPr>
          <w:rFonts w:ascii="Times New Roman" w:hAnsi="Times New Roman" w:cs="Times New Roman"/>
        </w:rPr>
        <w:t xml:space="preserve"> </w:t>
      </w:r>
      <w:r w:rsidR="003B4332">
        <w:rPr>
          <w:rFonts w:ascii="Times New Roman" w:hAnsi="Times New Roman" w:cs="Times New Roman"/>
        </w:rPr>
        <w:t>from disconnecting 15,000-20,000 customers next year</w:t>
      </w:r>
      <w:r w:rsidR="00557D33">
        <w:rPr>
          <w:rFonts w:ascii="Times New Roman" w:hAnsi="Times New Roman" w:cs="Times New Roman"/>
        </w:rPr>
        <w:t xml:space="preserve">. </w:t>
      </w:r>
      <w:r w:rsidR="00C51A24">
        <w:rPr>
          <w:rFonts w:ascii="Times New Roman" w:hAnsi="Times New Roman" w:cs="Times New Roman"/>
        </w:rPr>
        <w:t>Neither PSE</w:t>
      </w:r>
      <w:r w:rsidR="003B4332">
        <w:rPr>
          <w:rFonts w:ascii="Times New Roman" w:hAnsi="Times New Roman" w:cs="Times New Roman"/>
        </w:rPr>
        <w:t xml:space="preserve"> nor Staff provided the revenue impact </w:t>
      </w:r>
      <w:r w:rsidR="008965EA">
        <w:rPr>
          <w:rFonts w:ascii="Times New Roman" w:hAnsi="Times New Roman" w:cs="Times New Roman"/>
        </w:rPr>
        <w:t xml:space="preserve">of disconnecting </w:t>
      </w:r>
      <w:r w:rsidR="003B4332">
        <w:rPr>
          <w:rFonts w:ascii="Times New Roman" w:hAnsi="Times New Roman" w:cs="Times New Roman"/>
        </w:rPr>
        <w:t xml:space="preserve">those </w:t>
      </w:r>
      <w:r w:rsidR="003E57C1">
        <w:rPr>
          <w:rFonts w:ascii="Times New Roman" w:hAnsi="Times New Roman" w:cs="Times New Roman"/>
        </w:rPr>
        <w:t>households or</w:t>
      </w:r>
      <w:r w:rsidR="003B4332">
        <w:rPr>
          <w:rFonts w:ascii="Times New Roman" w:hAnsi="Times New Roman" w:cs="Times New Roman"/>
        </w:rPr>
        <w:t xml:space="preserve"> </w:t>
      </w:r>
      <w:r w:rsidR="003E57C1">
        <w:rPr>
          <w:rFonts w:ascii="Times New Roman" w:hAnsi="Times New Roman" w:cs="Times New Roman"/>
        </w:rPr>
        <w:t>the cost</w:t>
      </w:r>
      <w:r w:rsidR="003B4332">
        <w:rPr>
          <w:rFonts w:ascii="Times New Roman" w:hAnsi="Times New Roman" w:cs="Times New Roman"/>
        </w:rPr>
        <w:t xml:space="preserve"> from any collection efforts (TR-78</w:t>
      </w:r>
      <w:r w:rsidR="003E57C1">
        <w:rPr>
          <w:rFonts w:ascii="Times New Roman" w:hAnsi="Times New Roman" w:cs="Times New Roman"/>
        </w:rPr>
        <w:t>7-788</w:t>
      </w:r>
      <w:r w:rsidR="003B4332">
        <w:rPr>
          <w:rFonts w:ascii="Times New Roman" w:hAnsi="Times New Roman" w:cs="Times New Roman"/>
        </w:rPr>
        <w:t>).</w:t>
      </w:r>
      <w:r w:rsidR="008965EA">
        <w:rPr>
          <w:rFonts w:ascii="Times New Roman" w:hAnsi="Times New Roman" w:cs="Times New Roman"/>
        </w:rPr>
        <w:t xml:space="preserve">  Thus there is no evidence what if any impact SQI-9 has on PSE’s revenue requirement.  </w:t>
      </w:r>
    </w:p>
    <w:p w:rsidR="00145233" w:rsidRPr="00675AD2" w:rsidRDefault="00C51A24" w:rsidP="00145233">
      <w:pPr>
        <w:spacing w:after="0" w:line="480" w:lineRule="auto"/>
        <w:ind w:firstLine="720"/>
        <w:rPr>
          <w:rFonts w:ascii="Times New Roman" w:hAnsi="Times New Roman" w:cs="Times New Roman"/>
        </w:rPr>
      </w:pPr>
      <w:r>
        <w:rPr>
          <w:rFonts w:ascii="Times New Roman" w:hAnsi="Times New Roman" w:cs="Times New Roman"/>
        </w:rPr>
        <w:t xml:space="preserve">The Energy Project </w:t>
      </w:r>
      <w:r w:rsidR="008965EA">
        <w:rPr>
          <w:rFonts w:ascii="Times New Roman" w:hAnsi="Times New Roman" w:cs="Times New Roman"/>
        </w:rPr>
        <w:t xml:space="preserve">believes </w:t>
      </w:r>
      <w:r w:rsidR="00F61D76">
        <w:rPr>
          <w:rFonts w:ascii="Times New Roman" w:hAnsi="Times New Roman" w:cs="Times New Roman"/>
        </w:rPr>
        <w:t>SQI</w:t>
      </w:r>
      <w:r>
        <w:rPr>
          <w:rFonts w:ascii="Times New Roman" w:hAnsi="Times New Roman" w:cs="Times New Roman"/>
        </w:rPr>
        <w:t>-</w:t>
      </w:r>
      <w:r w:rsidR="00F61D76">
        <w:rPr>
          <w:rFonts w:ascii="Times New Roman" w:hAnsi="Times New Roman" w:cs="Times New Roman"/>
        </w:rPr>
        <w:t xml:space="preserve">9 </w:t>
      </w:r>
      <w:r w:rsidR="008965EA">
        <w:rPr>
          <w:rFonts w:ascii="Times New Roman" w:hAnsi="Times New Roman" w:cs="Times New Roman"/>
        </w:rPr>
        <w:t xml:space="preserve">should remain in effect.  It has served </w:t>
      </w:r>
      <w:r w:rsidR="00F61D76">
        <w:rPr>
          <w:rFonts w:ascii="Times New Roman" w:hAnsi="Times New Roman" w:cs="Times New Roman"/>
        </w:rPr>
        <w:t>as a benchmark of service quality</w:t>
      </w:r>
      <w:r w:rsidR="008965EA">
        <w:rPr>
          <w:rFonts w:ascii="Times New Roman" w:hAnsi="Times New Roman" w:cs="Times New Roman"/>
        </w:rPr>
        <w:t xml:space="preserve"> and as protection against disconnection for customers with limited incomes</w:t>
      </w:r>
      <w:r>
        <w:rPr>
          <w:rFonts w:ascii="Times New Roman" w:hAnsi="Times New Roman" w:cs="Times New Roman"/>
        </w:rPr>
        <w:t xml:space="preserve"> for over 15 years</w:t>
      </w:r>
      <w:r w:rsidR="008965EA">
        <w:rPr>
          <w:rFonts w:ascii="Times New Roman" w:hAnsi="Times New Roman" w:cs="Times New Roman"/>
        </w:rPr>
        <w:t>.  It</w:t>
      </w:r>
      <w:r>
        <w:rPr>
          <w:rFonts w:ascii="Times New Roman" w:hAnsi="Times New Roman" w:cs="Times New Roman"/>
        </w:rPr>
        <w:t xml:space="preserve"> should not be </w:t>
      </w:r>
      <w:r w:rsidR="00F61D76">
        <w:rPr>
          <w:rFonts w:ascii="Times New Roman" w:hAnsi="Times New Roman" w:cs="Times New Roman"/>
        </w:rPr>
        <w:t xml:space="preserve">stopped </w:t>
      </w:r>
      <w:r>
        <w:rPr>
          <w:rFonts w:ascii="Times New Roman" w:hAnsi="Times New Roman" w:cs="Times New Roman"/>
        </w:rPr>
        <w:t>during these difficult times</w:t>
      </w:r>
      <w:r w:rsidR="00F61D76">
        <w:rPr>
          <w:rFonts w:ascii="Times New Roman" w:hAnsi="Times New Roman" w:cs="Times New Roman"/>
        </w:rPr>
        <w:t xml:space="preserve">. </w:t>
      </w:r>
    </w:p>
    <w:p w:rsidR="00CC7D81" w:rsidRDefault="00CC7D81" w:rsidP="00E84117">
      <w:pPr>
        <w:ind w:left="360"/>
        <w:rPr>
          <w:rFonts w:ascii="Times New Roman" w:hAnsi="Times New Roman" w:cs="Times New Roman"/>
        </w:rPr>
      </w:pPr>
    </w:p>
    <w:p w:rsidR="00145233" w:rsidRDefault="00145233" w:rsidP="00145233">
      <w:pPr>
        <w:ind w:left="4320"/>
        <w:rPr>
          <w:rFonts w:ascii="Times New Roman" w:hAnsi="Times New Roman" w:cs="Times New Roman"/>
        </w:rPr>
      </w:pPr>
      <w:r>
        <w:rPr>
          <w:rFonts w:ascii="Times New Roman" w:hAnsi="Times New Roman" w:cs="Times New Roman"/>
        </w:rPr>
        <w:t xml:space="preserve">Respectfully </w:t>
      </w:r>
      <w:proofErr w:type="gramStart"/>
      <w:r>
        <w:rPr>
          <w:rFonts w:ascii="Times New Roman" w:hAnsi="Times New Roman" w:cs="Times New Roman"/>
        </w:rPr>
        <w:t>Submitted</w:t>
      </w:r>
      <w:proofErr w:type="gramEnd"/>
      <w:r>
        <w:rPr>
          <w:rFonts w:ascii="Times New Roman" w:hAnsi="Times New Roman" w:cs="Times New Roman"/>
        </w:rPr>
        <w:t xml:space="preserve"> this 16</w:t>
      </w:r>
      <w:r w:rsidRPr="00145233">
        <w:rPr>
          <w:rFonts w:ascii="Times New Roman" w:hAnsi="Times New Roman" w:cs="Times New Roman"/>
          <w:vertAlign w:val="superscript"/>
        </w:rPr>
        <w:t>th</w:t>
      </w:r>
      <w:r>
        <w:rPr>
          <w:rFonts w:ascii="Times New Roman" w:hAnsi="Times New Roman" w:cs="Times New Roman"/>
        </w:rPr>
        <w:t xml:space="preserve"> day of March, 2012</w:t>
      </w:r>
    </w:p>
    <w:p w:rsidR="00145233" w:rsidRDefault="00145233" w:rsidP="00145233">
      <w:pPr>
        <w:ind w:left="4320"/>
        <w:rPr>
          <w:rFonts w:ascii="Times New Roman" w:hAnsi="Times New Roman" w:cs="Times New Roman"/>
        </w:rPr>
      </w:pPr>
    </w:p>
    <w:p w:rsidR="00145233" w:rsidRDefault="00145233" w:rsidP="00145233">
      <w:pPr>
        <w:spacing w:after="0" w:line="240" w:lineRule="auto"/>
        <w:ind w:left="4320"/>
        <w:rPr>
          <w:rFonts w:ascii="Times New Roman" w:hAnsi="Times New Roman" w:cs="Times New Roman"/>
        </w:rPr>
      </w:pPr>
      <w:r>
        <w:rPr>
          <w:rFonts w:ascii="Times New Roman" w:hAnsi="Times New Roman" w:cs="Times New Roman"/>
        </w:rPr>
        <w:t xml:space="preserve">___________________________________ </w:t>
      </w:r>
    </w:p>
    <w:p w:rsidR="00145233" w:rsidRDefault="00145233" w:rsidP="00145233">
      <w:pPr>
        <w:spacing w:after="0" w:line="240" w:lineRule="auto"/>
        <w:ind w:left="4320"/>
        <w:rPr>
          <w:rFonts w:ascii="Times New Roman" w:hAnsi="Times New Roman" w:cs="Times New Roman"/>
        </w:rPr>
      </w:pPr>
      <w:r>
        <w:rPr>
          <w:rFonts w:ascii="Times New Roman" w:hAnsi="Times New Roman" w:cs="Times New Roman"/>
        </w:rPr>
        <w:t>Ronald Roseman</w:t>
      </w:r>
    </w:p>
    <w:p w:rsidR="00145233" w:rsidRPr="00E84117" w:rsidRDefault="00145233" w:rsidP="00145233">
      <w:pPr>
        <w:spacing w:after="0" w:line="240" w:lineRule="auto"/>
        <w:ind w:left="4320"/>
        <w:rPr>
          <w:rFonts w:ascii="Times New Roman" w:hAnsi="Times New Roman" w:cs="Times New Roman"/>
        </w:rPr>
      </w:pPr>
      <w:r>
        <w:rPr>
          <w:rFonts w:ascii="Times New Roman" w:hAnsi="Times New Roman" w:cs="Times New Roman"/>
        </w:rPr>
        <w:t xml:space="preserve">Attorney for </w:t>
      </w:r>
      <w:proofErr w:type="gramStart"/>
      <w:r>
        <w:rPr>
          <w:rFonts w:ascii="Times New Roman" w:hAnsi="Times New Roman" w:cs="Times New Roman"/>
        </w:rPr>
        <w:t>The</w:t>
      </w:r>
      <w:proofErr w:type="gramEnd"/>
      <w:r>
        <w:rPr>
          <w:rFonts w:ascii="Times New Roman" w:hAnsi="Times New Roman" w:cs="Times New Roman"/>
        </w:rPr>
        <w:t xml:space="preserve"> Energy Project</w:t>
      </w:r>
    </w:p>
    <w:sectPr w:rsidR="00145233" w:rsidRPr="00E8411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5CC" w:rsidRDefault="009E75CC" w:rsidP="00675AD2">
      <w:pPr>
        <w:spacing w:after="0" w:line="240" w:lineRule="auto"/>
      </w:pPr>
      <w:r>
        <w:separator/>
      </w:r>
    </w:p>
  </w:endnote>
  <w:endnote w:type="continuationSeparator" w:id="0">
    <w:p w:rsidR="009E75CC" w:rsidRDefault="009E75CC" w:rsidP="00675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6A" w:rsidRPr="002F3297" w:rsidRDefault="001A2312" w:rsidP="00702E6A">
    <w:pPr>
      <w:pStyle w:val="Footer"/>
      <w:tabs>
        <w:tab w:val="clear" w:pos="4680"/>
        <w:tab w:val="clear" w:pos="9360"/>
        <w:tab w:val="left" w:pos="1225"/>
      </w:tabs>
      <w:rPr>
        <w:rFonts w:ascii="Times New Roman" w:hAnsi="Times New Roman" w:cs="Times New Roman"/>
      </w:rPr>
    </w:pPr>
    <w:r>
      <w:rPr>
        <w:rFonts w:ascii="Times New Roman" w:hAnsi="Times New Roman" w:cs="Times New Roman"/>
      </w:rPr>
      <w:t xml:space="preserve">Post-Hearing </w:t>
    </w:r>
    <w:r w:rsidR="00C871BB" w:rsidRPr="002F3297">
      <w:rPr>
        <w:rFonts w:ascii="Times New Roman" w:hAnsi="Times New Roman" w:cs="Times New Roman"/>
      </w:rPr>
      <w:t xml:space="preserve">Brief of The Energy Project - </w:t>
    </w:r>
    <w:r w:rsidR="00C871BB" w:rsidRPr="002F3297">
      <w:rPr>
        <w:rFonts w:ascii="Times New Roman" w:hAnsi="Times New Roman" w:cs="Times New Roman"/>
      </w:rPr>
      <w:fldChar w:fldCharType="begin"/>
    </w:r>
    <w:r w:rsidR="00C871BB" w:rsidRPr="002F3297">
      <w:rPr>
        <w:rFonts w:ascii="Times New Roman" w:hAnsi="Times New Roman" w:cs="Times New Roman"/>
      </w:rPr>
      <w:instrText xml:space="preserve"> PAGE   \* MERGEFORMAT </w:instrText>
    </w:r>
    <w:r w:rsidR="00C871BB" w:rsidRPr="002F3297">
      <w:rPr>
        <w:rFonts w:ascii="Times New Roman" w:hAnsi="Times New Roman" w:cs="Times New Roman"/>
      </w:rPr>
      <w:fldChar w:fldCharType="separate"/>
    </w:r>
    <w:r w:rsidR="001D310B">
      <w:rPr>
        <w:rFonts w:ascii="Times New Roman" w:hAnsi="Times New Roman" w:cs="Times New Roman"/>
        <w:noProof/>
      </w:rPr>
      <w:t>1</w:t>
    </w:r>
    <w:r w:rsidR="00C871BB" w:rsidRPr="002F3297">
      <w:rPr>
        <w:rFonts w:ascii="Times New Roman" w:hAnsi="Times New Roman" w:cs="Times New Roman"/>
        <w:noProof/>
      </w:rPr>
      <w:fldChar w:fldCharType="end"/>
    </w:r>
    <w:r w:rsidR="00702E6A" w:rsidRPr="002F3297">
      <w:rPr>
        <w:rFonts w:ascii="Times New Roman" w:hAnsi="Times New Roman" w:cs="Times New Roma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5CC" w:rsidRDefault="009E75CC" w:rsidP="00675AD2">
      <w:pPr>
        <w:spacing w:after="0" w:line="240" w:lineRule="auto"/>
      </w:pPr>
      <w:r>
        <w:separator/>
      </w:r>
    </w:p>
  </w:footnote>
  <w:footnote w:type="continuationSeparator" w:id="0">
    <w:p w:rsidR="009E75CC" w:rsidRDefault="009E75CC" w:rsidP="00675A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C7880"/>
    <w:multiLevelType w:val="hybridMultilevel"/>
    <w:tmpl w:val="B2141E4C"/>
    <w:lvl w:ilvl="0" w:tplc="9A0AF6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50274066"/>
    <w:multiLevelType w:val="hybridMultilevel"/>
    <w:tmpl w:val="7A50D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91"/>
    <w:rsid w:val="00032969"/>
    <w:rsid w:val="0007688C"/>
    <w:rsid w:val="000779F8"/>
    <w:rsid w:val="000B1946"/>
    <w:rsid w:val="00100FF0"/>
    <w:rsid w:val="00126D45"/>
    <w:rsid w:val="00134D83"/>
    <w:rsid w:val="0013660D"/>
    <w:rsid w:val="00136AE2"/>
    <w:rsid w:val="00142AE6"/>
    <w:rsid w:val="00145233"/>
    <w:rsid w:val="00154D1C"/>
    <w:rsid w:val="0019424D"/>
    <w:rsid w:val="00197DBB"/>
    <w:rsid w:val="001A2312"/>
    <w:rsid w:val="001D310B"/>
    <w:rsid w:val="001D46CE"/>
    <w:rsid w:val="001F7307"/>
    <w:rsid w:val="002123F6"/>
    <w:rsid w:val="00233295"/>
    <w:rsid w:val="00236928"/>
    <w:rsid w:val="00237552"/>
    <w:rsid w:val="00244527"/>
    <w:rsid w:val="0024690D"/>
    <w:rsid w:val="002537F9"/>
    <w:rsid w:val="00263133"/>
    <w:rsid w:val="0026405A"/>
    <w:rsid w:val="00265AA5"/>
    <w:rsid w:val="002909C9"/>
    <w:rsid w:val="0029693C"/>
    <w:rsid w:val="002D157D"/>
    <w:rsid w:val="002F3297"/>
    <w:rsid w:val="00306A97"/>
    <w:rsid w:val="00355CD0"/>
    <w:rsid w:val="003757ED"/>
    <w:rsid w:val="003B4332"/>
    <w:rsid w:val="003D5012"/>
    <w:rsid w:val="003D6078"/>
    <w:rsid w:val="003E4957"/>
    <w:rsid w:val="003E57C1"/>
    <w:rsid w:val="00403EFC"/>
    <w:rsid w:val="00411591"/>
    <w:rsid w:val="004236AD"/>
    <w:rsid w:val="00434A8B"/>
    <w:rsid w:val="004512A1"/>
    <w:rsid w:val="0045187A"/>
    <w:rsid w:val="00464ECB"/>
    <w:rsid w:val="00480FAC"/>
    <w:rsid w:val="00483A55"/>
    <w:rsid w:val="00484540"/>
    <w:rsid w:val="0048742A"/>
    <w:rsid w:val="004A7C86"/>
    <w:rsid w:val="004F1ED1"/>
    <w:rsid w:val="00517238"/>
    <w:rsid w:val="0052350C"/>
    <w:rsid w:val="00541E55"/>
    <w:rsid w:val="00550B00"/>
    <w:rsid w:val="00551B8A"/>
    <w:rsid w:val="0055549F"/>
    <w:rsid w:val="00557D33"/>
    <w:rsid w:val="005B6537"/>
    <w:rsid w:val="005D5615"/>
    <w:rsid w:val="00600AD5"/>
    <w:rsid w:val="0060124F"/>
    <w:rsid w:val="00626C40"/>
    <w:rsid w:val="006409A9"/>
    <w:rsid w:val="00654FEC"/>
    <w:rsid w:val="00667397"/>
    <w:rsid w:val="00675AD2"/>
    <w:rsid w:val="006848E3"/>
    <w:rsid w:val="006F5083"/>
    <w:rsid w:val="00701CD8"/>
    <w:rsid w:val="00702E6A"/>
    <w:rsid w:val="007116EE"/>
    <w:rsid w:val="00712231"/>
    <w:rsid w:val="00767045"/>
    <w:rsid w:val="00786807"/>
    <w:rsid w:val="007907B5"/>
    <w:rsid w:val="00794290"/>
    <w:rsid w:val="0079728D"/>
    <w:rsid w:val="007D6D18"/>
    <w:rsid w:val="007E4950"/>
    <w:rsid w:val="007F0860"/>
    <w:rsid w:val="007F47E4"/>
    <w:rsid w:val="00814D29"/>
    <w:rsid w:val="00832EC9"/>
    <w:rsid w:val="008534BB"/>
    <w:rsid w:val="00857AEC"/>
    <w:rsid w:val="008965EA"/>
    <w:rsid w:val="008A6F74"/>
    <w:rsid w:val="008D3689"/>
    <w:rsid w:val="00900013"/>
    <w:rsid w:val="00901B17"/>
    <w:rsid w:val="009125BA"/>
    <w:rsid w:val="009376D5"/>
    <w:rsid w:val="009441DD"/>
    <w:rsid w:val="00960890"/>
    <w:rsid w:val="009652C0"/>
    <w:rsid w:val="0097441A"/>
    <w:rsid w:val="0098501E"/>
    <w:rsid w:val="009A17F3"/>
    <w:rsid w:val="009A709E"/>
    <w:rsid w:val="009E75CC"/>
    <w:rsid w:val="00A06C29"/>
    <w:rsid w:val="00A22F31"/>
    <w:rsid w:val="00AA13E7"/>
    <w:rsid w:val="00AA6F55"/>
    <w:rsid w:val="00AA7624"/>
    <w:rsid w:val="00AB03DA"/>
    <w:rsid w:val="00AB232B"/>
    <w:rsid w:val="00B1373A"/>
    <w:rsid w:val="00B449C2"/>
    <w:rsid w:val="00B551F7"/>
    <w:rsid w:val="00B73D0C"/>
    <w:rsid w:val="00BA710B"/>
    <w:rsid w:val="00BB2229"/>
    <w:rsid w:val="00BB5DD2"/>
    <w:rsid w:val="00BC19C2"/>
    <w:rsid w:val="00BD1A7B"/>
    <w:rsid w:val="00BE67DD"/>
    <w:rsid w:val="00BF28DE"/>
    <w:rsid w:val="00BF7F51"/>
    <w:rsid w:val="00C011D3"/>
    <w:rsid w:val="00C07FCA"/>
    <w:rsid w:val="00C1331B"/>
    <w:rsid w:val="00C22419"/>
    <w:rsid w:val="00C33948"/>
    <w:rsid w:val="00C423CB"/>
    <w:rsid w:val="00C44330"/>
    <w:rsid w:val="00C51A24"/>
    <w:rsid w:val="00C62AF7"/>
    <w:rsid w:val="00C871BB"/>
    <w:rsid w:val="00C94B0A"/>
    <w:rsid w:val="00CB0DC5"/>
    <w:rsid w:val="00CC7D81"/>
    <w:rsid w:val="00CE4DF4"/>
    <w:rsid w:val="00CF1B7A"/>
    <w:rsid w:val="00D12FC5"/>
    <w:rsid w:val="00D44C32"/>
    <w:rsid w:val="00D57682"/>
    <w:rsid w:val="00D81003"/>
    <w:rsid w:val="00D87A74"/>
    <w:rsid w:val="00DF172B"/>
    <w:rsid w:val="00DF2DC1"/>
    <w:rsid w:val="00E53398"/>
    <w:rsid w:val="00E828BA"/>
    <w:rsid w:val="00E84117"/>
    <w:rsid w:val="00E87971"/>
    <w:rsid w:val="00E911CA"/>
    <w:rsid w:val="00E963C6"/>
    <w:rsid w:val="00EB1D52"/>
    <w:rsid w:val="00EC1E20"/>
    <w:rsid w:val="00ED3E13"/>
    <w:rsid w:val="00EE1F01"/>
    <w:rsid w:val="00EF2C1C"/>
    <w:rsid w:val="00EF3FBB"/>
    <w:rsid w:val="00F44BDA"/>
    <w:rsid w:val="00F475D2"/>
    <w:rsid w:val="00F55D1C"/>
    <w:rsid w:val="00F61D76"/>
    <w:rsid w:val="00F74D4F"/>
    <w:rsid w:val="00F836D1"/>
    <w:rsid w:val="00FB73F7"/>
    <w:rsid w:val="00FC2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591"/>
    <w:pPr>
      <w:ind w:left="720"/>
      <w:contextualSpacing/>
    </w:pPr>
  </w:style>
  <w:style w:type="paragraph" w:styleId="BalloonText">
    <w:name w:val="Balloon Text"/>
    <w:basedOn w:val="Normal"/>
    <w:link w:val="BalloonTextChar"/>
    <w:uiPriority w:val="99"/>
    <w:semiHidden/>
    <w:unhideWhenUsed/>
    <w:rsid w:val="00194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4D"/>
    <w:rPr>
      <w:rFonts w:ascii="Tahoma" w:hAnsi="Tahoma" w:cs="Tahoma"/>
      <w:sz w:val="16"/>
      <w:szCs w:val="16"/>
    </w:rPr>
  </w:style>
  <w:style w:type="character" w:styleId="CommentReference">
    <w:name w:val="annotation reference"/>
    <w:basedOn w:val="DefaultParagraphFont"/>
    <w:uiPriority w:val="99"/>
    <w:semiHidden/>
    <w:unhideWhenUsed/>
    <w:rsid w:val="0019424D"/>
    <w:rPr>
      <w:sz w:val="16"/>
      <w:szCs w:val="16"/>
    </w:rPr>
  </w:style>
  <w:style w:type="paragraph" w:styleId="CommentText">
    <w:name w:val="annotation text"/>
    <w:basedOn w:val="Normal"/>
    <w:link w:val="CommentTextChar"/>
    <w:uiPriority w:val="99"/>
    <w:semiHidden/>
    <w:unhideWhenUsed/>
    <w:rsid w:val="0019424D"/>
    <w:pPr>
      <w:spacing w:line="240" w:lineRule="auto"/>
    </w:pPr>
    <w:rPr>
      <w:sz w:val="20"/>
      <w:szCs w:val="20"/>
    </w:rPr>
  </w:style>
  <w:style w:type="character" w:customStyle="1" w:styleId="CommentTextChar">
    <w:name w:val="Comment Text Char"/>
    <w:basedOn w:val="DefaultParagraphFont"/>
    <w:link w:val="CommentText"/>
    <w:uiPriority w:val="99"/>
    <w:semiHidden/>
    <w:rsid w:val="0019424D"/>
    <w:rPr>
      <w:sz w:val="20"/>
      <w:szCs w:val="20"/>
    </w:rPr>
  </w:style>
  <w:style w:type="paragraph" w:styleId="CommentSubject">
    <w:name w:val="annotation subject"/>
    <w:basedOn w:val="CommentText"/>
    <w:next w:val="CommentText"/>
    <w:link w:val="CommentSubjectChar"/>
    <w:uiPriority w:val="99"/>
    <w:semiHidden/>
    <w:unhideWhenUsed/>
    <w:rsid w:val="0019424D"/>
    <w:rPr>
      <w:b/>
      <w:bCs/>
    </w:rPr>
  </w:style>
  <w:style w:type="character" w:customStyle="1" w:styleId="CommentSubjectChar">
    <w:name w:val="Comment Subject Char"/>
    <w:basedOn w:val="CommentTextChar"/>
    <w:link w:val="CommentSubject"/>
    <w:uiPriority w:val="99"/>
    <w:semiHidden/>
    <w:rsid w:val="0019424D"/>
    <w:rPr>
      <w:b/>
      <w:bCs/>
      <w:sz w:val="20"/>
      <w:szCs w:val="20"/>
    </w:rPr>
  </w:style>
  <w:style w:type="paragraph" w:styleId="Header">
    <w:name w:val="header"/>
    <w:basedOn w:val="Normal"/>
    <w:link w:val="HeaderChar"/>
    <w:uiPriority w:val="99"/>
    <w:unhideWhenUsed/>
    <w:rsid w:val="00675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AD2"/>
  </w:style>
  <w:style w:type="paragraph" w:styleId="Footer">
    <w:name w:val="footer"/>
    <w:basedOn w:val="Normal"/>
    <w:link w:val="FooterChar"/>
    <w:uiPriority w:val="99"/>
    <w:unhideWhenUsed/>
    <w:rsid w:val="00675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AD2"/>
  </w:style>
  <w:style w:type="paragraph" w:customStyle="1" w:styleId="CourtName">
    <w:name w:val="CourtName"/>
    <w:basedOn w:val="Normal"/>
    <w:rsid w:val="00675AD2"/>
    <w:pPr>
      <w:overflowPunct w:val="0"/>
      <w:autoSpaceDE w:val="0"/>
      <w:autoSpaceDN w:val="0"/>
      <w:adjustRightInd w:val="0"/>
      <w:spacing w:after="0" w:line="240" w:lineRule="exact"/>
      <w:jc w:val="center"/>
      <w:textAlignment w:val="baseline"/>
    </w:pPr>
    <w:rPr>
      <w:rFonts w:ascii="Times New Roman" w:eastAsia="Times New Roman" w:hAnsi="Times New Roman" w:cs="Times New Roman"/>
      <w:b/>
      <w:bCs/>
      <w:sz w:val="24"/>
      <w:szCs w:val="24"/>
    </w:rPr>
  </w:style>
  <w:style w:type="paragraph" w:customStyle="1" w:styleId="DocTitle">
    <w:name w:val="DocTitle"/>
    <w:basedOn w:val="Normal"/>
    <w:next w:val="Normal"/>
    <w:rsid w:val="00675AD2"/>
    <w:pPr>
      <w:overflowPunct w:val="0"/>
      <w:autoSpaceDE w:val="0"/>
      <w:autoSpaceDN w:val="0"/>
      <w:adjustRightInd w:val="0"/>
      <w:spacing w:after="0" w:line="240" w:lineRule="exact"/>
      <w:textAlignment w:val="baseline"/>
    </w:pPr>
    <w:rPr>
      <w:rFonts w:ascii="Times New Roman" w:eastAsia="Times New Roman" w:hAnsi="Times New Roman" w:cs="Times New Roman"/>
      <w:caps/>
      <w:sz w:val="24"/>
      <w:szCs w:val="24"/>
    </w:rPr>
  </w:style>
  <w:style w:type="paragraph" w:customStyle="1" w:styleId="Parties">
    <w:name w:val="Parties"/>
    <w:basedOn w:val="Normal"/>
    <w:rsid w:val="00675AD2"/>
    <w:pPr>
      <w:overflowPunct w:val="0"/>
      <w:autoSpaceDE w:val="0"/>
      <w:autoSpaceDN w:val="0"/>
      <w:adjustRightInd w:val="0"/>
      <w:spacing w:after="0" w:line="240" w:lineRule="exact"/>
      <w:textAlignment w:val="baseline"/>
    </w:pPr>
    <w:rPr>
      <w:rFonts w:ascii="Times New Roman" w:eastAsia="Times New Roman" w:hAnsi="Times New Roman" w:cs="Times New Roman"/>
      <w:sz w:val="24"/>
      <w:szCs w:val="24"/>
    </w:rPr>
  </w:style>
  <w:style w:type="paragraph" w:customStyle="1" w:styleId="Case">
    <w:name w:val="Case#"/>
    <w:basedOn w:val="Parties"/>
    <w:next w:val="DocTitle"/>
    <w:rsid w:val="00675AD2"/>
  </w:style>
  <w:style w:type="character" w:styleId="Hyperlink">
    <w:name w:val="Hyperlink"/>
    <w:basedOn w:val="DefaultParagraphFont"/>
    <w:uiPriority w:val="99"/>
    <w:unhideWhenUsed/>
    <w:rsid w:val="00D576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591"/>
    <w:pPr>
      <w:ind w:left="720"/>
      <w:contextualSpacing/>
    </w:pPr>
  </w:style>
  <w:style w:type="paragraph" w:styleId="BalloonText">
    <w:name w:val="Balloon Text"/>
    <w:basedOn w:val="Normal"/>
    <w:link w:val="BalloonTextChar"/>
    <w:uiPriority w:val="99"/>
    <w:semiHidden/>
    <w:unhideWhenUsed/>
    <w:rsid w:val="00194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4D"/>
    <w:rPr>
      <w:rFonts w:ascii="Tahoma" w:hAnsi="Tahoma" w:cs="Tahoma"/>
      <w:sz w:val="16"/>
      <w:szCs w:val="16"/>
    </w:rPr>
  </w:style>
  <w:style w:type="character" w:styleId="CommentReference">
    <w:name w:val="annotation reference"/>
    <w:basedOn w:val="DefaultParagraphFont"/>
    <w:uiPriority w:val="99"/>
    <w:semiHidden/>
    <w:unhideWhenUsed/>
    <w:rsid w:val="0019424D"/>
    <w:rPr>
      <w:sz w:val="16"/>
      <w:szCs w:val="16"/>
    </w:rPr>
  </w:style>
  <w:style w:type="paragraph" w:styleId="CommentText">
    <w:name w:val="annotation text"/>
    <w:basedOn w:val="Normal"/>
    <w:link w:val="CommentTextChar"/>
    <w:uiPriority w:val="99"/>
    <w:semiHidden/>
    <w:unhideWhenUsed/>
    <w:rsid w:val="0019424D"/>
    <w:pPr>
      <w:spacing w:line="240" w:lineRule="auto"/>
    </w:pPr>
    <w:rPr>
      <w:sz w:val="20"/>
      <w:szCs w:val="20"/>
    </w:rPr>
  </w:style>
  <w:style w:type="character" w:customStyle="1" w:styleId="CommentTextChar">
    <w:name w:val="Comment Text Char"/>
    <w:basedOn w:val="DefaultParagraphFont"/>
    <w:link w:val="CommentText"/>
    <w:uiPriority w:val="99"/>
    <w:semiHidden/>
    <w:rsid w:val="0019424D"/>
    <w:rPr>
      <w:sz w:val="20"/>
      <w:szCs w:val="20"/>
    </w:rPr>
  </w:style>
  <w:style w:type="paragraph" w:styleId="CommentSubject">
    <w:name w:val="annotation subject"/>
    <w:basedOn w:val="CommentText"/>
    <w:next w:val="CommentText"/>
    <w:link w:val="CommentSubjectChar"/>
    <w:uiPriority w:val="99"/>
    <w:semiHidden/>
    <w:unhideWhenUsed/>
    <w:rsid w:val="0019424D"/>
    <w:rPr>
      <w:b/>
      <w:bCs/>
    </w:rPr>
  </w:style>
  <w:style w:type="character" w:customStyle="1" w:styleId="CommentSubjectChar">
    <w:name w:val="Comment Subject Char"/>
    <w:basedOn w:val="CommentTextChar"/>
    <w:link w:val="CommentSubject"/>
    <w:uiPriority w:val="99"/>
    <w:semiHidden/>
    <w:rsid w:val="0019424D"/>
    <w:rPr>
      <w:b/>
      <w:bCs/>
      <w:sz w:val="20"/>
      <w:szCs w:val="20"/>
    </w:rPr>
  </w:style>
  <w:style w:type="paragraph" w:styleId="Header">
    <w:name w:val="header"/>
    <w:basedOn w:val="Normal"/>
    <w:link w:val="HeaderChar"/>
    <w:uiPriority w:val="99"/>
    <w:unhideWhenUsed/>
    <w:rsid w:val="00675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AD2"/>
  </w:style>
  <w:style w:type="paragraph" w:styleId="Footer">
    <w:name w:val="footer"/>
    <w:basedOn w:val="Normal"/>
    <w:link w:val="FooterChar"/>
    <w:uiPriority w:val="99"/>
    <w:unhideWhenUsed/>
    <w:rsid w:val="00675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AD2"/>
  </w:style>
  <w:style w:type="paragraph" w:customStyle="1" w:styleId="CourtName">
    <w:name w:val="CourtName"/>
    <w:basedOn w:val="Normal"/>
    <w:rsid w:val="00675AD2"/>
    <w:pPr>
      <w:overflowPunct w:val="0"/>
      <w:autoSpaceDE w:val="0"/>
      <w:autoSpaceDN w:val="0"/>
      <w:adjustRightInd w:val="0"/>
      <w:spacing w:after="0" w:line="240" w:lineRule="exact"/>
      <w:jc w:val="center"/>
      <w:textAlignment w:val="baseline"/>
    </w:pPr>
    <w:rPr>
      <w:rFonts w:ascii="Times New Roman" w:eastAsia="Times New Roman" w:hAnsi="Times New Roman" w:cs="Times New Roman"/>
      <w:b/>
      <w:bCs/>
      <w:sz w:val="24"/>
      <w:szCs w:val="24"/>
    </w:rPr>
  </w:style>
  <w:style w:type="paragraph" w:customStyle="1" w:styleId="DocTitle">
    <w:name w:val="DocTitle"/>
    <w:basedOn w:val="Normal"/>
    <w:next w:val="Normal"/>
    <w:rsid w:val="00675AD2"/>
    <w:pPr>
      <w:overflowPunct w:val="0"/>
      <w:autoSpaceDE w:val="0"/>
      <w:autoSpaceDN w:val="0"/>
      <w:adjustRightInd w:val="0"/>
      <w:spacing w:after="0" w:line="240" w:lineRule="exact"/>
      <w:textAlignment w:val="baseline"/>
    </w:pPr>
    <w:rPr>
      <w:rFonts w:ascii="Times New Roman" w:eastAsia="Times New Roman" w:hAnsi="Times New Roman" w:cs="Times New Roman"/>
      <w:caps/>
      <w:sz w:val="24"/>
      <w:szCs w:val="24"/>
    </w:rPr>
  </w:style>
  <w:style w:type="paragraph" w:customStyle="1" w:styleId="Parties">
    <w:name w:val="Parties"/>
    <w:basedOn w:val="Normal"/>
    <w:rsid w:val="00675AD2"/>
    <w:pPr>
      <w:overflowPunct w:val="0"/>
      <w:autoSpaceDE w:val="0"/>
      <w:autoSpaceDN w:val="0"/>
      <w:adjustRightInd w:val="0"/>
      <w:spacing w:after="0" w:line="240" w:lineRule="exact"/>
      <w:textAlignment w:val="baseline"/>
    </w:pPr>
    <w:rPr>
      <w:rFonts w:ascii="Times New Roman" w:eastAsia="Times New Roman" w:hAnsi="Times New Roman" w:cs="Times New Roman"/>
      <w:sz w:val="24"/>
      <w:szCs w:val="24"/>
    </w:rPr>
  </w:style>
  <w:style w:type="paragraph" w:customStyle="1" w:styleId="Case">
    <w:name w:val="Case#"/>
    <w:basedOn w:val="Parties"/>
    <w:next w:val="DocTitle"/>
    <w:rsid w:val="00675AD2"/>
  </w:style>
  <w:style w:type="character" w:styleId="Hyperlink">
    <w:name w:val="Hyperlink"/>
    <w:basedOn w:val="DefaultParagraphFont"/>
    <w:uiPriority w:val="99"/>
    <w:unhideWhenUsed/>
    <w:rsid w:val="00D576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iheap.ncat.org/Supplements/2010/supplement10ht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2012-03-16T07:00:00+00:00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E5BE1FC-4F79-402C-94CB-FCD53902D79B}"/>
</file>

<file path=customXml/itemProps2.xml><?xml version="1.0" encoding="utf-8"?>
<ds:datastoreItem xmlns:ds="http://schemas.openxmlformats.org/officeDocument/2006/customXml" ds:itemID="{1BD49644-CDE1-4DD4-8766-67B22C9D45A2}"/>
</file>

<file path=customXml/itemProps3.xml><?xml version="1.0" encoding="utf-8"?>
<ds:datastoreItem xmlns:ds="http://schemas.openxmlformats.org/officeDocument/2006/customXml" ds:itemID="{0AFFAFF5-D805-4F96-911C-671133363462}"/>
</file>

<file path=customXml/itemProps4.xml><?xml version="1.0" encoding="utf-8"?>
<ds:datastoreItem xmlns:ds="http://schemas.openxmlformats.org/officeDocument/2006/customXml" ds:itemID="{6EF7E0E3-D5D8-4FFF-97DE-2E321FFAC045}"/>
</file>

<file path=customXml/itemProps5.xml><?xml version="1.0" encoding="utf-8"?>
<ds:datastoreItem xmlns:ds="http://schemas.openxmlformats.org/officeDocument/2006/customXml" ds:itemID="{73623DE6-C7BB-4818-8DFE-E5EDD017F3C0}"/>
</file>

<file path=docProps/app.xml><?xml version="1.0" encoding="utf-8"?>
<Properties xmlns="http://schemas.openxmlformats.org/officeDocument/2006/extended-properties" xmlns:vt="http://schemas.openxmlformats.org/officeDocument/2006/docPropsVTypes">
  <Template>Normal</Template>
  <TotalTime>1</TotalTime>
  <Pages>13</Pages>
  <Words>4190</Words>
  <Characters>23883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Roseman</dc:creator>
  <cp:lastModifiedBy>Ron Roseman</cp:lastModifiedBy>
  <cp:revision>2</cp:revision>
  <cp:lastPrinted>2012-03-05T18:17:00Z</cp:lastPrinted>
  <dcterms:created xsi:type="dcterms:W3CDTF">2012-03-14T04:07:00Z</dcterms:created>
  <dcterms:modified xsi:type="dcterms:W3CDTF">2012-03-14T04:07:00Z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0x0101006E56B4D1795A2E4DB2F0B01679ED314A00C4EC8B21DBB10C40AB4409B4BAF96A70</vt:lpwstr>
  </property>
  <property fmtid="{D5CDD505-2E9C-101B-9397-08002B2CF9AE}" pid="3" name="_docset_NoMedatataSyncRequired">
    <vt:lpwstr>False</vt:lpwstr>
  </property>
</Properties>
</file>