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1" w:rsidRDefault="00C60B61" w:rsidP="008C2E8C">
      <w:pPr>
        <w:pStyle w:val="Heading1"/>
        <w:spacing w:after="0"/>
      </w:pPr>
      <w:r>
        <w:t>BEFORE THE</w:t>
      </w:r>
    </w:p>
    <w:p w:rsidR="00522074" w:rsidRPr="00522074" w:rsidRDefault="00522074" w:rsidP="00522074"/>
    <w:p w:rsidR="00C60B61" w:rsidRDefault="00C60B61" w:rsidP="008C2E8C">
      <w:pPr>
        <w:pStyle w:val="Heading1"/>
        <w:spacing w:after="0" w:line="480" w:lineRule="auto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6"/>
        <w:gridCol w:w="4044"/>
      </w:tblGrid>
      <w:tr w:rsidR="00C60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8" w:type="dxa"/>
            <w:tcBorders>
              <w:bottom w:val="single" w:sz="4" w:space="0" w:color="auto"/>
            </w:tcBorders>
          </w:tcPr>
          <w:p w:rsidR="004E6126" w:rsidRDefault="00C37E44" w:rsidP="004E6126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THE WALLA WALLA COUNTRY CLUB</w:t>
            </w:r>
            <w:r w:rsidR="004E6126">
              <w:rPr>
                <w:bCs/>
              </w:rPr>
              <w:t>,</w:t>
            </w:r>
          </w:p>
          <w:p w:rsidR="004E6126" w:rsidRDefault="004E6126" w:rsidP="004E6126">
            <w:pPr>
              <w:tabs>
                <w:tab w:val="left" w:pos="2160"/>
              </w:tabs>
              <w:rPr>
                <w:bCs/>
              </w:rPr>
            </w:pPr>
          </w:p>
          <w:p w:rsidR="004E6126" w:rsidRDefault="004E6126" w:rsidP="004E6126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ab/>
              <w:t>Complainant,</w:t>
            </w:r>
          </w:p>
          <w:p w:rsidR="004E6126" w:rsidRDefault="004E6126" w:rsidP="004E6126">
            <w:pPr>
              <w:tabs>
                <w:tab w:val="left" w:pos="2160"/>
              </w:tabs>
              <w:rPr>
                <w:bCs/>
              </w:rPr>
            </w:pPr>
          </w:p>
          <w:p w:rsidR="004E6126" w:rsidRDefault="004E6126" w:rsidP="009A7192">
            <w:pPr>
              <w:ind w:firstLine="720"/>
              <w:rPr>
                <w:bCs/>
              </w:rPr>
            </w:pPr>
            <w:proofErr w:type="gramStart"/>
            <w:r>
              <w:rPr>
                <w:bCs/>
              </w:rPr>
              <w:t>v</w:t>
            </w:r>
            <w:proofErr w:type="gramEnd"/>
            <w:r>
              <w:rPr>
                <w:bCs/>
              </w:rPr>
              <w:t>.</w:t>
            </w:r>
          </w:p>
          <w:p w:rsidR="004E6126" w:rsidRDefault="004E6126" w:rsidP="004E6126">
            <w:pPr>
              <w:rPr>
                <w:bCs/>
              </w:rPr>
            </w:pPr>
          </w:p>
          <w:p w:rsidR="004E6126" w:rsidRDefault="001A5EFC" w:rsidP="004E6126">
            <w:pPr>
              <w:tabs>
                <w:tab w:val="left" w:pos="2160"/>
              </w:tabs>
              <w:rPr>
                <w:bCs/>
              </w:rPr>
            </w:pPr>
            <w:r w:rsidRPr="001A5EFC">
              <w:rPr>
                <w:bCs/>
              </w:rPr>
              <w:t>PACIFICORP D/B</w:t>
            </w:r>
            <w:r w:rsidR="00BB028B">
              <w:rPr>
                <w:bCs/>
              </w:rPr>
              <w:t>/A PACIFIC POWER &amp; LIGHT COMPANY</w:t>
            </w:r>
            <w:r w:rsidRPr="001A5EFC">
              <w:rPr>
                <w:bCs/>
              </w:rPr>
              <w:t xml:space="preserve">, </w:t>
            </w:r>
          </w:p>
          <w:p w:rsidR="001A5EFC" w:rsidRDefault="001A5EFC" w:rsidP="004E6126">
            <w:pPr>
              <w:tabs>
                <w:tab w:val="left" w:pos="2160"/>
              </w:tabs>
              <w:rPr>
                <w:bCs/>
              </w:rPr>
            </w:pPr>
          </w:p>
          <w:p w:rsidR="00C60B61" w:rsidRDefault="004E6126" w:rsidP="004E6126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</w:pPr>
            <w:r>
              <w:rPr>
                <w:bCs/>
              </w:rPr>
              <w:tab/>
              <w:t>Respondent.</w:t>
            </w:r>
          </w:p>
        </w:tc>
        <w:tc>
          <w:tcPr>
            <w:tcW w:w="276" w:type="dxa"/>
          </w:tcPr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AA4DD3">
            <w:pPr>
              <w:pStyle w:val="BodyText2"/>
            </w:pPr>
            <w:r>
              <w:t>)</w:t>
            </w:r>
          </w:p>
          <w:p w:rsidR="004E6126" w:rsidRDefault="004E6126">
            <w:pPr>
              <w:pStyle w:val="BodyText2"/>
            </w:pPr>
            <w:r>
              <w:t>)</w:t>
            </w:r>
          </w:p>
          <w:p w:rsidR="004E6126" w:rsidRDefault="004E6126">
            <w:pPr>
              <w:pStyle w:val="BodyText2"/>
            </w:pPr>
            <w:r>
              <w:t>)</w:t>
            </w:r>
          </w:p>
          <w:p w:rsidR="004E6126" w:rsidRDefault="004E6126">
            <w:pPr>
              <w:pStyle w:val="BodyText2"/>
            </w:pPr>
            <w:r>
              <w:t>)</w:t>
            </w:r>
          </w:p>
        </w:tc>
        <w:tc>
          <w:tcPr>
            <w:tcW w:w="4044" w:type="dxa"/>
          </w:tcPr>
          <w:p w:rsidR="00AC55C7" w:rsidRDefault="00AC55C7" w:rsidP="004E6126">
            <w:pPr>
              <w:pStyle w:val="SingleSpacing"/>
              <w:spacing w:line="240" w:lineRule="auto"/>
            </w:pPr>
            <w:bookmarkStart w:id="0" w:name="CaseNumber"/>
            <w:bookmarkEnd w:id="0"/>
          </w:p>
          <w:p w:rsidR="00AC55C7" w:rsidRDefault="00AC55C7" w:rsidP="004E6126">
            <w:pPr>
              <w:pStyle w:val="SingleSpacing"/>
              <w:spacing w:line="240" w:lineRule="auto"/>
            </w:pPr>
          </w:p>
          <w:p w:rsidR="00AC55C7" w:rsidRDefault="00AC55C7" w:rsidP="004E6126">
            <w:pPr>
              <w:pStyle w:val="SingleSpacing"/>
              <w:spacing w:line="240" w:lineRule="auto"/>
            </w:pPr>
          </w:p>
          <w:p w:rsidR="00996FE0" w:rsidRDefault="00AC55C7" w:rsidP="004E6126">
            <w:pPr>
              <w:pStyle w:val="SingleSpacing"/>
              <w:spacing w:line="240" w:lineRule="auto"/>
            </w:pPr>
            <w:r>
              <w:t>DOCKET</w:t>
            </w:r>
            <w:r w:rsidR="00F46C2A">
              <w:t xml:space="preserve"> </w:t>
            </w:r>
            <w:r w:rsidR="00837957">
              <w:t>UE-</w:t>
            </w:r>
            <w:r w:rsidR="00FF62CF">
              <w:t>1</w:t>
            </w:r>
            <w:r w:rsidR="00C37E44">
              <w:t>43932</w:t>
            </w:r>
          </w:p>
          <w:p w:rsidR="001A5EFC" w:rsidRDefault="001A5EFC">
            <w:pPr>
              <w:pStyle w:val="BodyText2"/>
            </w:pPr>
          </w:p>
          <w:p w:rsidR="001A5EFC" w:rsidRDefault="001A5EFC">
            <w:pPr>
              <w:pStyle w:val="BodyText2"/>
            </w:pPr>
          </w:p>
          <w:p w:rsidR="00C60B61" w:rsidRDefault="00B44102">
            <w:pPr>
              <w:pStyle w:val="BodyText2"/>
            </w:pPr>
            <w:r>
              <w:t>STIPULATED MOTION TO AMEND PROCEDURAL SCHEDULE</w:t>
            </w:r>
          </w:p>
          <w:p w:rsidR="00C60B61" w:rsidRDefault="00C60B61">
            <w:pPr>
              <w:pStyle w:val="BodyText2"/>
            </w:pPr>
          </w:p>
          <w:p w:rsidR="00B44102" w:rsidRDefault="00B44102">
            <w:pPr>
              <w:pStyle w:val="BodyText2"/>
            </w:pPr>
          </w:p>
        </w:tc>
      </w:tr>
    </w:tbl>
    <w:p w:rsidR="00C60B61" w:rsidRPr="004C547E" w:rsidRDefault="00C60B61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B44102" w:rsidRPr="00B44102" w:rsidRDefault="00F91476" w:rsidP="00B44102">
      <w:pPr>
        <w:pStyle w:val="WUTCParagraph"/>
        <w:rPr>
          <w:rFonts w:eastAsia="Times"/>
        </w:rPr>
      </w:pPr>
      <w:r>
        <w:rPr>
          <w:rFonts w:eastAsia="Times"/>
        </w:rPr>
        <w:tab/>
      </w:r>
      <w:r w:rsidR="00B44102" w:rsidRPr="00B44102">
        <w:rPr>
          <w:rFonts w:eastAsia="Times"/>
        </w:rPr>
        <w:t>The parties jointly move for the entry of an order amending the Procedural Schedule as follows:</w:t>
      </w:r>
    </w:p>
    <w:p w:rsidR="000D0EB7" w:rsidRDefault="00B44102" w:rsidP="00B44102">
      <w:pPr>
        <w:spacing w:line="480" w:lineRule="auto"/>
        <w:ind w:hanging="720"/>
        <w:jc w:val="both"/>
        <w:rPr>
          <w:rFonts w:eastAsia="Times"/>
        </w:rPr>
      </w:pPr>
      <w:r>
        <w:rPr>
          <w:rFonts w:eastAsia="Times"/>
          <w:i/>
        </w:rPr>
        <w:t>2</w:t>
      </w:r>
      <w:r>
        <w:rPr>
          <w:rFonts w:eastAsia="Times"/>
        </w:rPr>
        <w:tab/>
      </w:r>
      <w:r>
        <w:rPr>
          <w:rFonts w:eastAsia="Times"/>
        </w:rPr>
        <w:tab/>
      </w:r>
      <w:r>
        <w:rPr>
          <w:rFonts w:eastAsia="Times"/>
        </w:rPr>
        <w:tab/>
        <w:t>On January 21, 2015, the Commission issued its Procedural Schedule</w:t>
      </w:r>
      <w:r w:rsidR="00AC55C7">
        <w:rPr>
          <w:rFonts w:eastAsia="Times"/>
        </w:rPr>
        <w:t>,</w:t>
      </w:r>
      <w:r w:rsidR="00CE5157">
        <w:rPr>
          <w:rFonts w:eastAsia="Times"/>
        </w:rPr>
        <w:t xml:space="preserve"> including the following p</w:t>
      </w:r>
      <w:r w:rsidR="00141334">
        <w:rPr>
          <w:rFonts w:eastAsia="Times"/>
        </w:rPr>
        <w:t>ost</w:t>
      </w:r>
      <w:r>
        <w:rPr>
          <w:rFonts w:eastAsia="Times"/>
        </w:rPr>
        <w:t>-hearing deadlines: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3870"/>
      </w:tblGrid>
      <w:tr w:rsidR="00B44102" w:rsidTr="00722D5A">
        <w:tc>
          <w:tcPr>
            <w:tcW w:w="4518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  <w:b/>
              </w:rPr>
            </w:pPr>
            <w:r w:rsidRPr="00722D5A">
              <w:rPr>
                <w:rFonts w:eastAsia="Times"/>
                <w:b/>
              </w:rPr>
              <w:t>Event</w:t>
            </w:r>
          </w:p>
        </w:tc>
        <w:tc>
          <w:tcPr>
            <w:tcW w:w="3870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  <w:b/>
              </w:rPr>
            </w:pPr>
            <w:r w:rsidRPr="00722D5A">
              <w:rPr>
                <w:rFonts w:eastAsia="Times"/>
                <w:b/>
              </w:rPr>
              <w:t>Date</w:t>
            </w:r>
          </w:p>
        </w:tc>
      </w:tr>
      <w:tr w:rsidR="00B44102" w:rsidTr="00722D5A">
        <w:tc>
          <w:tcPr>
            <w:tcW w:w="4518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</w:rPr>
            </w:pPr>
            <w:r w:rsidRPr="00722D5A">
              <w:rPr>
                <w:rFonts w:eastAsia="Times"/>
              </w:rPr>
              <w:t>Simultaneous Briefs</w:t>
            </w:r>
          </w:p>
        </w:tc>
        <w:tc>
          <w:tcPr>
            <w:tcW w:w="3870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</w:rPr>
            </w:pPr>
            <w:r w:rsidRPr="00722D5A">
              <w:rPr>
                <w:rFonts w:eastAsia="Times"/>
              </w:rPr>
              <w:t>October 2, 2015</w:t>
            </w:r>
          </w:p>
        </w:tc>
      </w:tr>
      <w:tr w:rsidR="00B44102" w:rsidTr="00722D5A">
        <w:tc>
          <w:tcPr>
            <w:tcW w:w="4518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</w:rPr>
            </w:pPr>
            <w:r w:rsidRPr="00722D5A">
              <w:rPr>
                <w:rFonts w:eastAsia="Times"/>
              </w:rPr>
              <w:t>Reply Briefs</w:t>
            </w:r>
          </w:p>
        </w:tc>
        <w:tc>
          <w:tcPr>
            <w:tcW w:w="3870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</w:rPr>
            </w:pPr>
            <w:r w:rsidRPr="00722D5A">
              <w:rPr>
                <w:rFonts w:eastAsia="Times"/>
              </w:rPr>
              <w:t>October 23, 2015</w:t>
            </w:r>
          </w:p>
        </w:tc>
      </w:tr>
    </w:tbl>
    <w:p w:rsidR="00B44102" w:rsidRDefault="00B44102" w:rsidP="00B44102">
      <w:pPr>
        <w:spacing w:line="480" w:lineRule="auto"/>
        <w:ind w:hanging="720"/>
        <w:rPr>
          <w:rFonts w:eastAsia="Times"/>
          <w:i/>
        </w:rPr>
      </w:pPr>
    </w:p>
    <w:p w:rsidR="00B44102" w:rsidRDefault="00B44102" w:rsidP="00B44102">
      <w:pPr>
        <w:spacing w:line="480" w:lineRule="auto"/>
        <w:ind w:hanging="720"/>
        <w:rPr>
          <w:rFonts w:eastAsia="Times"/>
        </w:rPr>
      </w:pPr>
      <w:r>
        <w:rPr>
          <w:rFonts w:eastAsia="Times"/>
          <w:i/>
        </w:rPr>
        <w:t>3</w:t>
      </w:r>
      <w:r>
        <w:rPr>
          <w:rFonts w:eastAsia="Times"/>
          <w:i/>
        </w:rPr>
        <w:tab/>
      </w:r>
      <w:r>
        <w:rPr>
          <w:rFonts w:eastAsia="Times"/>
          <w:i/>
        </w:rPr>
        <w:tab/>
      </w:r>
      <w:r w:rsidR="00F91476">
        <w:rPr>
          <w:rFonts w:eastAsia="Times"/>
          <w:i/>
        </w:rPr>
        <w:tab/>
      </w:r>
      <w:r>
        <w:rPr>
          <w:rFonts w:eastAsia="Times"/>
        </w:rPr>
        <w:t>The parties have agreed to extensions of these deadlines, to accommodate counsel</w:t>
      </w:r>
      <w:r w:rsidR="00F45E33">
        <w:rPr>
          <w:rFonts w:eastAsia="Times"/>
        </w:rPr>
        <w:t xml:space="preserve"> schedules</w:t>
      </w:r>
      <w:r>
        <w:rPr>
          <w:rFonts w:eastAsia="Times"/>
        </w:rPr>
        <w:t>, as follows: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3870"/>
      </w:tblGrid>
      <w:tr w:rsidR="00B44102" w:rsidTr="00722D5A">
        <w:tc>
          <w:tcPr>
            <w:tcW w:w="4518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  <w:b/>
              </w:rPr>
            </w:pPr>
            <w:r w:rsidRPr="00722D5A">
              <w:rPr>
                <w:rFonts w:eastAsia="Times"/>
                <w:b/>
              </w:rPr>
              <w:t>Event</w:t>
            </w:r>
          </w:p>
        </w:tc>
        <w:tc>
          <w:tcPr>
            <w:tcW w:w="3870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  <w:b/>
              </w:rPr>
            </w:pPr>
            <w:r w:rsidRPr="00722D5A">
              <w:rPr>
                <w:rFonts w:eastAsia="Times"/>
                <w:b/>
              </w:rPr>
              <w:t>Date</w:t>
            </w:r>
          </w:p>
        </w:tc>
      </w:tr>
      <w:tr w:rsidR="00B44102" w:rsidTr="00722D5A">
        <w:tc>
          <w:tcPr>
            <w:tcW w:w="4518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</w:rPr>
            </w:pPr>
            <w:r w:rsidRPr="00722D5A">
              <w:rPr>
                <w:rFonts w:eastAsia="Times"/>
              </w:rPr>
              <w:t>Simultaneous Briefs</w:t>
            </w:r>
          </w:p>
        </w:tc>
        <w:tc>
          <w:tcPr>
            <w:tcW w:w="3870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</w:rPr>
            </w:pPr>
            <w:r w:rsidRPr="00722D5A">
              <w:rPr>
                <w:rFonts w:eastAsia="Times"/>
              </w:rPr>
              <w:t>October 16, 2015</w:t>
            </w:r>
          </w:p>
        </w:tc>
      </w:tr>
      <w:tr w:rsidR="00B44102" w:rsidTr="00722D5A">
        <w:tc>
          <w:tcPr>
            <w:tcW w:w="4518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</w:rPr>
            </w:pPr>
            <w:r w:rsidRPr="00722D5A">
              <w:rPr>
                <w:rFonts w:eastAsia="Times"/>
              </w:rPr>
              <w:t>Reply Briefs</w:t>
            </w:r>
          </w:p>
        </w:tc>
        <w:tc>
          <w:tcPr>
            <w:tcW w:w="3870" w:type="dxa"/>
            <w:shd w:val="clear" w:color="auto" w:fill="auto"/>
          </w:tcPr>
          <w:p w:rsidR="00B44102" w:rsidRPr="00722D5A" w:rsidRDefault="00B44102" w:rsidP="00722D5A">
            <w:pPr>
              <w:spacing w:line="480" w:lineRule="auto"/>
              <w:rPr>
                <w:rFonts w:eastAsia="Times"/>
              </w:rPr>
            </w:pPr>
            <w:r w:rsidRPr="00722D5A">
              <w:rPr>
                <w:rFonts w:eastAsia="Times"/>
              </w:rPr>
              <w:t>November 13, 2015</w:t>
            </w:r>
          </w:p>
        </w:tc>
      </w:tr>
    </w:tbl>
    <w:p w:rsidR="00B44102" w:rsidRDefault="00B44102" w:rsidP="00B44102">
      <w:pPr>
        <w:spacing w:line="480" w:lineRule="auto"/>
        <w:ind w:hanging="720"/>
        <w:rPr>
          <w:rFonts w:eastAsia="Times"/>
        </w:rPr>
      </w:pPr>
    </w:p>
    <w:p w:rsidR="00B44102" w:rsidRDefault="00B44102" w:rsidP="00B44102">
      <w:pPr>
        <w:spacing w:line="480" w:lineRule="auto"/>
        <w:ind w:hanging="720"/>
        <w:jc w:val="both"/>
        <w:rPr>
          <w:rFonts w:eastAsia="Times"/>
        </w:rPr>
      </w:pPr>
      <w:r>
        <w:rPr>
          <w:rFonts w:eastAsia="Times"/>
          <w:i/>
        </w:rPr>
        <w:t>4</w:t>
      </w:r>
      <w:r>
        <w:rPr>
          <w:rFonts w:eastAsia="Times"/>
          <w:i/>
        </w:rPr>
        <w:tab/>
      </w:r>
      <w:r>
        <w:rPr>
          <w:rFonts w:eastAsia="Times"/>
          <w:i/>
        </w:rPr>
        <w:tab/>
      </w:r>
      <w:r w:rsidR="00F91476">
        <w:rPr>
          <w:rFonts w:eastAsia="Times"/>
          <w:i/>
        </w:rPr>
        <w:tab/>
      </w:r>
      <w:bookmarkStart w:id="1" w:name="_GoBack"/>
      <w:bookmarkEnd w:id="1"/>
      <w:r>
        <w:rPr>
          <w:rFonts w:eastAsia="Times"/>
        </w:rPr>
        <w:t>The parties respectfully request</w:t>
      </w:r>
      <w:r w:rsidR="00AC55C7">
        <w:rPr>
          <w:rFonts w:eastAsia="Times"/>
        </w:rPr>
        <w:t xml:space="preserve"> that the Commission order</w:t>
      </w:r>
      <w:r>
        <w:rPr>
          <w:rFonts w:eastAsia="Times"/>
        </w:rPr>
        <w:t xml:space="preserve"> extensions of the </w:t>
      </w:r>
      <w:r w:rsidR="000D0EB7">
        <w:rPr>
          <w:rFonts w:eastAsia="Times"/>
        </w:rPr>
        <w:t>two</w:t>
      </w:r>
      <w:r>
        <w:rPr>
          <w:rFonts w:eastAsia="Times"/>
        </w:rPr>
        <w:t xml:space="preserve"> p</w:t>
      </w:r>
      <w:r w:rsidR="000D0EB7">
        <w:rPr>
          <w:rFonts w:eastAsia="Times"/>
        </w:rPr>
        <w:t>ost</w:t>
      </w:r>
      <w:r>
        <w:rPr>
          <w:rFonts w:eastAsia="Times"/>
        </w:rPr>
        <w:t xml:space="preserve">-hearing dates as outlined and agreed </w:t>
      </w:r>
      <w:r w:rsidR="00141334">
        <w:rPr>
          <w:rFonts w:eastAsia="Times"/>
        </w:rPr>
        <w:t xml:space="preserve">to </w:t>
      </w:r>
      <w:r>
        <w:rPr>
          <w:rFonts w:eastAsia="Times"/>
        </w:rPr>
        <w:t>above</w:t>
      </w:r>
      <w:r w:rsidR="000D0EB7">
        <w:rPr>
          <w:rFonts w:eastAsia="Times"/>
        </w:rPr>
        <w:t>.</w:t>
      </w:r>
      <w:r>
        <w:rPr>
          <w:rFonts w:eastAsia="Times"/>
        </w:rPr>
        <w:t xml:space="preserve">  </w:t>
      </w:r>
      <w:r>
        <w:rPr>
          <w:rFonts w:eastAsia="Times"/>
        </w:rPr>
        <w:tab/>
      </w:r>
    </w:p>
    <w:p w:rsidR="00BD259A" w:rsidRDefault="00BD259A" w:rsidP="00BD259A">
      <w:pPr>
        <w:keepNext/>
        <w:spacing w:line="480" w:lineRule="auto"/>
        <w:ind w:left="720" w:firstLine="720"/>
      </w:pPr>
      <w:proofErr w:type="gramStart"/>
      <w:r>
        <w:lastRenderedPageBreak/>
        <w:t>Dated in Portland, Oregon, this 14th day of September, 2015.</w:t>
      </w:r>
      <w:proofErr w:type="gramEnd"/>
    </w:p>
    <w:p w:rsidR="00B44102" w:rsidRPr="00BD259A" w:rsidRDefault="00BD259A" w:rsidP="00BD259A">
      <w:pPr>
        <w:keepNext/>
        <w:spacing w:line="480" w:lineRule="auto"/>
        <w:ind w:left="3600"/>
      </w:pPr>
      <w:r>
        <w:t>Respectfully submitted,</w:t>
      </w:r>
    </w:p>
    <w:tbl>
      <w:tblPr>
        <w:tblW w:w="9270" w:type="dxa"/>
        <w:tblInd w:w="378" w:type="dxa"/>
        <w:tblLook w:val="04A0" w:firstRow="1" w:lastRow="0" w:firstColumn="1" w:lastColumn="0" w:noHBand="0" w:noVBand="1"/>
      </w:tblPr>
      <w:tblGrid>
        <w:gridCol w:w="4770"/>
        <w:gridCol w:w="4500"/>
      </w:tblGrid>
      <w:tr w:rsidR="00B44102" w:rsidRPr="000D0EB7" w:rsidTr="00722D5A">
        <w:tc>
          <w:tcPr>
            <w:tcW w:w="4770" w:type="dxa"/>
            <w:shd w:val="clear" w:color="auto" w:fill="auto"/>
          </w:tcPr>
          <w:p w:rsidR="00B01B4C" w:rsidRDefault="00B01B4C" w:rsidP="00A64A16">
            <w:pPr>
              <w:rPr>
                <w:i/>
                <w:u w:val="single"/>
                <w:lang w:eastAsia="zh-CN"/>
              </w:rPr>
            </w:pPr>
          </w:p>
          <w:p w:rsidR="00A64A16" w:rsidRPr="00A64A16" w:rsidRDefault="00A64A16" w:rsidP="00A64A16">
            <w:pPr>
              <w:rPr>
                <w:u w:val="single"/>
                <w:lang w:eastAsia="zh-CN"/>
              </w:rPr>
            </w:pPr>
            <w:r w:rsidRPr="00A64A16">
              <w:rPr>
                <w:i/>
                <w:u w:val="single"/>
                <w:lang w:eastAsia="zh-CN"/>
              </w:rPr>
              <w:t xml:space="preserve">/s/ </w:t>
            </w:r>
            <w:r w:rsidR="00DA6BB6">
              <w:rPr>
                <w:i/>
                <w:u w:val="single"/>
                <w:lang w:eastAsia="zh-CN"/>
              </w:rPr>
              <w:t xml:space="preserve">Troy Greenfield                     </w:t>
            </w:r>
            <w:r w:rsidR="00CE5157">
              <w:rPr>
                <w:i/>
                <w:u w:val="single"/>
                <w:lang w:eastAsia="zh-CN"/>
              </w:rPr>
              <w:t xml:space="preserve"> 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>Troy Greenfield, WSBA #21578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>Claire Rootjes, WSBA #42178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  <w:proofErr w:type="spellStart"/>
            <w:r w:rsidRPr="00722D5A">
              <w:rPr>
                <w:rFonts w:eastAsia="Times"/>
              </w:rPr>
              <w:t>Schwabe</w:t>
            </w:r>
            <w:proofErr w:type="spellEnd"/>
            <w:r w:rsidRPr="00722D5A">
              <w:rPr>
                <w:rFonts w:eastAsia="Times"/>
              </w:rPr>
              <w:t xml:space="preserve"> Williamson &amp; Wyatt PC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 w:hint="cs"/>
              </w:rPr>
              <w:t>‎</w:t>
            </w:r>
            <w:r w:rsidRPr="00722D5A">
              <w:rPr>
                <w:rFonts w:eastAsia="Times"/>
              </w:rPr>
              <w:t>1420 Fifth Avenue, Ste. 3400‎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>Seattle, WA  98101‎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>Telephone: 206.622.1711‎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>Facsimile:  206.292.0460‎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 xml:space="preserve">Email:  tgreenfield@schwabe.com 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 xml:space="preserve">Email:  crootjes@schwabe.com 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>Sarah K. Wallace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>Vice President &amp; General Counsel</w:t>
            </w:r>
          </w:p>
          <w:p w:rsidR="00B44102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>Pacific Power &amp; Light Company</w:t>
            </w:r>
          </w:p>
          <w:p w:rsidR="00BD259A" w:rsidRDefault="00BD259A" w:rsidP="00722D5A">
            <w:pPr>
              <w:rPr>
                <w:rFonts w:eastAsia="Times"/>
              </w:rPr>
            </w:pPr>
            <w:r>
              <w:rPr>
                <w:rFonts w:eastAsia="Times"/>
              </w:rPr>
              <w:t>825 NE Multnomah, Suite 1800</w:t>
            </w:r>
          </w:p>
          <w:p w:rsidR="00BD259A" w:rsidRDefault="00BD259A" w:rsidP="00722D5A">
            <w:pPr>
              <w:rPr>
                <w:rFonts w:eastAsia="Times"/>
              </w:rPr>
            </w:pPr>
            <w:r>
              <w:rPr>
                <w:rFonts w:eastAsia="Times"/>
              </w:rPr>
              <w:t>Portland, OR 97232</w:t>
            </w:r>
          </w:p>
          <w:p w:rsidR="00BD259A" w:rsidRDefault="00BD259A" w:rsidP="00BD259A">
            <w:pPr>
              <w:rPr>
                <w:rFonts w:eastAsia="Times"/>
              </w:rPr>
            </w:pPr>
            <w:r>
              <w:rPr>
                <w:rFonts w:eastAsia="Times"/>
              </w:rPr>
              <w:t>Telephone:</w:t>
            </w:r>
            <w:r w:rsidR="00240C77">
              <w:rPr>
                <w:rFonts w:eastAsia="Times"/>
              </w:rPr>
              <w:t xml:space="preserve">  503.813.5865</w:t>
            </w:r>
          </w:p>
          <w:p w:rsidR="00BD259A" w:rsidRPr="00722D5A" w:rsidRDefault="00BD259A" w:rsidP="00722D5A">
            <w:pPr>
              <w:rPr>
                <w:rFonts w:eastAsia="Times"/>
              </w:rPr>
            </w:pPr>
            <w:r>
              <w:rPr>
                <w:rFonts w:eastAsia="Times"/>
              </w:rPr>
              <w:t>Email:  sarah.wallace@pacificorp.com</w:t>
            </w:r>
          </w:p>
          <w:p w:rsidR="00B44102" w:rsidRPr="00722D5A" w:rsidRDefault="00B44102" w:rsidP="00722D5A">
            <w:pPr>
              <w:rPr>
                <w:rFonts w:eastAsia="Times"/>
              </w:rPr>
            </w:pPr>
          </w:p>
          <w:p w:rsidR="00B44102" w:rsidRPr="00722D5A" w:rsidRDefault="00B44102" w:rsidP="00722D5A">
            <w:pPr>
              <w:rPr>
                <w:rFonts w:eastAsia="Times"/>
              </w:rPr>
            </w:pPr>
            <w:r w:rsidRPr="00722D5A">
              <w:rPr>
                <w:rFonts w:eastAsia="Times"/>
              </w:rPr>
              <w:t>Attorneys for Pacific Power &amp; Light Company</w:t>
            </w:r>
          </w:p>
        </w:tc>
        <w:tc>
          <w:tcPr>
            <w:tcW w:w="4500" w:type="dxa"/>
            <w:shd w:val="clear" w:color="auto" w:fill="auto"/>
          </w:tcPr>
          <w:p w:rsidR="00B01B4C" w:rsidRDefault="00B01B4C" w:rsidP="00722D5A">
            <w:pPr>
              <w:rPr>
                <w:i/>
                <w:u w:val="single"/>
                <w:lang w:eastAsia="zh-CN"/>
              </w:rPr>
            </w:pPr>
          </w:p>
          <w:p w:rsidR="00B44102" w:rsidRPr="00B01B4C" w:rsidRDefault="00B01B4C" w:rsidP="00722D5A">
            <w:r>
              <w:rPr>
                <w:i/>
                <w:u w:val="single"/>
                <w:lang w:eastAsia="zh-CN"/>
              </w:rPr>
              <w:t xml:space="preserve">/s/ </w:t>
            </w:r>
            <w:r w:rsidR="00240C77">
              <w:rPr>
                <w:i/>
                <w:u w:val="single"/>
                <w:lang w:eastAsia="zh-CN"/>
              </w:rPr>
              <w:t>Jesse E. Cowell</w:t>
            </w:r>
            <w:r w:rsidR="00B44102" w:rsidRPr="00722D5A">
              <w:rPr>
                <w:u w:val="single"/>
                <w:lang w:eastAsia="zh-CN"/>
              </w:rPr>
              <w:tab/>
            </w:r>
            <w:r w:rsidR="00CE5157">
              <w:rPr>
                <w:u w:val="single"/>
                <w:lang w:eastAsia="zh-CN"/>
              </w:rPr>
              <w:t xml:space="preserve">             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Melinda J. Davison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Jesse E. Cowell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Davison Van Cleve, P.C.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333 SW Taylor, Suite 400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Portland, OR 97204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Telephone:  503.241.7242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 xml:space="preserve">Email:  mjd@dvclaw.com 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 xml:space="preserve">Email:  jec@dvclaw.com </w:t>
            </w:r>
          </w:p>
          <w:p w:rsidR="00BD259A" w:rsidRDefault="00BD259A" w:rsidP="00722D5A">
            <w:pPr>
              <w:rPr>
                <w:lang w:eastAsia="zh-CN"/>
              </w:rPr>
            </w:pPr>
          </w:p>
          <w:p w:rsidR="00B44102" w:rsidRPr="000D0EB7" w:rsidRDefault="00B44102" w:rsidP="00722D5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Stanley M. Schwartz, WSBA #15518</w:t>
            </w:r>
          </w:p>
          <w:p w:rsidR="00B44102" w:rsidRPr="000D0EB7" w:rsidRDefault="00B44102" w:rsidP="00722D5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Matthew W. Daley, WSBA #36711</w:t>
            </w:r>
          </w:p>
          <w:p w:rsidR="00B44102" w:rsidRPr="000D0EB7" w:rsidRDefault="00B44102" w:rsidP="00722D5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Witherspoon Kelley</w:t>
            </w:r>
          </w:p>
          <w:p w:rsidR="00B44102" w:rsidRPr="000D0EB7" w:rsidRDefault="00B44102" w:rsidP="00722D5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422 Riverside Avenue, Suite 1100</w:t>
            </w:r>
          </w:p>
          <w:p w:rsidR="00B44102" w:rsidRPr="000D0EB7" w:rsidRDefault="00B44102" w:rsidP="00722D5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Spokane, WA 99201-0300</w:t>
            </w:r>
          </w:p>
          <w:p w:rsidR="00B44102" w:rsidRPr="000D0EB7" w:rsidRDefault="00B44102" w:rsidP="00722D5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Telephone:  509.624.5265</w:t>
            </w:r>
          </w:p>
          <w:p w:rsidR="00B44102" w:rsidRPr="000D0EB7" w:rsidRDefault="00B44102" w:rsidP="00722D5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 xml:space="preserve">Email:  sms@witherspoonkelley.com </w:t>
            </w:r>
          </w:p>
          <w:p w:rsidR="00B44102" w:rsidRPr="000D0EB7" w:rsidRDefault="00B44102" w:rsidP="00722D5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 xml:space="preserve">Email: </w:t>
            </w:r>
            <w:r w:rsidRPr="000D0EB7">
              <w:rPr>
                <w:lang w:eastAsia="zh-CN"/>
              </w:rPr>
              <w:tab/>
              <w:t xml:space="preserve">mwd@witherspoonkelley.com </w:t>
            </w:r>
          </w:p>
          <w:p w:rsidR="00B44102" w:rsidRPr="00722D5A" w:rsidRDefault="00B44102" w:rsidP="00722D5A">
            <w:pPr>
              <w:rPr>
                <w:u w:val="single"/>
                <w:lang w:eastAsia="zh-CN"/>
              </w:rPr>
            </w:pP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David S. Grossman, WSBA #18428‎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Minnick-</w:t>
            </w:r>
            <w:proofErr w:type="spellStart"/>
            <w:r w:rsidRPr="000D0EB7">
              <w:rPr>
                <w:lang w:eastAsia="zh-CN"/>
              </w:rPr>
              <w:t>Hayner</w:t>
            </w:r>
            <w:proofErr w:type="spellEnd"/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P.O. Box 1757‎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rFonts w:hint="cs"/>
                <w:lang w:eastAsia="zh-CN"/>
              </w:rPr>
              <w:t>‎</w:t>
            </w:r>
            <w:r w:rsidRPr="000D0EB7">
              <w:rPr>
                <w:lang w:eastAsia="zh-CN"/>
              </w:rPr>
              <w:t>249 West Alder‎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Walla Walla, WA 99362‎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Telephone: 509.527.3500‎</w:t>
            </w:r>
          </w:p>
          <w:p w:rsidR="00BD259A" w:rsidRPr="000D0EB7" w:rsidRDefault="00BD259A" w:rsidP="00BD259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 xml:space="preserve">Email:  grossman@minnickhayner.com </w:t>
            </w:r>
          </w:p>
          <w:p w:rsidR="00B44102" w:rsidRPr="000D0EB7" w:rsidRDefault="00B44102" w:rsidP="00722D5A">
            <w:pPr>
              <w:rPr>
                <w:lang w:eastAsia="zh-CN"/>
              </w:rPr>
            </w:pPr>
          </w:p>
          <w:p w:rsidR="00B44102" w:rsidRPr="000D0EB7" w:rsidRDefault="00B44102" w:rsidP="00722D5A">
            <w:pPr>
              <w:rPr>
                <w:lang w:eastAsia="zh-CN"/>
              </w:rPr>
            </w:pPr>
            <w:r w:rsidRPr="000D0EB7">
              <w:rPr>
                <w:lang w:eastAsia="zh-CN"/>
              </w:rPr>
              <w:t>Attorneys for the Walla Walla Country Club</w:t>
            </w:r>
          </w:p>
        </w:tc>
      </w:tr>
    </w:tbl>
    <w:p w:rsidR="00C60B61" w:rsidRDefault="00C60B61" w:rsidP="009866A6">
      <w:pPr>
        <w:ind w:left="3600"/>
      </w:pPr>
    </w:p>
    <w:sectPr w:rsidR="00C60B61" w:rsidSect="00173EF3">
      <w:footerReference w:type="even" r:id="rId8"/>
      <w:footerReference w:type="default" r:id="rId9"/>
      <w:pgSz w:w="12240" w:h="15840"/>
      <w:pgMar w:top="1080" w:right="1440" w:bottom="1350" w:left="216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30" w:rsidRDefault="00BA2830">
      <w:r>
        <w:separator/>
      </w:r>
    </w:p>
  </w:endnote>
  <w:endnote w:type="continuationSeparator" w:id="0">
    <w:p w:rsidR="00BA2830" w:rsidRDefault="00BA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0" w:rsidRDefault="00C223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3F0" w:rsidRDefault="00C223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0" w:rsidRDefault="00C223F0" w:rsidP="003574E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91476">
      <w:rPr>
        <w:noProof/>
      </w:rPr>
      <w:t>1</w:t>
    </w:r>
    <w:r>
      <w:fldChar w:fldCharType="end"/>
    </w:r>
    <w:r w:rsidR="00414B8C">
      <w:t xml:space="preserve"> – </w:t>
    </w:r>
    <w:r w:rsidR="000D0EB7">
      <w:t>STIPULATED MOTION TO AMEND PROCEDURAL SCHEDULE</w:t>
    </w:r>
  </w:p>
  <w:p w:rsidR="00C223F0" w:rsidRPr="000D0EB7" w:rsidRDefault="00C223F0" w:rsidP="00B45A1E">
    <w:pPr>
      <w:pStyle w:val="Footer"/>
      <w:rPr>
        <w:rStyle w:val="PageNumber"/>
        <w:sz w:val="16"/>
        <w:szCs w:val="16"/>
      </w:rPr>
    </w:pPr>
  </w:p>
  <w:p w:rsidR="00C223F0" w:rsidRPr="000D0EB7" w:rsidRDefault="00C223F0" w:rsidP="00B45A1E">
    <w:pPr>
      <w:jc w:val="center"/>
      <w:rPr>
        <w:sz w:val="15"/>
        <w:szCs w:val="15"/>
      </w:rPr>
    </w:pPr>
    <w:r w:rsidRPr="000D0EB7">
      <w:rPr>
        <w:sz w:val="15"/>
        <w:szCs w:val="15"/>
      </w:rPr>
      <w:t>DAVISON VAN CLEVE, P.C.</w:t>
    </w:r>
  </w:p>
  <w:p w:rsidR="00C223F0" w:rsidRPr="000D0EB7" w:rsidRDefault="00C223F0" w:rsidP="00B45A1E">
    <w:pPr>
      <w:tabs>
        <w:tab w:val="center" w:pos="4680"/>
      </w:tabs>
      <w:jc w:val="center"/>
      <w:rPr>
        <w:sz w:val="15"/>
        <w:szCs w:val="15"/>
      </w:rPr>
    </w:pPr>
    <w:r w:rsidRPr="000D0EB7">
      <w:rPr>
        <w:sz w:val="15"/>
        <w:szCs w:val="15"/>
      </w:rPr>
      <w:t xml:space="preserve">333 S.W. Taylor, </w:t>
    </w:r>
    <w:smartTag w:uri="urn:schemas-microsoft-com:office:smarttags" w:element="address">
      <w:smartTag w:uri="urn:schemas-microsoft-com:office:smarttags" w:element="Street">
        <w:r w:rsidRPr="000D0EB7">
          <w:rPr>
            <w:sz w:val="15"/>
            <w:szCs w:val="15"/>
          </w:rPr>
          <w:t>Suite</w:t>
        </w:r>
      </w:smartTag>
      <w:r w:rsidRPr="000D0EB7">
        <w:rPr>
          <w:sz w:val="15"/>
          <w:szCs w:val="15"/>
        </w:rPr>
        <w:t xml:space="preserve"> 400</w:t>
      </w:r>
    </w:smartTag>
  </w:p>
  <w:p w:rsidR="00C223F0" w:rsidRPr="000D0EB7" w:rsidRDefault="00C223F0" w:rsidP="00B45A1E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0D0EB7">
          <w:rPr>
            <w:sz w:val="15"/>
            <w:szCs w:val="15"/>
          </w:rPr>
          <w:t>Portland</w:t>
        </w:r>
      </w:smartTag>
      <w:r w:rsidRPr="000D0EB7">
        <w:rPr>
          <w:sz w:val="15"/>
          <w:szCs w:val="15"/>
        </w:rPr>
        <w:t xml:space="preserve">, </w:t>
      </w:r>
      <w:smartTag w:uri="urn:schemas-microsoft-com:office:smarttags" w:element="State">
        <w:r w:rsidRPr="000D0EB7">
          <w:rPr>
            <w:sz w:val="15"/>
            <w:szCs w:val="15"/>
          </w:rPr>
          <w:t>OR</w:t>
        </w:r>
      </w:smartTag>
      <w:r w:rsidRPr="000D0EB7">
        <w:rPr>
          <w:sz w:val="15"/>
          <w:szCs w:val="15"/>
        </w:rPr>
        <w:t xml:space="preserve"> </w:t>
      </w:r>
      <w:smartTag w:uri="urn:schemas-microsoft-com:office:smarttags" w:element="PersonName">
        <w:r w:rsidRPr="000D0EB7">
          <w:rPr>
            <w:sz w:val="15"/>
            <w:szCs w:val="15"/>
          </w:rPr>
          <w:t>97204</w:t>
        </w:r>
      </w:smartTag>
    </w:smartTag>
  </w:p>
  <w:p w:rsidR="00C223F0" w:rsidRPr="000D0EB7" w:rsidRDefault="00C223F0" w:rsidP="00B45A1E">
    <w:pPr>
      <w:tabs>
        <w:tab w:val="center" w:pos="4680"/>
      </w:tabs>
      <w:jc w:val="center"/>
      <w:rPr>
        <w:sz w:val="15"/>
        <w:szCs w:val="15"/>
      </w:rPr>
    </w:pPr>
    <w:r w:rsidRPr="000D0EB7">
      <w:rPr>
        <w:sz w:val="15"/>
        <w:szCs w:val="15"/>
      </w:rPr>
      <w:t>Telephone:  (503) 241-7242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30" w:rsidRDefault="00BA2830">
      <w:r>
        <w:separator/>
      </w:r>
    </w:p>
  </w:footnote>
  <w:footnote w:type="continuationSeparator" w:id="0">
    <w:p w:rsidR="00BA2830" w:rsidRDefault="00BA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FA0"/>
    <w:multiLevelType w:val="hybridMultilevel"/>
    <w:tmpl w:val="2DBCE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805E2"/>
    <w:multiLevelType w:val="multilevel"/>
    <w:tmpl w:val="2BFCE33E"/>
    <w:lvl w:ilvl="0">
      <w:start w:val="1"/>
      <w:numFmt w:val="upperRoman"/>
      <w:pStyle w:val="WUTCHeading1"/>
      <w:lvlText w:val="%1.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WUTC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WUTC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30C40FF1"/>
    <w:multiLevelType w:val="multilevel"/>
    <w:tmpl w:val="5E880E36"/>
    <w:lvl w:ilvl="0">
      <w:start w:val="1"/>
      <w:numFmt w:val="upperRoman"/>
      <w:pStyle w:val="WUTCHeading2"/>
      <w:lvlText w:val="%1.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3FBA7525"/>
    <w:multiLevelType w:val="hybridMultilevel"/>
    <w:tmpl w:val="79682AA0"/>
    <w:lvl w:ilvl="0" w:tplc="42504250">
      <w:start w:val="5"/>
      <w:numFmt w:val="decimal"/>
      <w:lvlText w:val="%1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DAC7D56"/>
    <w:multiLevelType w:val="multilevel"/>
    <w:tmpl w:val="3F90C6A6"/>
    <w:lvl w:ilvl="0">
      <w:start w:val="1"/>
      <w:numFmt w:val="upperRoman"/>
      <w:pStyle w:val="WUTCHeading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D54E62"/>
    <w:multiLevelType w:val="multilevel"/>
    <w:tmpl w:val="F31E5080"/>
    <w:lvl w:ilvl="0">
      <w:start w:val="1"/>
      <w:numFmt w:val="upperRoman"/>
      <w:pStyle w:val="WUTCHeading3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D3"/>
    <w:rsid w:val="00003558"/>
    <w:rsid w:val="00005D5B"/>
    <w:rsid w:val="00011974"/>
    <w:rsid w:val="00030CFF"/>
    <w:rsid w:val="00034868"/>
    <w:rsid w:val="00060433"/>
    <w:rsid w:val="000637BE"/>
    <w:rsid w:val="00064A85"/>
    <w:rsid w:val="000835C7"/>
    <w:rsid w:val="00083F4B"/>
    <w:rsid w:val="00086E9F"/>
    <w:rsid w:val="000A6A8E"/>
    <w:rsid w:val="000C7D42"/>
    <w:rsid w:val="000D0EB7"/>
    <w:rsid w:val="00123D60"/>
    <w:rsid w:val="001344DF"/>
    <w:rsid w:val="00141334"/>
    <w:rsid w:val="00146AA6"/>
    <w:rsid w:val="00153520"/>
    <w:rsid w:val="00173EF3"/>
    <w:rsid w:val="001761F6"/>
    <w:rsid w:val="001856E8"/>
    <w:rsid w:val="00187C22"/>
    <w:rsid w:val="001A5EFC"/>
    <w:rsid w:val="001C6D47"/>
    <w:rsid w:val="001E58D6"/>
    <w:rsid w:val="001F4748"/>
    <w:rsid w:val="00202C52"/>
    <w:rsid w:val="00217862"/>
    <w:rsid w:val="00223083"/>
    <w:rsid w:val="00240C77"/>
    <w:rsid w:val="00247CE2"/>
    <w:rsid w:val="00270830"/>
    <w:rsid w:val="00281847"/>
    <w:rsid w:val="002C423D"/>
    <w:rsid w:val="00300B29"/>
    <w:rsid w:val="003179D1"/>
    <w:rsid w:val="00321E3F"/>
    <w:rsid w:val="00335B43"/>
    <w:rsid w:val="003361C0"/>
    <w:rsid w:val="00340D00"/>
    <w:rsid w:val="003574E2"/>
    <w:rsid w:val="003C58E8"/>
    <w:rsid w:val="00414B8C"/>
    <w:rsid w:val="0043403E"/>
    <w:rsid w:val="0045498F"/>
    <w:rsid w:val="004741BC"/>
    <w:rsid w:val="00474CD7"/>
    <w:rsid w:val="004754DB"/>
    <w:rsid w:val="004B7B93"/>
    <w:rsid w:val="004C547E"/>
    <w:rsid w:val="004D2C2D"/>
    <w:rsid w:val="004E6126"/>
    <w:rsid w:val="004F4C1F"/>
    <w:rsid w:val="00522074"/>
    <w:rsid w:val="00524FA0"/>
    <w:rsid w:val="005942CA"/>
    <w:rsid w:val="005B2A43"/>
    <w:rsid w:val="005C32DF"/>
    <w:rsid w:val="005C5FB2"/>
    <w:rsid w:val="005D3AE1"/>
    <w:rsid w:val="005D6BB8"/>
    <w:rsid w:val="005D74C2"/>
    <w:rsid w:val="005E0D29"/>
    <w:rsid w:val="00612732"/>
    <w:rsid w:val="006207FC"/>
    <w:rsid w:val="00646097"/>
    <w:rsid w:val="00682B47"/>
    <w:rsid w:val="006874DF"/>
    <w:rsid w:val="0069780F"/>
    <w:rsid w:val="006A0513"/>
    <w:rsid w:val="006B380A"/>
    <w:rsid w:val="006B5A91"/>
    <w:rsid w:val="006C45A0"/>
    <w:rsid w:val="00711D27"/>
    <w:rsid w:val="00722D5A"/>
    <w:rsid w:val="00736528"/>
    <w:rsid w:val="00752F49"/>
    <w:rsid w:val="007A2CDB"/>
    <w:rsid w:val="007A3BD7"/>
    <w:rsid w:val="007B49E0"/>
    <w:rsid w:val="007C044F"/>
    <w:rsid w:val="007C4990"/>
    <w:rsid w:val="00802819"/>
    <w:rsid w:val="008041E5"/>
    <w:rsid w:val="00805C34"/>
    <w:rsid w:val="00837957"/>
    <w:rsid w:val="008467FA"/>
    <w:rsid w:val="00865CA4"/>
    <w:rsid w:val="008A5711"/>
    <w:rsid w:val="008A69B5"/>
    <w:rsid w:val="008C2E8C"/>
    <w:rsid w:val="008F688D"/>
    <w:rsid w:val="00912C29"/>
    <w:rsid w:val="00917AD6"/>
    <w:rsid w:val="00980119"/>
    <w:rsid w:val="009866A6"/>
    <w:rsid w:val="00996FE0"/>
    <w:rsid w:val="009A60B3"/>
    <w:rsid w:val="009A7192"/>
    <w:rsid w:val="009D5B27"/>
    <w:rsid w:val="009E0355"/>
    <w:rsid w:val="009F7E33"/>
    <w:rsid w:val="00A42F73"/>
    <w:rsid w:val="00A47E21"/>
    <w:rsid w:val="00A5025E"/>
    <w:rsid w:val="00A64A16"/>
    <w:rsid w:val="00AA4DD3"/>
    <w:rsid w:val="00AC2C7E"/>
    <w:rsid w:val="00AC55C7"/>
    <w:rsid w:val="00AE2B7B"/>
    <w:rsid w:val="00B01B4C"/>
    <w:rsid w:val="00B13C1B"/>
    <w:rsid w:val="00B2165F"/>
    <w:rsid w:val="00B44102"/>
    <w:rsid w:val="00B45A1E"/>
    <w:rsid w:val="00B72A1C"/>
    <w:rsid w:val="00BA2830"/>
    <w:rsid w:val="00BB028B"/>
    <w:rsid w:val="00BC2C24"/>
    <w:rsid w:val="00BD259A"/>
    <w:rsid w:val="00BE2E7F"/>
    <w:rsid w:val="00BF2968"/>
    <w:rsid w:val="00BF479E"/>
    <w:rsid w:val="00C0223A"/>
    <w:rsid w:val="00C06F00"/>
    <w:rsid w:val="00C2181E"/>
    <w:rsid w:val="00C223F0"/>
    <w:rsid w:val="00C23523"/>
    <w:rsid w:val="00C37E44"/>
    <w:rsid w:val="00C60B61"/>
    <w:rsid w:val="00CB0633"/>
    <w:rsid w:val="00CD22E5"/>
    <w:rsid w:val="00CD3280"/>
    <w:rsid w:val="00CE5157"/>
    <w:rsid w:val="00D04BC8"/>
    <w:rsid w:val="00D0709A"/>
    <w:rsid w:val="00D50997"/>
    <w:rsid w:val="00D67EF7"/>
    <w:rsid w:val="00D90532"/>
    <w:rsid w:val="00D910F9"/>
    <w:rsid w:val="00DA5841"/>
    <w:rsid w:val="00DA6BB6"/>
    <w:rsid w:val="00DC66E6"/>
    <w:rsid w:val="00DD1BDD"/>
    <w:rsid w:val="00DE58CB"/>
    <w:rsid w:val="00DE66CF"/>
    <w:rsid w:val="00E26246"/>
    <w:rsid w:val="00E5060B"/>
    <w:rsid w:val="00E70A77"/>
    <w:rsid w:val="00EA078F"/>
    <w:rsid w:val="00ED12EC"/>
    <w:rsid w:val="00EE26DD"/>
    <w:rsid w:val="00F060D4"/>
    <w:rsid w:val="00F1395A"/>
    <w:rsid w:val="00F2354B"/>
    <w:rsid w:val="00F34A4B"/>
    <w:rsid w:val="00F45E33"/>
    <w:rsid w:val="00F46C2A"/>
    <w:rsid w:val="00F52EA2"/>
    <w:rsid w:val="00F82D3F"/>
    <w:rsid w:val="00F91476"/>
    <w:rsid w:val="00F9187F"/>
    <w:rsid w:val="00FC35F8"/>
    <w:rsid w:val="00FD366B"/>
    <w:rsid w:val="00FF019F"/>
    <w:rsid w:val="00FF62CF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customStyle="1" w:styleId="WUTCParagraph">
    <w:name w:val="WUTC Paragraph"/>
    <w:basedOn w:val="Normal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WUTCHeading1">
    <w:name w:val="WUTC Heading 1"/>
    <w:basedOn w:val="Normal"/>
    <w:next w:val="WUTCParagraph"/>
    <w:pPr>
      <w:keepNext/>
      <w:keepLines/>
      <w:numPr>
        <w:numId w:val="6"/>
      </w:numPr>
      <w:tabs>
        <w:tab w:val="clear" w:pos="0"/>
        <w:tab w:val="left" w:pos="720"/>
      </w:tabs>
      <w:spacing w:after="240"/>
      <w:ind w:firstLine="0"/>
      <w:jc w:val="center"/>
      <w:outlineLvl w:val="0"/>
    </w:pPr>
    <w:rPr>
      <w:b/>
      <w:caps/>
    </w:rPr>
  </w:style>
  <w:style w:type="paragraph" w:customStyle="1" w:styleId="SingleSpacing">
    <w:name w:val="Single Spacing"/>
    <w:basedOn w:val="Normal"/>
    <w:pPr>
      <w:spacing w:line="254" w:lineRule="exact"/>
    </w:pPr>
    <w:rPr>
      <w:szCs w:val="20"/>
    </w:rPr>
  </w:style>
  <w:style w:type="paragraph" w:styleId="BodyText2">
    <w:name w:val="Body Text 2"/>
    <w:basedOn w:val="Normal"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WUTCHeading2">
    <w:name w:val="WUTC Heading 2"/>
    <w:basedOn w:val="WUTCHeading1"/>
    <w:next w:val="WUTCParagraph"/>
    <w:pPr>
      <w:numPr>
        <w:ilvl w:val="1"/>
      </w:numPr>
      <w:jc w:val="left"/>
      <w:outlineLvl w:val="1"/>
    </w:pPr>
    <w:rPr>
      <w:caps w:val="0"/>
    </w:rPr>
  </w:style>
  <w:style w:type="paragraph" w:customStyle="1" w:styleId="WUTCHeading3">
    <w:name w:val="WUTC Heading 3"/>
    <w:basedOn w:val="WUTCHeading1"/>
    <w:pPr>
      <w:numPr>
        <w:ilvl w:val="2"/>
      </w:numPr>
      <w:jc w:val="left"/>
      <w:outlineLvl w:val="2"/>
    </w:pPr>
    <w:rPr>
      <w:caps w:val="0"/>
    </w:rPr>
  </w:style>
  <w:style w:type="paragraph" w:styleId="EnvelopeAddress">
    <w:name w:val="envelope address"/>
    <w:basedOn w:val="Normal"/>
    <w:rsid w:val="004E6126"/>
    <w:pPr>
      <w:framePr w:w="7920" w:h="1980" w:hRule="exact" w:hSpace="180" w:wrap="auto" w:hAnchor="page" w:xAlign="center" w:yAlign="bottom"/>
      <w:ind w:left="2880"/>
    </w:pPr>
    <w:rPr>
      <w:color w:val="000000"/>
      <w:szCs w:val="20"/>
    </w:rPr>
  </w:style>
  <w:style w:type="character" w:styleId="Hyperlink">
    <w:name w:val="Hyperlink"/>
    <w:rsid w:val="00247CE2"/>
    <w:rPr>
      <w:color w:val="0000FF"/>
      <w:u w:val="single"/>
    </w:rPr>
  </w:style>
  <w:style w:type="table" w:styleId="TableGrid">
    <w:name w:val="Table Grid"/>
    <w:basedOn w:val="TableNormal"/>
    <w:uiPriority w:val="59"/>
    <w:rsid w:val="00B44102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410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customStyle="1" w:styleId="WUTCParagraph">
    <w:name w:val="WUTC Paragraph"/>
    <w:basedOn w:val="Normal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WUTCHeading1">
    <w:name w:val="WUTC Heading 1"/>
    <w:basedOn w:val="Normal"/>
    <w:next w:val="WUTCParagraph"/>
    <w:pPr>
      <w:keepNext/>
      <w:keepLines/>
      <w:numPr>
        <w:numId w:val="6"/>
      </w:numPr>
      <w:tabs>
        <w:tab w:val="clear" w:pos="0"/>
        <w:tab w:val="left" w:pos="720"/>
      </w:tabs>
      <w:spacing w:after="240"/>
      <w:ind w:firstLine="0"/>
      <w:jc w:val="center"/>
      <w:outlineLvl w:val="0"/>
    </w:pPr>
    <w:rPr>
      <w:b/>
      <w:caps/>
    </w:rPr>
  </w:style>
  <w:style w:type="paragraph" w:customStyle="1" w:styleId="SingleSpacing">
    <w:name w:val="Single Spacing"/>
    <w:basedOn w:val="Normal"/>
    <w:pPr>
      <w:spacing w:line="254" w:lineRule="exact"/>
    </w:pPr>
    <w:rPr>
      <w:szCs w:val="20"/>
    </w:rPr>
  </w:style>
  <w:style w:type="paragraph" w:styleId="BodyText2">
    <w:name w:val="Body Text 2"/>
    <w:basedOn w:val="Normal"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WUTCHeading2">
    <w:name w:val="WUTC Heading 2"/>
    <w:basedOn w:val="WUTCHeading1"/>
    <w:next w:val="WUTCParagraph"/>
    <w:pPr>
      <w:numPr>
        <w:ilvl w:val="1"/>
      </w:numPr>
      <w:jc w:val="left"/>
      <w:outlineLvl w:val="1"/>
    </w:pPr>
    <w:rPr>
      <w:caps w:val="0"/>
    </w:rPr>
  </w:style>
  <w:style w:type="paragraph" w:customStyle="1" w:styleId="WUTCHeading3">
    <w:name w:val="WUTC Heading 3"/>
    <w:basedOn w:val="WUTCHeading1"/>
    <w:pPr>
      <w:numPr>
        <w:ilvl w:val="2"/>
      </w:numPr>
      <w:jc w:val="left"/>
      <w:outlineLvl w:val="2"/>
    </w:pPr>
    <w:rPr>
      <w:caps w:val="0"/>
    </w:rPr>
  </w:style>
  <w:style w:type="paragraph" w:styleId="EnvelopeAddress">
    <w:name w:val="envelope address"/>
    <w:basedOn w:val="Normal"/>
    <w:rsid w:val="004E6126"/>
    <w:pPr>
      <w:framePr w:w="7920" w:h="1980" w:hRule="exact" w:hSpace="180" w:wrap="auto" w:hAnchor="page" w:xAlign="center" w:yAlign="bottom"/>
      <w:ind w:left="2880"/>
    </w:pPr>
    <w:rPr>
      <w:color w:val="000000"/>
      <w:szCs w:val="20"/>
    </w:rPr>
  </w:style>
  <w:style w:type="character" w:styleId="Hyperlink">
    <w:name w:val="Hyperlink"/>
    <w:rsid w:val="00247CE2"/>
    <w:rPr>
      <w:color w:val="0000FF"/>
      <w:u w:val="single"/>
    </w:rPr>
  </w:style>
  <w:style w:type="table" w:styleId="TableGrid">
    <w:name w:val="Table Grid"/>
    <w:basedOn w:val="TableNormal"/>
    <w:uiPriority w:val="59"/>
    <w:rsid w:val="00B44102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410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s\WUT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2015-09-14T07:00:00+00:00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35517-1D69-48A6-82F2-56B99EC7D89C}"/>
</file>

<file path=customXml/itemProps2.xml><?xml version="1.0" encoding="utf-8"?>
<ds:datastoreItem xmlns:ds="http://schemas.openxmlformats.org/officeDocument/2006/customXml" ds:itemID="{36A282A5-F961-466D-9810-52C8F350D183}"/>
</file>

<file path=customXml/itemProps3.xml><?xml version="1.0" encoding="utf-8"?>
<ds:datastoreItem xmlns:ds="http://schemas.openxmlformats.org/officeDocument/2006/customXml" ds:itemID="{87C9080D-36E4-4586-8956-55CC8F4BE8E0}"/>
</file>

<file path=customXml/itemProps4.xml><?xml version="1.0" encoding="utf-8"?>
<ds:datastoreItem xmlns:ds="http://schemas.openxmlformats.org/officeDocument/2006/customXml" ds:itemID="{61F3024A-FA6E-4842-962A-4C870F897769}"/>
</file>

<file path=docProps/app.xml><?xml version="1.0" encoding="utf-8"?>
<Properties xmlns="http://schemas.openxmlformats.org/officeDocument/2006/extended-properties" xmlns:vt="http://schemas.openxmlformats.org/officeDocument/2006/docPropsVTypes">
  <Template>WUTC Template</Template>
  <TotalTime>0</TotalTime>
  <Pages>2</Pages>
  <Words>292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</vt:lpstr>
    </vt:vector>
  </TitlesOfParts>
  <Company>DVC Law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</dc:title>
  <dc:creator>CWG</dc:creator>
  <cp:lastModifiedBy>Jesse O. Gorsuch</cp:lastModifiedBy>
  <cp:revision>2</cp:revision>
  <cp:lastPrinted>2015-09-14T15:19:00Z</cp:lastPrinted>
  <dcterms:created xsi:type="dcterms:W3CDTF">2015-09-14T16:42:00Z</dcterms:created>
  <dcterms:modified xsi:type="dcterms:W3CDTF">2015-09-14T16:42:00Z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