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04" w:rsidRDefault="00416804" w:rsidP="00594387">
      <w:pPr>
        <w:pStyle w:val="Header"/>
        <w:tabs>
          <w:tab w:val="clear" w:pos="4320"/>
          <w:tab w:val="clear" w:pos="8640"/>
          <w:tab w:val="center" w:pos="4680"/>
        </w:tabs>
        <w:spacing w:line="480" w:lineRule="auto"/>
        <w:jc w:val="center"/>
        <w:rPr>
          <w:b/>
          <w:bCs/>
          <w:sz w:val="24"/>
        </w:rPr>
      </w:pPr>
      <w:r>
        <w:rPr>
          <w:b/>
          <w:bCs/>
          <w:sz w:val="24"/>
        </w:rPr>
        <w:t>BEFORE THE</w:t>
      </w:r>
    </w:p>
    <w:p w:rsidR="00416804" w:rsidRDefault="00416804" w:rsidP="00594387">
      <w:pPr>
        <w:pStyle w:val="Heading1"/>
        <w:jc w:val="center"/>
        <w:rPr>
          <w:sz w:val="24"/>
        </w:rPr>
      </w:pPr>
      <w:r>
        <w:rPr>
          <w:sz w:val="24"/>
        </w:rPr>
        <w:t>WASHINGTON UTILITIES AND TRANSPORTATION COMMISSION</w:t>
      </w:r>
    </w:p>
    <w:p w:rsidR="00416804" w:rsidRPr="004F0FFA" w:rsidRDefault="00416804" w:rsidP="00594387"/>
    <w:p w:rsidR="00416804" w:rsidRDefault="00416804" w:rsidP="00594387">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416804" w:rsidTr="00594387">
        <w:tc>
          <w:tcPr>
            <w:tcW w:w="4328" w:type="dxa"/>
            <w:tcBorders>
              <w:bottom w:val="single" w:sz="4" w:space="0" w:color="auto"/>
            </w:tcBorders>
          </w:tcPr>
          <w:p w:rsidR="00416804" w:rsidRPr="003D3DCC" w:rsidRDefault="00416804" w:rsidP="00594387">
            <w:pPr>
              <w:pStyle w:val="Footer"/>
              <w:widowControl/>
              <w:tabs>
                <w:tab w:val="clear" w:pos="4320"/>
                <w:tab w:val="clear" w:pos="8640"/>
                <w:tab w:val="left" w:pos="2160"/>
              </w:tabs>
              <w:rPr>
                <w:snapToGrid/>
              </w:rPr>
            </w:pPr>
            <w:bookmarkStart w:id="0" w:name="Parties"/>
            <w:bookmarkEnd w:id="0"/>
            <w:r w:rsidRPr="003D3DCC">
              <w:rPr>
                <w:snapToGrid/>
                <w:lang w:val="en-US" w:eastAsia="en-US"/>
              </w:rPr>
              <w:t>In the Matter of the Petition of</w:t>
            </w:r>
          </w:p>
          <w:p w:rsidR="00416804" w:rsidRDefault="00416804" w:rsidP="00594387">
            <w:pPr>
              <w:tabs>
                <w:tab w:val="left" w:pos="2168"/>
              </w:tabs>
            </w:pPr>
          </w:p>
          <w:p w:rsidR="00416804" w:rsidRDefault="00416804" w:rsidP="00594387">
            <w:pPr>
              <w:tabs>
                <w:tab w:val="left" w:pos="2168"/>
              </w:tabs>
            </w:pPr>
            <w:r>
              <w:t>PUGET SOUND ENERGY, INC.</w:t>
            </w:r>
          </w:p>
          <w:p w:rsidR="00416804" w:rsidRDefault="00416804" w:rsidP="00594387">
            <w:pPr>
              <w:tabs>
                <w:tab w:val="left" w:pos="2168"/>
              </w:tabs>
            </w:pPr>
          </w:p>
          <w:p w:rsidR="00416804" w:rsidRDefault="00416804" w:rsidP="00594387">
            <w:pPr>
              <w:pStyle w:val="Footer"/>
              <w:widowControl/>
              <w:tabs>
                <w:tab w:val="clear" w:pos="4320"/>
                <w:tab w:val="clear" w:pos="8640"/>
              </w:tabs>
              <w:rPr>
                <w:lang w:val="en-US" w:eastAsia="en-US"/>
              </w:rPr>
            </w:pPr>
            <w:r w:rsidRPr="003D3DCC">
              <w:rPr>
                <w:lang w:val="en-US" w:eastAsia="en-US"/>
              </w:rPr>
              <w:t xml:space="preserve">For an </w:t>
            </w:r>
            <w:r>
              <w:rPr>
                <w:lang w:val="en-US" w:eastAsia="en-US"/>
              </w:rPr>
              <w:t xml:space="preserve">Accounting Order Approving the Allocation of Proceeds of the Sale of </w:t>
            </w:r>
          </w:p>
          <w:p w:rsidR="00416804" w:rsidRPr="00CA6B14" w:rsidRDefault="00416804" w:rsidP="00594387">
            <w:pPr>
              <w:pStyle w:val="Footer"/>
              <w:widowControl/>
              <w:tabs>
                <w:tab w:val="clear" w:pos="4320"/>
                <w:tab w:val="clear" w:pos="8640"/>
              </w:tabs>
            </w:pPr>
            <w:r>
              <w:rPr>
                <w:lang w:val="en-US" w:eastAsia="en-US"/>
              </w:rPr>
              <w:t>Certain Assets to Public Utility District #1 of Jefferson County.</w:t>
            </w:r>
          </w:p>
        </w:tc>
        <w:tc>
          <w:tcPr>
            <w:tcW w:w="270" w:type="dxa"/>
          </w:tcPr>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p w:rsidR="00416804" w:rsidRDefault="00416804" w:rsidP="00594387">
            <w:pPr>
              <w:pStyle w:val="SingleSpacing"/>
              <w:spacing w:line="240" w:lineRule="auto"/>
            </w:pPr>
            <w:r>
              <w:t>)</w:t>
            </w:r>
          </w:p>
        </w:tc>
        <w:tc>
          <w:tcPr>
            <w:tcW w:w="4050" w:type="dxa"/>
          </w:tcPr>
          <w:p w:rsidR="006B3EE3" w:rsidRDefault="006B3EE3" w:rsidP="00594387">
            <w:pPr>
              <w:pStyle w:val="SingleSpacing"/>
              <w:spacing w:line="240" w:lineRule="auto"/>
            </w:pPr>
            <w:bookmarkStart w:id="1" w:name="CaseNumber"/>
            <w:bookmarkEnd w:id="1"/>
          </w:p>
          <w:p w:rsidR="006B3EE3" w:rsidRDefault="006B3EE3" w:rsidP="00594387">
            <w:pPr>
              <w:pStyle w:val="SingleSpacing"/>
              <w:spacing w:line="240" w:lineRule="auto"/>
            </w:pPr>
          </w:p>
          <w:p w:rsidR="006B3EE3" w:rsidRDefault="006B3EE3" w:rsidP="00594387">
            <w:pPr>
              <w:pStyle w:val="SingleSpacing"/>
              <w:spacing w:line="240" w:lineRule="auto"/>
            </w:pPr>
          </w:p>
          <w:p w:rsidR="006B3EE3" w:rsidRDefault="006B3EE3" w:rsidP="00594387">
            <w:pPr>
              <w:pStyle w:val="SingleSpacing"/>
              <w:spacing w:line="240" w:lineRule="auto"/>
            </w:pPr>
          </w:p>
          <w:p w:rsidR="00416804" w:rsidRDefault="00416804" w:rsidP="00594387">
            <w:pPr>
              <w:pStyle w:val="SingleSpacing"/>
              <w:spacing w:line="240" w:lineRule="auto"/>
            </w:pPr>
            <w:r>
              <w:t>DOCKET NO. UE-132027</w:t>
            </w:r>
          </w:p>
          <w:p w:rsidR="00416804" w:rsidRDefault="00416804" w:rsidP="00594387">
            <w:pPr>
              <w:pStyle w:val="SingleSpacing"/>
              <w:spacing w:line="240" w:lineRule="auto"/>
            </w:pPr>
          </w:p>
          <w:p w:rsidR="00416804" w:rsidRDefault="00416804" w:rsidP="00594387">
            <w:pPr>
              <w:pStyle w:val="SingleSpacing"/>
              <w:spacing w:line="240" w:lineRule="auto"/>
            </w:pPr>
          </w:p>
          <w:p w:rsidR="00416804" w:rsidRDefault="00416804" w:rsidP="00594387">
            <w:pPr>
              <w:pStyle w:val="BodyText2"/>
            </w:pPr>
          </w:p>
        </w:tc>
      </w:tr>
    </w:tbl>
    <w:p w:rsidR="00416804" w:rsidRDefault="00416804"/>
    <w:p w:rsidR="00416804" w:rsidRDefault="00416804"/>
    <w:p w:rsidR="00416804" w:rsidRDefault="00416804"/>
    <w:p w:rsidR="00416804" w:rsidRDefault="00416804" w:rsidP="00594387">
      <w:pPr>
        <w:jc w:val="center"/>
      </w:pPr>
    </w:p>
    <w:p w:rsidR="00416804" w:rsidRDefault="00416804" w:rsidP="00594387">
      <w:pPr>
        <w:jc w:val="center"/>
      </w:pPr>
    </w:p>
    <w:p w:rsidR="00416804" w:rsidRDefault="00416804" w:rsidP="00594387">
      <w:pPr>
        <w:jc w:val="center"/>
      </w:pPr>
    </w:p>
    <w:p w:rsidR="00416804" w:rsidRDefault="00416804" w:rsidP="00594387">
      <w:pPr>
        <w:jc w:val="center"/>
      </w:pPr>
    </w:p>
    <w:p w:rsidR="00416804" w:rsidRPr="00CA6B14" w:rsidRDefault="0008783E" w:rsidP="00594387">
      <w:pPr>
        <w:jc w:val="center"/>
        <w:rPr>
          <w:sz w:val="26"/>
          <w:szCs w:val="26"/>
        </w:rPr>
      </w:pPr>
      <w:r>
        <w:rPr>
          <w:sz w:val="26"/>
          <w:szCs w:val="26"/>
        </w:rPr>
        <w:t>Reply</w:t>
      </w:r>
      <w:r w:rsidR="00416804" w:rsidRPr="00CA6B14">
        <w:rPr>
          <w:sz w:val="26"/>
          <w:szCs w:val="26"/>
        </w:rPr>
        <w:t xml:space="preserve"> Brief of the Industrial Customers of Northwest Utilities</w:t>
      </w:r>
    </w:p>
    <w:p w:rsidR="00416804" w:rsidRDefault="00416804" w:rsidP="00594387">
      <w:pPr>
        <w:jc w:val="center"/>
      </w:pPr>
    </w:p>
    <w:p w:rsidR="00416804" w:rsidRPr="0044629B" w:rsidRDefault="0008783E" w:rsidP="00594387">
      <w:pPr>
        <w:jc w:val="center"/>
        <w:rPr>
          <w:sz w:val="26"/>
          <w:szCs w:val="26"/>
        </w:rPr>
      </w:pPr>
      <w:r>
        <w:rPr>
          <w:sz w:val="26"/>
          <w:szCs w:val="26"/>
        </w:rPr>
        <w:t>June 17</w:t>
      </w:r>
      <w:r w:rsidR="00416804" w:rsidRPr="0044629B">
        <w:rPr>
          <w:sz w:val="26"/>
          <w:szCs w:val="26"/>
        </w:rPr>
        <w:t>, 2014</w:t>
      </w:r>
    </w:p>
    <w:p w:rsidR="00212167" w:rsidRDefault="00212167"/>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416804" w:rsidRDefault="00416804" w:rsidP="00AA1FD8">
      <w:pPr>
        <w:jc w:val="center"/>
        <w:rPr>
          <w:b/>
        </w:rPr>
      </w:pPr>
    </w:p>
    <w:p w:rsidR="00770993" w:rsidRDefault="00770993" w:rsidP="00AA1FD8">
      <w:pPr>
        <w:jc w:val="center"/>
        <w:rPr>
          <w:b/>
        </w:rPr>
        <w:sectPr w:rsidR="00770993" w:rsidSect="00594387">
          <w:pgSz w:w="12240" w:h="15840"/>
          <w:pgMar w:top="1440" w:right="1440" w:bottom="1440" w:left="1440" w:header="720" w:footer="720" w:gutter="0"/>
          <w:cols w:space="720"/>
          <w:docGrid w:linePitch="360"/>
        </w:sectPr>
      </w:pPr>
    </w:p>
    <w:p w:rsidR="00416804" w:rsidRPr="0008783E" w:rsidRDefault="00416804" w:rsidP="00416804">
      <w:pPr>
        <w:pStyle w:val="TOCHeading"/>
        <w:rPr>
          <w:sz w:val="26"/>
          <w:szCs w:val="26"/>
          <w:u w:val="single"/>
        </w:rPr>
      </w:pPr>
      <w:r w:rsidRPr="0008783E">
        <w:rPr>
          <w:sz w:val="26"/>
          <w:szCs w:val="26"/>
          <w:u w:val="single"/>
        </w:rPr>
        <w:lastRenderedPageBreak/>
        <w:t>TABLE OF CONTENTS</w:t>
      </w:r>
    </w:p>
    <w:p w:rsidR="00416804" w:rsidRPr="0008783E" w:rsidRDefault="00416804" w:rsidP="00416804">
      <w:pPr>
        <w:pStyle w:val="TOCHeading"/>
        <w:tabs>
          <w:tab w:val="right" w:leader="dot" w:pos="8640"/>
        </w:tabs>
        <w:jc w:val="left"/>
        <w:rPr>
          <w:sz w:val="26"/>
          <w:szCs w:val="26"/>
        </w:rPr>
      </w:pPr>
      <w:r w:rsidRPr="0008783E">
        <w:rPr>
          <w:b w:val="0"/>
          <w:sz w:val="26"/>
          <w:szCs w:val="26"/>
        </w:rPr>
        <w:t>TABLE OF CONTENTS</w:t>
      </w:r>
      <w:r w:rsidRPr="0008783E">
        <w:rPr>
          <w:b w:val="0"/>
          <w:sz w:val="26"/>
          <w:szCs w:val="26"/>
        </w:rPr>
        <w:tab/>
        <w:t>i</w:t>
      </w:r>
    </w:p>
    <w:p w:rsidR="00416804" w:rsidRPr="0008783E" w:rsidRDefault="00416804" w:rsidP="00416804">
      <w:pPr>
        <w:pStyle w:val="TOCHeading"/>
        <w:tabs>
          <w:tab w:val="right" w:leader="dot" w:pos="8640"/>
        </w:tabs>
        <w:jc w:val="left"/>
        <w:rPr>
          <w:sz w:val="26"/>
          <w:szCs w:val="26"/>
        </w:rPr>
      </w:pPr>
      <w:r w:rsidRPr="0008783E">
        <w:rPr>
          <w:b w:val="0"/>
          <w:sz w:val="26"/>
          <w:szCs w:val="26"/>
        </w:rPr>
        <w:t>TABLE OF</w:t>
      </w:r>
      <w:r w:rsidR="00E53C88">
        <w:rPr>
          <w:b w:val="0"/>
          <w:sz w:val="26"/>
          <w:szCs w:val="26"/>
        </w:rPr>
        <w:t xml:space="preserve"> AUTHORITIES</w:t>
      </w:r>
      <w:r w:rsidR="00E53C88">
        <w:rPr>
          <w:b w:val="0"/>
          <w:sz w:val="26"/>
          <w:szCs w:val="26"/>
        </w:rPr>
        <w:tab/>
        <w:t>ii</w:t>
      </w:r>
    </w:p>
    <w:p w:rsidR="00416804" w:rsidRPr="0008783E" w:rsidRDefault="00842D9B" w:rsidP="00416804">
      <w:pPr>
        <w:pStyle w:val="BATOAEntry"/>
        <w:tabs>
          <w:tab w:val="clear" w:pos="9360"/>
          <w:tab w:val="left" w:pos="720"/>
          <w:tab w:val="left" w:pos="1350"/>
          <w:tab w:val="right" w:leader="dot" w:pos="8640"/>
        </w:tabs>
        <w:ind w:left="0" w:firstLine="0"/>
        <w:rPr>
          <w:noProof/>
          <w:sz w:val="26"/>
          <w:szCs w:val="26"/>
        </w:rPr>
      </w:pPr>
      <w:r>
        <w:rPr>
          <w:noProof/>
          <w:sz w:val="26"/>
          <w:szCs w:val="26"/>
        </w:rPr>
        <w:t>I.</w:t>
      </w:r>
      <w:r>
        <w:rPr>
          <w:noProof/>
          <w:sz w:val="26"/>
          <w:szCs w:val="26"/>
        </w:rPr>
        <w:tab/>
        <w:t>INTRODUCTION</w:t>
      </w:r>
      <w:r>
        <w:rPr>
          <w:noProof/>
          <w:sz w:val="26"/>
          <w:szCs w:val="26"/>
        </w:rPr>
        <w:tab/>
        <w:t>1</w:t>
      </w:r>
    </w:p>
    <w:p w:rsidR="00416804" w:rsidRPr="0008783E" w:rsidRDefault="00416804" w:rsidP="00416804">
      <w:pPr>
        <w:pStyle w:val="BATOAEntry"/>
        <w:tabs>
          <w:tab w:val="clear" w:pos="9360"/>
          <w:tab w:val="left" w:pos="720"/>
          <w:tab w:val="left" w:pos="1350"/>
          <w:tab w:val="right" w:leader="dot" w:pos="8640"/>
        </w:tabs>
        <w:ind w:left="720" w:hanging="720"/>
        <w:rPr>
          <w:sz w:val="26"/>
          <w:szCs w:val="26"/>
        </w:rPr>
      </w:pPr>
      <w:r w:rsidRPr="0008783E">
        <w:rPr>
          <w:sz w:val="26"/>
          <w:szCs w:val="26"/>
        </w:rPr>
        <w:t>II.</w:t>
      </w:r>
      <w:r w:rsidRPr="0008783E">
        <w:rPr>
          <w:sz w:val="26"/>
          <w:szCs w:val="26"/>
        </w:rPr>
        <w:tab/>
      </w:r>
      <w:r w:rsidR="00842D9B">
        <w:rPr>
          <w:sz w:val="26"/>
          <w:szCs w:val="26"/>
        </w:rPr>
        <w:t>ARGUMENT</w:t>
      </w:r>
      <w:r w:rsidR="00842D9B">
        <w:rPr>
          <w:sz w:val="26"/>
          <w:szCs w:val="26"/>
        </w:rPr>
        <w:tab/>
        <w:t>1</w:t>
      </w:r>
    </w:p>
    <w:p w:rsidR="00416804" w:rsidRDefault="00842D9B" w:rsidP="00FE5CF0">
      <w:pPr>
        <w:pStyle w:val="BATOAEntry"/>
        <w:numPr>
          <w:ilvl w:val="0"/>
          <w:numId w:val="4"/>
        </w:numPr>
        <w:tabs>
          <w:tab w:val="clear" w:pos="9360"/>
          <w:tab w:val="left" w:pos="720"/>
          <w:tab w:val="left" w:pos="1350"/>
          <w:tab w:val="right" w:leader="dot" w:pos="8640"/>
        </w:tabs>
        <w:spacing w:after="0"/>
        <w:ind w:left="1354" w:hanging="634"/>
        <w:rPr>
          <w:sz w:val="26"/>
          <w:szCs w:val="26"/>
        </w:rPr>
      </w:pPr>
      <w:r>
        <w:rPr>
          <w:sz w:val="26"/>
          <w:szCs w:val="26"/>
        </w:rPr>
        <w:t>PSE Has No Constitutional Right to the Full Amount of the P</w:t>
      </w:r>
      <w:r w:rsidRPr="00842D9B">
        <w:rPr>
          <w:sz w:val="26"/>
          <w:szCs w:val="26"/>
        </w:rPr>
        <w:t>roceeds</w:t>
      </w:r>
      <w:r>
        <w:rPr>
          <w:sz w:val="26"/>
          <w:szCs w:val="26"/>
        </w:rPr>
        <w:t>…</w:t>
      </w:r>
      <w:r w:rsidR="00FE5CF0" w:rsidRPr="00842D9B">
        <w:rPr>
          <w:sz w:val="26"/>
          <w:szCs w:val="26"/>
        </w:rPr>
        <w:tab/>
      </w:r>
      <w:r>
        <w:rPr>
          <w:sz w:val="26"/>
          <w:szCs w:val="26"/>
        </w:rPr>
        <w:t>1</w:t>
      </w:r>
    </w:p>
    <w:p w:rsidR="002656B3" w:rsidRDefault="002656B3" w:rsidP="002656B3">
      <w:pPr>
        <w:pStyle w:val="BATOAEntry"/>
        <w:tabs>
          <w:tab w:val="clear" w:pos="9360"/>
          <w:tab w:val="left" w:pos="720"/>
          <w:tab w:val="left" w:pos="1350"/>
          <w:tab w:val="right" w:leader="dot" w:pos="7200"/>
        </w:tabs>
        <w:spacing w:after="0"/>
        <w:ind w:left="1354" w:firstLine="0"/>
        <w:rPr>
          <w:sz w:val="26"/>
          <w:szCs w:val="26"/>
        </w:rPr>
      </w:pPr>
    </w:p>
    <w:p w:rsidR="00567A4F" w:rsidRDefault="00EB3320" w:rsidP="002656B3">
      <w:pPr>
        <w:pStyle w:val="BATOAEntry"/>
        <w:numPr>
          <w:ilvl w:val="0"/>
          <w:numId w:val="11"/>
        </w:numPr>
        <w:tabs>
          <w:tab w:val="clear" w:pos="9360"/>
          <w:tab w:val="left" w:pos="720"/>
          <w:tab w:val="left" w:pos="1350"/>
          <w:tab w:val="right" w:leader="dot" w:pos="8640"/>
        </w:tabs>
        <w:spacing w:after="0"/>
        <w:rPr>
          <w:sz w:val="26"/>
          <w:szCs w:val="26"/>
        </w:rPr>
      </w:pPr>
      <w:r w:rsidRPr="00EB3320">
        <w:rPr>
          <w:sz w:val="26"/>
          <w:szCs w:val="26"/>
        </w:rPr>
        <w:t xml:space="preserve">Under </w:t>
      </w:r>
      <w:r>
        <w:rPr>
          <w:sz w:val="26"/>
          <w:szCs w:val="26"/>
        </w:rPr>
        <w:t>A</w:t>
      </w:r>
      <w:r w:rsidRPr="00EB3320">
        <w:rPr>
          <w:sz w:val="26"/>
          <w:szCs w:val="26"/>
        </w:rPr>
        <w:t xml:space="preserve">ll </w:t>
      </w:r>
      <w:r>
        <w:rPr>
          <w:sz w:val="26"/>
          <w:szCs w:val="26"/>
        </w:rPr>
        <w:t>P</w:t>
      </w:r>
      <w:r w:rsidRPr="00EB3320">
        <w:rPr>
          <w:sz w:val="26"/>
          <w:szCs w:val="26"/>
        </w:rPr>
        <w:t xml:space="preserve">arties’ </w:t>
      </w:r>
      <w:r>
        <w:rPr>
          <w:sz w:val="26"/>
          <w:szCs w:val="26"/>
        </w:rPr>
        <w:t>P</w:t>
      </w:r>
      <w:r w:rsidRPr="00EB3320">
        <w:rPr>
          <w:sz w:val="26"/>
          <w:szCs w:val="26"/>
        </w:rPr>
        <w:t xml:space="preserve">roposed </w:t>
      </w:r>
      <w:r>
        <w:rPr>
          <w:sz w:val="26"/>
          <w:szCs w:val="26"/>
        </w:rPr>
        <w:t>A</w:t>
      </w:r>
      <w:r w:rsidRPr="00EB3320">
        <w:rPr>
          <w:sz w:val="26"/>
          <w:szCs w:val="26"/>
        </w:rPr>
        <w:t xml:space="preserve">llocation of the </w:t>
      </w:r>
      <w:r>
        <w:rPr>
          <w:sz w:val="26"/>
          <w:szCs w:val="26"/>
        </w:rPr>
        <w:t>P</w:t>
      </w:r>
      <w:r w:rsidRPr="00EB3320">
        <w:rPr>
          <w:sz w:val="26"/>
          <w:szCs w:val="26"/>
        </w:rPr>
        <w:t xml:space="preserve">roceeds, </w:t>
      </w:r>
    </w:p>
    <w:p w:rsidR="002656B3" w:rsidRDefault="00EB3320" w:rsidP="00567A4F">
      <w:pPr>
        <w:pStyle w:val="BATOAEntry"/>
        <w:tabs>
          <w:tab w:val="clear" w:pos="9360"/>
          <w:tab w:val="left" w:pos="720"/>
          <w:tab w:val="left" w:pos="1350"/>
          <w:tab w:val="right" w:leader="dot" w:pos="8640"/>
        </w:tabs>
        <w:spacing w:after="0"/>
        <w:ind w:left="1714" w:firstLine="0"/>
        <w:rPr>
          <w:sz w:val="26"/>
          <w:szCs w:val="26"/>
        </w:rPr>
      </w:pPr>
      <w:r w:rsidRPr="00EB3320">
        <w:rPr>
          <w:sz w:val="26"/>
          <w:szCs w:val="26"/>
        </w:rPr>
        <w:t xml:space="preserve">PSE </w:t>
      </w:r>
      <w:r>
        <w:rPr>
          <w:sz w:val="26"/>
          <w:szCs w:val="26"/>
        </w:rPr>
        <w:t>W</w:t>
      </w:r>
      <w:r w:rsidRPr="00EB3320">
        <w:rPr>
          <w:sz w:val="26"/>
          <w:szCs w:val="26"/>
        </w:rPr>
        <w:t>ill</w:t>
      </w:r>
      <w:r>
        <w:rPr>
          <w:sz w:val="26"/>
          <w:szCs w:val="26"/>
        </w:rPr>
        <w:t xml:space="preserve"> Be Made W</w:t>
      </w:r>
      <w:r w:rsidRPr="00EB3320">
        <w:rPr>
          <w:sz w:val="26"/>
          <w:szCs w:val="26"/>
        </w:rPr>
        <w:t>hole.</w:t>
      </w:r>
      <w:r w:rsidR="002656B3">
        <w:rPr>
          <w:sz w:val="26"/>
          <w:szCs w:val="26"/>
        </w:rPr>
        <w:tab/>
        <w:t>2</w:t>
      </w:r>
    </w:p>
    <w:p w:rsidR="002656B3" w:rsidRDefault="002656B3" w:rsidP="002656B3">
      <w:pPr>
        <w:pStyle w:val="BATOAEntry"/>
        <w:tabs>
          <w:tab w:val="clear" w:pos="9360"/>
          <w:tab w:val="left" w:pos="720"/>
          <w:tab w:val="left" w:pos="1350"/>
        </w:tabs>
        <w:spacing w:after="0"/>
        <w:ind w:left="1714" w:firstLine="0"/>
        <w:rPr>
          <w:sz w:val="26"/>
          <w:szCs w:val="26"/>
        </w:rPr>
      </w:pPr>
    </w:p>
    <w:p w:rsidR="00416804" w:rsidRDefault="002656B3" w:rsidP="002656B3">
      <w:pPr>
        <w:pStyle w:val="BATOAEntry"/>
        <w:numPr>
          <w:ilvl w:val="0"/>
          <w:numId w:val="11"/>
        </w:numPr>
        <w:tabs>
          <w:tab w:val="clear" w:pos="9360"/>
          <w:tab w:val="left" w:pos="720"/>
          <w:tab w:val="left" w:pos="1350"/>
          <w:tab w:val="right" w:leader="dot" w:pos="8640"/>
        </w:tabs>
        <w:spacing w:after="0"/>
        <w:rPr>
          <w:sz w:val="26"/>
          <w:szCs w:val="26"/>
        </w:rPr>
      </w:pPr>
      <w:r>
        <w:rPr>
          <w:sz w:val="26"/>
          <w:szCs w:val="26"/>
        </w:rPr>
        <w:t xml:space="preserve">The Proceeds Do Not Represent “Just Compensation” to PSE </w:t>
      </w:r>
      <w:r>
        <w:rPr>
          <w:sz w:val="26"/>
          <w:szCs w:val="26"/>
        </w:rPr>
        <w:tab/>
        <w:t>4</w:t>
      </w:r>
    </w:p>
    <w:p w:rsidR="002656B3" w:rsidRPr="0008783E" w:rsidRDefault="002656B3" w:rsidP="002656B3">
      <w:pPr>
        <w:pStyle w:val="BATOAEntry"/>
        <w:tabs>
          <w:tab w:val="clear" w:pos="9360"/>
          <w:tab w:val="left" w:pos="720"/>
          <w:tab w:val="left" w:pos="1350"/>
        </w:tabs>
        <w:spacing w:after="0"/>
        <w:ind w:left="0" w:firstLine="0"/>
        <w:rPr>
          <w:sz w:val="26"/>
          <w:szCs w:val="26"/>
        </w:rPr>
      </w:pPr>
    </w:p>
    <w:p w:rsidR="00416804" w:rsidRPr="0008783E" w:rsidRDefault="00842D9B" w:rsidP="00E13CC2">
      <w:pPr>
        <w:pStyle w:val="BATOAEntry"/>
        <w:numPr>
          <w:ilvl w:val="0"/>
          <w:numId w:val="4"/>
        </w:numPr>
        <w:tabs>
          <w:tab w:val="clear" w:pos="9360"/>
          <w:tab w:val="left" w:pos="720"/>
          <w:tab w:val="left" w:pos="1350"/>
          <w:tab w:val="right" w:leader="dot" w:pos="8640"/>
        </w:tabs>
        <w:spacing w:after="0"/>
        <w:ind w:left="1354" w:hanging="634"/>
        <w:rPr>
          <w:sz w:val="26"/>
          <w:szCs w:val="26"/>
        </w:rPr>
      </w:pPr>
      <w:r>
        <w:rPr>
          <w:sz w:val="26"/>
          <w:szCs w:val="26"/>
        </w:rPr>
        <w:t>PSE Shifts the Risk of Loss to C</w:t>
      </w:r>
      <w:r w:rsidRPr="00842D9B">
        <w:rPr>
          <w:sz w:val="26"/>
          <w:szCs w:val="26"/>
        </w:rPr>
        <w:t>ustomers</w:t>
      </w:r>
      <w:r w:rsidR="00E13CC2">
        <w:rPr>
          <w:sz w:val="26"/>
          <w:szCs w:val="26"/>
        </w:rPr>
        <w:t xml:space="preserve"> </w:t>
      </w:r>
      <w:r w:rsidR="00E13CC2">
        <w:rPr>
          <w:sz w:val="26"/>
          <w:szCs w:val="26"/>
        </w:rPr>
        <w:tab/>
      </w:r>
      <w:r w:rsidR="00651EC7">
        <w:rPr>
          <w:sz w:val="26"/>
          <w:szCs w:val="26"/>
        </w:rPr>
        <w:t>6</w:t>
      </w:r>
      <w:bookmarkStart w:id="2" w:name="_GoBack"/>
      <w:bookmarkEnd w:id="2"/>
    </w:p>
    <w:p w:rsidR="00416804" w:rsidRPr="0008783E" w:rsidRDefault="00416804" w:rsidP="00416804">
      <w:pPr>
        <w:pStyle w:val="BATOAEntry"/>
        <w:tabs>
          <w:tab w:val="clear" w:pos="9360"/>
          <w:tab w:val="left" w:pos="720"/>
          <w:tab w:val="left" w:pos="1350"/>
          <w:tab w:val="left" w:pos="2160"/>
          <w:tab w:val="right" w:leader="dot" w:pos="7200"/>
        </w:tabs>
        <w:spacing w:after="0"/>
        <w:ind w:left="0" w:firstLine="0"/>
        <w:rPr>
          <w:sz w:val="26"/>
          <w:szCs w:val="26"/>
        </w:rPr>
      </w:pPr>
    </w:p>
    <w:p w:rsidR="00027474" w:rsidRPr="00842D9B" w:rsidRDefault="00842D9B" w:rsidP="00842D9B">
      <w:pPr>
        <w:pStyle w:val="BATOAEntry"/>
        <w:numPr>
          <w:ilvl w:val="0"/>
          <w:numId w:val="4"/>
        </w:numPr>
        <w:tabs>
          <w:tab w:val="clear" w:pos="9360"/>
          <w:tab w:val="left" w:pos="720"/>
          <w:tab w:val="left" w:pos="1350"/>
          <w:tab w:val="right" w:leader="dot" w:pos="7200"/>
          <w:tab w:val="right" w:leader="dot" w:pos="8640"/>
        </w:tabs>
        <w:spacing w:after="0"/>
        <w:ind w:left="1354" w:hanging="634"/>
        <w:rPr>
          <w:sz w:val="26"/>
          <w:szCs w:val="26"/>
        </w:rPr>
      </w:pPr>
      <w:r>
        <w:rPr>
          <w:sz w:val="26"/>
          <w:szCs w:val="26"/>
        </w:rPr>
        <w:t xml:space="preserve">Deferred Accounting Does Not “Benefit” Customers </w:t>
      </w:r>
      <w:r>
        <w:rPr>
          <w:sz w:val="26"/>
          <w:szCs w:val="26"/>
        </w:rPr>
        <w:tab/>
        <w:t>....</w:t>
      </w:r>
      <w:r w:rsidR="002656B3">
        <w:rPr>
          <w:sz w:val="26"/>
          <w:szCs w:val="26"/>
        </w:rPr>
        <w:t>....................</w:t>
      </w:r>
      <w:r w:rsidR="002656B3">
        <w:rPr>
          <w:sz w:val="26"/>
          <w:szCs w:val="26"/>
        </w:rPr>
        <w:tab/>
        <w:t>7</w:t>
      </w:r>
      <w:r w:rsidR="00416804" w:rsidRPr="00842D9B">
        <w:rPr>
          <w:sz w:val="26"/>
          <w:szCs w:val="26"/>
        </w:rPr>
        <w:t xml:space="preserve"> </w:t>
      </w:r>
    </w:p>
    <w:p w:rsidR="00416804" w:rsidRPr="0008783E" w:rsidRDefault="00416804" w:rsidP="00384730">
      <w:pPr>
        <w:pStyle w:val="BATOAEntry"/>
        <w:tabs>
          <w:tab w:val="clear" w:pos="9360"/>
          <w:tab w:val="left" w:pos="720"/>
          <w:tab w:val="left" w:pos="1350"/>
          <w:tab w:val="left" w:pos="2160"/>
          <w:tab w:val="right" w:leader="dot" w:pos="8640"/>
        </w:tabs>
        <w:spacing w:after="0"/>
        <w:ind w:left="0" w:firstLine="0"/>
        <w:rPr>
          <w:sz w:val="26"/>
          <w:szCs w:val="26"/>
        </w:rPr>
      </w:pPr>
    </w:p>
    <w:p w:rsidR="00027474" w:rsidRPr="00842D9B" w:rsidRDefault="00570413" w:rsidP="00842D9B">
      <w:pPr>
        <w:pStyle w:val="BATOAEntry"/>
        <w:numPr>
          <w:ilvl w:val="0"/>
          <w:numId w:val="4"/>
        </w:numPr>
        <w:tabs>
          <w:tab w:val="clear" w:pos="9360"/>
          <w:tab w:val="left" w:pos="720"/>
          <w:tab w:val="left" w:pos="1350"/>
          <w:tab w:val="right" w:leader="dot" w:pos="8640"/>
        </w:tabs>
        <w:spacing w:after="0"/>
        <w:rPr>
          <w:sz w:val="26"/>
          <w:szCs w:val="26"/>
        </w:rPr>
      </w:pPr>
      <w:r>
        <w:rPr>
          <w:sz w:val="26"/>
          <w:szCs w:val="26"/>
        </w:rPr>
        <w:t>An Appropriate Incentive Payment to</w:t>
      </w:r>
      <w:r w:rsidR="00C40A4C">
        <w:rPr>
          <w:sz w:val="26"/>
          <w:szCs w:val="26"/>
        </w:rPr>
        <w:t xml:space="preserve"> PSE is A</w:t>
      </w:r>
      <w:r>
        <w:rPr>
          <w:sz w:val="26"/>
          <w:szCs w:val="26"/>
        </w:rPr>
        <w:t>t or Near its Authorized Return on E</w:t>
      </w:r>
      <w:r w:rsidR="00842D9B" w:rsidRPr="00842D9B">
        <w:rPr>
          <w:sz w:val="26"/>
          <w:szCs w:val="26"/>
        </w:rPr>
        <w:t>quity</w:t>
      </w:r>
      <w:r w:rsidR="002B417A">
        <w:rPr>
          <w:sz w:val="26"/>
          <w:szCs w:val="26"/>
        </w:rPr>
        <w:tab/>
        <w:t>8</w:t>
      </w:r>
    </w:p>
    <w:p w:rsidR="00416804" w:rsidRPr="0008783E" w:rsidRDefault="00416804" w:rsidP="00416804">
      <w:pPr>
        <w:pStyle w:val="BATOAEntry"/>
        <w:tabs>
          <w:tab w:val="clear" w:pos="9360"/>
          <w:tab w:val="left" w:pos="720"/>
          <w:tab w:val="left" w:pos="1350"/>
          <w:tab w:val="left" w:pos="2160"/>
          <w:tab w:val="right" w:leader="dot" w:pos="7200"/>
        </w:tabs>
        <w:spacing w:after="0"/>
        <w:ind w:left="1354" w:hanging="1354"/>
        <w:rPr>
          <w:sz w:val="26"/>
          <w:szCs w:val="26"/>
        </w:rPr>
      </w:pPr>
      <w:r w:rsidRPr="0008783E">
        <w:rPr>
          <w:sz w:val="26"/>
          <w:szCs w:val="26"/>
        </w:rPr>
        <w:tab/>
      </w:r>
      <w:r w:rsidRPr="0008783E">
        <w:rPr>
          <w:sz w:val="26"/>
          <w:szCs w:val="26"/>
        </w:rPr>
        <w:tab/>
      </w:r>
    </w:p>
    <w:p w:rsidR="00416804" w:rsidRPr="0008783E" w:rsidRDefault="0008783E" w:rsidP="00416804">
      <w:pPr>
        <w:pStyle w:val="BATOAEntry"/>
        <w:tabs>
          <w:tab w:val="clear" w:pos="9360"/>
          <w:tab w:val="left" w:pos="720"/>
          <w:tab w:val="left" w:pos="1350"/>
          <w:tab w:val="right" w:leader="dot" w:pos="8640"/>
        </w:tabs>
        <w:ind w:left="720" w:hanging="720"/>
        <w:rPr>
          <w:sz w:val="26"/>
          <w:szCs w:val="26"/>
        </w:rPr>
      </w:pPr>
      <w:r w:rsidRPr="0008783E">
        <w:rPr>
          <w:sz w:val="26"/>
          <w:szCs w:val="26"/>
        </w:rPr>
        <w:t>III</w:t>
      </w:r>
      <w:r w:rsidR="002B417A">
        <w:rPr>
          <w:sz w:val="26"/>
          <w:szCs w:val="26"/>
        </w:rPr>
        <w:t>.</w:t>
      </w:r>
      <w:r w:rsidR="002B417A">
        <w:rPr>
          <w:sz w:val="26"/>
          <w:szCs w:val="26"/>
        </w:rPr>
        <w:tab/>
        <w:t>CONCLUSION</w:t>
      </w:r>
      <w:r w:rsidR="002B417A">
        <w:rPr>
          <w:sz w:val="26"/>
          <w:szCs w:val="26"/>
        </w:rPr>
        <w:tab/>
        <w:t>9</w:t>
      </w: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08783E" w:rsidRDefault="00416804" w:rsidP="00AA1FD8">
      <w:pPr>
        <w:jc w:val="center"/>
        <w:rPr>
          <w:b/>
          <w:highlight w:val="yellow"/>
        </w:rPr>
      </w:pPr>
    </w:p>
    <w:p w:rsidR="00416804" w:rsidRPr="001116C0" w:rsidRDefault="00416804" w:rsidP="00594387">
      <w:pPr>
        <w:pStyle w:val="BodyTextIndent"/>
        <w:tabs>
          <w:tab w:val="left" w:pos="720"/>
          <w:tab w:val="right" w:leader="dot" w:pos="8640"/>
        </w:tabs>
        <w:jc w:val="center"/>
        <w:rPr>
          <w:b/>
          <w:sz w:val="26"/>
          <w:szCs w:val="26"/>
          <w:u w:val="single"/>
        </w:rPr>
      </w:pPr>
      <w:r w:rsidRPr="001116C0">
        <w:rPr>
          <w:b/>
          <w:sz w:val="26"/>
          <w:szCs w:val="26"/>
          <w:u w:val="single"/>
        </w:rPr>
        <w:t>TABLE OF AUTHORITIES</w:t>
      </w:r>
    </w:p>
    <w:p w:rsidR="00416804" w:rsidRPr="001116C0" w:rsidRDefault="00416804" w:rsidP="00594387">
      <w:pPr>
        <w:pStyle w:val="BodyTextIndent"/>
        <w:tabs>
          <w:tab w:val="left" w:pos="720"/>
          <w:tab w:val="right" w:leader="dot" w:pos="8640"/>
        </w:tabs>
        <w:jc w:val="center"/>
        <w:rPr>
          <w:b/>
          <w:sz w:val="26"/>
          <w:szCs w:val="26"/>
          <w:u w:val="single"/>
        </w:rPr>
      </w:pPr>
    </w:p>
    <w:p w:rsidR="00416804" w:rsidRPr="001116C0" w:rsidRDefault="00416804" w:rsidP="00594387">
      <w:pPr>
        <w:pStyle w:val="BodyTextIndent"/>
        <w:tabs>
          <w:tab w:val="left" w:pos="720"/>
          <w:tab w:val="right" w:leader="dot" w:pos="8640"/>
        </w:tabs>
        <w:jc w:val="center"/>
        <w:rPr>
          <w:b/>
          <w:sz w:val="26"/>
          <w:szCs w:val="26"/>
          <w:u w:val="single"/>
        </w:rPr>
      </w:pPr>
      <w:r w:rsidRPr="001116C0">
        <w:rPr>
          <w:b/>
          <w:sz w:val="26"/>
          <w:szCs w:val="26"/>
          <w:u w:val="single"/>
        </w:rPr>
        <w:t>Court Cases</w:t>
      </w:r>
    </w:p>
    <w:p w:rsidR="00416804" w:rsidRPr="001116C0" w:rsidRDefault="00416804" w:rsidP="00594387">
      <w:pPr>
        <w:pStyle w:val="BodyTextIndent"/>
        <w:tabs>
          <w:tab w:val="left" w:pos="720"/>
          <w:tab w:val="right" w:leader="dot" w:pos="8640"/>
        </w:tabs>
        <w:jc w:val="center"/>
        <w:rPr>
          <w:b/>
          <w:sz w:val="26"/>
          <w:szCs w:val="26"/>
          <w:u w:val="single"/>
        </w:rPr>
      </w:pPr>
    </w:p>
    <w:p w:rsidR="00837124" w:rsidRPr="001116C0" w:rsidRDefault="00367D4A" w:rsidP="00ED3878">
      <w:pPr>
        <w:pStyle w:val="BodyTextIndent"/>
        <w:tabs>
          <w:tab w:val="left" w:pos="720"/>
          <w:tab w:val="right" w:leader="dot" w:pos="8640"/>
        </w:tabs>
        <w:spacing w:after="0"/>
        <w:rPr>
          <w:sz w:val="26"/>
          <w:szCs w:val="26"/>
        </w:rPr>
      </w:pPr>
      <w:r w:rsidRPr="001116C0">
        <w:rPr>
          <w:u w:val="single"/>
        </w:rPr>
        <w:t>U.</w:t>
      </w:r>
      <w:r w:rsidRPr="001116C0">
        <w:rPr>
          <w:sz w:val="26"/>
          <w:szCs w:val="26"/>
          <w:u w:val="single"/>
        </w:rPr>
        <w:t>S. v. Reynolds</w:t>
      </w:r>
      <w:r w:rsidR="002374F7" w:rsidRPr="001116C0">
        <w:rPr>
          <w:sz w:val="26"/>
          <w:szCs w:val="26"/>
        </w:rPr>
        <w:t>, 397 U.S. 14</w:t>
      </w:r>
      <w:r w:rsidRPr="001116C0">
        <w:rPr>
          <w:sz w:val="26"/>
          <w:szCs w:val="26"/>
        </w:rPr>
        <w:t xml:space="preserve"> (1970</w:t>
      </w:r>
      <w:r w:rsidR="002374F7" w:rsidRPr="001116C0">
        <w:rPr>
          <w:sz w:val="26"/>
          <w:szCs w:val="26"/>
        </w:rPr>
        <w:t>)</w:t>
      </w:r>
      <w:r w:rsidR="00C40A4C">
        <w:rPr>
          <w:sz w:val="26"/>
          <w:szCs w:val="26"/>
        </w:rPr>
        <w:tab/>
        <w:t>2</w:t>
      </w:r>
      <w:r w:rsidR="001116C0">
        <w:rPr>
          <w:sz w:val="26"/>
          <w:szCs w:val="26"/>
        </w:rPr>
        <w:t>, 4</w:t>
      </w:r>
    </w:p>
    <w:p w:rsidR="005437BD" w:rsidRPr="001116C0" w:rsidRDefault="005437BD" w:rsidP="00837124">
      <w:pPr>
        <w:pStyle w:val="BodyTextIndent"/>
        <w:tabs>
          <w:tab w:val="left" w:pos="720"/>
          <w:tab w:val="right" w:leader="dot" w:pos="7200"/>
          <w:tab w:val="right" w:leader="dot" w:pos="8640"/>
        </w:tabs>
        <w:spacing w:after="0"/>
        <w:rPr>
          <w:sz w:val="26"/>
          <w:szCs w:val="26"/>
          <w:u w:val="single"/>
        </w:rPr>
      </w:pPr>
    </w:p>
    <w:p w:rsidR="00037C88" w:rsidRPr="001116C0" w:rsidRDefault="00367D4A" w:rsidP="00837124">
      <w:pPr>
        <w:pStyle w:val="BodyTextIndent"/>
        <w:tabs>
          <w:tab w:val="left" w:pos="720"/>
          <w:tab w:val="right" w:leader="dot" w:pos="8640"/>
        </w:tabs>
        <w:spacing w:after="0"/>
        <w:rPr>
          <w:sz w:val="26"/>
          <w:szCs w:val="26"/>
        </w:rPr>
      </w:pPr>
      <w:r w:rsidRPr="001116C0">
        <w:rPr>
          <w:sz w:val="26"/>
          <w:szCs w:val="26"/>
          <w:u w:val="single"/>
        </w:rPr>
        <w:t>State v. Wilson</w:t>
      </w:r>
      <w:r w:rsidR="002374F7" w:rsidRPr="001116C0">
        <w:rPr>
          <w:sz w:val="26"/>
          <w:szCs w:val="26"/>
        </w:rPr>
        <w:t>, 6 Wn. App. 443</w:t>
      </w:r>
      <w:r w:rsidRPr="001116C0">
        <w:rPr>
          <w:sz w:val="26"/>
          <w:szCs w:val="26"/>
        </w:rPr>
        <w:t xml:space="preserve"> (1972)</w:t>
      </w:r>
      <w:r w:rsidR="001116C0">
        <w:rPr>
          <w:sz w:val="26"/>
          <w:szCs w:val="26"/>
        </w:rPr>
        <w:tab/>
        <w:t>2, 3</w:t>
      </w:r>
      <w:r w:rsidR="006E4A5C">
        <w:rPr>
          <w:sz w:val="26"/>
          <w:szCs w:val="26"/>
        </w:rPr>
        <w:t>, 4</w:t>
      </w:r>
    </w:p>
    <w:p w:rsidR="00151963" w:rsidRPr="001116C0" w:rsidRDefault="00151963" w:rsidP="00ED3878">
      <w:pPr>
        <w:pStyle w:val="BodyTextIndent"/>
        <w:tabs>
          <w:tab w:val="left" w:pos="720"/>
          <w:tab w:val="right" w:leader="dot" w:pos="8640"/>
        </w:tabs>
        <w:spacing w:after="0"/>
        <w:rPr>
          <w:sz w:val="26"/>
          <w:szCs w:val="26"/>
        </w:rPr>
      </w:pPr>
    </w:p>
    <w:p w:rsidR="00151963" w:rsidRPr="001116C0" w:rsidRDefault="00367D4A" w:rsidP="002374F7">
      <w:pPr>
        <w:pStyle w:val="BodyTextIndent"/>
        <w:tabs>
          <w:tab w:val="left" w:pos="720"/>
          <w:tab w:val="right" w:leader="dot" w:pos="8640"/>
        </w:tabs>
        <w:spacing w:after="0"/>
        <w:rPr>
          <w:i/>
          <w:sz w:val="26"/>
          <w:szCs w:val="26"/>
        </w:rPr>
      </w:pPr>
      <w:r w:rsidRPr="001116C0">
        <w:rPr>
          <w:sz w:val="26"/>
          <w:szCs w:val="26"/>
          <w:u w:val="single"/>
        </w:rPr>
        <w:t>Sintra, Inc. v. City of Seattle</w:t>
      </w:r>
      <w:r w:rsidR="006E4A5C">
        <w:rPr>
          <w:sz w:val="26"/>
          <w:szCs w:val="26"/>
        </w:rPr>
        <w:t>, 131 Wn.2d 640</w:t>
      </w:r>
      <w:r w:rsidRPr="001116C0">
        <w:rPr>
          <w:sz w:val="26"/>
          <w:szCs w:val="26"/>
        </w:rPr>
        <w:t xml:space="preserve"> (1997)</w:t>
      </w:r>
      <w:r w:rsidR="001116C0">
        <w:rPr>
          <w:sz w:val="26"/>
          <w:szCs w:val="26"/>
        </w:rPr>
        <w:tab/>
        <w:t>2</w:t>
      </w:r>
      <w:r w:rsidR="002B417A">
        <w:rPr>
          <w:sz w:val="26"/>
          <w:szCs w:val="26"/>
        </w:rPr>
        <w:t>, 5</w:t>
      </w:r>
    </w:p>
    <w:p w:rsidR="00837124" w:rsidRPr="001116C0" w:rsidRDefault="00837124" w:rsidP="00151963">
      <w:pPr>
        <w:pStyle w:val="BodyTextIndent"/>
        <w:tabs>
          <w:tab w:val="left" w:pos="720"/>
          <w:tab w:val="right" w:leader="dot" w:pos="8640"/>
        </w:tabs>
        <w:spacing w:after="0"/>
        <w:rPr>
          <w:sz w:val="26"/>
          <w:szCs w:val="26"/>
        </w:rPr>
      </w:pPr>
    </w:p>
    <w:p w:rsidR="00837124" w:rsidRPr="001116C0" w:rsidRDefault="00837124" w:rsidP="000975D9">
      <w:pPr>
        <w:pStyle w:val="BodyTextIndent"/>
        <w:tabs>
          <w:tab w:val="left" w:pos="720"/>
          <w:tab w:val="right" w:leader="dot" w:pos="8640"/>
        </w:tabs>
        <w:spacing w:after="0"/>
        <w:rPr>
          <w:sz w:val="26"/>
          <w:szCs w:val="26"/>
        </w:rPr>
      </w:pPr>
      <w:r w:rsidRPr="001116C0">
        <w:rPr>
          <w:sz w:val="26"/>
          <w:szCs w:val="26"/>
          <w:u w:val="single"/>
        </w:rPr>
        <w:t>Dem. Cent. Comm. v. Wash. Area Met. Transp. Comm’n</w:t>
      </w:r>
      <w:r w:rsidRPr="001116C0">
        <w:rPr>
          <w:sz w:val="26"/>
          <w:szCs w:val="26"/>
        </w:rPr>
        <w:t xml:space="preserve">, </w:t>
      </w:r>
    </w:p>
    <w:p w:rsidR="00837124" w:rsidRPr="001116C0" w:rsidRDefault="00EE0C27" w:rsidP="00837124">
      <w:pPr>
        <w:pStyle w:val="BodyTextIndent"/>
        <w:tabs>
          <w:tab w:val="left" w:pos="720"/>
          <w:tab w:val="right" w:leader="dot" w:pos="8640"/>
        </w:tabs>
        <w:spacing w:after="0"/>
        <w:rPr>
          <w:sz w:val="26"/>
          <w:szCs w:val="26"/>
        </w:rPr>
      </w:pPr>
      <w:r w:rsidRPr="001116C0">
        <w:rPr>
          <w:sz w:val="26"/>
          <w:szCs w:val="26"/>
        </w:rPr>
        <w:t>485 F.2d 786</w:t>
      </w:r>
      <w:r w:rsidR="00837124" w:rsidRPr="001116C0">
        <w:rPr>
          <w:sz w:val="26"/>
          <w:szCs w:val="26"/>
        </w:rPr>
        <w:t xml:space="preserve"> (D.C. Cir. 1973).</w:t>
      </w:r>
      <w:r w:rsidR="00837124" w:rsidRPr="001116C0">
        <w:rPr>
          <w:sz w:val="26"/>
          <w:szCs w:val="26"/>
        </w:rPr>
        <w:tab/>
      </w:r>
      <w:r w:rsidR="006E4A5C">
        <w:rPr>
          <w:sz w:val="26"/>
          <w:szCs w:val="26"/>
        </w:rPr>
        <w:t>3, 4</w:t>
      </w:r>
    </w:p>
    <w:p w:rsidR="00837124" w:rsidRPr="001116C0" w:rsidRDefault="00837124" w:rsidP="00151963">
      <w:pPr>
        <w:pStyle w:val="BodyTextIndent"/>
        <w:tabs>
          <w:tab w:val="left" w:pos="720"/>
          <w:tab w:val="right" w:leader="dot" w:pos="8640"/>
        </w:tabs>
        <w:spacing w:after="0"/>
        <w:rPr>
          <w:sz w:val="26"/>
          <w:szCs w:val="26"/>
        </w:rPr>
      </w:pPr>
    </w:p>
    <w:p w:rsidR="00097CBD" w:rsidRPr="001116C0" w:rsidRDefault="00097CBD" w:rsidP="00594387">
      <w:pPr>
        <w:pStyle w:val="BodyTextIndent"/>
        <w:tabs>
          <w:tab w:val="left" w:pos="720"/>
          <w:tab w:val="right" w:leader="dot" w:pos="8640"/>
        </w:tabs>
        <w:jc w:val="center"/>
        <w:rPr>
          <w:b/>
          <w:sz w:val="26"/>
          <w:szCs w:val="26"/>
          <w:u w:val="single"/>
        </w:rPr>
      </w:pPr>
    </w:p>
    <w:p w:rsidR="00416804" w:rsidRPr="001116C0" w:rsidRDefault="00416804" w:rsidP="00594387">
      <w:pPr>
        <w:pStyle w:val="BodyTextIndent"/>
        <w:tabs>
          <w:tab w:val="left" w:pos="720"/>
          <w:tab w:val="right" w:leader="dot" w:pos="8640"/>
        </w:tabs>
        <w:jc w:val="center"/>
        <w:rPr>
          <w:b/>
          <w:sz w:val="26"/>
          <w:szCs w:val="26"/>
          <w:u w:val="single"/>
        </w:rPr>
      </w:pPr>
      <w:r w:rsidRPr="001116C0">
        <w:rPr>
          <w:b/>
          <w:sz w:val="26"/>
          <w:szCs w:val="26"/>
          <w:u w:val="single"/>
        </w:rPr>
        <w:t>Administrative Orders</w:t>
      </w:r>
    </w:p>
    <w:p w:rsidR="00416804" w:rsidRPr="0008783E" w:rsidRDefault="00416804" w:rsidP="00594387">
      <w:pPr>
        <w:pStyle w:val="BodyTextIndent"/>
        <w:tabs>
          <w:tab w:val="left" w:pos="720"/>
          <w:tab w:val="right" w:leader="dot" w:pos="8640"/>
        </w:tabs>
        <w:rPr>
          <w:sz w:val="26"/>
          <w:szCs w:val="26"/>
          <w:highlight w:val="yellow"/>
          <w:u w:val="single"/>
        </w:rPr>
      </w:pPr>
    </w:p>
    <w:p w:rsidR="002374F7" w:rsidRPr="001116C0" w:rsidRDefault="002374F7" w:rsidP="002374F7">
      <w:pPr>
        <w:pStyle w:val="BodyTextIndent"/>
        <w:tabs>
          <w:tab w:val="left" w:pos="720"/>
          <w:tab w:val="right" w:leader="dot" w:pos="8640"/>
        </w:tabs>
        <w:spacing w:after="0"/>
        <w:rPr>
          <w:sz w:val="26"/>
          <w:szCs w:val="26"/>
          <w:u w:val="single"/>
        </w:rPr>
      </w:pPr>
      <w:r w:rsidRPr="001116C0">
        <w:rPr>
          <w:sz w:val="26"/>
          <w:szCs w:val="26"/>
          <w:u w:val="single"/>
        </w:rPr>
        <w:t xml:space="preserve">Amended Petition of Puget Sound Energy, Inc., for an Order Authorizing </w:t>
      </w:r>
    </w:p>
    <w:p w:rsidR="002374F7" w:rsidRPr="001116C0" w:rsidRDefault="002374F7" w:rsidP="002374F7">
      <w:pPr>
        <w:pStyle w:val="BodyTextIndent"/>
        <w:tabs>
          <w:tab w:val="left" w:pos="720"/>
          <w:tab w:val="right" w:leader="dot" w:pos="8640"/>
        </w:tabs>
        <w:spacing w:after="0"/>
        <w:rPr>
          <w:sz w:val="26"/>
          <w:szCs w:val="26"/>
          <w:u w:val="single"/>
        </w:rPr>
      </w:pPr>
      <w:r w:rsidRPr="001116C0">
        <w:rPr>
          <w:sz w:val="26"/>
          <w:szCs w:val="26"/>
          <w:u w:val="single"/>
        </w:rPr>
        <w:t xml:space="preserve">the Use of the Proceeds from the Sale of Renewable Energy Credits and </w:t>
      </w:r>
    </w:p>
    <w:p w:rsidR="002374F7" w:rsidRPr="001116C0" w:rsidRDefault="002374F7" w:rsidP="002374F7">
      <w:pPr>
        <w:pStyle w:val="BodyTextIndent"/>
        <w:tabs>
          <w:tab w:val="left" w:pos="720"/>
          <w:tab w:val="right" w:leader="dot" w:pos="8640"/>
        </w:tabs>
        <w:spacing w:after="0"/>
        <w:rPr>
          <w:sz w:val="26"/>
          <w:szCs w:val="26"/>
        </w:rPr>
      </w:pPr>
      <w:r w:rsidRPr="001116C0">
        <w:rPr>
          <w:sz w:val="26"/>
          <w:szCs w:val="26"/>
          <w:u w:val="single"/>
        </w:rPr>
        <w:t>Carbon Financial Instruments</w:t>
      </w:r>
      <w:r w:rsidRPr="001116C0">
        <w:rPr>
          <w:i/>
          <w:sz w:val="26"/>
          <w:szCs w:val="26"/>
        </w:rPr>
        <w:t>,</w:t>
      </w:r>
      <w:r w:rsidRPr="001116C0">
        <w:rPr>
          <w:sz w:val="26"/>
          <w:szCs w:val="26"/>
        </w:rPr>
        <w:t xml:space="preserve"> WUTC Docket No. UE-070725, </w:t>
      </w:r>
    </w:p>
    <w:p w:rsidR="00416804" w:rsidRPr="001116C0" w:rsidRDefault="002374F7" w:rsidP="002374F7">
      <w:pPr>
        <w:pStyle w:val="BodyTextIndent"/>
        <w:tabs>
          <w:tab w:val="left" w:pos="720"/>
          <w:tab w:val="right" w:leader="dot" w:pos="8640"/>
        </w:tabs>
        <w:spacing w:after="0"/>
        <w:rPr>
          <w:sz w:val="26"/>
          <w:szCs w:val="26"/>
          <w:u w:val="single"/>
        </w:rPr>
      </w:pPr>
      <w:r w:rsidRPr="001116C0">
        <w:rPr>
          <w:sz w:val="26"/>
          <w:szCs w:val="26"/>
        </w:rPr>
        <w:t>Order 03 (May 20, 2010)</w:t>
      </w:r>
      <w:r w:rsidR="000925B8" w:rsidRPr="001116C0">
        <w:rPr>
          <w:sz w:val="26"/>
          <w:szCs w:val="26"/>
        </w:rPr>
        <w:tab/>
      </w:r>
      <w:r w:rsidR="005437BD" w:rsidRPr="001116C0">
        <w:rPr>
          <w:sz w:val="26"/>
          <w:szCs w:val="26"/>
        </w:rPr>
        <w:t>4</w:t>
      </w:r>
    </w:p>
    <w:p w:rsidR="00416804" w:rsidRPr="001116C0" w:rsidRDefault="00416804" w:rsidP="00037C88">
      <w:pPr>
        <w:pStyle w:val="BodyTextIndent"/>
        <w:tabs>
          <w:tab w:val="left" w:pos="720"/>
          <w:tab w:val="right" w:leader="dot" w:pos="7200"/>
        </w:tabs>
        <w:ind w:left="0"/>
        <w:rPr>
          <w:sz w:val="26"/>
          <w:szCs w:val="26"/>
        </w:rPr>
      </w:pPr>
    </w:p>
    <w:p w:rsidR="002374F7" w:rsidRPr="001116C0" w:rsidRDefault="002374F7" w:rsidP="002374F7">
      <w:pPr>
        <w:pStyle w:val="BodyTextIndent"/>
        <w:tabs>
          <w:tab w:val="left" w:pos="720"/>
          <w:tab w:val="right" w:leader="dot" w:pos="7200"/>
        </w:tabs>
        <w:spacing w:after="0"/>
        <w:rPr>
          <w:sz w:val="26"/>
          <w:szCs w:val="26"/>
          <w:u w:val="single"/>
        </w:rPr>
      </w:pPr>
      <w:r w:rsidRPr="001116C0">
        <w:rPr>
          <w:sz w:val="26"/>
          <w:szCs w:val="26"/>
          <w:u w:val="single"/>
        </w:rPr>
        <w:t xml:space="preserve">In re Ratemaking Treatment of Capital Gains from the Sale of a </w:t>
      </w:r>
    </w:p>
    <w:p w:rsidR="002374F7" w:rsidRPr="001116C0" w:rsidRDefault="002374F7" w:rsidP="002374F7">
      <w:pPr>
        <w:pStyle w:val="BodyTextIndent"/>
        <w:tabs>
          <w:tab w:val="left" w:pos="720"/>
          <w:tab w:val="right" w:leader="dot" w:pos="7200"/>
        </w:tabs>
        <w:spacing w:after="0"/>
        <w:rPr>
          <w:sz w:val="26"/>
          <w:szCs w:val="26"/>
          <w:u w:val="single"/>
        </w:rPr>
      </w:pPr>
      <w:r w:rsidRPr="001116C0">
        <w:rPr>
          <w:sz w:val="26"/>
          <w:szCs w:val="26"/>
          <w:u w:val="single"/>
        </w:rPr>
        <w:t xml:space="preserve">Public Utility Distribution System Serving an Area Annexed by a Municipality </w:t>
      </w:r>
    </w:p>
    <w:p w:rsidR="002374F7" w:rsidRPr="001116C0" w:rsidRDefault="002374F7" w:rsidP="002374F7">
      <w:pPr>
        <w:pStyle w:val="BodyTextIndent"/>
        <w:tabs>
          <w:tab w:val="left" w:pos="720"/>
          <w:tab w:val="right" w:leader="dot" w:pos="7200"/>
        </w:tabs>
        <w:spacing w:after="0"/>
        <w:rPr>
          <w:sz w:val="26"/>
          <w:szCs w:val="26"/>
        </w:rPr>
      </w:pPr>
      <w:r w:rsidRPr="001116C0">
        <w:rPr>
          <w:sz w:val="26"/>
          <w:szCs w:val="26"/>
          <w:u w:val="single"/>
        </w:rPr>
        <w:t>or Public Entity</w:t>
      </w:r>
      <w:r w:rsidRPr="001116C0">
        <w:rPr>
          <w:i/>
          <w:sz w:val="26"/>
          <w:szCs w:val="26"/>
        </w:rPr>
        <w:t xml:space="preserve">, </w:t>
      </w:r>
      <w:r w:rsidRPr="001116C0">
        <w:rPr>
          <w:sz w:val="26"/>
          <w:szCs w:val="26"/>
        </w:rPr>
        <w:t>Cal. Pub. Util. Comm’n, Dec. No. 89-07-016,</w:t>
      </w:r>
    </w:p>
    <w:p w:rsidR="00416804" w:rsidRPr="001116C0" w:rsidRDefault="002374F7" w:rsidP="002374F7">
      <w:pPr>
        <w:pStyle w:val="BodyTextIndent"/>
        <w:tabs>
          <w:tab w:val="left" w:pos="720"/>
          <w:tab w:val="right" w:leader="dot" w:pos="8640"/>
        </w:tabs>
        <w:spacing w:after="0"/>
        <w:rPr>
          <w:sz w:val="26"/>
          <w:szCs w:val="26"/>
        </w:rPr>
      </w:pPr>
      <w:r w:rsidRPr="001116C0">
        <w:rPr>
          <w:sz w:val="26"/>
          <w:szCs w:val="26"/>
        </w:rPr>
        <w:t>104 P.U.R.4</w:t>
      </w:r>
      <w:r w:rsidRPr="001116C0">
        <w:rPr>
          <w:sz w:val="26"/>
          <w:szCs w:val="26"/>
          <w:vertAlign w:val="superscript"/>
        </w:rPr>
        <w:t>th</w:t>
      </w:r>
      <w:r w:rsidRPr="001116C0">
        <w:rPr>
          <w:sz w:val="26"/>
          <w:szCs w:val="26"/>
        </w:rPr>
        <w:t xml:space="preserve"> 157 (July 6, 1989) (“</w:t>
      </w:r>
      <w:r w:rsidRPr="001116C0">
        <w:rPr>
          <w:sz w:val="26"/>
          <w:szCs w:val="26"/>
          <w:u w:val="single"/>
        </w:rPr>
        <w:t>Redding II</w:t>
      </w:r>
      <w:r w:rsidRPr="001116C0">
        <w:rPr>
          <w:sz w:val="26"/>
          <w:szCs w:val="26"/>
        </w:rPr>
        <w:t>”)</w:t>
      </w:r>
      <w:r w:rsidR="00416804" w:rsidRPr="001116C0">
        <w:rPr>
          <w:sz w:val="26"/>
          <w:szCs w:val="26"/>
        </w:rPr>
        <w:t>.</w:t>
      </w:r>
      <w:r w:rsidR="00416804" w:rsidRPr="001116C0">
        <w:rPr>
          <w:sz w:val="26"/>
          <w:szCs w:val="26"/>
        </w:rPr>
        <w:tab/>
        <w:t>4</w:t>
      </w:r>
    </w:p>
    <w:p w:rsidR="00DF738E" w:rsidRPr="001116C0" w:rsidRDefault="00DF738E" w:rsidP="00037C88">
      <w:pPr>
        <w:pStyle w:val="BodyTextIndent"/>
        <w:tabs>
          <w:tab w:val="left" w:pos="720"/>
          <w:tab w:val="right" w:leader="dot" w:pos="8640"/>
        </w:tabs>
        <w:spacing w:after="0"/>
        <w:rPr>
          <w:sz w:val="26"/>
          <w:szCs w:val="26"/>
          <w:u w:val="single"/>
        </w:rPr>
      </w:pPr>
    </w:p>
    <w:p w:rsidR="005437BD" w:rsidRPr="001116C0" w:rsidRDefault="005437BD" w:rsidP="002374F7">
      <w:pPr>
        <w:pStyle w:val="BodyTextIndent"/>
        <w:tabs>
          <w:tab w:val="left" w:pos="720"/>
          <w:tab w:val="right" w:leader="dot" w:pos="8640"/>
        </w:tabs>
        <w:spacing w:after="0"/>
        <w:ind w:left="0"/>
      </w:pPr>
    </w:p>
    <w:p w:rsidR="00416804" w:rsidRPr="001116C0" w:rsidRDefault="003E722D" w:rsidP="00594387">
      <w:pPr>
        <w:ind w:left="240" w:hanging="240"/>
        <w:jc w:val="center"/>
        <w:rPr>
          <w:b/>
          <w:sz w:val="26"/>
          <w:szCs w:val="26"/>
        </w:rPr>
      </w:pPr>
      <w:r>
        <w:rPr>
          <w:b/>
          <w:sz w:val="26"/>
          <w:szCs w:val="26"/>
          <w:u w:val="single"/>
        </w:rPr>
        <w:t xml:space="preserve">Laws &amp; </w:t>
      </w:r>
      <w:r w:rsidR="001116C0" w:rsidRPr="001116C0">
        <w:rPr>
          <w:b/>
          <w:sz w:val="26"/>
          <w:szCs w:val="26"/>
          <w:u w:val="single"/>
        </w:rPr>
        <w:t>Statutes</w:t>
      </w:r>
    </w:p>
    <w:p w:rsidR="00416804" w:rsidRPr="001116C0" w:rsidRDefault="00416804" w:rsidP="00594387">
      <w:pPr>
        <w:pStyle w:val="BodyTextIndent"/>
        <w:tabs>
          <w:tab w:val="left" w:pos="720"/>
          <w:tab w:val="right" w:leader="dot" w:pos="7200"/>
        </w:tabs>
        <w:rPr>
          <w:sz w:val="26"/>
          <w:szCs w:val="26"/>
        </w:rPr>
      </w:pPr>
    </w:p>
    <w:p w:rsidR="00416804" w:rsidRPr="001116C0" w:rsidRDefault="001116C0" w:rsidP="006B3EE3">
      <w:pPr>
        <w:pStyle w:val="BodyTextIndent"/>
        <w:tabs>
          <w:tab w:val="left" w:pos="720"/>
          <w:tab w:val="right" w:leader="dot" w:pos="8640"/>
        </w:tabs>
        <w:rPr>
          <w:sz w:val="26"/>
          <w:szCs w:val="26"/>
        </w:rPr>
      </w:pPr>
      <w:r w:rsidRPr="001116C0">
        <w:rPr>
          <w:sz w:val="26"/>
          <w:szCs w:val="26"/>
        </w:rPr>
        <w:t>U.S. Const</w:t>
      </w:r>
      <w:r>
        <w:rPr>
          <w:sz w:val="26"/>
          <w:szCs w:val="26"/>
        </w:rPr>
        <w:t>itution</w:t>
      </w:r>
      <w:r w:rsidR="00EB3320">
        <w:rPr>
          <w:sz w:val="26"/>
          <w:szCs w:val="26"/>
        </w:rPr>
        <w:t>, Amendment V</w:t>
      </w:r>
      <w:r w:rsidRPr="001116C0">
        <w:rPr>
          <w:sz w:val="26"/>
          <w:szCs w:val="26"/>
        </w:rPr>
        <w:t>.</w:t>
      </w:r>
      <w:r>
        <w:rPr>
          <w:sz w:val="26"/>
          <w:szCs w:val="26"/>
        </w:rPr>
        <w:tab/>
        <w:t>2</w:t>
      </w:r>
    </w:p>
    <w:p w:rsidR="00416804" w:rsidRPr="001116C0" w:rsidRDefault="00416804" w:rsidP="00594387">
      <w:pPr>
        <w:pStyle w:val="BodyTextIndent"/>
        <w:tabs>
          <w:tab w:val="left" w:pos="720"/>
          <w:tab w:val="right" w:leader="dot" w:pos="7200"/>
        </w:tabs>
        <w:rPr>
          <w:sz w:val="26"/>
          <w:szCs w:val="26"/>
        </w:rPr>
      </w:pPr>
    </w:p>
    <w:p w:rsidR="00416804" w:rsidRPr="001116C0" w:rsidRDefault="001116C0" w:rsidP="006B3EE3">
      <w:pPr>
        <w:pStyle w:val="BodyTextIndent"/>
        <w:tabs>
          <w:tab w:val="left" w:pos="720"/>
          <w:tab w:val="right" w:leader="dot" w:pos="8640"/>
        </w:tabs>
        <w:rPr>
          <w:sz w:val="26"/>
          <w:szCs w:val="26"/>
        </w:rPr>
      </w:pPr>
      <w:r>
        <w:rPr>
          <w:sz w:val="26"/>
          <w:szCs w:val="26"/>
        </w:rPr>
        <w:t xml:space="preserve">Washington </w:t>
      </w:r>
      <w:r w:rsidR="00054B2F">
        <w:rPr>
          <w:sz w:val="26"/>
          <w:szCs w:val="26"/>
        </w:rPr>
        <w:t xml:space="preserve">State </w:t>
      </w:r>
      <w:r>
        <w:rPr>
          <w:sz w:val="26"/>
          <w:szCs w:val="26"/>
        </w:rPr>
        <w:t>Constitution</w:t>
      </w:r>
      <w:r w:rsidR="00EB3320">
        <w:rPr>
          <w:sz w:val="26"/>
          <w:szCs w:val="26"/>
        </w:rPr>
        <w:t>, Article I</w:t>
      </w:r>
      <w:r>
        <w:rPr>
          <w:sz w:val="26"/>
          <w:szCs w:val="26"/>
        </w:rPr>
        <w:tab/>
        <w:t>2</w:t>
      </w:r>
      <w:r w:rsidR="002B417A">
        <w:rPr>
          <w:sz w:val="26"/>
          <w:szCs w:val="26"/>
        </w:rPr>
        <w:t>, 5</w:t>
      </w:r>
    </w:p>
    <w:p w:rsidR="00416804" w:rsidRPr="001116C0" w:rsidRDefault="00416804" w:rsidP="00DF738E">
      <w:pPr>
        <w:pStyle w:val="BodyTextIndent"/>
        <w:tabs>
          <w:tab w:val="left" w:pos="720"/>
          <w:tab w:val="right" w:leader="dot" w:pos="7200"/>
        </w:tabs>
        <w:ind w:left="0"/>
        <w:rPr>
          <w:b/>
          <w:sz w:val="26"/>
          <w:szCs w:val="26"/>
          <w:u w:val="single"/>
        </w:rPr>
      </w:pPr>
    </w:p>
    <w:p w:rsidR="003A26AF" w:rsidRPr="001116C0" w:rsidRDefault="003A26AF" w:rsidP="00594387">
      <w:pPr>
        <w:pStyle w:val="BodyTextIndent"/>
        <w:tabs>
          <w:tab w:val="left" w:pos="720"/>
          <w:tab w:val="right" w:leader="dot" w:pos="7200"/>
        </w:tabs>
        <w:jc w:val="center"/>
        <w:rPr>
          <w:b/>
          <w:sz w:val="26"/>
          <w:szCs w:val="26"/>
          <w:u w:val="single"/>
        </w:rPr>
      </w:pPr>
    </w:p>
    <w:p w:rsidR="001116C0" w:rsidRDefault="001116C0" w:rsidP="00594387">
      <w:pPr>
        <w:pStyle w:val="BodyTextIndent"/>
        <w:tabs>
          <w:tab w:val="left" w:pos="720"/>
          <w:tab w:val="right" w:leader="dot" w:pos="7200"/>
        </w:tabs>
        <w:jc w:val="center"/>
        <w:rPr>
          <w:b/>
          <w:sz w:val="26"/>
          <w:szCs w:val="26"/>
          <w:u w:val="single"/>
        </w:rPr>
      </w:pPr>
    </w:p>
    <w:p w:rsidR="00416804" w:rsidRPr="00727000" w:rsidRDefault="00416804" w:rsidP="00594387">
      <w:pPr>
        <w:spacing w:line="480" w:lineRule="auto"/>
        <w:jc w:val="center"/>
        <w:rPr>
          <w:b/>
          <w:sz w:val="26"/>
          <w:szCs w:val="26"/>
          <w:u w:val="single"/>
        </w:rPr>
        <w:sectPr w:rsidR="00416804" w:rsidRPr="00727000" w:rsidSect="00770993">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416804" w:rsidRDefault="00416804" w:rsidP="00037C88">
      <w:pPr>
        <w:rPr>
          <w:b/>
        </w:rPr>
      </w:pPr>
    </w:p>
    <w:p w:rsidR="0008783E" w:rsidRPr="001371BA" w:rsidRDefault="0008783E" w:rsidP="0008783E">
      <w:pPr>
        <w:spacing w:line="480" w:lineRule="auto"/>
        <w:jc w:val="center"/>
        <w:rPr>
          <w:b/>
          <w:szCs w:val="24"/>
        </w:rPr>
      </w:pPr>
      <w:r>
        <w:rPr>
          <w:b/>
          <w:szCs w:val="24"/>
        </w:rPr>
        <w:t>I.</w:t>
      </w:r>
      <w:r>
        <w:rPr>
          <w:b/>
          <w:szCs w:val="24"/>
        </w:rPr>
        <w:tab/>
        <w:t>INTRODUCTION</w:t>
      </w:r>
    </w:p>
    <w:p w:rsidR="0008783E" w:rsidRDefault="00354967" w:rsidP="00354967">
      <w:pPr>
        <w:pStyle w:val="WUTCParagraph"/>
      </w:pPr>
      <w:r>
        <w:t xml:space="preserve">                        </w:t>
      </w:r>
      <w:r w:rsidR="0008783E">
        <w:t xml:space="preserve">Puget Sound Energy, Inc.’s (“PSE” or the </w:t>
      </w:r>
      <w:r w:rsidR="00027FF4">
        <w:t>“</w:t>
      </w:r>
      <w:r w:rsidR="0008783E">
        <w:t>Company”) Opening Brief presents few surprises.  It is consistent with the Company’s testimony and position at the hearing in this case.  It is also, as the Industrial Customers of Northwest Utilities (“ICNU”), the Washington Utilities and Transportation Commission (“Commission”) Staff, and Public Counsel all demonstrated, in error.</w:t>
      </w:r>
    </w:p>
    <w:p w:rsidR="0008783E" w:rsidRDefault="00354967" w:rsidP="00354967">
      <w:pPr>
        <w:pStyle w:val="WUTCParagraph"/>
      </w:pPr>
      <w:r>
        <w:t xml:space="preserve">                        </w:t>
      </w:r>
      <w:r w:rsidR="0008783E">
        <w:t xml:space="preserve">Because </w:t>
      </w:r>
      <w:r w:rsidR="0008783E" w:rsidRPr="00E765BB">
        <w:t xml:space="preserve">ICNU </w:t>
      </w:r>
      <w:r w:rsidR="0008783E">
        <w:t xml:space="preserve">has already addressed most the substance of PSE’s Opening Brief, it will not repeat those arguments here.  The Company raises a few issues, however, </w:t>
      </w:r>
      <w:r w:rsidR="00E54BAB">
        <w:t>to which ICNU will respond</w:t>
      </w:r>
      <w:r w:rsidR="0008783E">
        <w:t>.</w:t>
      </w:r>
    </w:p>
    <w:p w:rsidR="0008783E" w:rsidRPr="00F967F8" w:rsidRDefault="0008783E" w:rsidP="0008783E">
      <w:pPr>
        <w:spacing w:line="480" w:lineRule="auto"/>
        <w:jc w:val="center"/>
        <w:rPr>
          <w:b/>
          <w:szCs w:val="24"/>
        </w:rPr>
      </w:pPr>
      <w:r>
        <w:rPr>
          <w:b/>
          <w:szCs w:val="24"/>
        </w:rPr>
        <w:t>II.</w:t>
      </w:r>
      <w:r>
        <w:rPr>
          <w:b/>
          <w:szCs w:val="24"/>
        </w:rPr>
        <w:tab/>
        <w:t>ARGUMENT</w:t>
      </w:r>
    </w:p>
    <w:p w:rsidR="0008783E" w:rsidRDefault="0008783E" w:rsidP="0008783E">
      <w:pPr>
        <w:spacing w:line="480" w:lineRule="auto"/>
        <w:ind w:firstLine="720"/>
        <w:rPr>
          <w:szCs w:val="24"/>
        </w:rPr>
      </w:pPr>
      <w:r>
        <w:rPr>
          <w:b/>
          <w:szCs w:val="24"/>
        </w:rPr>
        <w:t>A.</w:t>
      </w:r>
      <w:r>
        <w:rPr>
          <w:b/>
          <w:szCs w:val="24"/>
        </w:rPr>
        <w:tab/>
        <w:t>PSE has no Constitutional right to the full amount of the proceeds.</w:t>
      </w:r>
    </w:p>
    <w:p w:rsidR="0008783E" w:rsidRDefault="00354967" w:rsidP="00354967">
      <w:pPr>
        <w:pStyle w:val="WUTCParagraph"/>
      </w:pPr>
      <w:r>
        <w:t xml:space="preserve">                        </w:t>
      </w:r>
      <w:r w:rsidR="0008783E">
        <w:t>In responding to Commissioner Goltz’s question at the hearing regarding what an appropriate incentive payment to PSE would be for nego</w:t>
      </w:r>
      <w:r w:rsidR="009953D3">
        <w:t>tiating the sales price of the distribution a</w:t>
      </w:r>
      <w:r w:rsidR="0008783E">
        <w:t>ssets</w:t>
      </w:r>
      <w:r w:rsidR="009953D3">
        <w:t xml:space="preserve"> (“Assets”) it sold to the Jefferson County Public utility District (“JPUD”)</w:t>
      </w:r>
      <w:r w:rsidR="0008783E">
        <w:t>, the Company issues a warning to the Commission “not to go down such a road that is fraught with legal pitfalls.”</w:t>
      </w:r>
      <w:r w:rsidR="0008783E" w:rsidRPr="00F30DC6">
        <w:rPr>
          <w:rStyle w:val="FootnoteReference"/>
          <w:u w:val="single"/>
        </w:rPr>
        <w:footnoteReference w:id="1"/>
      </w:r>
      <w:r w:rsidR="00F30DC6" w:rsidRPr="00F30DC6">
        <w:rPr>
          <w:vertAlign w:val="superscript"/>
        </w:rPr>
        <w:t>/</w:t>
      </w:r>
      <w:r w:rsidR="0008783E">
        <w:t xml:space="preserve">  PSE states that:</w:t>
      </w:r>
    </w:p>
    <w:p w:rsidR="0008783E" w:rsidRDefault="0008783E" w:rsidP="0008783E">
      <w:pPr>
        <w:ind w:left="1440" w:right="1440"/>
        <w:rPr>
          <w:szCs w:val="24"/>
        </w:rPr>
      </w:pPr>
      <w:r>
        <w:rPr>
          <w:szCs w:val="24"/>
        </w:rPr>
        <w:t>A broker’s commission is inadequate compensation when private property is forcibly taken for public use.  PSE negotiated a sale of its Service Area under threat of condemnation ….  There is no legal precedent that warrants a substitution of th</w:t>
      </w:r>
      <w:r w:rsidR="00933AC7">
        <w:rPr>
          <w:szCs w:val="24"/>
        </w:rPr>
        <w:t>is</w:t>
      </w:r>
      <w:r>
        <w:rPr>
          <w:szCs w:val="24"/>
        </w:rPr>
        <w:t xml:space="preserve"> small ‘incentive’ for the full amount of ‘just compensation’ due a property owner for the deprivation of its property by the exercise of the authority of eminent domain ….  To pay owners a small percentage of the gain on sale, as an incentive for brokering a good sale price, would deny PSE’s shareholders the just compensation that was negotiated by PSE under threat of condemnation.</w:t>
      </w:r>
      <w:r w:rsidRPr="00F30DC6">
        <w:rPr>
          <w:rStyle w:val="FootnoteReference"/>
          <w:szCs w:val="24"/>
          <w:u w:val="single"/>
        </w:rPr>
        <w:footnoteReference w:id="2"/>
      </w:r>
      <w:r w:rsidR="00F30DC6" w:rsidRPr="00F30DC6">
        <w:rPr>
          <w:szCs w:val="24"/>
          <w:vertAlign w:val="superscript"/>
        </w:rPr>
        <w:t>/</w:t>
      </w:r>
      <w:r>
        <w:rPr>
          <w:szCs w:val="24"/>
        </w:rPr>
        <w:br/>
      </w:r>
    </w:p>
    <w:p w:rsidR="0008783E" w:rsidRPr="002B417A" w:rsidRDefault="009953D3" w:rsidP="002B417A">
      <w:pPr>
        <w:pStyle w:val="WUTCParagraph"/>
      </w:pPr>
      <w:r>
        <w:lastRenderedPageBreak/>
        <w:t xml:space="preserve">                      </w:t>
      </w:r>
      <w:r w:rsidRPr="002B417A">
        <w:t xml:space="preserve">  </w:t>
      </w:r>
      <w:r w:rsidR="009A1CEE" w:rsidRPr="002B417A">
        <w:t xml:space="preserve">The Commission should dismiss out-of-hand PSE’s suggestion that it is constitutionally entitled to the full amount of the proceeds from its sale of </w:t>
      </w:r>
      <w:r w:rsidRPr="002B417A">
        <w:t>the Assets to JPUD</w:t>
      </w:r>
      <w:r w:rsidR="009A1CEE" w:rsidRPr="002B417A">
        <w:t>.  The Company’s argument is flawed for at least two reasons.  First, PSE, as a regulated-monopoly utility that has government-approved rates, which include the full costs of its property, is fundamentally distinct from other property owners.  Second, the proceeds at issue here do not represent “just compensation” for the Assets.</w:t>
      </w:r>
    </w:p>
    <w:p w:rsidR="00AB549F" w:rsidRPr="00AB549F" w:rsidRDefault="00AB549F" w:rsidP="00257016">
      <w:pPr>
        <w:spacing w:after="240"/>
        <w:ind w:left="2160" w:hanging="720"/>
        <w:rPr>
          <w:b/>
          <w:szCs w:val="24"/>
        </w:rPr>
      </w:pPr>
      <w:r>
        <w:rPr>
          <w:b/>
          <w:szCs w:val="24"/>
        </w:rPr>
        <w:t>1.</w:t>
      </w:r>
      <w:r>
        <w:rPr>
          <w:b/>
          <w:szCs w:val="24"/>
        </w:rPr>
        <w:tab/>
      </w:r>
      <w:r w:rsidR="00257016">
        <w:rPr>
          <w:b/>
          <w:szCs w:val="24"/>
        </w:rPr>
        <w:t>Under all parties’ proposed allocation of the proceeds, PSE will be made whole</w:t>
      </w:r>
      <w:r>
        <w:rPr>
          <w:b/>
          <w:szCs w:val="24"/>
        </w:rPr>
        <w:t>.</w:t>
      </w:r>
    </w:p>
    <w:p w:rsidR="0008783E" w:rsidRDefault="00354967" w:rsidP="00354967">
      <w:pPr>
        <w:pStyle w:val="WUTCParagraph"/>
      </w:pPr>
      <w:r>
        <w:t xml:space="preserve">                        </w:t>
      </w:r>
      <w:r w:rsidR="0008783E">
        <w:t>The Fifth Amendment of the United States Constitutions declares that “… nor shall private property be taken for public use, without just compensation.”</w:t>
      </w:r>
      <w:r w:rsidR="0008783E" w:rsidRPr="00F30DC6">
        <w:rPr>
          <w:rStyle w:val="FootnoteReference"/>
          <w:u w:val="single"/>
        </w:rPr>
        <w:footnoteReference w:id="3"/>
      </w:r>
      <w:r w:rsidR="00F30DC6" w:rsidRPr="00F30DC6">
        <w:rPr>
          <w:vertAlign w:val="superscript"/>
        </w:rPr>
        <w:t>/</w:t>
      </w:r>
      <w:r w:rsidR="0008783E">
        <w:t xml:space="preserve">  Similarly, the Washington State Constitution declares that “[n]o private property shall be taken or damaged for public or private use without just compensation having first been made ….”</w:t>
      </w:r>
      <w:r w:rsidR="0008783E" w:rsidRPr="00F30DC6">
        <w:rPr>
          <w:rStyle w:val="FootnoteReference"/>
          <w:u w:val="single"/>
        </w:rPr>
        <w:footnoteReference w:id="4"/>
      </w:r>
      <w:r w:rsidR="00F30DC6" w:rsidRPr="00F30DC6">
        <w:rPr>
          <w:vertAlign w:val="superscript"/>
        </w:rPr>
        <w:t>/</w:t>
      </w:r>
      <w:r w:rsidR="0008783E" w:rsidRPr="00F30DC6">
        <w:rPr>
          <w:vertAlign w:val="superscript"/>
        </w:rPr>
        <w:t xml:space="preserve"> </w:t>
      </w:r>
      <w:r w:rsidR="0008783E">
        <w:t xml:space="preserve"> The United States Supreme Court has found that “‘just compensation’ means the full monetary equivalent of the property taken.  The owner is to be put in the same position monetarily as he would have occupied if his property had not been taken.”</w:t>
      </w:r>
      <w:r w:rsidR="0008783E" w:rsidRPr="00F30DC6">
        <w:rPr>
          <w:rStyle w:val="FootnoteReference"/>
          <w:u w:val="single"/>
        </w:rPr>
        <w:footnoteReference w:id="5"/>
      </w:r>
      <w:r w:rsidR="00F30DC6" w:rsidRPr="00F30DC6">
        <w:rPr>
          <w:vertAlign w:val="superscript"/>
        </w:rPr>
        <w:t>/</w:t>
      </w:r>
      <w:r w:rsidR="0008783E">
        <w:t xml:space="preserve">  Washington Courts have also adopted the U.S. Supreme Court’s reasoning behind what constitutes “just compensation</w:t>
      </w:r>
      <w:r w:rsidR="00E54BAB">
        <w:t>:</w:t>
      </w:r>
      <w:r w:rsidR="0008783E">
        <w:t>”  “The just compensation to be paid to an owner of property, in a constitutional sense, is what an owner has lost at the time of condemnation, and not what the condemner has gained.”</w:t>
      </w:r>
      <w:r w:rsidR="0008783E" w:rsidRPr="00F30DC6">
        <w:rPr>
          <w:rStyle w:val="FootnoteReference"/>
          <w:u w:val="single"/>
        </w:rPr>
        <w:footnoteReference w:id="6"/>
      </w:r>
      <w:r w:rsidR="00F30DC6" w:rsidRPr="00F30DC6">
        <w:rPr>
          <w:vertAlign w:val="superscript"/>
        </w:rPr>
        <w:t>/</w:t>
      </w:r>
      <w:r w:rsidR="0008783E" w:rsidRPr="00F30DC6">
        <w:rPr>
          <w:vertAlign w:val="superscript"/>
        </w:rPr>
        <w:t xml:space="preserve"> </w:t>
      </w:r>
      <w:r w:rsidR="0008783E">
        <w:t xml:space="preserve"> This means that “just compensation” is “compensation sufficient to make good the loss of the owner.  In the words of Mr. Justice Butler, the owner is ‘entitled to the full money equivalent of the property </w:t>
      </w:r>
      <w:r w:rsidR="0008783E">
        <w:lastRenderedPageBreak/>
        <w:t>taken, and thereby to be put in as good a position pecuniarily as it would have occupied</w:t>
      </w:r>
      <w:r w:rsidR="00933AC7">
        <w:t>,</w:t>
      </w:r>
      <w:r w:rsidR="0008783E">
        <w:t xml:space="preserve"> if its property had not been taken.’”</w:t>
      </w:r>
      <w:r w:rsidR="0008783E" w:rsidRPr="00F30DC6">
        <w:rPr>
          <w:rStyle w:val="FootnoteReference"/>
          <w:u w:val="single"/>
        </w:rPr>
        <w:footnoteReference w:id="7"/>
      </w:r>
      <w:r w:rsidR="00F30DC6" w:rsidRPr="00F30DC6">
        <w:rPr>
          <w:vertAlign w:val="superscript"/>
        </w:rPr>
        <w:t>/</w:t>
      </w:r>
    </w:p>
    <w:p w:rsidR="0008783E" w:rsidRPr="00354967" w:rsidRDefault="00354967" w:rsidP="00354967">
      <w:pPr>
        <w:pStyle w:val="WUTCParagraph"/>
      </w:pPr>
      <w:r>
        <w:t xml:space="preserve">                        </w:t>
      </w:r>
      <w:r w:rsidR="0008783E" w:rsidRPr="00354967">
        <w:t>Thus, for both Federal and Washington courts, the constitutional question to be asked is, what amount of compensation is sufficient to put the owner in the same position monetarily it would have been in had the property in question not been taken?  In this case, the answer to that question is simple:  PSE would be entitled to a return of, and the opportunity to earn a reasonable return on, its investment in the Assets, nothing more.</w:t>
      </w:r>
    </w:p>
    <w:p w:rsidR="0008783E" w:rsidRDefault="00354967" w:rsidP="00354967">
      <w:pPr>
        <w:pStyle w:val="WUTCParagraph"/>
      </w:pPr>
      <w:r>
        <w:t xml:space="preserve">                        </w:t>
      </w:r>
      <w:r w:rsidR="0008783E">
        <w:t>That is precisely what PSE is getting in this case.  It has received depreciation payments from customers that constitute the difference between the original cost of the Assets and net book value; all parties recommend returning to PSE its remaining investment, represented by the net book value of the Assets; and PSE can continue to earn a return on this investment if it puts those proceeds into new plant used to serve its remaining customers, which it has stated it plans to do.</w:t>
      </w:r>
      <w:r w:rsidR="0008783E" w:rsidRPr="00F30DC6">
        <w:rPr>
          <w:rStyle w:val="FootnoteReference"/>
          <w:u w:val="single"/>
        </w:rPr>
        <w:footnoteReference w:id="8"/>
      </w:r>
      <w:r w:rsidR="00F30DC6" w:rsidRPr="00F30DC6">
        <w:rPr>
          <w:vertAlign w:val="superscript"/>
        </w:rPr>
        <w:t>/</w:t>
      </w:r>
      <w:r w:rsidR="0008783E">
        <w:t xml:space="preserve">  Under these circumstances, PSE can hardly support a claim that it is not receiving “just compensation” for the Assets when its financial interest in the Assets is fully preserved.  It is for this reason that the U.S. Court of Appeals for the D.C. Circuit has found “no impediment, </w:t>
      </w:r>
      <w:r w:rsidR="0008783E">
        <w:rPr>
          <w:i/>
        </w:rPr>
        <w:t>constitutional or otherwise</w:t>
      </w:r>
      <w:r w:rsidR="0008783E">
        <w:t>, to recognition of a ratemaking principle enabling ratepayers to benefit from appreciations in value of utility properties accruing while in service.”</w:t>
      </w:r>
      <w:r w:rsidR="0008783E" w:rsidRPr="00F30DC6">
        <w:rPr>
          <w:rStyle w:val="FootnoteReference"/>
          <w:u w:val="single"/>
        </w:rPr>
        <w:footnoteReference w:id="9"/>
      </w:r>
      <w:proofErr w:type="gramStart"/>
      <w:r w:rsidR="00F30DC6" w:rsidRPr="00F30DC6">
        <w:rPr>
          <w:vertAlign w:val="superscript"/>
        </w:rPr>
        <w:t>/</w:t>
      </w:r>
      <w:r w:rsidR="0008783E" w:rsidRPr="00F30DC6">
        <w:rPr>
          <w:u w:val="single"/>
        </w:rPr>
        <w:t xml:space="preserve"> </w:t>
      </w:r>
      <w:r w:rsidR="0008783E">
        <w:t xml:space="preserve"> The</w:t>
      </w:r>
      <w:proofErr w:type="gramEnd"/>
      <w:r w:rsidR="0008783E">
        <w:t xml:space="preserve"> only “legally protected interest [of the investor] </w:t>
      </w:r>
      <w:r w:rsidR="00933AC7">
        <w:t>resides in</w:t>
      </w:r>
      <w:r w:rsidR="0008783E">
        <w:t xml:space="preserve"> the capital he invests in the utility rather than in the items of property which that capital purchases for provision of utility service.”</w:t>
      </w:r>
      <w:r w:rsidR="0008783E" w:rsidRPr="00F30DC6">
        <w:rPr>
          <w:rStyle w:val="FootnoteReference"/>
          <w:u w:val="single"/>
        </w:rPr>
        <w:footnoteReference w:id="10"/>
      </w:r>
      <w:r w:rsidR="00F30DC6" w:rsidRPr="00F30DC6">
        <w:rPr>
          <w:vertAlign w:val="superscript"/>
        </w:rPr>
        <w:t>/</w:t>
      </w:r>
    </w:p>
    <w:p w:rsidR="009953D3" w:rsidRDefault="009953D3" w:rsidP="00354967">
      <w:pPr>
        <w:pStyle w:val="WUTCParagraph"/>
      </w:pPr>
      <w:r>
        <w:lastRenderedPageBreak/>
        <w:t xml:space="preserve">                        That is not to say that “just compensation” for utility property is limited to the net book value of such property.</w:t>
      </w:r>
      <w:r w:rsidRPr="002B417A">
        <w:rPr>
          <w:rStyle w:val="FootnoteReference"/>
          <w:u w:val="single"/>
        </w:rPr>
        <w:footnoteReference w:id="11"/>
      </w:r>
      <w:proofErr w:type="gramStart"/>
      <w:r w:rsidR="002B417A" w:rsidRPr="002B417A">
        <w:rPr>
          <w:vertAlign w:val="superscript"/>
        </w:rPr>
        <w:t>/</w:t>
      </w:r>
      <w:r>
        <w:t xml:space="preserve">  It</w:t>
      </w:r>
      <w:proofErr w:type="gramEnd"/>
      <w:r>
        <w:t xml:space="preserve"> is simply that “just compensation</w:t>
      </w:r>
      <w:r w:rsidR="00167418">
        <w:t>”</w:t>
      </w:r>
      <w:r>
        <w:t xml:space="preserve"> does not accrue solely to the utility.  Both Federal and Commission precedent hold that customers “bear the full burden of cost responsibility” for in-service utility property and that utility assets are not “exclusively the property of the utility’s investors ….</w:t>
      </w:r>
      <w:proofErr w:type="gramStart"/>
      <w:r>
        <w:t>”.</w:t>
      </w:r>
      <w:proofErr w:type="gramEnd"/>
      <w:r w:rsidRPr="002B417A">
        <w:rPr>
          <w:rStyle w:val="FootnoteReference"/>
          <w:u w:val="single"/>
        </w:rPr>
        <w:footnoteReference w:id="12"/>
      </w:r>
      <w:proofErr w:type="gramStart"/>
      <w:r w:rsidR="002B417A" w:rsidRPr="002B417A">
        <w:rPr>
          <w:vertAlign w:val="superscript"/>
        </w:rPr>
        <w:t>/</w:t>
      </w:r>
      <w:r w:rsidRPr="002B417A">
        <w:rPr>
          <w:vertAlign w:val="superscript"/>
        </w:rPr>
        <w:t xml:space="preserve"> </w:t>
      </w:r>
      <w:r>
        <w:t xml:space="preserve"> Thus</w:t>
      </w:r>
      <w:proofErr w:type="gramEnd"/>
      <w:r>
        <w:t xml:space="preserve">, even when “just compensation” is determined (which did not occur here), a utility is not constitutionally entitled to all of it.  To the extent the utility realizes a gain, its remaining customers have a claim to this amount if it is determined that they bore the risks and burdens associated with the condemned assets.  Even </w:t>
      </w:r>
      <w:r>
        <w:rPr>
          <w:u w:val="single"/>
        </w:rPr>
        <w:t>Redding II</w:t>
      </w:r>
      <w:r>
        <w:t>, the decision PSE relies on so heavily here, would give proceeds from a condemnation action to a utility’s remaining customers to the extent they were harmed by the transaction.</w:t>
      </w:r>
      <w:r w:rsidRPr="002B417A">
        <w:rPr>
          <w:rStyle w:val="FootnoteReference"/>
          <w:u w:val="single"/>
        </w:rPr>
        <w:footnoteReference w:id="13"/>
      </w:r>
      <w:r w:rsidR="002B417A" w:rsidRPr="002B417A">
        <w:rPr>
          <w:vertAlign w:val="superscript"/>
        </w:rPr>
        <w:t>/</w:t>
      </w:r>
      <w:r w:rsidRPr="002B417A">
        <w:rPr>
          <w:vertAlign w:val="superscript"/>
        </w:rPr>
        <w:t xml:space="preserve"> </w:t>
      </w:r>
      <w:r>
        <w:t> </w:t>
      </w:r>
    </w:p>
    <w:p w:rsidR="009A1CEE" w:rsidRDefault="009A1CEE" w:rsidP="00354967">
      <w:pPr>
        <w:pStyle w:val="WUTCParagraph"/>
      </w:pPr>
      <w:r>
        <w:t xml:space="preserve">                        </w:t>
      </w:r>
      <w:r>
        <w:rPr>
          <w:color w:val="000000"/>
        </w:rPr>
        <w:t>Indeed, PSE’s position that it is entitled to everything in a forced sale would lead to absurd results.  Nowhere in this proceeding has the Company challenged the legal validity of prior Commission decisions that allocated the proceeds from a voluntary sale to customers.  The only constitutional requirement in a forced sale is that PSE be made whole.</w:t>
      </w:r>
      <w:r w:rsidRPr="006E4A5C">
        <w:rPr>
          <w:rStyle w:val="FootnoteReference"/>
          <w:color w:val="000000"/>
          <w:u w:val="single"/>
        </w:rPr>
        <w:footnoteReference w:id="14"/>
      </w:r>
      <w:r w:rsidR="006E4A5C" w:rsidRPr="006E4A5C">
        <w:rPr>
          <w:color w:val="000000"/>
          <w:vertAlign w:val="superscript"/>
        </w:rPr>
        <w:t>/</w:t>
      </w:r>
      <w:r>
        <w:rPr>
          <w:color w:val="000000"/>
        </w:rPr>
        <w:t>  If PSE does not believe it is being legally deprived of its property in a voluntary sale, it is not apparent why such would be the case if the Commission followed the same allocation principles in a forced sale.</w:t>
      </w:r>
    </w:p>
    <w:p w:rsidR="00AB549F" w:rsidRPr="00BB4A3F" w:rsidRDefault="00AB549F" w:rsidP="00B647C9">
      <w:pPr>
        <w:pStyle w:val="WUTCParagraph"/>
        <w:numPr>
          <w:ilvl w:val="0"/>
          <w:numId w:val="0"/>
        </w:numPr>
      </w:pPr>
      <w:r>
        <w:t xml:space="preserve">                        </w:t>
      </w:r>
      <w:r w:rsidR="0070698D">
        <w:rPr>
          <w:b/>
        </w:rPr>
        <w:t>2.</w:t>
      </w:r>
      <w:r w:rsidR="0070698D">
        <w:rPr>
          <w:b/>
        </w:rPr>
        <w:tab/>
        <w:t>The proceeds do not represent “just compensation” to PSE.</w:t>
      </w:r>
    </w:p>
    <w:p w:rsidR="0008783E" w:rsidRDefault="00354967" w:rsidP="00354967">
      <w:pPr>
        <w:pStyle w:val="WUTCParagraph"/>
      </w:pPr>
      <w:r>
        <w:t xml:space="preserve">                        </w:t>
      </w:r>
      <w:r w:rsidR="0008783E">
        <w:t xml:space="preserve">There is a second reason to disregard PSE’s unconstitutional takings argument.  Simply, “just compensation” was never established for the Assets.  Under the Washington State </w:t>
      </w:r>
      <w:r w:rsidR="0008783E">
        <w:lastRenderedPageBreak/>
        <w:t>Constitution, “compensation shall be ascertained by a jury, unless a jury be waived ….”</w:t>
      </w:r>
      <w:r w:rsidR="0008783E" w:rsidRPr="00F30DC6">
        <w:rPr>
          <w:rStyle w:val="FootnoteReference"/>
          <w:u w:val="single"/>
        </w:rPr>
        <w:footnoteReference w:id="15"/>
      </w:r>
      <w:r w:rsidR="00F30DC6" w:rsidRPr="00F30DC6">
        <w:rPr>
          <w:vertAlign w:val="superscript"/>
        </w:rPr>
        <w:t>/</w:t>
      </w:r>
      <w:r w:rsidR="0008783E">
        <w:t xml:space="preserve">  What constitutes “just compensation” can only be established by a finder of fact.</w:t>
      </w:r>
      <w:r w:rsidR="0008783E" w:rsidRPr="00F30DC6">
        <w:rPr>
          <w:rStyle w:val="FootnoteReference"/>
          <w:u w:val="single"/>
        </w:rPr>
        <w:footnoteReference w:id="16"/>
      </w:r>
      <w:r w:rsidR="00F30DC6" w:rsidRPr="00F30DC6">
        <w:rPr>
          <w:vertAlign w:val="superscript"/>
        </w:rPr>
        <w:t>/</w:t>
      </w:r>
      <w:r w:rsidR="0008783E">
        <w:t xml:space="preserve">  That is not what occurred here.  The proceeds at issue in the case are the result of a “settlement of threatened litigation.”</w:t>
      </w:r>
      <w:r w:rsidR="0008783E" w:rsidRPr="003C5FEA">
        <w:rPr>
          <w:rStyle w:val="FootnoteReference"/>
          <w:u w:val="single"/>
        </w:rPr>
        <w:footnoteReference w:id="17"/>
      </w:r>
      <w:proofErr w:type="gramStart"/>
      <w:r w:rsidR="00F30DC6" w:rsidRPr="003C5FEA">
        <w:rPr>
          <w:vertAlign w:val="superscript"/>
        </w:rPr>
        <w:t>/</w:t>
      </w:r>
      <w:r w:rsidR="0008783E" w:rsidRPr="003C5FEA">
        <w:t xml:space="preserve"> </w:t>
      </w:r>
      <w:r w:rsidR="00167418">
        <w:t xml:space="preserve"> The</w:t>
      </w:r>
      <w:proofErr w:type="gramEnd"/>
      <w:r w:rsidR="00167418">
        <w:t xml:space="preserve"> proceeds</w:t>
      </w:r>
      <w:r w:rsidR="0008783E">
        <w:t xml:space="preserve"> do not, therefore, represent any legally determined “just compensation” for PSE.  They are simply the price that was paid.  </w:t>
      </w:r>
    </w:p>
    <w:p w:rsidR="0008783E" w:rsidRDefault="00354967" w:rsidP="00354967">
      <w:pPr>
        <w:pStyle w:val="WUTCParagraph"/>
      </w:pPr>
      <w:r>
        <w:t xml:space="preserve">                        </w:t>
      </w:r>
      <w:r w:rsidR="0008783E">
        <w:t>Nor does any part of the proceeds represent “going concern” damages to which any fact-finder found PSE was entitled.  PSE states as much:  “The settlement did not state the amount of ‘going concern damages’ that was embedded in the $109 million purchase price.  The amount of ‘going concern damages’ incurred by PSE was a question for a jury to determine had this case gone to trial.”</w:t>
      </w:r>
      <w:r w:rsidR="0008783E" w:rsidRPr="003C5FEA">
        <w:rPr>
          <w:rStyle w:val="FootnoteReference"/>
          <w:u w:val="single"/>
        </w:rPr>
        <w:footnoteReference w:id="18"/>
      </w:r>
      <w:r w:rsidR="003C5FEA" w:rsidRPr="003C5FEA">
        <w:rPr>
          <w:vertAlign w:val="superscript"/>
        </w:rPr>
        <w:t>/</w:t>
      </w:r>
      <w:r w:rsidR="0008783E">
        <w:t xml:space="preserve">  Thus, PSE has no constitutional claim to going concern damages in this case.  Indeed, as PSE previously stated, “JPUD was prepared to argue that, rather than incurring ‘going concern’ damages, PSE would realize a net financial benefit by releasing the Service Territory to JPUD, and that ‘benefit’ should be accounted for as a discount against the purchase price.”</w:t>
      </w:r>
      <w:r w:rsidR="0008783E" w:rsidRPr="003C5FEA">
        <w:rPr>
          <w:rStyle w:val="FootnoteReference"/>
          <w:u w:val="single"/>
        </w:rPr>
        <w:footnoteReference w:id="19"/>
      </w:r>
      <w:r w:rsidR="003C5FEA" w:rsidRPr="003C5FEA">
        <w:rPr>
          <w:vertAlign w:val="superscript"/>
        </w:rPr>
        <w:t>/</w:t>
      </w:r>
      <w:r w:rsidR="0008783E">
        <w:t xml:space="preserve">  Thus, PSE’s claim that it suffered “going concern” damages is pure speculation, and it is certainly not legally entitled to any portion of the proceeds for “going concern” damages.</w:t>
      </w:r>
    </w:p>
    <w:p w:rsidR="0008783E" w:rsidRDefault="00354967" w:rsidP="00354967">
      <w:pPr>
        <w:pStyle w:val="WUTCParagraph"/>
      </w:pPr>
      <w:r>
        <w:t xml:space="preserve">                        </w:t>
      </w:r>
      <w:r w:rsidR="0008783E">
        <w:t xml:space="preserve">There is no merit to PSE’s assertion that, by giving </w:t>
      </w:r>
      <w:r w:rsidR="002E5F00">
        <w:t>the Com</w:t>
      </w:r>
      <w:r w:rsidR="0068620C">
        <w:t>p</w:t>
      </w:r>
      <w:r w:rsidR="002E5F00">
        <w:t>any</w:t>
      </w:r>
      <w:r w:rsidR="0008783E">
        <w:t xml:space="preserve"> the equivalent of an incentive payment from the proceeds, the Commission would be on shaky legal ground.  PSE will be in the same position it would have been had it not sold the Assets, which is all that is </w:t>
      </w:r>
      <w:r w:rsidR="0008783E">
        <w:lastRenderedPageBreak/>
        <w:t>constitutionally required.  The purchase price of the Assets is not “just compensation” for PSE, and the Company has no legal basis to suggest otherwise.</w:t>
      </w:r>
    </w:p>
    <w:p w:rsidR="0008783E" w:rsidRDefault="0008783E" w:rsidP="0008783E">
      <w:pPr>
        <w:spacing w:line="480" w:lineRule="auto"/>
        <w:ind w:firstLine="720"/>
        <w:rPr>
          <w:b/>
          <w:szCs w:val="24"/>
        </w:rPr>
      </w:pPr>
      <w:r>
        <w:rPr>
          <w:b/>
          <w:szCs w:val="24"/>
        </w:rPr>
        <w:t>B.</w:t>
      </w:r>
      <w:r>
        <w:rPr>
          <w:b/>
          <w:szCs w:val="24"/>
        </w:rPr>
        <w:tab/>
        <w:t>PSE shifts the risk of loss to customers.</w:t>
      </w:r>
    </w:p>
    <w:p w:rsidR="0008783E" w:rsidRDefault="00354967" w:rsidP="00354967">
      <w:pPr>
        <w:pStyle w:val="WUTCParagraph"/>
      </w:pPr>
      <w:r>
        <w:t xml:space="preserve">                        </w:t>
      </w:r>
      <w:r w:rsidR="0008783E">
        <w:t>PSE argues that the accounting treatment it is seeking here is “completely consistent” with the treatment it sought in prior cases to pass losses to customers when it voluntarily disposed of utility property.</w:t>
      </w:r>
      <w:r w:rsidR="0008783E" w:rsidRPr="003C5FEA">
        <w:rPr>
          <w:rStyle w:val="FootnoteReference"/>
          <w:u w:val="single"/>
        </w:rPr>
        <w:footnoteReference w:id="20"/>
      </w:r>
      <w:r w:rsidR="003C5FEA" w:rsidRPr="003C5FEA">
        <w:rPr>
          <w:vertAlign w:val="superscript"/>
        </w:rPr>
        <w:t>/</w:t>
      </w:r>
      <w:r w:rsidR="0008783E">
        <w:t xml:space="preserve">  ICNU is unsure how to reconcile the Company’s claim that its requested accounting treatment in this case is consistent with prior voluntary dispositions of property and its claim that this transaction is “unique” and warrants a special rule for allocation of the proceeds.  The Company is correct, however, that this transaction is indeed consistent with prior dispositions of in-service utility property – customers bore the same risks and burdens of supporting the assets sold to JPUD as they do with any other in-service utility property.</w:t>
      </w:r>
      <w:r w:rsidR="00E54BAB" w:rsidRPr="006E4A5C">
        <w:rPr>
          <w:rStyle w:val="FootnoteReference"/>
          <w:u w:val="single"/>
        </w:rPr>
        <w:footnoteReference w:id="21"/>
      </w:r>
      <w:r w:rsidR="006E4A5C" w:rsidRPr="006E4A5C">
        <w:rPr>
          <w:vertAlign w:val="superscript"/>
        </w:rPr>
        <w:t>/</w:t>
      </w:r>
      <w:r w:rsidR="0008783E" w:rsidRPr="006E4A5C">
        <w:rPr>
          <w:vertAlign w:val="superscript"/>
        </w:rPr>
        <w:t xml:space="preserve"> </w:t>
      </w:r>
      <w:r w:rsidR="0008783E">
        <w:t xml:space="preserve"> </w:t>
      </w:r>
    </w:p>
    <w:p w:rsidR="0008783E" w:rsidRDefault="00354967" w:rsidP="00354967">
      <w:pPr>
        <w:pStyle w:val="WUTCParagraph"/>
      </w:pPr>
      <w:r>
        <w:t xml:space="preserve">                        </w:t>
      </w:r>
      <w:r w:rsidR="0008783E">
        <w:t>PSE notes that the Commission has granted its prior requests to pass losses to customers after the Commission made a determination that the Company’s decision to sell or otherwise dispose of the property was in the public interest.</w:t>
      </w:r>
      <w:r w:rsidR="0008783E" w:rsidRPr="003C5FEA">
        <w:rPr>
          <w:rStyle w:val="FootnoteReference"/>
          <w:u w:val="single"/>
        </w:rPr>
        <w:footnoteReference w:id="22"/>
      </w:r>
      <w:r w:rsidR="003C5FEA" w:rsidRPr="003C5FEA">
        <w:rPr>
          <w:vertAlign w:val="superscript"/>
        </w:rPr>
        <w:t>/</w:t>
      </w:r>
      <w:r w:rsidR="0008783E">
        <w:t xml:space="preserve">  Whether or not the Company made the right decision to dispose of this property, however, is beside the point.  The question is, who bears the risks and burdens associated with the sold plant?  Even assuming PSE made the least cost decision in these cases, it is absurd to suggest that customers “benefit” from paying millions of dollars for assets that are no longer used and useful for service.</w:t>
      </w:r>
      <w:r w:rsidR="0008783E" w:rsidRPr="003C5FEA">
        <w:rPr>
          <w:rStyle w:val="FootnoteReference"/>
          <w:u w:val="single"/>
        </w:rPr>
        <w:footnoteReference w:id="23"/>
      </w:r>
      <w:r w:rsidR="003C5FEA" w:rsidRPr="003C5FEA">
        <w:rPr>
          <w:vertAlign w:val="superscript"/>
        </w:rPr>
        <w:t>/</w:t>
      </w:r>
      <w:r w:rsidR="0008783E">
        <w:t xml:space="preserve">  Regardless of the merits of this policy that asks customers to shoulder the losses from sold plant (which is not </w:t>
      </w:r>
      <w:r w:rsidR="0008783E">
        <w:lastRenderedPageBreak/>
        <w:t>unique to PSE), it is indisputable that it shifts the risk of loss to customers, which is the pertinent point in resolving this case.</w:t>
      </w:r>
    </w:p>
    <w:p w:rsidR="0008783E" w:rsidRDefault="00354967" w:rsidP="00354967">
      <w:pPr>
        <w:pStyle w:val="WUTCParagraph"/>
      </w:pPr>
      <w:r>
        <w:t xml:space="preserve">                        </w:t>
      </w:r>
      <w:r w:rsidR="0008783E">
        <w:t>That PSE does not bear these risks is evident by comparing its regulated monopoly business to a competitive enterprise.  Competitive enterprises must also make decisions about whether to sell or continue to run uneconomic plant.  Yet, these businesses cannot recover their stranded costs from customers without the threat of competition.  While Dr. Levin would likely argue that competitive businesses build those costs into their prices,</w:t>
      </w:r>
      <w:r w:rsidR="0008783E" w:rsidRPr="00B45FC8">
        <w:rPr>
          <w:rStyle w:val="FootnoteReference"/>
          <w:u w:val="single"/>
        </w:rPr>
        <w:footnoteReference w:id="24"/>
      </w:r>
      <w:r w:rsidR="00B45FC8" w:rsidRPr="00257016">
        <w:rPr>
          <w:vertAlign w:val="superscript"/>
        </w:rPr>
        <w:t>/</w:t>
      </w:r>
      <w:r w:rsidR="0008783E">
        <w:t xml:space="preserve"> the fact is that, even if this assumption is true, these businesses can only project those costs and hope that their projections are more-or-less accurate.  If a competitive business is faced with an unexpected material loss, no matter how prudently it operated it must bear the consequences.  PSE, on the other hand, has no such uncertainty.  It can recover its losses by turning to </w:t>
      </w:r>
      <w:proofErr w:type="gramStart"/>
      <w:r w:rsidR="0008783E">
        <w:t>customers</w:t>
      </w:r>
      <w:proofErr w:type="gramEnd"/>
      <w:r w:rsidR="0008783E">
        <w:t xml:space="preserve"> after-the-fact.  Under these circumstances, and regardless of the voluntary nature of the transaction, the risks and burdens of supporting utility plant </w:t>
      </w:r>
      <w:r w:rsidR="00167418">
        <w:t xml:space="preserve">that has been determined to be prudently invested in (as with the Assets) </w:t>
      </w:r>
      <w:r w:rsidR="0008783E">
        <w:t xml:space="preserve">are plainly on the customer.  </w:t>
      </w:r>
    </w:p>
    <w:p w:rsidR="0008783E" w:rsidRPr="00A14492" w:rsidRDefault="0008783E" w:rsidP="0008783E">
      <w:pPr>
        <w:spacing w:line="480" w:lineRule="auto"/>
        <w:ind w:firstLine="720"/>
        <w:rPr>
          <w:b/>
          <w:szCs w:val="24"/>
        </w:rPr>
      </w:pPr>
      <w:r>
        <w:rPr>
          <w:b/>
          <w:szCs w:val="24"/>
        </w:rPr>
        <w:t>C.</w:t>
      </w:r>
      <w:r>
        <w:rPr>
          <w:b/>
          <w:szCs w:val="24"/>
        </w:rPr>
        <w:tab/>
        <w:t>Deferred accounting does not “benefit” customers.</w:t>
      </w:r>
    </w:p>
    <w:p w:rsidR="0008783E" w:rsidRDefault="00354967" w:rsidP="00354967">
      <w:pPr>
        <w:pStyle w:val="WUTCParagraph"/>
      </w:pPr>
      <w:r>
        <w:t xml:space="preserve">                        </w:t>
      </w:r>
      <w:r w:rsidR="0008783E">
        <w:t>Finally, ICNU cannot let PSE’s claim that deferred accounting “benefits customers” go unchallenged.</w:t>
      </w:r>
      <w:r w:rsidR="0008783E" w:rsidRPr="003C5FEA">
        <w:rPr>
          <w:rStyle w:val="FootnoteReference"/>
          <w:u w:val="single"/>
        </w:rPr>
        <w:footnoteReference w:id="25"/>
      </w:r>
      <w:r w:rsidR="003C5FEA" w:rsidRPr="00B45FC8">
        <w:rPr>
          <w:vertAlign w:val="superscript"/>
        </w:rPr>
        <w:t>/</w:t>
      </w:r>
      <w:r w:rsidR="0008783E">
        <w:t xml:space="preserve">  This “benefit,” according to the Company, is in deferred accounting’s ability to “smooth out costs for PSE’s customers.”</w:t>
      </w:r>
      <w:r w:rsidR="0008783E" w:rsidRPr="003C5FEA">
        <w:rPr>
          <w:rStyle w:val="FootnoteReference"/>
          <w:u w:val="single"/>
        </w:rPr>
        <w:footnoteReference w:id="26"/>
      </w:r>
      <w:r w:rsidR="00B45FC8" w:rsidRPr="00B45FC8">
        <w:rPr>
          <w:vertAlign w:val="superscript"/>
        </w:rPr>
        <w:t>/</w:t>
      </w:r>
      <w:r w:rsidR="0008783E" w:rsidRPr="00B45FC8">
        <w:rPr>
          <w:vertAlign w:val="superscript"/>
        </w:rPr>
        <w:t xml:space="preserve"> </w:t>
      </w:r>
      <w:r w:rsidR="0008783E">
        <w:t xml:space="preserve"> As an organization that represents many of Washington State’s largest utility customers, ICNU submits that it would be happy to forego this “benefit.”  </w:t>
      </w:r>
    </w:p>
    <w:p w:rsidR="0008783E" w:rsidRDefault="00354967" w:rsidP="00354967">
      <w:pPr>
        <w:pStyle w:val="WUTCParagraph"/>
      </w:pPr>
      <w:r>
        <w:t xml:space="preserve">                        </w:t>
      </w:r>
      <w:r w:rsidR="0008783E">
        <w:t xml:space="preserve">Once upon a time, utilities would come in for rate cases, and anything that happened in between rate cases, be it income or loss, would accrue to the utility.  Today, more </w:t>
      </w:r>
      <w:r w:rsidR="0008783E">
        <w:lastRenderedPageBreak/>
        <w:t>and more, utilities are seeking to defer for later recovery any cost they incur</w:t>
      </w:r>
      <w:r w:rsidR="002E5F00">
        <w:t xml:space="preserve"> that is not already included in rates</w:t>
      </w:r>
      <w:r w:rsidR="0008783E">
        <w:t>.  While deferred accounting may, as the Company states, be “a means for recovery of prudently incurred costs that are necessary to provide safe and reliable service to PSE’s customers,” it is also a means of achieving one-sided ratemaking by tracking costs for later recovery, but not benefits for later refund.  And, it is a mechanism that only regulated utilities, as opposed to competitive businesses, can take advantage of.</w:t>
      </w:r>
      <w:r w:rsidR="0008783E" w:rsidRPr="003C5FEA">
        <w:rPr>
          <w:rStyle w:val="FootnoteReference"/>
          <w:u w:val="single"/>
        </w:rPr>
        <w:footnoteReference w:id="27"/>
      </w:r>
      <w:r w:rsidR="00B45FC8" w:rsidRPr="00B45FC8">
        <w:rPr>
          <w:vertAlign w:val="superscript"/>
        </w:rPr>
        <w:t>/</w:t>
      </w:r>
      <w:r w:rsidR="0008783E" w:rsidRPr="00B45FC8">
        <w:rPr>
          <w:vertAlign w:val="superscript"/>
        </w:rPr>
        <w:t xml:space="preserve"> </w:t>
      </w:r>
      <w:r w:rsidR="0008783E">
        <w:t xml:space="preserve"> Consequently, as Commissioner Jones recognized, deferred accounting is yet another means for utilities to mitigate their risk of cost-recovery by shifting it to customers.</w:t>
      </w:r>
      <w:r w:rsidR="0008783E" w:rsidRPr="000220D6">
        <w:rPr>
          <w:rStyle w:val="FootnoteReference"/>
          <w:u w:val="single"/>
        </w:rPr>
        <w:footnoteReference w:id="28"/>
      </w:r>
      <w:r w:rsidR="000220D6" w:rsidRPr="000220D6">
        <w:rPr>
          <w:vertAlign w:val="superscript"/>
        </w:rPr>
        <w:t>/</w:t>
      </w:r>
    </w:p>
    <w:p w:rsidR="0008783E" w:rsidRDefault="0008783E" w:rsidP="0008783E">
      <w:pPr>
        <w:ind w:left="1440" w:hanging="720"/>
        <w:rPr>
          <w:szCs w:val="24"/>
        </w:rPr>
      </w:pPr>
      <w:r>
        <w:rPr>
          <w:b/>
          <w:szCs w:val="24"/>
        </w:rPr>
        <w:t>D.</w:t>
      </w:r>
      <w:r>
        <w:rPr>
          <w:b/>
          <w:szCs w:val="24"/>
        </w:rPr>
        <w:tab/>
        <w:t>An appropriate incentive payment to PSE is at or near its authorized return on equity.</w:t>
      </w:r>
    </w:p>
    <w:p w:rsidR="0008783E" w:rsidRDefault="0008783E" w:rsidP="0008783E">
      <w:pPr>
        <w:ind w:left="1440" w:hanging="720"/>
        <w:rPr>
          <w:szCs w:val="24"/>
        </w:rPr>
      </w:pPr>
    </w:p>
    <w:p w:rsidR="0008783E" w:rsidRDefault="00354967" w:rsidP="00354967">
      <w:pPr>
        <w:pStyle w:val="WUTCParagraph"/>
      </w:pPr>
      <w:r>
        <w:t xml:space="preserve">                        </w:t>
      </w:r>
      <w:r w:rsidR="0008783E">
        <w:t>While ICNU agrees with the vast majority of Staff’s testimony and briefing in this case, it disagrees with Staff’s proposal to give 25% of the appreciated value of the Assets to PSE.</w:t>
      </w:r>
      <w:r w:rsidR="0008783E" w:rsidRPr="00B45FC8">
        <w:rPr>
          <w:rStyle w:val="FootnoteReference"/>
          <w:u w:val="single"/>
        </w:rPr>
        <w:footnoteReference w:id="29"/>
      </w:r>
      <w:r w:rsidR="00B45FC8" w:rsidRPr="00B45FC8">
        <w:rPr>
          <w:vertAlign w:val="superscript"/>
        </w:rPr>
        <w:t>/</w:t>
      </w:r>
      <w:r w:rsidR="0008783E">
        <w:t xml:space="preserve">  Staff notes that this amount represents approximately seven percent of the total proceeds from the JPUD Transaction, which reflects a standard brokerage fee for negotiating real property sales.</w:t>
      </w:r>
      <w:r w:rsidR="0008783E" w:rsidRPr="00B45FC8">
        <w:rPr>
          <w:rStyle w:val="FootnoteReference"/>
          <w:u w:val="single"/>
        </w:rPr>
        <w:footnoteReference w:id="30"/>
      </w:r>
      <w:r w:rsidR="00B45FC8" w:rsidRPr="00B45FC8">
        <w:rPr>
          <w:vertAlign w:val="superscript"/>
        </w:rPr>
        <w:t>/</w:t>
      </w:r>
    </w:p>
    <w:p w:rsidR="0008783E" w:rsidRDefault="00354967" w:rsidP="00354967">
      <w:pPr>
        <w:pStyle w:val="WUTCParagraph"/>
      </w:pPr>
      <w:r>
        <w:t xml:space="preserve">                        </w:t>
      </w:r>
      <w:r w:rsidR="0008783E">
        <w:t>ICNU continues to believe that an incentive payment that approximates PSE’s authorized return on equity is more consistent with the regulated nature of the Company.</w:t>
      </w:r>
      <w:r w:rsidR="0008783E" w:rsidRPr="00B45FC8">
        <w:rPr>
          <w:rStyle w:val="FootnoteReference"/>
          <w:u w:val="single"/>
        </w:rPr>
        <w:footnoteReference w:id="31"/>
      </w:r>
      <w:r w:rsidR="00B45FC8" w:rsidRPr="00B45FC8">
        <w:rPr>
          <w:vertAlign w:val="superscript"/>
        </w:rPr>
        <w:t>/</w:t>
      </w:r>
      <w:r w:rsidR="0008783E">
        <w:t xml:space="preserve">  Just as PSE should not expect (and is not entitled to) the level of profits and losses experienced by competitive enterprises, including real estate brokerage firms, it should not expect a similar incentive payment.  PSE’s authorized return on equity reflects what the Commission believes is a reasonable return for PSE in the current market; a similar incentive payment is also reasonable.  </w:t>
      </w:r>
      <w:r w:rsidR="0008783E">
        <w:lastRenderedPageBreak/>
        <w:t>ICNU’s proposal to give PSE ten percent of the appreciated value of the assets is in line with the Com</w:t>
      </w:r>
      <w:r w:rsidR="00167418">
        <w:t>pany’s currently authorized 9.8 percent</w:t>
      </w:r>
      <w:r w:rsidR="0008783E">
        <w:t xml:space="preserve"> return on equity.</w:t>
      </w:r>
    </w:p>
    <w:p w:rsidR="0008783E" w:rsidRDefault="0008783E" w:rsidP="0008783E">
      <w:pPr>
        <w:spacing w:line="480" w:lineRule="auto"/>
        <w:jc w:val="center"/>
        <w:rPr>
          <w:szCs w:val="24"/>
        </w:rPr>
      </w:pPr>
      <w:r>
        <w:rPr>
          <w:b/>
          <w:szCs w:val="24"/>
        </w:rPr>
        <w:t>III.</w:t>
      </w:r>
      <w:r>
        <w:rPr>
          <w:b/>
          <w:szCs w:val="24"/>
        </w:rPr>
        <w:tab/>
      </w:r>
      <w:r w:rsidRPr="00F967F8">
        <w:rPr>
          <w:b/>
          <w:szCs w:val="24"/>
        </w:rPr>
        <w:t>CONCLUSION</w:t>
      </w:r>
    </w:p>
    <w:p w:rsidR="0008783E" w:rsidRDefault="00354967" w:rsidP="00354967">
      <w:pPr>
        <w:pStyle w:val="WUTCParagraph"/>
      </w:pPr>
      <w:r>
        <w:t xml:space="preserve">                        </w:t>
      </w:r>
      <w:r w:rsidR="0011460D">
        <w:t xml:space="preserve"> </w:t>
      </w:r>
      <w:r w:rsidR="0008783E">
        <w:t>For the foregoing reasons, and as stated in ICNU’s Opening Brief, the Commission should reject PSE’s proposed allocation of the proceeds from its sale of assets to the Jefferson County Public Utility District and enter an order consistent with the relief requested in ICNU’s Opening Brief.</w:t>
      </w:r>
    </w:p>
    <w:p w:rsidR="00A94034" w:rsidRDefault="00A94034" w:rsidP="0008783E">
      <w:pPr>
        <w:spacing w:line="480" w:lineRule="auto"/>
        <w:ind w:firstLine="1440"/>
        <w:rPr>
          <w:szCs w:val="24"/>
        </w:rPr>
      </w:pPr>
    </w:p>
    <w:p w:rsidR="0008783E" w:rsidRDefault="0008783E" w:rsidP="00167418">
      <w:pPr>
        <w:keepNext/>
        <w:ind w:firstLine="1440"/>
        <w:rPr>
          <w:szCs w:val="24"/>
        </w:rPr>
      </w:pPr>
      <w:r>
        <w:rPr>
          <w:szCs w:val="24"/>
        </w:rPr>
        <w:t>Dated this 17</w:t>
      </w:r>
      <w:r w:rsidRPr="00631F29">
        <w:rPr>
          <w:szCs w:val="24"/>
        </w:rPr>
        <w:t>th day of June, 2014.</w:t>
      </w:r>
    </w:p>
    <w:p w:rsidR="0008783E" w:rsidRPr="00631F29" w:rsidRDefault="0008783E" w:rsidP="00167418">
      <w:pPr>
        <w:keepNext/>
        <w:ind w:firstLine="2160"/>
        <w:rPr>
          <w:szCs w:val="24"/>
        </w:rPr>
      </w:pPr>
    </w:p>
    <w:p w:rsidR="0008783E" w:rsidRPr="00631F29" w:rsidRDefault="0008783E" w:rsidP="00167418">
      <w:pPr>
        <w:ind w:left="1440" w:firstLine="2160"/>
        <w:rPr>
          <w:szCs w:val="24"/>
        </w:rPr>
      </w:pPr>
      <w:r w:rsidRPr="00631F29">
        <w:rPr>
          <w:szCs w:val="24"/>
        </w:rPr>
        <w:t>Respectfully submitted,</w:t>
      </w:r>
    </w:p>
    <w:p w:rsidR="0008783E" w:rsidRDefault="0008783E" w:rsidP="00167418">
      <w:pPr>
        <w:ind w:left="1440" w:firstLine="2160"/>
        <w:rPr>
          <w:szCs w:val="24"/>
        </w:rPr>
      </w:pPr>
    </w:p>
    <w:p w:rsidR="0008783E" w:rsidRPr="00631F29" w:rsidRDefault="0008783E" w:rsidP="00167418">
      <w:pPr>
        <w:ind w:left="1440" w:firstLine="2160"/>
        <w:rPr>
          <w:szCs w:val="24"/>
        </w:rPr>
      </w:pPr>
      <w:r w:rsidRPr="00631F29">
        <w:rPr>
          <w:szCs w:val="24"/>
        </w:rPr>
        <w:t>DAVISON VAN CLEVE, P.C.</w:t>
      </w:r>
    </w:p>
    <w:p w:rsidR="0008783E" w:rsidRPr="00631F29" w:rsidRDefault="0008783E" w:rsidP="00167418">
      <w:pPr>
        <w:keepNext/>
        <w:ind w:left="1440" w:firstLine="2160"/>
        <w:rPr>
          <w:i/>
          <w:szCs w:val="24"/>
          <w:u w:val="single"/>
        </w:rPr>
      </w:pPr>
    </w:p>
    <w:p w:rsidR="0008783E" w:rsidRPr="00631F29" w:rsidRDefault="0008783E" w:rsidP="00167418">
      <w:pPr>
        <w:keepNext/>
        <w:ind w:left="1440" w:firstLine="2160"/>
        <w:rPr>
          <w:i/>
          <w:szCs w:val="24"/>
          <w:u w:val="single"/>
        </w:rPr>
      </w:pPr>
    </w:p>
    <w:p w:rsidR="0008783E" w:rsidRPr="00631F29" w:rsidRDefault="0008783E" w:rsidP="00167418">
      <w:pPr>
        <w:ind w:left="1440" w:firstLine="2160"/>
        <w:rPr>
          <w:i/>
          <w:szCs w:val="24"/>
          <w:u w:val="single"/>
        </w:rPr>
      </w:pPr>
      <w:r w:rsidRPr="00631F29">
        <w:rPr>
          <w:i/>
          <w:szCs w:val="24"/>
          <w:u w:val="single"/>
        </w:rPr>
        <w:t>/s/ Melinda J. Davison</w:t>
      </w:r>
    </w:p>
    <w:p w:rsidR="0008783E" w:rsidRPr="00631F29" w:rsidRDefault="0008783E" w:rsidP="00167418">
      <w:pPr>
        <w:ind w:left="1440" w:firstLine="2160"/>
        <w:rPr>
          <w:szCs w:val="24"/>
        </w:rPr>
      </w:pPr>
      <w:r w:rsidRPr="00631F29">
        <w:rPr>
          <w:szCs w:val="24"/>
        </w:rPr>
        <w:t>Melinda J. Davison</w:t>
      </w:r>
    </w:p>
    <w:p w:rsidR="0008783E" w:rsidRPr="00631F29" w:rsidRDefault="0008783E" w:rsidP="00167418">
      <w:pPr>
        <w:ind w:left="1440" w:firstLine="2160"/>
        <w:rPr>
          <w:szCs w:val="24"/>
        </w:rPr>
      </w:pPr>
      <w:r w:rsidRPr="00631F29">
        <w:rPr>
          <w:szCs w:val="24"/>
        </w:rPr>
        <w:t>Tyler C. Pepple</w:t>
      </w:r>
    </w:p>
    <w:p w:rsidR="0008783E" w:rsidRPr="00631F29" w:rsidRDefault="0008783E" w:rsidP="00167418">
      <w:pPr>
        <w:ind w:left="1440" w:firstLine="2160"/>
        <w:rPr>
          <w:szCs w:val="24"/>
        </w:rPr>
      </w:pPr>
      <w:r w:rsidRPr="00631F29">
        <w:rPr>
          <w:szCs w:val="24"/>
        </w:rPr>
        <w:t>Davison Van Cleve, P.C.</w:t>
      </w:r>
    </w:p>
    <w:p w:rsidR="0008783E" w:rsidRPr="00631F29" w:rsidRDefault="0008783E" w:rsidP="00167418">
      <w:pPr>
        <w:keepNext/>
        <w:ind w:left="1440" w:firstLine="2160"/>
        <w:rPr>
          <w:szCs w:val="24"/>
        </w:rPr>
      </w:pPr>
      <w:r w:rsidRPr="00631F29">
        <w:rPr>
          <w:szCs w:val="24"/>
        </w:rPr>
        <w:t>333 S.W. Taylor, Suite 400</w:t>
      </w:r>
    </w:p>
    <w:p w:rsidR="0008783E" w:rsidRPr="00631F29" w:rsidRDefault="0008783E" w:rsidP="00167418">
      <w:pPr>
        <w:keepNext/>
        <w:ind w:left="1440" w:firstLine="2160"/>
        <w:rPr>
          <w:szCs w:val="24"/>
        </w:rPr>
      </w:pPr>
      <w:r w:rsidRPr="00631F29">
        <w:rPr>
          <w:szCs w:val="24"/>
        </w:rPr>
        <w:t>Portland, Oregon 97204</w:t>
      </w:r>
    </w:p>
    <w:p w:rsidR="0008783E" w:rsidRPr="00631F29" w:rsidRDefault="0008783E" w:rsidP="00167418">
      <w:pPr>
        <w:keepNext/>
        <w:ind w:left="1440" w:firstLine="2160"/>
        <w:rPr>
          <w:szCs w:val="24"/>
        </w:rPr>
      </w:pPr>
      <w:r w:rsidRPr="00631F29">
        <w:rPr>
          <w:szCs w:val="24"/>
        </w:rPr>
        <w:t>(503) 241-7242 telephone</w:t>
      </w:r>
    </w:p>
    <w:p w:rsidR="0008783E" w:rsidRPr="00631F29" w:rsidRDefault="0008783E" w:rsidP="00167418">
      <w:pPr>
        <w:keepNext/>
        <w:ind w:left="1440" w:firstLine="2160"/>
        <w:rPr>
          <w:szCs w:val="24"/>
        </w:rPr>
      </w:pPr>
      <w:r w:rsidRPr="00631F29">
        <w:rPr>
          <w:szCs w:val="24"/>
        </w:rPr>
        <w:t>(503) 241-8160 facsimile</w:t>
      </w:r>
    </w:p>
    <w:p w:rsidR="0008783E" w:rsidRPr="00631F29" w:rsidRDefault="0008783E" w:rsidP="00167418">
      <w:pPr>
        <w:keepNext/>
        <w:ind w:left="1440" w:firstLine="2160"/>
        <w:rPr>
          <w:szCs w:val="24"/>
        </w:rPr>
      </w:pPr>
      <w:r w:rsidRPr="00631F29">
        <w:rPr>
          <w:szCs w:val="24"/>
        </w:rPr>
        <w:t>mjd@dvclaw.com</w:t>
      </w:r>
    </w:p>
    <w:p w:rsidR="0008783E" w:rsidRPr="00631F29" w:rsidRDefault="0008783E" w:rsidP="00167418">
      <w:pPr>
        <w:keepNext/>
        <w:ind w:left="1440" w:firstLine="2160"/>
        <w:rPr>
          <w:szCs w:val="24"/>
        </w:rPr>
      </w:pPr>
      <w:r w:rsidRPr="00631F29">
        <w:rPr>
          <w:szCs w:val="24"/>
        </w:rPr>
        <w:t>tcp@dvclaw.com</w:t>
      </w:r>
    </w:p>
    <w:p w:rsidR="0008783E" w:rsidRPr="00631F29" w:rsidRDefault="0008783E" w:rsidP="00167418">
      <w:pPr>
        <w:ind w:left="1440" w:firstLine="2160"/>
        <w:rPr>
          <w:szCs w:val="24"/>
        </w:rPr>
      </w:pPr>
      <w:r w:rsidRPr="00631F29">
        <w:rPr>
          <w:szCs w:val="24"/>
        </w:rPr>
        <w:t xml:space="preserve">Of Attorneys for Industrial Customers </w:t>
      </w:r>
    </w:p>
    <w:p w:rsidR="00514BA0" w:rsidRPr="00257016" w:rsidRDefault="0008783E" w:rsidP="00167418">
      <w:pPr>
        <w:ind w:left="1440" w:firstLine="2160"/>
        <w:rPr>
          <w:szCs w:val="24"/>
        </w:rPr>
      </w:pPr>
      <w:r w:rsidRPr="00631F29">
        <w:rPr>
          <w:szCs w:val="24"/>
        </w:rPr>
        <w:t>of Northwest Utilities</w:t>
      </w:r>
    </w:p>
    <w:sectPr w:rsidR="00514BA0" w:rsidRPr="00257016" w:rsidSect="0077099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74" w:rsidRDefault="001A2E74" w:rsidP="00E00996">
      <w:r>
        <w:separator/>
      </w:r>
    </w:p>
  </w:endnote>
  <w:endnote w:type="continuationSeparator" w:id="0">
    <w:p w:rsidR="001A2E74" w:rsidRDefault="001A2E74" w:rsidP="00E0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703004"/>
      <w:docPartObj>
        <w:docPartGallery w:val="Page Numbers (Bottom of Page)"/>
        <w:docPartUnique/>
      </w:docPartObj>
    </w:sdtPr>
    <w:sdtEndPr>
      <w:rPr>
        <w:noProof/>
      </w:rPr>
    </w:sdtEndPr>
    <w:sdtContent>
      <w:p w:rsidR="00E7307E" w:rsidRDefault="00E7307E">
        <w:pPr>
          <w:pStyle w:val="Footer"/>
          <w:jc w:val="center"/>
        </w:pPr>
        <w:r>
          <w:fldChar w:fldCharType="begin"/>
        </w:r>
        <w:r>
          <w:instrText xml:space="preserve"> PAGE   \* MERGEFORMAT </w:instrText>
        </w:r>
        <w:r>
          <w:fldChar w:fldCharType="separate"/>
        </w:r>
        <w:r w:rsidR="00651EC7">
          <w:rPr>
            <w:noProof/>
          </w:rPr>
          <w:t>ii</w:t>
        </w:r>
        <w:r>
          <w:rPr>
            <w:noProof/>
          </w:rPr>
          <w:fldChar w:fldCharType="end"/>
        </w:r>
      </w:p>
    </w:sdtContent>
  </w:sdt>
  <w:p w:rsidR="00E7307E" w:rsidRDefault="00E73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81756"/>
      <w:docPartObj>
        <w:docPartGallery w:val="Page Numbers (Bottom of Page)"/>
        <w:docPartUnique/>
      </w:docPartObj>
    </w:sdtPr>
    <w:sdtEndPr>
      <w:rPr>
        <w:noProof/>
      </w:rPr>
    </w:sdtEndPr>
    <w:sdtContent>
      <w:p w:rsidR="00E7307E" w:rsidRDefault="00E7307E">
        <w:pPr>
          <w:pStyle w:val="Footer"/>
          <w:jc w:val="center"/>
        </w:pPr>
        <w:r>
          <w:fldChar w:fldCharType="begin"/>
        </w:r>
        <w:r>
          <w:instrText xml:space="preserve"> PAGE   \* MERGEFORMAT </w:instrText>
        </w:r>
        <w:r>
          <w:fldChar w:fldCharType="separate"/>
        </w:r>
        <w:r w:rsidR="00651EC7">
          <w:rPr>
            <w:noProof/>
          </w:rPr>
          <w:t>i</w:t>
        </w:r>
        <w:r>
          <w:rPr>
            <w:noProof/>
          </w:rPr>
          <w:fldChar w:fldCharType="end"/>
        </w:r>
      </w:p>
    </w:sdtContent>
  </w:sdt>
  <w:p w:rsidR="00E7307E" w:rsidRDefault="00E73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76608"/>
      <w:docPartObj>
        <w:docPartGallery w:val="Page Numbers (Bottom of Page)"/>
        <w:docPartUnique/>
      </w:docPartObj>
    </w:sdtPr>
    <w:sdtEndPr>
      <w:rPr>
        <w:noProof/>
      </w:rPr>
    </w:sdtEndPr>
    <w:sdtContent>
      <w:p w:rsidR="00E7307E" w:rsidRDefault="00E7307E">
        <w:pPr>
          <w:pStyle w:val="Footer"/>
        </w:pPr>
        <w:r>
          <w:rPr>
            <w:lang w:val="en-US"/>
          </w:rPr>
          <w:t xml:space="preserve">PAGE </w:t>
        </w:r>
        <w:r>
          <w:fldChar w:fldCharType="begin"/>
        </w:r>
        <w:r>
          <w:instrText xml:space="preserve"> PAGE   \* MERGEFORMAT </w:instrText>
        </w:r>
        <w:r>
          <w:fldChar w:fldCharType="separate"/>
        </w:r>
        <w:r w:rsidR="00651EC7">
          <w:rPr>
            <w:noProof/>
          </w:rPr>
          <w:t>2</w:t>
        </w:r>
        <w:r>
          <w:rPr>
            <w:noProof/>
          </w:rPr>
          <w:fldChar w:fldCharType="end"/>
        </w:r>
        <w:r>
          <w:rPr>
            <w:noProof/>
            <w:lang w:val="en-US"/>
          </w:rPr>
          <w:t xml:space="preserve"> – </w:t>
        </w:r>
        <w:r w:rsidR="0008783E">
          <w:rPr>
            <w:noProof/>
            <w:lang w:val="en-US"/>
          </w:rPr>
          <w:t>REPLY</w:t>
        </w:r>
        <w:r>
          <w:rPr>
            <w:noProof/>
            <w:lang w:val="en-US"/>
          </w:rPr>
          <w:t xml:space="preserve"> BRIEF OF ICNU</w:t>
        </w:r>
      </w:p>
    </w:sdtContent>
  </w:sdt>
  <w:p w:rsidR="00E7307E" w:rsidRDefault="00E73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74" w:rsidRDefault="001A2E74" w:rsidP="00E00996">
      <w:r>
        <w:separator/>
      </w:r>
    </w:p>
  </w:footnote>
  <w:footnote w:type="continuationSeparator" w:id="0">
    <w:p w:rsidR="001A2E74" w:rsidRDefault="001A2E74" w:rsidP="00E00996">
      <w:r>
        <w:continuationSeparator/>
      </w:r>
    </w:p>
  </w:footnote>
  <w:footnote w:id="1">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2627C8">
        <w:t xml:space="preserve"> </w:t>
      </w:r>
      <w:r w:rsidRPr="002627C8">
        <w:tab/>
        <w:t xml:space="preserve">PSE Br. ¶ 42.  </w:t>
      </w:r>
    </w:p>
  </w:footnote>
  <w:footnote w:id="2">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2627C8">
        <w:t xml:space="preserve"> </w:t>
      </w:r>
      <w:r w:rsidRPr="002627C8">
        <w:tab/>
      </w:r>
      <w:r w:rsidRPr="002627C8">
        <w:rPr>
          <w:u w:val="single"/>
        </w:rPr>
        <w:t>Id.</w:t>
      </w:r>
      <w:r w:rsidRPr="002627C8">
        <w:t xml:space="preserve"> ¶¶ 41-42.</w:t>
      </w:r>
    </w:p>
  </w:footnote>
  <w:footnote w:id="3">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2627C8">
        <w:t xml:space="preserve"> </w:t>
      </w:r>
      <w:r w:rsidRPr="002627C8">
        <w:tab/>
        <w:t>U.S. Const. amend. V.</w:t>
      </w:r>
    </w:p>
  </w:footnote>
  <w:footnote w:id="4">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2627C8">
        <w:t xml:space="preserve"> </w:t>
      </w:r>
      <w:r w:rsidRPr="002627C8">
        <w:tab/>
        <w:t>Wash. Const. art. I § 16</w:t>
      </w:r>
      <w:r w:rsidR="00E54BAB">
        <w:t xml:space="preserve"> (amend</w:t>
      </w:r>
      <w:r w:rsidR="00B647C9">
        <w:t>.</w:t>
      </w:r>
      <w:r w:rsidR="00E54BAB">
        <w:t xml:space="preserve"> 9)</w:t>
      </w:r>
      <w:r w:rsidRPr="002627C8">
        <w:t>.</w:t>
      </w:r>
    </w:p>
  </w:footnote>
  <w:footnote w:id="5">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F30DC6">
        <w:rPr>
          <w:vertAlign w:val="superscript"/>
        </w:rPr>
        <w:t xml:space="preserve"> </w:t>
      </w:r>
      <w:r w:rsidRPr="002627C8">
        <w:tab/>
      </w:r>
      <w:r w:rsidRPr="002627C8">
        <w:rPr>
          <w:u w:val="single"/>
        </w:rPr>
        <w:t>U.S. v. Reynolds</w:t>
      </w:r>
      <w:r w:rsidRPr="002627C8">
        <w:t>, 397 U.S. 14, 16 (1970).</w:t>
      </w:r>
    </w:p>
  </w:footnote>
  <w:footnote w:id="6">
    <w:p w:rsidR="0008783E" w:rsidRPr="002627C8" w:rsidRDefault="0008783E" w:rsidP="00E54BAB">
      <w:pPr>
        <w:pStyle w:val="FootnoteText"/>
        <w:ind w:left="720" w:hanging="720"/>
      </w:pPr>
      <w:r w:rsidRPr="00F30DC6">
        <w:rPr>
          <w:rStyle w:val="FootnoteReference"/>
          <w:u w:val="single"/>
        </w:rPr>
        <w:footnoteRef/>
      </w:r>
      <w:r w:rsidR="00F30DC6" w:rsidRPr="00F30DC6">
        <w:rPr>
          <w:vertAlign w:val="superscript"/>
        </w:rPr>
        <w:t>/</w:t>
      </w:r>
      <w:r w:rsidRPr="00F30DC6">
        <w:rPr>
          <w:vertAlign w:val="superscript"/>
        </w:rPr>
        <w:t xml:space="preserve"> </w:t>
      </w:r>
      <w:r w:rsidRPr="002627C8">
        <w:tab/>
      </w:r>
      <w:r w:rsidRPr="002627C8">
        <w:rPr>
          <w:u w:val="single"/>
        </w:rPr>
        <w:t>State v. Wilson</w:t>
      </w:r>
      <w:r w:rsidRPr="002627C8">
        <w:t>, 6 Wn. App. 443, 44</w:t>
      </w:r>
      <w:r w:rsidR="00933AC7">
        <w:t>8</w:t>
      </w:r>
      <w:r w:rsidRPr="002627C8">
        <w:t xml:space="preserve"> (1972)</w:t>
      </w:r>
      <w:r>
        <w:t xml:space="preserve"> (citation and internal quotations omitted)</w:t>
      </w:r>
      <w:r w:rsidR="00E54BAB">
        <w:t xml:space="preserve">; </w:t>
      </w:r>
      <w:r w:rsidR="00E54BAB">
        <w:rPr>
          <w:u w:val="single"/>
        </w:rPr>
        <w:t>Sintra, Inc. v. City of Seattle</w:t>
      </w:r>
      <w:r w:rsidR="00E54BAB">
        <w:t>, 131 Wn.2d 640, 655 (1997)</w:t>
      </w:r>
      <w:r w:rsidRPr="002627C8">
        <w:t>.</w:t>
      </w:r>
    </w:p>
  </w:footnote>
  <w:footnote w:id="7">
    <w:p w:rsidR="0008783E" w:rsidRPr="002627C8" w:rsidRDefault="0008783E" w:rsidP="00E54BAB">
      <w:pPr>
        <w:pStyle w:val="FootnoteText"/>
        <w:ind w:left="720" w:hanging="720"/>
      </w:pPr>
      <w:r w:rsidRPr="00F30DC6">
        <w:rPr>
          <w:rStyle w:val="FootnoteReference"/>
          <w:u w:val="single"/>
        </w:rPr>
        <w:footnoteRef/>
      </w:r>
      <w:r w:rsidR="00F30DC6" w:rsidRPr="00F30DC6">
        <w:rPr>
          <w:vertAlign w:val="superscript"/>
        </w:rPr>
        <w:t>/</w:t>
      </w:r>
      <w:r w:rsidRPr="002627C8">
        <w:tab/>
      </w:r>
      <w:r w:rsidR="00E54BAB">
        <w:rPr>
          <w:u w:val="single"/>
        </w:rPr>
        <w:t>Wilson</w:t>
      </w:r>
      <w:r w:rsidR="00E54BAB">
        <w:t>, 6 Wn. App.</w:t>
      </w:r>
      <w:r w:rsidRPr="002627C8">
        <w:t xml:space="preserve"> at 449 n. 4 (citing L. Orgel, </w:t>
      </w:r>
      <w:r w:rsidRPr="002627C8">
        <w:rPr>
          <w:u w:val="single"/>
        </w:rPr>
        <w:t>Valuation Under the Law of Eminent Domain</w:t>
      </w:r>
      <w:r w:rsidRPr="002627C8">
        <w:t xml:space="preserve"> § 46, 222, 223 (2d ed. 1953)).</w:t>
      </w:r>
    </w:p>
  </w:footnote>
  <w:footnote w:id="8">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2627C8">
        <w:t xml:space="preserve"> </w:t>
      </w:r>
      <w:r w:rsidRPr="002627C8">
        <w:tab/>
        <w:t>ICNU Ex. No. __ (MPG-3) at 11.</w:t>
      </w:r>
    </w:p>
  </w:footnote>
  <w:footnote w:id="9">
    <w:p w:rsidR="0008783E" w:rsidRPr="002627C8" w:rsidRDefault="0008783E" w:rsidP="0008783E">
      <w:pPr>
        <w:pStyle w:val="FootnoteText"/>
        <w:ind w:left="720" w:hanging="720"/>
      </w:pPr>
      <w:r w:rsidRPr="00F30DC6">
        <w:rPr>
          <w:rStyle w:val="FootnoteReference"/>
          <w:u w:val="single"/>
        </w:rPr>
        <w:footnoteRef/>
      </w:r>
      <w:r w:rsidR="00F30DC6" w:rsidRPr="00F30DC6">
        <w:rPr>
          <w:vertAlign w:val="superscript"/>
        </w:rPr>
        <w:t>/</w:t>
      </w:r>
      <w:r w:rsidRPr="002627C8">
        <w:t xml:space="preserve"> </w:t>
      </w:r>
      <w:r w:rsidRPr="002627C8">
        <w:tab/>
      </w:r>
      <w:r w:rsidRPr="002627C8">
        <w:rPr>
          <w:u w:val="single"/>
        </w:rPr>
        <w:t>Democratic Cent. Comm. v. Wash. Met. Area Transit Comm’n</w:t>
      </w:r>
      <w:r w:rsidRPr="002627C8">
        <w:t>, 485 F.2d 786, 800 (1973) (emphasis added).</w:t>
      </w:r>
    </w:p>
  </w:footnote>
  <w:footnote w:id="10">
    <w:p w:rsidR="0008783E" w:rsidRPr="002627C8" w:rsidRDefault="0008783E" w:rsidP="0068620C">
      <w:pPr>
        <w:pStyle w:val="FootnoteText"/>
        <w:ind w:left="720" w:hanging="720"/>
      </w:pPr>
      <w:r w:rsidRPr="00F30DC6">
        <w:rPr>
          <w:rStyle w:val="FootnoteReference"/>
          <w:u w:val="single"/>
        </w:rPr>
        <w:footnoteRef/>
      </w:r>
      <w:r w:rsidR="00F30DC6" w:rsidRPr="00F30DC6">
        <w:rPr>
          <w:vertAlign w:val="superscript"/>
        </w:rPr>
        <w:t>/</w:t>
      </w:r>
      <w:r w:rsidRPr="002627C8">
        <w:t xml:space="preserve"> </w:t>
      </w:r>
      <w:r w:rsidRPr="002627C8">
        <w:tab/>
      </w:r>
      <w:r w:rsidRPr="002627C8">
        <w:rPr>
          <w:u w:val="single"/>
        </w:rPr>
        <w:t>Id.</w:t>
      </w:r>
      <w:r w:rsidRPr="002627C8">
        <w:t xml:space="preserve"> at 801.</w:t>
      </w:r>
      <w:r w:rsidR="009A1CEE">
        <w:t xml:space="preserve">  </w:t>
      </w:r>
    </w:p>
  </w:footnote>
  <w:footnote w:id="11">
    <w:p w:rsidR="009953D3" w:rsidRDefault="009953D3" w:rsidP="00167418">
      <w:pPr>
        <w:pStyle w:val="FootnoteText"/>
        <w:ind w:left="720" w:hanging="720"/>
      </w:pPr>
      <w:r w:rsidRPr="002B417A">
        <w:rPr>
          <w:rStyle w:val="FootnoteReference"/>
          <w:u w:val="single"/>
        </w:rPr>
        <w:footnoteRef/>
      </w:r>
      <w:r w:rsidR="002B417A" w:rsidRPr="002B417A">
        <w:rPr>
          <w:vertAlign w:val="superscript"/>
        </w:rPr>
        <w:t>/</w:t>
      </w:r>
      <w:r>
        <w:t xml:space="preserve"> </w:t>
      </w:r>
      <w:r>
        <w:tab/>
      </w:r>
      <w:r w:rsidR="00167418">
        <w:t xml:space="preserve">Indeed, both Washington and Federal courts determine “just compensation” based on the fair market value of the property.  </w:t>
      </w:r>
      <w:r>
        <w:rPr>
          <w:u w:val="single"/>
        </w:rPr>
        <w:t>Reynolds</w:t>
      </w:r>
      <w:r>
        <w:t xml:space="preserve">, 397 U.S. at 16; </w:t>
      </w:r>
      <w:r>
        <w:rPr>
          <w:u w:val="single"/>
        </w:rPr>
        <w:t>Wilson</w:t>
      </w:r>
      <w:r>
        <w:t xml:space="preserve">, 6 </w:t>
      </w:r>
      <w:proofErr w:type="spellStart"/>
      <w:r>
        <w:t>Wn</w:t>
      </w:r>
      <w:proofErr w:type="spellEnd"/>
      <w:r>
        <w:t>. App. at 447.  </w:t>
      </w:r>
    </w:p>
  </w:footnote>
  <w:footnote w:id="12">
    <w:p w:rsidR="009953D3" w:rsidRDefault="009953D3">
      <w:pPr>
        <w:pStyle w:val="FootnoteText"/>
      </w:pPr>
      <w:r w:rsidRPr="002B417A">
        <w:rPr>
          <w:rStyle w:val="FootnoteReference"/>
          <w:u w:val="single"/>
        </w:rPr>
        <w:footnoteRef/>
      </w:r>
      <w:r w:rsidR="002B417A" w:rsidRPr="002B417A">
        <w:rPr>
          <w:vertAlign w:val="superscript"/>
        </w:rPr>
        <w:t>/</w:t>
      </w:r>
      <w:r>
        <w:t xml:space="preserve"> </w:t>
      </w:r>
      <w:r>
        <w:tab/>
        <w:t xml:space="preserve">Docket No. UE-070725, Order 03 ¶ 39 n. 40 (May 20, 2010); </w:t>
      </w:r>
      <w:r>
        <w:rPr>
          <w:u w:val="single"/>
        </w:rPr>
        <w:t>Democratic Central</w:t>
      </w:r>
      <w:r>
        <w:t>, 485 F.2d at 800. </w:t>
      </w:r>
    </w:p>
  </w:footnote>
  <w:footnote w:id="13">
    <w:p w:rsidR="009953D3" w:rsidRDefault="009953D3" w:rsidP="009953D3">
      <w:pPr>
        <w:pStyle w:val="FootnoteText"/>
        <w:ind w:left="720" w:hanging="720"/>
      </w:pPr>
      <w:r w:rsidRPr="002B417A">
        <w:rPr>
          <w:rStyle w:val="FootnoteReference"/>
          <w:u w:val="single"/>
        </w:rPr>
        <w:footnoteRef/>
      </w:r>
      <w:r w:rsidR="002B417A" w:rsidRPr="002B417A">
        <w:rPr>
          <w:vertAlign w:val="superscript"/>
        </w:rPr>
        <w:t>/</w:t>
      </w:r>
      <w:r>
        <w:t xml:space="preserve"> </w:t>
      </w:r>
      <w:r>
        <w:tab/>
      </w:r>
      <w:r>
        <w:rPr>
          <w:u w:val="single"/>
        </w:rPr>
        <w:t>In re Ratemaking Treatment of Capital Gains from the Sale of a Public Utility Distribution System Serving an Area Annexed by a Municipality or Public Entity</w:t>
      </w:r>
      <w:r>
        <w:t xml:space="preserve">, </w:t>
      </w:r>
      <w:r w:rsidRPr="003E3943">
        <w:t xml:space="preserve">Cal. Pub. Util. </w:t>
      </w:r>
      <w:proofErr w:type="spellStart"/>
      <w:r w:rsidRPr="003E3943">
        <w:t>Comm’n</w:t>
      </w:r>
      <w:proofErr w:type="spellEnd"/>
      <w:r w:rsidRPr="003E3943">
        <w:t>, Dec. No. 89-07-016,</w:t>
      </w:r>
      <w:r>
        <w:t xml:space="preserve"> 104 P.U.R.4</w:t>
      </w:r>
      <w:r w:rsidRPr="00E44ED4">
        <w:t>th</w:t>
      </w:r>
      <w:r>
        <w:t xml:space="preserve"> 157 at *4 (July 6, 1989).</w:t>
      </w:r>
    </w:p>
  </w:footnote>
  <w:footnote w:id="14">
    <w:p w:rsidR="009A1CEE" w:rsidRDefault="009A1CEE">
      <w:pPr>
        <w:pStyle w:val="FootnoteText"/>
      </w:pPr>
      <w:r w:rsidRPr="006E4A5C">
        <w:rPr>
          <w:rStyle w:val="FootnoteReference"/>
          <w:u w:val="single"/>
        </w:rPr>
        <w:footnoteRef/>
      </w:r>
      <w:r w:rsidR="006E4A5C" w:rsidRPr="006E4A5C">
        <w:rPr>
          <w:vertAlign w:val="superscript"/>
        </w:rPr>
        <w:t>/</w:t>
      </w:r>
      <w:r>
        <w:t xml:space="preserve"> </w:t>
      </w:r>
      <w:r>
        <w:tab/>
      </w:r>
      <w:r w:rsidR="0068620C">
        <w:rPr>
          <w:u w:val="single"/>
        </w:rPr>
        <w:t>Reynolds</w:t>
      </w:r>
      <w:r w:rsidR="0068620C">
        <w:t xml:space="preserve">, 397 </w:t>
      </w:r>
      <w:r w:rsidR="00FE4E7F">
        <w:t xml:space="preserve"> </w:t>
      </w:r>
      <w:r w:rsidR="0068620C">
        <w:t xml:space="preserve"> at 16; </w:t>
      </w:r>
      <w:r w:rsidR="0068620C" w:rsidRPr="002627C8">
        <w:rPr>
          <w:u w:val="single"/>
        </w:rPr>
        <w:t>Wilson</w:t>
      </w:r>
      <w:r w:rsidR="0068620C" w:rsidRPr="002627C8">
        <w:t xml:space="preserve">, 6 Wn. App. </w:t>
      </w:r>
      <w:r w:rsidR="0068620C">
        <w:t>at</w:t>
      </w:r>
      <w:r w:rsidR="0068620C" w:rsidRPr="002627C8">
        <w:t xml:space="preserve"> 447</w:t>
      </w:r>
      <w:r w:rsidR="0068620C">
        <w:t>.</w:t>
      </w:r>
    </w:p>
  </w:footnote>
  <w:footnote w:id="15">
    <w:p w:rsidR="0008783E" w:rsidRPr="002627C8" w:rsidRDefault="0008783E" w:rsidP="0008783E">
      <w:pPr>
        <w:pStyle w:val="FootnoteText"/>
      </w:pPr>
      <w:r w:rsidRPr="00F30DC6">
        <w:rPr>
          <w:rStyle w:val="FootnoteReference"/>
          <w:u w:val="single"/>
        </w:rPr>
        <w:footnoteRef/>
      </w:r>
      <w:r w:rsidR="00F30DC6" w:rsidRPr="00F30DC6">
        <w:rPr>
          <w:vertAlign w:val="superscript"/>
        </w:rPr>
        <w:t>/</w:t>
      </w:r>
      <w:r w:rsidRPr="002627C8">
        <w:t xml:space="preserve"> </w:t>
      </w:r>
      <w:r w:rsidRPr="002627C8">
        <w:tab/>
        <w:t>Wash. Const. art. I § 16</w:t>
      </w:r>
      <w:r w:rsidR="00B647C9">
        <w:t xml:space="preserve"> (amend. 9)</w:t>
      </w:r>
      <w:r w:rsidRPr="002627C8">
        <w:t>.</w:t>
      </w:r>
    </w:p>
  </w:footnote>
  <w:footnote w:id="16">
    <w:p w:rsidR="0008783E" w:rsidRPr="00E54BAB" w:rsidRDefault="0008783E" w:rsidP="00E54BAB">
      <w:pPr>
        <w:pStyle w:val="FootnoteText"/>
        <w:ind w:left="720" w:hanging="720"/>
      </w:pPr>
      <w:r w:rsidRPr="00F30DC6">
        <w:rPr>
          <w:rStyle w:val="FootnoteReference"/>
          <w:u w:val="single"/>
        </w:rPr>
        <w:footnoteRef/>
      </w:r>
      <w:r w:rsidR="00F30DC6" w:rsidRPr="00F30DC6">
        <w:rPr>
          <w:vertAlign w:val="superscript"/>
        </w:rPr>
        <w:t>/</w:t>
      </w:r>
      <w:r w:rsidRPr="002627C8">
        <w:t xml:space="preserve"> </w:t>
      </w:r>
      <w:r w:rsidRPr="002627C8">
        <w:tab/>
      </w:r>
      <w:r w:rsidR="00E54BAB">
        <w:rPr>
          <w:u w:val="single"/>
        </w:rPr>
        <w:t>Sintra, Inc.</w:t>
      </w:r>
      <w:r w:rsidR="00E54BAB">
        <w:t>, 131 Wn.2d at 657 (“The amount of compensation necessary to satisfy the constitutional mandate is a matter for judicial determination”).</w:t>
      </w:r>
    </w:p>
  </w:footnote>
  <w:footnote w:id="17">
    <w:p w:rsidR="0008783E" w:rsidRPr="002627C8" w:rsidRDefault="0008783E" w:rsidP="0008783E">
      <w:pPr>
        <w:pStyle w:val="FootnoteText"/>
      </w:pPr>
      <w:r w:rsidRPr="003C5FEA">
        <w:rPr>
          <w:rStyle w:val="FootnoteReference"/>
          <w:u w:val="single"/>
        </w:rPr>
        <w:footnoteRef/>
      </w:r>
      <w:r w:rsidR="003C5FEA" w:rsidRPr="003C5FEA">
        <w:rPr>
          <w:vertAlign w:val="superscript"/>
        </w:rPr>
        <w:t>/</w:t>
      </w:r>
      <w:r w:rsidR="00B647C9">
        <w:t xml:space="preserve"> </w:t>
      </w:r>
      <w:r w:rsidR="00B647C9">
        <w:tab/>
        <w:t>PSE Ex. No. __ (SSO-5) at 1:13-14.</w:t>
      </w:r>
    </w:p>
  </w:footnote>
  <w:footnote w:id="18">
    <w:p w:rsidR="0008783E" w:rsidRPr="002627C8" w:rsidRDefault="0008783E" w:rsidP="0008783E">
      <w:pPr>
        <w:pStyle w:val="FootnoteText"/>
      </w:pPr>
      <w:r w:rsidRPr="003C5FEA">
        <w:rPr>
          <w:rStyle w:val="FootnoteReference"/>
          <w:u w:val="single"/>
        </w:rPr>
        <w:footnoteRef/>
      </w:r>
      <w:r w:rsidR="003C5FEA" w:rsidRPr="003C5FEA">
        <w:rPr>
          <w:vertAlign w:val="superscript"/>
        </w:rPr>
        <w:t>/</w:t>
      </w:r>
      <w:r w:rsidRPr="002627C8">
        <w:t xml:space="preserve"> </w:t>
      </w:r>
      <w:r w:rsidRPr="002627C8">
        <w:tab/>
        <w:t>PSE Br. ¶ 40.</w:t>
      </w:r>
    </w:p>
  </w:footnote>
  <w:footnote w:id="19">
    <w:p w:rsidR="0008783E" w:rsidRPr="002627C8" w:rsidRDefault="0008783E" w:rsidP="0008783E">
      <w:pPr>
        <w:pStyle w:val="FootnoteText"/>
      </w:pPr>
      <w:r w:rsidRPr="003C5FEA">
        <w:rPr>
          <w:rStyle w:val="FootnoteReference"/>
          <w:u w:val="single"/>
        </w:rPr>
        <w:footnoteRef/>
      </w:r>
      <w:r w:rsidR="003C5FEA" w:rsidRPr="003C5FEA">
        <w:rPr>
          <w:vertAlign w:val="superscript"/>
        </w:rPr>
        <w:t>/</w:t>
      </w:r>
      <w:r w:rsidRPr="002627C8">
        <w:t xml:space="preserve"> </w:t>
      </w:r>
      <w:r w:rsidRPr="002627C8">
        <w:tab/>
        <w:t>PSE Ex. No. __ (SSO-5) at 17:3-6.</w:t>
      </w:r>
    </w:p>
  </w:footnote>
  <w:footnote w:id="20">
    <w:p w:rsidR="0008783E" w:rsidRPr="002627C8" w:rsidRDefault="0008783E" w:rsidP="0008783E">
      <w:pPr>
        <w:pStyle w:val="FootnoteText"/>
      </w:pPr>
      <w:r w:rsidRPr="003C5FEA">
        <w:rPr>
          <w:rStyle w:val="FootnoteReference"/>
          <w:u w:val="single"/>
        </w:rPr>
        <w:footnoteRef/>
      </w:r>
      <w:r w:rsidR="003C5FEA" w:rsidRPr="003C5FEA">
        <w:rPr>
          <w:vertAlign w:val="superscript"/>
        </w:rPr>
        <w:t>/</w:t>
      </w:r>
      <w:r w:rsidRPr="002627C8">
        <w:t xml:space="preserve"> </w:t>
      </w:r>
      <w:r w:rsidRPr="002627C8">
        <w:tab/>
        <w:t>PSE Br. ¶ 44.</w:t>
      </w:r>
    </w:p>
  </w:footnote>
  <w:footnote w:id="21">
    <w:p w:rsidR="00E54BAB" w:rsidRDefault="00E54BAB">
      <w:pPr>
        <w:pStyle w:val="FootnoteText"/>
      </w:pPr>
      <w:r w:rsidRPr="006E4A5C">
        <w:rPr>
          <w:rStyle w:val="FootnoteReference"/>
          <w:u w:val="single"/>
        </w:rPr>
        <w:footnoteRef/>
      </w:r>
      <w:r w:rsidR="006E4A5C" w:rsidRPr="006E4A5C">
        <w:rPr>
          <w:vertAlign w:val="superscript"/>
        </w:rPr>
        <w:t>/</w:t>
      </w:r>
      <w:r>
        <w:t xml:space="preserve"> </w:t>
      </w:r>
      <w:r>
        <w:tab/>
      </w:r>
      <w:r w:rsidR="00257016">
        <w:t>ICNU Ex. No. __ (MPG-1T) at 15:8-13; Staff Ex. No. __ (EJK-1T) at 15:5-16:7.</w:t>
      </w:r>
    </w:p>
  </w:footnote>
  <w:footnote w:id="22">
    <w:p w:rsidR="0008783E" w:rsidRPr="00933AC7" w:rsidRDefault="0008783E" w:rsidP="0008783E">
      <w:pPr>
        <w:pStyle w:val="FootnoteText"/>
      </w:pPr>
      <w:r w:rsidRPr="003C5FEA">
        <w:rPr>
          <w:rStyle w:val="FootnoteReference"/>
          <w:u w:val="single"/>
        </w:rPr>
        <w:footnoteRef/>
      </w:r>
      <w:r w:rsidR="003C5FEA" w:rsidRPr="003C5FEA">
        <w:rPr>
          <w:vertAlign w:val="superscript"/>
        </w:rPr>
        <w:t>/</w:t>
      </w:r>
      <w:r w:rsidRPr="002627C8">
        <w:t xml:space="preserve"> </w:t>
      </w:r>
      <w:r w:rsidRPr="002627C8">
        <w:tab/>
      </w:r>
      <w:r w:rsidR="00933AC7">
        <w:t>PSE Br. ¶ 44.</w:t>
      </w:r>
    </w:p>
  </w:footnote>
  <w:footnote w:id="23">
    <w:p w:rsidR="0008783E" w:rsidRPr="002627C8" w:rsidRDefault="0008783E" w:rsidP="0008783E">
      <w:pPr>
        <w:pStyle w:val="FootnoteText"/>
        <w:rPr>
          <w:u w:val="single"/>
        </w:rPr>
      </w:pPr>
      <w:r w:rsidRPr="003C5FEA">
        <w:rPr>
          <w:rStyle w:val="FootnoteReference"/>
          <w:u w:val="single"/>
        </w:rPr>
        <w:footnoteRef/>
      </w:r>
      <w:r w:rsidR="003C5FEA" w:rsidRPr="003C5FEA">
        <w:rPr>
          <w:vertAlign w:val="superscript"/>
        </w:rPr>
        <w:t>/</w:t>
      </w:r>
      <w:r w:rsidRPr="002627C8">
        <w:t xml:space="preserve"> </w:t>
      </w:r>
      <w:r w:rsidRPr="002627C8">
        <w:tab/>
      </w:r>
      <w:r w:rsidRPr="002627C8">
        <w:rPr>
          <w:u w:val="single"/>
        </w:rPr>
        <w:t>Id.</w:t>
      </w:r>
    </w:p>
  </w:footnote>
  <w:footnote w:id="24">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t xml:space="preserve"> </w:t>
      </w:r>
      <w:r>
        <w:tab/>
        <w:t>PSE Ex. No. __ (SLL-1</w:t>
      </w:r>
      <w:r w:rsidR="00257016">
        <w:t>T</w:t>
      </w:r>
      <w:r>
        <w:t>) at 10:8-12</w:t>
      </w:r>
      <w:r w:rsidRPr="002627C8">
        <w:t>.</w:t>
      </w:r>
    </w:p>
  </w:footnote>
  <w:footnote w:id="25">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rsidRPr="002627C8">
        <w:t xml:space="preserve"> </w:t>
      </w:r>
      <w:r w:rsidRPr="002627C8">
        <w:tab/>
        <w:t>PSE Br. ¶ 4</w:t>
      </w:r>
      <w:r w:rsidR="00933AC7">
        <w:t>8</w:t>
      </w:r>
      <w:r w:rsidRPr="002627C8">
        <w:t>.</w:t>
      </w:r>
    </w:p>
  </w:footnote>
  <w:footnote w:id="26">
    <w:p w:rsidR="0008783E" w:rsidRPr="00933AC7" w:rsidRDefault="0008783E" w:rsidP="0008783E">
      <w:pPr>
        <w:pStyle w:val="FootnoteText"/>
      </w:pPr>
      <w:r w:rsidRPr="00B45FC8">
        <w:rPr>
          <w:rStyle w:val="FootnoteReference"/>
          <w:u w:val="single"/>
        </w:rPr>
        <w:footnoteRef/>
      </w:r>
      <w:r w:rsidR="00B45FC8" w:rsidRPr="00B45FC8">
        <w:rPr>
          <w:vertAlign w:val="superscript"/>
        </w:rPr>
        <w:t>/</w:t>
      </w:r>
      <w:r w:rsidRPr="002627C8">
        <w:t xml:space="preserve"> </w:t>
      </w:r>
      <w:r w:rsidRPr="002627C8">
        <w:tab/>
      </w:r>
      <w:r w:rsidRPr="002627C8">
        <w:rPr>
          <w:u w:val="single"/>
        </w:rPr>
        <w:t>Id.</w:t>
      </w:r>
      <w:r w:rsidR="00933AC7">
        <w:t xml:space="preserve"> ¶ 45.</w:t>
      </w:r>
    </w:p>
  </w:footnote>
  <w:footnote w:id="27">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t xml:space="preserve"> </w:t>
      </w:r>
      <w:r>
        <w:tab/>
        <w:t>Tr. 107:2-19; FAS 71.</w:t>
      </w:r>
    </w:p>
  </w:footnote>
  <w:footnote w:id="28">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rsidRPr="002627C8">
        <w:t xml:space="preserve"> </w:t>
      </w:r>
      <w:r w:rsidRPr="002627C8">
        <w:tab/>
        <w:t>Tr. 108:5-16.</w:t>
      </w:r>
    </w:p>
  </w:footnote>
  <w:footnote w:id="29">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rsidRPr="002627C8">
        <w:t xml:space="preserve"> </w:t>
      </w:r>
      <w:r w:rsidRPr="002627C8">
        <w:tab/>
        <w:t>Staff Br. ¶ 121.</w:t>
      </w:r>
    </w:p>
  </w:footnote>
  <w:footnote w:id="30">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rsidRPr="002627C8">
        <w:t xml:space="preserve"> </w:t>
      </w:r>
      <w:r w:rsidRPr="002627C8">
        <w:tab/>
      </w:r>
      <w:r w:rsidRPr="002627C8">
        <w:rPr>
          <w:u w:val="single"/>
        </w:rPr>
        <w:t>Id.</w:t>
      </w:r>
      <w:r w:rsidRPr="002627C8">
        <w:t xml:space="preserve"> ¶ 120.</w:t>
      </w:r>
    </w:p>
  </w:footnote>
  <w:footnote w:id="31">
    <w:p w:rsidR="0008783E" w:rsidRPr="002627C8" w:rsidRDefault="0008783E" w:rsidP="0008783E">
      <w:pPr>
        <w:pStyle w:val="FootnoteText"/>
      </w:pPr>
      <w:r w:rsidRPr="00B45FC8">
        <w:rPr>
          <w:rStyle w:val="FootnoteReference"/>
          <w:u w:val="single"/>
        </w:rPr>
        <w:footnoteRef/>
      </w:r>
      <w:r w:rsidR="00B45FC8" w:rsidRPr="00B45FC8">
        <w:rPr>
          <w:vertAlign w:val="superscript"/>
        </w:rPr>
        <w:t>/</w:t>
      </w:r>
      <w:r w:rsidRPr="00B45FC8">
        <w:rPr>
          <w:vertAlign w:val="superscript"/>
        </w:rPr>
        <w:t xml:space="preserve"> </w:t>
      </w:r>
      <w:r w:rsidRPr="002627C8">
        <w:tab/>
        <w:t>Tr. 210:1-8 (Gorman).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E69"/>
    <w:multiLevelType w:val="hybridMultilevel"/>
    <w:tmpl w:val="E59C3056"/>
    <w:lvl w:ilvl="0" w:tplc="14845D7A">
      <w:start w:val="1"/>
      <w:numFmt w:val="bullet"/>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BC453E"/>
    <w:multiLevelType w:val="hybridMultilevel"/>
    <w:tmpl w:val="25940BC2"/>
    <w:lvl w:ilvl="0" w:tplc="3D402DE6">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8B96FC3"/>
    <w:multiLevelType w:val="hybridMultilevel"/>
    <w:tmpl w:val="485C592A"/>
    <w:lvl w:ilvl="0" w:tplc="E6BA2C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5E5528B"/>
    <w:multiLevelType w:val="hybridMultilevel"/>
    <w:tmpl w:val="B2807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CB340E3"/>
    <w:multiLevelType w:val="hybridMultilevel"/>
    <w:tmpl w:val="5ACA7A3C"/>
    <w:lvl w:ilvl="0" w:tplc="0AF2621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B92C88"/>
    <w:multiLevelType w:val="hybridMultilevel"/>
    <w:tmpl w:val="B16CF256"/>
    <w:lvl w:ilvl="0" w:tplc="BD6A2820">
      <w:start w:val="1"/>
      <w:numFmt w:val="decimal"/>
      <w:lvlText w:val="%1."/>
      <w:lvlJc w:val="left"/>
      <w:pPr>
        <w:ind w:left="2160" w:hanging="81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ED0D27"/>
    <w:multiLevelType w:val="hybridMultilevel"/>
    <w:tmpl w:val="86EC79C2"/>
    <w:lvl w:ilvl="0" w:tplc="7BD2BE7E">
      <w:start w:val="1"/>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8">
    <w:nsid w:val="74565773"/>
    <w:multiLevelType w:val="hybridMultilevel"/>
    <w:tmpl w:val="23F26B16"/>
    <w:lvl w:ilvl="0" w:tplc="26A4DD6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85520D8"/>
    <w:multiLevelType w:val="hybridMultilevel"/>
    <w:tmpl w:val="6B4472A2"/>
    <w:lvl w:ilvl="0" w:tplc="738899D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9"/>
  </w:num>
  <w:num w:numId="8">
    <w:abstractNumId w:val="8"/>
  </w:num>
  <w:num w:numId="9">
    <w:abstractNumId w:val="6"/>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8"/>
    <w:rsid w:val="000015B0"/>
    <w:rsid w:val="00002B18"/>
    <w:rsid w:val="000220D6"/>
    <w:rsid w:val="00023A29"/>
    <w:rsid w:val="00027474"/>
    <w:rsid w:val="00027FF4"/>
    <w:rsid w:val="00037C88"/>
    <w:rsid w:val="00041527"/>
    <w:rsid w:val="00047124"/>
    <w:rsid w:val="00053955"/>
    <w:rsid w:val="00054B2F"/>
    <w:rsid w:val="0008783E"/>
    <w:rsid w:val="000925B8"/>
    <w:rsid w:val="000975D9"/>
    <w:rsid w:val="00097CBD"/>
    <w:rsid w:val="000B362D"/>
    <w:rsid w:val="000C0284"/>
    <w:rsid w:val="001116C0"/>
    <w:rsid w:val="0011460D"/>
    <w:rsid w:val="0011617D"/>
    <w:rsid w:val="00120C12"/>
    <w:rsid w:val="00120D36"/>
    <w:rsid w:val="0012622C"/>
    <w:rsid w:val="00127FAC"/>
    <w:rsid w:val="0014120A"/>
    <w:rsid w:val="00142B92"/>
    <w:rsid w:val="00151963"/>
    <w:rsid w:val="00160503"/>
    <w:rsid w:val="0016661B"/>
    <w:rsid w:val="00167418"/>
    <w:rsid w:val="00191D55"/>
    <w:rsid w:val="001A2E74"/>
    <w:rsid w:val="001C4367"/>
    <w:rsid w:val="001F4D9C"/>
    <w:rsid w:val="00200C33"/>
    <w:rsid w:val="00207C46"/>
    <w:rsid w:val="00212167"/>
    <w:rsid w:val="002165EC"/>
    <w:rsid w:val="00223BF7"/>
    <w:rsid w:val="00224687"/>
    <w:rsid w:val="00233F9C"/>
    <w:rsid w:val="002374F7"/>
    <w:rsid w:val="00257016"/>
    <w:rsid w:val="00264D1B"/>
    <w:rsid w:val="002656B3"/>
    <w:rsid w:val="00281C31"/>
    <w:rsid w:val="00290899"/>
    <w:rsid w:val="00290DEA"/>
    <w:rsid w:val="00294B3C"/>
    <w:rsid w:val="00297A59"/>
    <w:rsid w:val="002B0E42"/>
    <w:rsid w:val="002B417A"/>
    <w:rsid w:val="002C0273"/>
    <w:rsid w:val="002C36E1"/>
    <w:rsid w:val="002C7291"/>
    <w:rsid w:val="002D09CF"/>
    <w:rsid w:val="002E5F00"/>
    <w:rsid w:val="003277DD"/>
    <w:rsid w:val="00332D03"/>
    <w:rsid w:val="003359B4"/>
    <w:rsid w:val="00335F98"/>
    <w:rsid w:val="00354967"/>
    <w:rsid w:val="00367D4A"/>
    <w:rsid w:val="00373434"/>
    <w:rsid w:val="00384730"/>
    <w:rsid w:val="00385D77"/>
    <w:rsid w:val="003A26AF"/>
    <w:rsid w:val="003A675C"/>
    <w:rsid w:val="003A6FAE"/>
    <w:rsid w:val="003B0184"/>
    <w:rsid w:val="003C1102"/>
    <w:rsid w:val="003C44DC"/>
    <w:rsid w:val="003C4F38"/>
    <w:rsid w:val="003C5FEA"/>
    <w:rsid w:val="003C6A9E"/>
    <w:rsid w:val="003C6D5A"/>
    <w:rsid w:val="003D374D"/>
    <w:rsid w:val="003E32DE"/>
    <w:rsid w:val="003E3943"/>
    <w:rsid w:val="003E67A8"/>
    <w:rsid w:val="003E722D"/>
    <w:rsid w:val="003F2A44"/>
    <w:rsid w:val="00400038"/>
    <w:rsid w:val="0040131A"/>
    <w:rsid w:val="00402140"/>
    <w:rsid w:val="00414B98"/>
    <w:rsid w:val="00416804"/>
    <w:rsid w:val="00422965"/>
    <w:rsid w:val="00423359"/>
    <w:rsid w:val="00441030"/>
    <w:rsid w:val="0044629B"/>
    <w:rsid w:val="00453A81"/>
    <w:rsid w:val="004C4BD5"/>
    <w:rsid w:val="004C4C00"/>
    <w:rsid w:val="004D137A"/>
    <w:rsid w:val="004E3454"/>
    <w:rsid w:val="004E7CDA"/>
    <w:rsid w:val="004F4544"/>
    <w:rsid w:val="00502A33"/>
    <w:rsid w:val="00514BA0"/>
    <w:rsid w:val="005256F0"/>
    <w:rsid w:val="00540C0B"/>
    <w:rsid w:val="005437BD"/>
    <w:rsid w:val="00550030"/>
    <w:rsid w:val="00561E6C"/>
    <w:rsid w:val="005674AC"/>
    <w:rsid w:val="00567A4F"/>
    <w:rsid w:val="00570413"/>
    <w:rsid w:val="00575748"/>
    <w:rsid w:val="00577F47"/>
    <w:rsid w:val="0059266E"/>
    <w:rsid w:val="00594387"/>
    <w:rsid w:val="005A1004"/>
    <w:rsid w:val="005A700B"/>
    <w:rsid w:val="005B5CC1"/>
    <w:rsid w:val="005E2644"/>
    <w:rsid w:val="005E2703"/>
    <w:rsid w:val="005E47D0"/>
    <w:rsid w:val="005E4BC1"/>
    <w:rsid w:val="005E6F51"/>
    <w:rsid w:val="00637123"/>
    <w:rsid w:val="00644800"/>
    <w:rsid w:val="00651EC7"/>
    <w:rsid w:val="00676EF2"/>
    <w:rsid w:val="00682AB4"/>
    <w:rsid w:val="0068620C"/>
    <w:rsid w:val="006A45A0"/>
    <w:rsid w:val="006A584A"/>
    <w:rsid w:val="006B3EE3"/>
    <w:rsid w:val="006C5248"/>
    <w:rsid w:val="006C575F"/>
    <w:rsid w:val="006C5AD1"/>
    <w:rsid w:val="006D2E37"/>
    <w:rsid w:val="006E20C9"/>
    <w:rsid w:val="006E4736"/>
    <w:rsid w:val="006E4A5C"/>
    <w:rsid w:val="00700750"/>
    <w:rsid w:val="00702566"/>
    <w:rsid w:val="0070698D"/>
    <w:rsid w:val="007219B5"/>
    <w:rsid w:val="007222E5"/>
    <w:rsid w:val="00726A20"/>
    <w:rsid w:val="00753AFE"/>
    <w:rsid w:val="00754831"/>
    <w:rsid w:val="00761379"/>
    <w:rsid w:val="0076432E"/>
    <w:rsid w:val="00770993"/>
    <w:rsid w:val="00776B7E"/>
    <w:rsid w:val="007A5B78"/>
    <w:rsid w:val="007A6F96"/>
    <w:rsid w:val="007B29A3"/>
    <w:rsid w:val="007E1799"/>
    <w:rsid w:val="008005DC"/>
    <w:rsid w:val="00805D53"/>
    <w:rsid w:val="00837124"/>
    <w:rsid w:val="00842D9B"/>
    <w:rsid w:val="00843008"/>
    <w:rsid w:val="00861932"/>
    <w:rsid w:val="00882D7A"/>
    <w:rsid w:val="00896047"/>
    <w:rsid w:val="00896DF9"/>
    <w:rsid w:val="008A2DAF"/>
    <w:rsid w:val="008B4663"/>
    <w:rsid w:val="008C065C"/>
    <w:rsid w:val="008D7FE9"/>
    <w:rsid w:val="008E6D64"/>
    <w:rsid w:val="00906B1C"/>
    <w:rsid w:val="0091058E"/>
    <w:rsid w:val="00911CD9"/>
    <w:rsid w:val="009131D9"/>
    <w:rsid w:val="0092798A"/>
    <w:rsid w:val="00933AC7"/>
    <w:rsid w:val="00942BAF"/>
    <w:rsid w:val="00942EB4"/>
    <w:rsid w:val="009804CD"/>
    <w:rsid w:val="009953D3"/>
    <w:rsid w:val="009A1CEE"/>
    <w:rsid w:val="009A24EE"/>
    <w:rsid w:val="009B5B0E"/>
    <w:rsid w:val="009D6478"/>
    <w:rsid w:val="009E15EC"/>
    <w:rsid w:val="00A00985"/>
    <w:rsid w:val="00A03887"/>
    <w:rsid w:val="00A3302B"/>
    <w:rsid w:val="00A4680B"/>
    <w:rsid w:val="00A46C86"/>
    <w:rsid w:val="00A62A88"/>
    <w:rsid w:val="00A94034"/>
    <w:rsid w:val="00AA1FD8"/>
    <w:rsid w:val="00AB34F5"/>
    <w:rsid w:val="00AB549F"/>
    <w:rsid w:val="00AE2A4C"/>
    <w:rsid w:val="00AF31E7"/>
    <w:rsid w:val="00AF7908"/>
    <w:rsid w:val="00B018D0"/>
    <w:rsid w:val="00B05B55"/>
    <w:rsid w:val="00B0638F"/>
    <w:rsid w:val="00B324F8"/>
    <w:rsid w:val="00B32848"/>
    <w:rsid w:val="00B36C7D"/>
    <w:rsid w:val="00B45FC8"/>
    <w:rsid w:val="00B647C9"/>
    <w:rsid w:val="00B65522"/>
    <w:rsid w:val="00B67E6F"/>
    <w:rsid w:val="00BB5F9E"/>
    <w:rsid w:val="00BB78DB"/>
    <w:rsid w:val="00BC6468"/>
    <w:rsid w:val="00C04414"/>
    <w:rsid w:val="00C10AAF"/>
    <w:rsid w:val="00C40A4C"/>
    <w:rsid w:val="00C61001"/>
    <w:rsid w:val="00C64C97"/>
    <w:rsid w:val="00C909D9"/>
    <w:rsid w:val="00CA12CA"/>
    <w:rsid w:val="00CD6810"/>
    <w:rsid w:val="00D37E65"/>
    <w:rsid w:val="00D37EC2"/>
    <w:rsid w:val="00D431C6"/>
    <w:rsid w:val="00D45D34"/>
    <w:rsid w:val="00D4752B"/>
    <w:rsid w:val="00D8063D"/>
    <w:rsid w:val="00D80F93"/>
    <w:rsid w:val="00D95529"/>
    <w:rsid w:val="00DA16B2"/>
    <w:rsid w:val="00DA2808"/>
    <w:rsid w:val="00DC1642"/>
    <w:rsid w:val="00DD297F"/>
    <w:rsid w:val="00DD7D3A"/>
    <w:rsid w:val="00DE0A39"/>
    <w:rsid w:val="00DE42D0"/>
    <w:rsid w:val="00DE61DB"/>
    <w:rsid w:val="00DF1A2A"/>
    <w:rsid w:val="00DF47A8"/>
    <w:rsid w:val="00DF738E"/>
    <w:rsid w:val="00DF75B5"/>
    <w:rsid w:val="00DF7F6F"/>
    <w:rsid w:val="00E00996"/>
    <w:rsid w:val="00E13CC2"/>
    <w:rsid w:val="00E26F5B"/>
    <w:rsid w:val="00E3183D"/>
    <w:rsid w:val="00E35620"/>
    <w:rsid w:val="00E37DA8"/>
    <w:rsid w:val="00E44ED4"/>
    <w:rsid w:val="00E53C88"/>
    <w:rsid w:val="00E54BAB"/>
    <w:rsid w:val="00E64C9D"/>
    <w:rsid w:val="00E7307E"/>
    <w:rsid w:val="00E93873"/>
    <w:rsid w:val="00E9579E"/>
    <w:rsid w:val="00EB3320"/>
    <w:rsid w:val="00EC1060"/>
    <w:rsid w:val="00ED2EA1"/>
    <w:rsid w:val="00ED3878"/>
    <w:rsid w:val="00EE0C27"/>
    <w:rsid w:val="00EE1599"/>
    <w:rsid w:val="00EF0151"/>
    <w:rsid w:val="00F30DC6"/>
    <w:rsid w:val="00F33260"/>
    <w:rsid w:val="00F367F8"/>
    <w:rsid w:val="00F4656A"/>
    <w:rsid w:val="00F561E8"/>
    <w:rsid w:val="00F6551E"/>
    <w:rsid w:val="00F82213"/>
    <w:rsid w:val="00F87C19"/>
    <w:rsid w:val="00F91812"/>
    <w:rsid w:val="00FA6437"/>
    <w:rsid w:val="00FC48A8"/>
    <w:rsid w:val="00FD1115"/>
    <w:rsid w:val="00FE11BC"/>
    <w:rsid w:val="00FE4E7F"/>
    <w:rsid w:val="00FE5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8"/>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AA1FD8"/>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D8"/>
    <w:rPr>
      <w:rFonts w:ascii="Times New Roman" w:eastAsia="Times New Roman" w:hAnsi="Times New Roman" w:cs="Times New Roman"/>
      <w:b/>
      <w:snapToGrid w:val="0"/>
      <w:sz w:val="28"/>
      <w:szCs w:val="20"/>
      <w:lang w:val="x-none" w:eastAsia="x-none"/>
    </w:rPr>
  </w:style>
  <w:style w:type="paragraph" w:styleId="Footer">
    <w:name w:val="footer"/>
    <w:basedOn w:val="Normal"/>
    <w:link w:val="FooterChar"/>
    <w:uiPriority w:val="99"/>
    <w:rsid w:val="00AA1FD8"/>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AA1FD8"/>
    <w:rPr>
      <w:rFonts w:ascii="Times New Roman" w:eastAsia="Times New Roman" w:hAnsi="Times New Roman" w:cs="Times New Roman"/>
      <w:snapToGrid w:val="0"/>
      <w:sz w:val="24"/>
      <w:szCs w:val="20"/>
      <w:lang w:val="x-none" w:eastAsia="x-none"/>
    </w:rPr>
  </w:style>
  <w:style w:type="paragraph" w:styleId="Header">
    <w:name w:val="header"/>
    <w:basedOn w:val="Normal"/>
    <w:link w:val="HeaderChar"/>
    <w:uiPriority w:val="99"/>
    <w:rsid w:val="00AA1FD8"/>
    <w:pPr>
      <w:tabs>
        <w:tab w:val="center" w:pos="4320"/>
        <w:tab w:val="right" w:pos="8640"/>
      </w:tabs>
    </w:pPr>
    <w:rPr>
      <w:color w:val="auto"/>
      <w:sz w:val="20"/>
    </w:rPr>
  </w:style>
  <w:style w:type="character" w:customStyle="1" w:styleId="HeaderChar">
    <w:name w:val="Header Char"/>
    <w:basedOn w:val="DefaultParagraphFont"/>
    <w:link w:val="Header"/>
    <w:uiPriority w:val="99"/>
    <w:rsid w:val="00AA1FD8"/>
    <w:rPr>
      <w:rFonts w:ascii="Times New Roman" w:eastAsia="Times New Roman" w:hAnsi="Times New Roman" w:cs="Times New Roman"/>
      <w:sz w:val="20"/>
      <w:szCs w:val="20"/>
    </w:rPr>
  </w:style>
  <w:style w:type="paragraph" w:customStyle="1" w:styleId="SingleSpacing">
    <w:name w:val="Single Spacing"/>
    <w:basedOn w:val="Normal"/>
    <w:rsid w:val="00AA1FD8"/>
    <w:pPr>
      <w:spacing w:line="254" w:lineRule="exact"/>
    </w:pPr>
    <w:rPr>
      <w:color w:val="auto"/>
    </w:rPr>
  </w:style>
  <w:style w:type="paragraph" w:styleId="BodyText2">
    <w:name w:val="Body Text 2"/>
    <w:basedOn w:val="Normal"/>
    <w:link w:val="BodyText2Char"/>
    <w:rsid w:val="00AA1FD8"/>
    <w:rPr>
      <w:color w:val="auto"/>
    </w:rPr>
  </w:style>
  <w:style w:type="character" w:customStyle="1" w:styleId="BodyText2Char">
    <w:name w:val="Body Text 2 Char"/>
    <w:basedOn w:val="DefaultParagraphFont"/>
    <w:link w:val="BodyText2"/>
    <w:rsid w:val="00AA1FD8"/>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00996"/>
    <w:rPr>
      <w:sz w:val="20"/>
    </w:rPr>
  </w:style>
  <w:style w:type="character" w:customStyle="1" w:styleId="FootnoteTextChar">
    <w:name w:val="Footnote Text Char"/>
    <w:basedOn w:val="DefaultParagraphFont"/>
    <w:link w:val="FootnoteText"/>
    <w:uiPriority w:val="99"/>
    <w:semiHidden/>
    <w:rsid w:val="00E0099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00996"/>
    <w:rPr>
      <w:vertAlign w:val="superscript"/>
    </w:rPr>
  </w:style>
  <w:style w:type="paragraph" w:styleId="ListParagraph">
    <w:name w:val="List Paragraph"/>
    <w:basedOn w:val="Normal"/>
    <w:uiPriority w:val="34"/>
    <w:qFormat/>
    <w:rsid w:val="00D37E65"/>
    <w:pPr>
      <w:ind w:left="720"/>
      <w:contextualSpacing/>
    </w:pPr>
  </w:style>
  <w:style w:type="paragraph" w:styleId="BalloonText">
    <w:name w:val="Balloon Text"/>
    <w:basedOn w:val="Normal"/>
    <w:link w:val="BalloonTextChar"/>
    <w:uiPriority w:val="99"/>
    <w:semiHidden/>
    <w:unhideWhenUsed/>
    <w:rsid w:val="003A6FAE"/>
    <w:rPr>
      <w:rFonts w:ascii="Tahoma" w:hAnsi="Tahoma" w:cs="Tahoma"/>
      <w:sz w:val="16"/>
      <w:szCs w:val="16"/>
    </w:rPr>
  </w:style>
  <w:style w:type="character" w:customStyle="1" w:styleId="BalloonTextChar">
    <w:name w:val="Balloon Text Char"/>
    <w:basedOn w:val="DefaultParagraphFont"/>
    <w:link w:val="BalloonText"/>
    <w:uiPriority w:val="99"/>
    <w:semiHidden/>
    <w:rsid w:val="003A6FAE"/>
    <w:rPr>
      <w:rFonts w:ascii="Tahoma" w:eastAsia="Times New Roman" w:hAnsi="Tahoma" w:cs="Tahoma"/>
      <w:color w:val="000000"/>
      <w:sz w:val="16"/>
      <w:szCs w:val="16"/>
    </w:rPr>
  </w:style>
  <w:style w:type="paragraph" w:styleId="TOCHeading">
    <w:name w:val="TOC Heading"/>
    <w:basedOn w:val="Normal"/>
    <w:uiPriority w:val="39"/>
    <w:qFormat/>
    <w:rsid w:val="00416804"/>
    <w:pPr>
      <w:spacing w:after="240"/>
      <w:jc w:val="center"/>
    </w:pPr>
    <w:rPr>
      <w:b/>
      <w:color w:val="auto"/>
      <w:szCs w:val="24"/>
    </w:rPr>
  </w:style>
  <w:style w:type="paragraph" w:customStyle="1" w:styleId="BATOAEntry">
    <w:name w:val="BA TOA Entry"/>
    <w:basedOn w:val="Normal"/>
    <w:link w:val="BATOAEntryChar"/>
    <w:uiPriority w:val="99"/>
    <w:rsid w:val="0041680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16804"/>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416804"/>
    <w:pPr>
      <w:spacing w:after="120"/>
      <w:ind w:left="360"/>
    </w:pPr>
  </w:style>
  <w:style w:type="character" w:customStyle="1" w:styleId="BodyTextIndentChar">
    <w:name w:val="Body Text Indent Char"/>
    <w:basedOn w:val="DefaultParagraphFont"/>
    <w:link w:val="BodyTextIndent"/>
    <w:rsid w:val="00416804"/>
    <w:rPr>
      <w:rFonts w:ascii="Times New Roman" w:eastAsia="Times New Roman" w:hAnsi="Times New Roman" w:cs="Times New Roman"/>
      <w:color w:val="000000"/>
      <w:sz w:val="24"/>
      <w:szCs w:val="20"/>
    </w:rPr>
  </w:style>
  <w:style w:type="paragraph" w:customStyle="1" w:styleId="WUTCParagraph">
    <w:name w:val="WUTC Paragraph"/>
    <w:basedOn w:val="Normal"/>
    <w:rsid w:val="009E15EC"/>
    <w:pPr>
      <w:numPr>
        <w:numId w:val="10"/>
      </w:numPr>
      <w:tabs>
        <w:tab w:val="left" w:pos="1440"/>
      </w:tabs>
      <w:spacing w:line="480" w:lineRule="auto"/>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D8"/>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AA1FD8"/>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D8"/>
    <w:rPr>
      <w:rFonts w:ascii="Times New Roman" w:eastAsia="Times New Roman" w:hAnsi="Times New Roman" w:cs="Times New Roman"/>
      <w:b/>
      <w:snapToGrid w:val="0"/>
      <w:sz w:val="28"/>
      <w:szCs w:val="20"/>
      <w:lang w:val="x-none" w:eastAsia="x-none"/>
    </w:rPr>
  </w:style>
  <w:style w:type="paragraph" w:styleId="Footer">
    <w:name w:val="footer"/>
    <w:basedOn w:val="Normal"/>
    <w:link w:val="FooterChar"/>
    <w:uiPriority w:val="99"/>
    <w:rsid w:val="00AA1FD8"/>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AA1FD8"/>
    <w:rPr>
      <w:rFonts w:ascii="Times New Roman" w:eastAsia="Times New Roman" w:hAnsi="Times New Roman" w:cs="Times New Roman"/>
      <w:snapToGrid w:val="0"/>
      <w:sz w:val="24"/>
      <w:szCs w:val="20"/>
      <w:lang w:val="x-none" w:eastAsia="x-none"/>
    </w:rPr>
  </w:style>
  <w:style w:type="paragraph" w:styleId="Header">
    <w:name w:val="header"/>
    <w:basedOn w:val="Normal"/>
    <w:link w:val="HeaderChar"/>
    <w:uiPriority w:val="99"/>
    <w:rsid w:val="00AA1FD8"/>
    <w:pPr>
      <w:tabs>
        <w:tab w:val="center" w:pos="4320"/>
        <w:tab w:val="right" w:pos="8640"/>
      </w:tabs>
    </w:pPr>
    <w:rPr>
      <w:color w:val="auto"/>
      <w:sz w:val="20"/>
    </w:rPr>
  </w:style>
  <w:style w:type="character" w:customStyle="1" w:styleId="HeaderChar">
    <w:name w:val="Header Char"/>
    <w:basedOn w:val="DefaultParagraphFont"/>
    <w:link w:val="Header"/>
    <w:uiPriority w:val="99"/>
    <w:rsid w:val="00AA1FD8"/>
    <w:rPr>
      <w:rFonts w:ascii="Times New Roman" w:eastAsia="Times New Roman" w:hAnsi="Times New Roman" w:cs="Times New Roman"/>
      <w:sz w:val="20"/>
      <w:szCs w:val="20"/>
    </w:rPr>
  </w:style>
  <w:style w:type="paragraph" w:customStyle="1" w:styleId="SingleSpacing">
    <w:name w:val="Single Spacing"/>
    <w:basedOn w:val="Normal"/>
    <w:rsid w:val="00AA1FD8"/>
    <w:pPr>
      <w:spacing w:line="254" w:lineRule="exact"/>
    </w:pPr>
    <w:rPr>
      <w:color w:val="auto"/>
    </w:rPr>
  </w:style>
  <w:style w:type="paragraph" w:styleId="BodyText2">
    <w:name w:val="Body Text 2"/>
    <w:basedOn w:val="Normal"/>
    <w:link w:val="BodyText2Char"/>
    <w:rsid w:val="00AA1FD8"/>
    <w:rPr>
      <w:color w:val="auto"/>
    </w:rPr>
  </w:style>
  <w:style w:type="character" w:customStyle="1" w:styleId="BodyText2Char">
    <w:name w:val="Body Text 2 Char"/>
    <w:basedOn w:val="DefaultParagraphFont"/>
    <w:link w:val="BodyText2"/>
    <w:rsid w:val="00AA1FD8"/>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00996"/>
    <w:rPr>
      <w:sz w:val="20"/>
    </w:rPr>
  </w:style>
  <w:style w:type="character" w:customStyle="1" w:styleId="FootnoteTextChar">
    <w:name w:val="Footnote Text Char"/>
    <w:basedOn w:val="DefaultParagraphFont"/>
    <w:link w:val="FootnoteText"/>
    <w:uiPriority w:val="99"/>
    <w:semiHidden/>
    <w:rsid w:val="00E0099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00996"/>
    <w:rPr>
      <w:vertAlign w:val="superscript"/>
    </w:rPr>
  </w:style>
  <w:style w:type="paragraph" w:styleId="ListParagraph">
    <w:name w:val="List Paragraph"/>
    <w:basedOn w:val="Normal"/>
    <w:uiPriority w:val="34"/>
    <w:qFormat/>
    <w:rsid w:val="00D37E65"/>
    <w:pPr>
      <w:ind w:left="720"/>
      <w:contextualSpacing/>
    </w:pPr>
  </w:style>
  <w:style w:type="paragraph" w:styleId="BalloonText">
    <w:name w:val="Balloon Text"/>
    <w:basedOn w:val="Normal"/>
    <w:link w:val="BalloonTextChar"/>
    <w:uiPriority w:val="99"/>
    <w:semiHidden/>
    <w:unhideWhenUsed/>
    <w:rsid w:val="003A6FAE"/>
    <w:rPr>
      <w:rFonts w:ascii="Tahoma" w:hAnsi="Tahoma" w:cs="Tahoma"/>
      <w:sz w:val="16"/>
      <w:szCs w:val="16"/>
    </w:rPr>
  </w:style>
  <w:style w:type="character" w:customStyle="1" w:styleId="BalloonTextChar">
    <w:name w:val="Balloon Text Char"/>
    <w:basedOn w:val="DefaultParagraphFont"/>
    <w:link w:val="BalloonText"/>
    <w:uiPriority w:val="99"/>
    <w:semiHidden/>
    <w:rsid w:val="003A6FAE"/>
    <w:rPr>
      <w:rFonts w:ascii="Tahoma" w:eastAsia="Times New Roman" w:hAnsi="Tahoma" w:cs="Tahoma"/>
      <w:color w:val="000000"/>
      <w:sz w:val="16"/>
      <w:szCs w:val="16"/>
    </w:rPr>
  </w:style>
  <w:style w:type="paragraph" w:styleId="TOCHeading">
    <w:name w:val="TOC Heading"/>
    <w:basedOn w:val="Normal"/>
    <w:uiPriority w:val="39"/>
    <w:qFormat/>
    <w:rsid w:val="00416804"/>
    <w:pPr>
      <w:spacing w:after="240"/>
      <w:jc w:val="center"/>
    </w:pPr>
    <w:rPr>
      <w:b/>
      <w:color w:val="auto"/>
      <w:szCs w:val="24"/>
    </w:rPr>
  </w:style>
  <w:style w:type="paragraph" w:customStyle="1" w:styleId="BATOAEntry">
    <w:name w:val="BA TOA Entry"/>
    <w:basedOn w:val="Normal"/>
    <w:link w:val="BATOAEntryChar"/>
    <w:uiPriority w:val="99"/>
    <w:rsid w:val="0041680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16804"/>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416804"/>
    <w:pPr>
      <w:spacing w:after="120"/>
      <w:ind w:left="360"/>
    </w:pPr>
  </w:style>
  <w:style w:type="character" w:customStyle="1" w:styleId="BodyTextIndentChar">
    <w:name w:val="Body Text Indent Char"/>
    <w:basedOn w:val="DefaultParagraphFont"/>
    <w:link w:val="BodyTextIndent"/>
    <w:rsid w:val="00416804"/>
    <w:rPr>
      <w:rFonts w:ascii="Times New Roman" w:eastAsia="Times New Roman" w:hAnsi="Times New Roman" w:cs="Times New Roman"/>
      <w:color w:val="000000"/>
      <w:sz w:val="24"/>
      <w:szCs w:val="20"/>
    </w:rPr>
  </w:style>
  <w:style w:type="paragraph" w:customStyle="1" w:styleId="WUTCParagraph">
    <w:name w:val="WUTC Paragraph"/>
    <w:basedOn w:val="Normal"/>
    <w:rsid w:val="009E15EC"/>
    <w:pPr>
      <w:numPr>
        <w:numId w:val="10"/>
      </w:numPr>
      <w:tabs>
        <w:tab w:val="left" w:pos="1440"/>
      </w:tabs>
      <w:spacing w:line="480" w:lineRule="auto"/>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064947-6BD1-40E6-8253-F45A2015AC27}"/>
</file>

<file path=customXml/itemProps2.xml><?xml version="1.0" encoding="utf-8"?>
<ds:datastoreItem xmlns:ds="http://schemas.openxmlformats.org/officeDocument/2006/customXml" ds:itemID="{998ECBD5-F953-4BAB-89A6-AC83B300CDF5}"/>
</file>

<file path=customXml/itemProps3.xml><?xml version="1.0" encoding="utf-8"?>
<ds:datastoreItem xmlns:ds="http://schemas.openxmlformats.org/officeDocument/2006/customXml" ds:itemID="{6EC0F202-CF25-4243-B1B8-960FEFA1012C}"/>
</file>

<file path=customXml/itemProps4.xml><?xml version="1.0" encoding="utf-8"?>
<ds:datastoreItem xmlns:ds="http://schemas.openxmlformats.org/officeDocument/2006/customXml" ds:itemID="{8059CC30-ABC6-41D5-AABE-5A4B73BDB920}"/>
</file>

<file path=customXml/itemProps5.xml><?xml version="1.0" encoding="utf-8"?>
<ds:datastoreItem xmlns:ds="http://schemas.openxmlformats.org/officeDocument/2006/customXml" ds:itemID="{C1AB502F-89F0-42DA-9542-B82798AECF02}"/>
</file>

<file path=docProps/app.xml><?xml version="1.0" encoding="utf-8"?>
<Properties xmlns="http://schemas.openxmlformats.org/officeDocument/2006/extended-properties" xmlns:vt="http://schemas.openxmlformats.org/officeDocument/2006/docPropsVTypes">
  <Template>Normal</Template>
  <TotalTime>1947</TotalTime>
  <Pages>12</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97</cp:revision>
  <cp:lastPrinted>2014-06-17T16:11:00Z</cp:lastPrinted>
  <dcterms:created xsi:type="dcterms:W3CDTF">2014-06-02T18:45:00Z</dcterms:created>
  <dcterms:modified xsi:type="dcterms:W3CDTF">2014-06-17T17:37:00Z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