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1A" w:rsidRDefault="00271D1A" w:rsidP="00271D1A">
      <w:pPr>
        <w:tabs>
          <w:tab w:val="center" w:pos="4680"/>
        </w:tabs>
        <w:spacing w:after="0" w:line="240" w:lineRule="auto"/>
        <w:jc w:val="center"/>
        <w:rPr>
          <w:rFonts w:ascii="Times New Roman" w:hAnsi="Times New Roman" w:cs="Times New Roman"/>
          <w:sz w:val="24"/>
          <w:szCs w:val="24"/>
        </w:rPr>
      </w:pPr>
    </w:p>
    <w:p w:rsidR="00271D1A" w:rsidRDefault="00271D1A" w:rsidP="00271D1A">
      <w:pPr>
        <w:tabs>
          <w:tab w:val="center" w:pos="4680"/>
        </w:tabs>
        <w:spacing w:after="0" w:line="240" w:lineRule="auto"/>
        <w:jc w:val="center"/>
        <w:rPr>
          <w:rFonts w:ascii="Times New Roman" w:hAnsi="Times New Roman" w:cs="Times New Roman"/>
          <w:sz w:val="24"/>
          <w:szCs w:val="24"/>
        </w:rPr>
      </w:pPr>
    </w:p>
    <w:p w:rsidR="00271D1A" w:rsidRPr="00271D1A" w:rsidRDefault="00271D1A" w:rsidP="00271D1A">
      <w:pPr>
        <w:tabs>
          <w:tab w:val="center" w:pos="4680"/>
        </w:tabs>
        <w:spacing w:after="0" w:line="240" w:lineRule="auto"/>
        <w:jc w:val="center"/>
        <w:rPr>
          <w:rFonts w:ascii="Times New Roman" w:hAnsi="Times New Roman" w:cs="Times New Roman"/>
          <w:sz w:val="24"/>
          <w:szCs w:val="24"/>
        </w:rPr>
      </w:pPr>
    </w:p>
    <w:p w:rsidR="00271D1A" w:rsidRPr="00271D1A" w:rsidRDefault="00271D1A" w:rsidP="00271D1A">
      <w:pPr>
        <w:tabs>
          <w:tab w:val="center" w:pos="4680"/>
        </w:tabs>
        <w:spacing w:after="0" w:line="240" w:lineRule="auto"/>
        <w:jc w:val="center"/>
        <w:rPr>
          <w:rFonts w:ascii="Times New Roman" w:hAnsi="Times New Roman" w:cs="Times New Roman"/>
          <w:sz w:val="24"/>
          <w:szCs w:val="24"/>
        </w:rPr>
      </w:pPr>
    </w:p>
    <w:p w:rsidR="00271D1A" w:rsidRPr="00271D1A" w:rsidRDefault="00271D1A" w:rsidP="00271D1A">
      <w:pPr>
        <w:tabs>
          <w:tab w:val="center" w:pos="4680"/>
        </w:tabs>
        <w:spacing w:after="0" w:line="240" w:lineRule="auto"/>
        <w:ind w:left="-360" w:right="-252"/>
        <w:jc w:val="center"/>
        <w:rPr>
          <w:rFonts w:ascii="Times New Roman" w:hAnsi="Times New Roman" w:cs="Times New Roman"/>
          <w:b/>
          <w:sz w:val="24"/>
          <w:szCs w:val="24"/>
        </w:rPr>
      </w:pPr>
      <w:r w:rsidRPr="00271D1A">
        <w:rPr>
          <w:rFonts w:ascii="Times New Roman" w:hAnsi="Times New Roman" w:cs="Times New Roman"/>
          <w:b/>
          <w:sz w:val="24"/>
          <w:szCs w:val="24"/>
        </w:rPr>
        <w:t>BEFORE THE WASHINGTON UTILITIES AND TRANSPORTATION COMMISSION</w:t>
      </w:r>
    </w:p>
    <w:p w:rsidR="00271D1A" w:rsidRPr="00271D1A" w:rsidRDefault="00271D1A" w:rsidP="00271D1A">
      <w:pPr>
        <w:spacing w:after="0" w:line="240" w:lineRule="auto"/>
        <w:jc w:val="both"/>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271D1A" w:rsidRPr="00271D1A" w:rsidTr="00271D1A">
        <w:tc>
          <w:tcPr>
            <w:tcW w:w="4590" w:type="dxa"/>
            <w:tcBorders>
              <w:top w:val="single" w:sz="6" w:space="0" w:color="FFFFFF"/>
              <w:left w:val="single" w:sz="6" w:space="0" w:color="FFFFFF"/>
              <w:bottom w:val="single" w:sz="6" w:space="0" w:color="000000"/>
              <w:right w:val="single" w:sz="6" w:space="0" w:color="FFFFFF"/>
            </w:tcBorders>
          </w:tcPr>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 xml:space="preserve">WASHINGTON UTILITIES AND TRANSPORTATION COMMISSION, </w:t>
            </w:r>
          </w:p>
          <w:p w:rsidR="00271D1A" w:rsidRPr="00271D1A" w:rsidRDefault="00271D1A" w:rsidP="00271D1A">
            <w:pPr>
              <w:spacing w:after="0" w:line="240" w:lineRule="auto"/>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t>Complainant,</w:t>
            </w:r>
          </w:p>
          <w:p w:rsidR="00271D1A" w:rsidRPr="00271D1A" w:rsidRDefault="00271D1A" w:rsidP="00271D1A">
            <w:pPr>
              <w:spacing w:after="0" w:line="240" w:lineRule="auto"/>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v.</w:t>
            </w:r>
          </w:p>
          <w:p w:rsidR="00271D1A" w:rsidRPr="00271D1A" w:rsidRDefault="00271D1A" w:rsidP="00271D1A">
            <w:pPr>
              <w:spacing w:after="0" w:line="240" w:lineRule="auto"/>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 xml:space="preserve">PUGET SOUND ENERGY, INC., </w:t>
            </w:r>
          </w:p>
          <w:p w:rsidR="00271D1A" w:rsidRPr="00271D1A" w:rsidRDefault="00271D1A" w:rsidP="00271D1A">
            <w:pPr>
              <w:spacing w:after="0" w:line="240" w:lineRule="auto"/>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t>Respondent.</w:t>
            </w:r>
          </w:p>
          <w:p w:rsidR="00271D1A" w:rsidRPr="00271D1A" w:rsidRDefault="00271D1A" w:rsidP="00271D1A">
            <w:pPr>
              <w:spacing w:after="0" w:line="240" w:lineRule="auto"/>
              <w:rPr>
                <w:rFonts w:ascii="Times New Roman" w:hAnsi="Times New Roman" w:cs="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271D1A" w:rsidRPr="00271D1A" w:rsidRDefault="00271D1A" w:rsidP="00271D1A">
            <w:pPr>
              <w:spacing w:after="0" w:line="240" w:lineRule="auto"/>
              <w:ind w:firstLine="720"/>
              <w:rPr>
                <w:rFonts w:ascii="Times New Roman" w:hAnsi="Times New Roman" w:cs="Times New Roman"/>
                <w:b/>
                <w:sz w:val="24"/>
                <w:szCs w:val="24"/>
              </w:rPr>
            </w:pPr>
            <w:r w:rsidRPr="00271D1A">
              <w:rPr>
                <w:rFonts w:ascii="Times New Roman" w:hAnsi="Times New Roman" w:cs="Times New Roman"/>
                <w:b/>
                <w:sz w:val="24"/>
                <w:szCs w:val="24"/>
              </w:rPr>
              <w:t>DOCKET UE-111048</w:t>
            </w:r>
          </w:p>
          <w:p w:rsidR="00271D1A" w:rsidRPr="00271D1A" w:rsidRDefault="00271D1A" w:rsidP="00271D1A">
            <w:pPr>
              <w:spacing w:after="0" w:line="240" w:lineRule="auto"/>
              <w:ind w:left="720"/>
              <w:rPr>
                <w:rFonts w:ascii="Times New Roman" w:hAnsi="Times New Roman" w:cs="Times New Roman"/>
                <w:b/>
                <w:sz w:val="24"/>
                <w:szCs w:val="24"/>
              </w:rPr>
            </w:pPr>
            <w:r w:rsidRPr="00271D1A">
              <w:rPr>
                <w:rFonts w:ascii="Times New Roman" w:hAnsi="Times New Roman" w:cs="Times New Roman"/>
                <w:b/>
                <w:sz w:val="24"/>
                <w:szCs w:val="24"/>
              </w:rPr>
              <w:t>DOCKET UG-111049</w:t>
            </w:r>
          </w:p>
          <w:p w:rsidR="00271D1A" w:rsidRPr="00271D1A" w:rsidRDefault="00271D1A" w:rsidP="00271D1A">
            <w:pPr>
              <w:spacing w:after="0" w:line="240" w:lineRule="auto"/>
              <w:ind w:left="720"/>
              <w:rPr>
                <w:rFonts w:ascii="Times New Roman" w:hAnsi="Times New Roman" w:cs="Times New Roman"/>
                <w:b/>
                <w:i/>
                <w:sz w:val="24"/>
                <w:szCs w:val="24"/>
              </w:rPr>
            </w:pPr>
            <w:r w:rsidRPr="00271D1A">
              <w:rPr>
                <w:rFonts w:ascii="Times New Roman" w:hAnsi="Times New Roman" w:cs="Times New Roman"/>
                <w:b/>
                <w:sz w:val="24"/>
                <w:szCs w:val="24"/>
              </w:rPr>
              <w:t>(</w:t>
            </w:r>
            <w:r w:rsidRPr="00271D1A">
              <w:rPr>
                <w:rFonts w:ascii="Times New Roman" w:hAnsi="Times New Roman" w:cs="Times New Roman"/>
                <w:b/>
                <w:i/>
                <w:sz w:val="24"/>
                <w:szCs w:val="24"/>
              </w:rPr>
              <w:t xml:space="preserve">Consolidated) </w:t>
            </w:r>
          </w:p>
        </w:tc>
      </w:tr>
    </w:tbl>
    <w:p w:rsidR="00271D1A" w:rsidRPr="00271D1A" w:rsidRDefault="00271D1A" w:rsidP="00271D1A">
      <w:pPr>
        <w:spacing w:after="0" w:line="240" w:lineRule="auto"/>
        <w:jc w:val="both"/>
        <w:rPr>
          <w:rFonts w:ascii="Times New Roman" w:hAnsi="Times New Roman" w:cs="Times New Roman"/>
          <w:b/>
          <w:sz w:val="24"/>
          <w:szCs w:val="24"/>
        </w:rPr>
      </w:pPr>
    </w:p>
    <w:p w:rsidR="00271D1A" w:rsidRPr="00271D1A" w:rsidRDefault="00271D1A" w:rsidP="00271D1A">
      <w:pPr>
        <w:tabs>
          <w:tab w:val="left" w:pos="-1440"/>
        </w:tabs>
        <w:spacing w:after="0" w:line="240" w:lineRule="auto"/>
        <w:ind w:left="720" w:hanging="720"/>
        <w:rPr>
          <w:rFonts w:ascii="Times New Roman" w:hAnsi="Times New Roman" w:cs="Times New Roman"/>
          <w:b/>
          <w:sz w:val="24"/>
          <w:szCs w:val="24"/>
        </w:rPr>
      </w:pPr>
    </w:p>
    <w:p w:rsidR="00271D1A" w:rsidRPr="00271D1A" w:rsidRDefault="00271D1A" w:rsidP="00271D1A">
      <w:pPr>
        <w:tabs>
          <w:tab w:val="center" w:pos="4680"/>
        </w:tabs>
        <w:spacing w:after="0" w:line="240" w:lineRule="auto"/>
        <w:rPr>
          <w:rFonts w:ascii="Times New Roman" w:hAnsi="Times New Roman" w:cs="Times New Roman"/>
          <w:b/>
          <w:bCs/>
          <w:sz w:val="24"/>
          <w:szCs w:val="24"/>
        </w:rPr>
      </w:pPr>
    </w:p>
    <w:p w:rsidR="00271D1A" w:rsidRPr="00271D1A" w:rsidRDefault="00271D1A" w:rsidP="00271D1A">
      <w:pPr>
        <w:tabs>
          <w:tab w:val="center" w:pos="4680"/>
        </w:tabs>
        <w:spacing w:after="0" w:line="240" w:lineRule="auto"/>
        <w:rPr>
          <w:rFonts w:ascii="Times New Roman" w:hAnsi="Times New Roman" w:cs="Times New Roman"/>
          <w:b/>
          <w:bCs/>
          <w:sz w:val="24"/>
          <w:szCs w:val="24"/>
        </w:rPr>
      </w:pPr>
    </w:p>
    <w:p w:rsidR="00271D1A" w:rsidRPr="00271D1A" w:rsidRDefault="00271D1A" w:rsidP="00271D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INITIAL </w:t>
      </w:r>
      <w:r w:rsidRPr="00271D1A">
        <w:rPr>
          <w:rFonts w:ascii="Times New Roman" w:hAnsi="Times New Roman" w:cs="Times New Roman"/>
          <w:b/>
          <w:bCs/>
          <w:sz w:val="24"/>
          <w:szCs w:val="24"/>
        </w:rPr>
        <w:t>BRIEF ON BEHALF OF COMMISSION STAFF</w:t>
      </w:r>
    </w:p>
    <w:p w:rsidR="00271D1A" w:rsidRPr="00271D1A" w:rsidRDefault="00271D1A" w:rsidP="00271D1A">
      <w:pPr>
        <w:spacing w:after="0" w:line="240" w:lineRule="auto"/>
        <w:rPr>
          <w:rFonts w:ascii="Times New Roman" w:hAnsi="Times New Roman" w:cs="Times New Roman"/>
          <w:b/>
          <w:bCs/>
          <w:sz w:val="24"/>
          <w:szCs w:val="24"/>
        </w:rPr>
      </w:pPr>
    </w:p>
    <w:p w:rsidR="00271D1A" w:rsidRPr="00271D1A" w:rsidRDefault="00271D1A" w:rsidP="00271D1A">
      <w:pPr>
        <w:spacing w:after="0" w:line="240" w:lineRule="auto"/>
        <w:rPr>
          <w:rFonts w:ascii="Times New Roman" w:hAnsi="Times New Roman" w:cs="Times New Roman"/>
          <w:b/>
          <w:bCs/>
          <w:sz w:val="24"/>
          <w:szCs w:val="24"/>
        </w:rPr>
      </w:pPr>
    </w:p>
    <w:p w:rsidR="00271D1A" w:rsidRPr="00271D1A" w:rsidRDefault="00271D1A" w:rsidP="00271D1A">
      <w:pPr>
        <w:spacing w:after="0" w:line="240" w:lineRule="auto"/>
        <w:ind w:left="3600" w:firstLine="720"/>
        <w:rPr>
          <w:rFonts w:ascii="Times New Roman" w:hAnsi="Times New Roman" w:cs="Times New Roman"/>
          <w:b/>
          <w:bCs/>
          <w:sz w:val="24"/>
          <w:szCs w:val="24"/>
        </w:rPr>
      </w:pPr>
      <w:r>
        <w:rPr>
          <w:rFonts w:ascii="Times New Roman" w:hAnsi="Times New Roman" w:cs="Times New Roman"/>
          <w:b/>
          <w:bCs/>
          <w:sz w:val="24"/>
          <w:szCs w:val="24"/>
        </w:rPr>
        <w:t>March 16, 2012</w:t>
      </w:r>
    </w:p>
    <w:p w:rsidR="00271D1A" w:rsidRPr="00271D1A" w:rsidRDefault="00271D1A" w:rsidP="00271D1A">
      <w:pPr>
        <w:spacing w:after="0" w:line="240" w:lineRule="auto"/>
        <w:rPr>
          <w:rFonts w:ascii="Times New Roman" w:hAnsi="Times New Roman" w:cs="Times New Roman"/>
          <w:b/>
          <w:bCs/>
          <w:sz w:val="24"/>
          <w:szCs w:val="24"/>
        </w:rPr>
      </w:pPr>
    </w:p>
    <w:p w:rsidR="00271D1A" w:rsidRPr="00271D1A" w:rsidRDefault="00271D1A" w:rsidP="00271D1A">
      <w:pPr>
        <w:spacing w:after="0" w:line="240" w:lineRule="auto"/>
        <w:rPr>
          <w:rFonts w:ascii="Times New Roman" w:hAnsi="Times New Roman" w:cs="Times New Roman"/>
          <w:b/>
          <w:bCs/>
          <w:sz w:val="24"/>
          <w:szCs w:val="24"/>
        </w:rPr>
      </w:pP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t>ROBERT M. MCKENNA</w:t>
      </w:r>
    </w:p>
    <w:p w:rsidR="00271D1A" w:rsidRPr="00271D1A" w:rsidRDefault="00271D1A" w:rsidP="00271D1A">
      <w:pPr>
        <w:spacing w:after="0" w:line="240" w:lineRule="auto"/>
        <w:rPr>
          <w:rFonts w:ascii="Times New Roman" w:hAnsi="Times New Roman" w:cs="Times New Roman"/>
          <w:b/>
          <w:bCs/>
          <w:sz w:val="24"/>
          <w:szCs w:val="24"/>
        </w:rPr>
      </w:pP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t xml:space="preserve">Attorney General </w:t>
      </w:r>
    </w:p>
    <w:p w:rsidR="00271D1A" w:rsidRPr="00271D1A" w:rsidRDefault="00271D1A" w:rsidP="00271D1A">
      <w:pPr>
        <w:spacing w:after="0" w:line="240" w:lineRule="auto"/>
        <w:rPr>
          <w:rFonts w:ascii="Times New Roman" w:hAnsi="Times New Roman" w:cs="Times New Roman"/>
          <w:b/>
          <w:bCs/>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sidRPr="00271D1A">
        <w:rPr>
          <w:rFonts w:ascii="Times New Roman" w:hAnsi="Times New Roman" w:cs="Times New Roman"/>
          <w:b/>
          <w:bCs/>
          <w:sz w:val="24"/>
          <w:szCs w:val="24"/>
        </w:rPr>
        <w:tab/>
      </w:r>
      <w:r>
        <w:rPr>
          <w:rFonts w:ascii="Times New Roman" w:hAnsi="Times New Roman" w:cs="Times New Roman"/>
          <w:b/>
          <w:bCs/>
          <w:sz w:val="24"/>
          <w:szCs w:val="24"/>
        </w:rPr>
        <w:t xml:space="preserve">ROBERT D. CEDARBAUM </w:t>
      </w:r>
      <w:r w:rsidRPr="00271D1A">
        <w:rPr>
          <w:rFonts w:ascii="Times New Roman" w:hAnsi="Times New Roman" w:cs="Times New Roman"/>
          <w:b/>
          <w:sz w:val="24"/>
          <w:szCs w:val="24"/>
        </w:rPr>
        <w:t xml:space="preserve"> </w:t>
      </w: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 xml:space="preserve">Assistant Attorney General </w:t>
      </w: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 xml:space="preserve">Office of the Attorney General </w:t>
      </w: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Utilities &amp; Transportation Division</w:t>
      </w:r>
    </w:p>
    <w:p w:rsidR="00271D1A" w:rsidRPr="00271D1A" w:rsidRDefault="00271D1A" w:rsidP="00271D1A">
      <w:pPr>
        <w:spacing w:after="0" w:line="240" w:lineRule="auto"/>
        <w:rPr>
          <w:rFonts w:ascii="Times New Roman" w:hAnsi="Times New Roman" w:cs="Times New Roman"/>
          <w:b/>
          <w:sz w:val="24"/>
          <w:szCs w:val="24"/>
        </w:rPr>
      </w:pP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 xml:space="preserve">1400 S Evergreen Park Drive SW </w:t>
      </w: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P.O. Box 40128</w:t>
      </w:r>
    </w:p>
    <w:p w:rsidR="00271D1A" w:rsidRPr="00271D1A" w:rsidRDefault="00271D1A" w:rsidP="00271D1A">
      <w:pPr>
        <w:spacing w:after="0" w:line="240" w:lineRule="auto"/>
        <w:rPr>
          <w:rFonts w:ascii="Times New Roman" w:hAnsi="Times New Roman" w:cs="Times New Roman"/>
          <w:b/>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 xml:space="preserve">Olympia, WA  98504-0128 </w:t>
      </w:r>
    </w:p>
    <w:p w:rsidR="00271D1A" w:rsidRPr="00271D1A" w:rsidRDefault="00271D1A" w:rsidP="00271D1A">
      <w:pPr>
        <w:spacing w:after="0" w:line="240" w:lineRule="auto"/>
        <w:rPr>
          <w:rFonts w:ascii="Times New Roman" w:hAnsi="Times New Roman" w:cs="Times New Roman"/>
          <w:b/>
          <w:bCs/>
          <w:sz w:val="24"/>
          <w:szCs w:val="24"/>
        </w:rPr>
      </w:pP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r>
      <w:r w:rsidRPr="00271D1A">
        <w:rPr>
          <w:rFonts w:ascii="Times New Roman" w:hAnsi="Times New Roman" w:cs="Times New Roman"/>
          <w:b/>
          <w:sz w:val="24"/>
          <w:szCs w:val="24"/>
        </w:rPr>
        <w:tab/>
        <w:t>(360) 664-</w:t>
      </w:r>
      <w:r w:rsidR="00644F72">
        <w:rPr>
          <w:rFonts w:ascii="Times New Roman" w:hAnsi="Times New Roman" w:cs="Times New Roman"/>
          <w:b/>
          <w:sz w:val="24"/>
          <w:szCs w:val="24"/>
        </w:rPr>
        <w:t>1188</w:t>
      </w: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sectPr w:rsidR="00271D1A" w:rsidRPr="00271D1A" w:rsidSect="007C3894">
          <w:pgSz w:w="12240" w:h="15840" w:code="1"/>
          <w:pgMar w:top="1440" w:right="1440" w:bottom="1440" w:left="1440" w:header="720" w:footer="720" w:gutter="0"/>
          <w:cols w:space="720"/>
          <w:docGrid w:linePitch="360"/>
        </w:sectPr>
      </w:pPr>
    </w:p>
    <w:p w:rsidR="00271D1A" w:rsidRPr="00271D1A" w:rsidRDefault="00271D1A" w:rsidP="00271D1A">
      <w:pPr>
        <w:spacing w:after="0" w:line="240" w:lineRule="auto"/>
        <w:jc w:val="center"/>
        <w:rPr>
          <w:rFonts w:ascii="Times New Roman" w:hAnsi="Times New Roman" w:cs="Times New Roman"/>
          <w:sz w:val="24"/>
          <w:szCs w:val="24"/>
        </w:rPr>
      </w:pPr>
      <w:r w:rsidRPr="00271D1A">
        <w:rPr>
          <w:rFonts w:ascii="Times New Roman" w:hAnsi="Times New Roman" w:cs="Times New Roman"/>
          <w:b/>
          <w:bCs/>
          <w:sz w:val="24"/>
          <w:szCs w:val="24"/>
        </w:rPr>
        <w:lastRenderedPageBreak/>
        <w:t>TABLE OF CONTENTS</w:t>
      </w: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271D1A">
        <w:rPr>
          <w:rFonts w:ascii="Times New Roman" w:hAnsi="Times New Roman" w:cs="Times New Roman"/>
          <w:sz w:val="24"/>
          <w:szCs w:val="24"/>
        </w:rPr>
        <w:t>I.</w:t>
      </w:r>
      <w:r w:rsidRPr="00271D1A">
        <w:rPr>
          <w:rFonts w:ascii="Times New Roman" w:hAnsi="Times New Roman" w:cs="Times New Roman"/>
          <w:sz w:val="24"/>
          <w:szCs w:val="24"/>
        </w:rPr>
        <w:tab/>
        <w:t xml:space="preserve">INTRODUCTION </w:t>
      </w:r>
      <w:r w:rsidRPr="00271D1A">
        <w:rPr>
          <w:rFonts w:ascii="Times New Roman" w:hAnsi="Times New Roman" w:cs="Times New Roman"/>
          <w:sz w:val="24"/>
          <w:szCs w:val="24"/>
        </w:rPr>
        <w:tab/>
      </w:r>
      <w:r w:rsidR="003A4DDC">
        <w:rPr>
          <w:rFonts w:ascii="Times New Roman" w:hAnsi="Times New Roman" w:cs="Times New Roman"/>
          <w:sz w:val="24"/>
          <w:szCs w:val="24"/>
        </w:rPr>
        <w:t>1</w:t>
      </w:r>
    </w:p>
    <w:p w:rsidR="00271D1A" w:rsidRPr="00271D1A" w:rsidRDefault="00271D1A" w:rsidP="008E07E5">
      <w:pPr>
        <w:tabs>
          <w:tab w:val="right" w:leader="dot" w:pos="9180"/>
        </w:tabs>
        <w:spacing w:after="0" w:line="240" w:lineRule="auto"/>
        <w:rPr>
          <w:rFonts w:ascii="Times New Roman" w:hAnsi="Times New Roman" w:cs="Times New Roman"/>
          <w:sz w:val="24"/>
          <w:szCs w:val="24"/>
        </w:rPr>
      </w:pPr>
    </w:p>
    <w:p w:rsidR="00271D1A" w:rsidRPr="00271D1A" w:rsidRDefault="00271D1A"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271D1A">
        <w:rPr>
          <w:rFonts w:ascii="Times New Roman" w:hAnsi="Times New Roman" w:cs="Times New Roman"/>
          <w:sz w:val="24"/>
          <w:szCs w:val="24"/>
        </w:rPr>
        <w:t>II.</w:t>
      </w:r>
      <w:r w:rsidRPr="00271D1A">
        <w:rPr>
          <w:rFonts w:ascii="Times New Roman" w:hAnsi="Times New Roman" w:cs="Times New Roman"/>
          <w:sz w:val="24"/>
          <w:szCs w:val="24"/>
        </w:rPr>
        <w:tab/>
      </w:r>
      <w:r w:rsidR="003A4DDC">
        <w:rPr>
          <w:rFonts w:ascii="Times New Roman" w:hAnsi="Times New Roman" w:cs="Times New Roman"/>
          <w:sz w:val="24"/>
          <w:szCs w:val="24"/>
        </w:rPr>
        <w:t xml:space="preserve">COST OF CAPITAL </w:t>
      </w:r>
      <w:r w:rsidRPr="00271D1A">
        <w:rPr>
          <w:rFonts w:ascii="Times New Roman" w:hAnsi="Times New Roman" w:cs="Times New Roman"/>
          <w:sz w:val="24"/>
          <w:szCs w:val="24"/>
        </w:rPr>
        <w:tab/>
      </w:r>
      <w:r w:rsidR="006D36BE">
        <w:rPr>
          <w:rFonts w:ascii="Times New Roman" w:hAnsi="Times New Roman" w:cs="Times New Roman"/>
          <w:sz w:val="24"/>
          <w:szCs w:val="24"/>
        </w:rPr>
        <w:t>2</w:t>
      </w:r>
    </w:p>
    <w:p w:rsidR="00271D1A" w:rsidRPr="00271D1A" w:rsidRDefault="00271D1A" w:rsidP="008E07E5">
      <w:pPr>
        <w:tabs>
          <w:tab w:val="right" w:leader="dot" w:pos="9180"/>
        </w:tabs>
        <w:spacing w:after="0" w:line="240" w:lineRule="auto"/>
        <w:rPr>
          <w:rFonts w:ascii="Times New Roman" w:hAnsi="Times New Roman" w:cs="Times New Roman"/>
          <w:sz w:val="24"/>
          <w:szCs w:val="24"/>
        </w:rPr>
      </w:pPr>
    </w:p>
    <w:p w:rsidR="00271D1A" w:rsidRDefault="00271D1A" w:rsidP="008E07E5">
      <w:pPr>
        <w:tabs>
          <w:tab w:val="left" w:pos="720"/>
          <w:tab w:val="left" w:pos="1440"/>
          <w:tab w:val="left" w:pos="2160"/>
          <w:tab w:val="right" w:leader="dot" w:pos="9180"/>
        </w:tabs>
        <w:spacing w:after="0" w:line="240" w:lineRule="auto"/>
        <w:ind w:firstLine="720"/>
        <w:rPr>
          <w:rFonts w:ascii="Times New Roman" w:hAnsi="Times New Roman" w:cs="Times New Roman"/>
          <w:sz w:val="24"/>
          <w:szCs w:val="24"/>
        </w:rPr>
      </w:pPr>
      <w:r w:rsidRPr="00271D1A">
        <w:rPr>
          <w:rFonts w:ascii="Times New Roman" w:hAnsi="Times New Roman" w:cs="Times New Roman"/>
          <w:sz w:val="24"/>
          <w:szCs w:val="24"/>
        </w:rPr>
        <w:t xml:space="preserve">A.  </w:t>
      </w:r>
      <w:r w:rsidRPr="00271D1A">
        <w:rPr>
          <w:rFonts w:ascii="Times New Roman" w:hAnsi="Times New Roman" w:cs="Times New Roman"/>
          <w:sz w:val="24"/>
          <w:szCs w:val="24"/>
        </w:rPr>
        <w:tab/>
      </w:r>
      <w:r w:rsidR="003A4DDC">
        <w:rPr>
          <w:rFonts w:ascii="Times New Roman" w:hAnsi="Times New Roman" w:cs="Times New Roman"/>
          <w:sz w:val="24"/>
          <w:szCs w:val="24"/>
        </w:rPr>
        <w:t xml:space="preserve">Capital Structure </w:t>
      </w:r>
      <w:r w:rsidRPr="00271D1A">
        <w:rPr>
          <w:rFonts w:ascii="Times New Roman" w:hAnsi="Times New Roman" w:cs="Times New Roman"/>
          <w:sz w:val="24"/>
          <w:szCs w:val="24"/>
        </w:rPr>
        <w:tab/>
      </w:r>
      <w:r w:rsidR="006D36BE">
        <w:rPr>
          <w:rFonts w:ascii="Times New Roman" w:hAnsi="Times New Roman" w:cs="Times New Roman"/>
          <w:sz w:val="24"/>
          <w:szCs w:val="24"/>
        </w:rPr>
        <w:t>2</w:t>
      </w:r>
    </w:p>
    <w:p w:rsidR="00A55A6C" w:rsidRDefault="00A55A6C" w:rsidP="008E07E5">
      <w:pPr>
        <w:tabs>
          <w:tab w:val="left" w:pos="720"/>
          <w:tab w:val="left" w:pos="1440"/>
          <w:tab w:val="left" w:pos="2160"/>
          <w:tab w:val="right" w:leader="dot" w:pos="9180"/>
        </w:tabs>
        <w:spacing w:after="0" w:line="240" w:lineRule="auto"/>
        <w:ind w:firstLine="720"/>
        <w:rPr>
          <w:rFonts w:ascii="Times New Roman" w:hAnsi="Times New Roman" w:cs="Times New Roman"/>
          <w:sz w:val="24"/>
          <w:szCs w:val="24"/>
        </w:rPr>
      </w:pPr>
    </w:p>
    <w:p w:rsidR="00A55A6C" w:rsidRDefault="00A55A6C" w:rsidP="008E07E5">
      <w:pPr>
        <w:tabs>
          <w:tab w:val="left" w:pos="720"/>
          <w:tab w:val="left" w:pos="1440"/>
          <w:tab w:val="left" w:pos="2160"/>
          <w:tab w:val="right" w:leader="dot" w:pos="9180"/>
          <w:tab w:val="left" w:pos="92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sidRPr="00A55A6C">
        <w:rPr>
          <w:rFonts w:ascii="Times New Roman" w:hAnsi="Times New Roman" w:cs="Times New Roman"/>
          <w:sz w:val="24"/>
          <w:szCs w:val="24"/>
        </w:rPr>
        <w:t>1.</w:t>
      </w:r>
      <w:r w:rsidRPr="00A55A6C">
        <w:rPr>
          <w:rFonts w:ascii="Times New Roman" w:hAnsi="Times New Roman" w:cs="Times New Roman"/>
          <w:sz w:val="24"/>
          <w:szCs w:val="24"/>
        </w:rPr>
        <w:tab/>
        <w:t xml:space="preserve">A Capital Structure Containing 46 Percent Equity is </w:t>
      </w:r>
    </w:p>
    <w:p w:rsidR="005B79F5" w:rsidRDefault="00A55A6C" w:rsidP="005B79F5">
      <w:pPr>
        <w:tabs>
          <w:tab w:val="left" w:pos="720"/>
          <w:tab w:val="left" w:pos="1440"/>
          <w:tab w:val="left" w:pos="2160"/>
          <w:tab w:val="right" w:leader="dot" w:pos="9180"/>
          <w:tab w:val="left" w:pos="92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55A6C">
        <w:rPr>
          <w:rFonts w:ascii="Times New Roman" w:hAnsi="Times New Roman" w:cs="Times New Roman"/>
          <w:sz w:val="24"/>
          <w:szCs w:val="24"/>
        </w:rPr>
        <w:t xml:space="preserve">Consistent with Commission Policy </w:t>
      </w:r>
      <w:r w:rsidR="005B79F5">
        <w:rPr>
          <w:rFonts w:ascii="Times New Roman" w:hAnsi="Times New Roman" w:cs="Times New Roman"/>
          <w:sz w:val="24"/>
          <w:szCs w:val="24"/>
        </w:rPr>
        <w:t xml:space="preserve">to Balance Safety </w:t>
      </w:r>
    </w:p>
    <w:p w:rsidR="00A55A6C" w:rsidRDefault="005B79F5" w:rsidP="005B79F5">
      <w:pPr>
        <w:tabs>
          <w:tab w:val="left" w:pos="720"/>
          <w:tab w:val="left" w:pos="1440"/>
          <w:tab w:val="left" w:pos="2160"/>
          <w:tab w:val="right" w:leader="dot" w:pos="9180"/>
          <w:tab w:val="left" w:pos="9240"/>
        </w:tabs>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and Economy </w:t>
      </w:r>
      <w:r w:rsidR="00A55A6C">
        <w:rPr>
          <w:rFonts w:ascii="Times New Roman" w:hAnsi="Times New Roman" w:cs="Times New Roman"/>
          <w:sz w:val="24"/>
          <w:szCs w:val="24"/>
        </w:rPr>
        <w:tab/>
      </w:r>
      <w:r w:rsidR="006D36BE">
        <w:rPr>
          <w:rFonts w:ascii="Times New Roman" w:hAnsi="Times New Roman" w:cs="Times New Roman"/>
          <w:sz w:val="24"/>
          <w:szCs w:val="24"/>
        </w:rPr>
        <w:t>2</w:t>
      </w:r>
    </w:p>
    <w:p w:rsidR="00A55A6C" w:rsidRDefault="00A55A6C" w:rsidP="008E07E5">
      <w:pPr>
        <w:tabs>
          <w:tab w:val="left" w:pos="720"/>
          <w:tab w:val="left" w:pos="1440"/>
          <w:tab w:val="left" w:pos="2160"/>
          <w:tab w:val="right" w:leader="dot" w:pos="9180"/>
        </w:tabs>
        <w:spacing w:after="0" w:line="240" w:lineRule="auto"/>
        <w:ind w:firstLine="720"/>
        <w:rPr>
          <w:rFonts w:ascii="Times New Roman" w:hAnsi="Times New Roman" w:cs="Times New Roman"/>
          <w:sz w:val="24"/>
          <w:szCs w:val="24"/>
        </w:rPr>
      </w:pPr>
    </w:p>
    <w:p w:rsidR="00A55A6C" w:rsidRDefault="00C12E72" w:rsidP="00B31A27">
      <w:pPr>
        <w:tabs>
          <w:tab w:val="left" w:pos="2160"/>
          <w:tab w:val="right" w:leader="dot" w:pos="9180"/>
        </w:tabs>
        <w:spacing w:after="0" w:line="240" w:lineRule="auto"/>
        <w:ind w:left="1440"/>
        <w:rPr>
          <w:rFonts w:ascii="Times New Roman" w:hAnsi="Times New Roman"/>
          <w:sz w:val="24"/>
          <w:szCs w:val="24"/>
        </w:rPr>
      </w:pPr>
      <w:r>
        <w:rPr>
          <w:rFonts w:ascii="Times New Roman" w:hAnsi="Times New Roman"/>
          <w:sz w:val="24"/>
          <w:szCs w:val="24"/>
        </w:rPr>
        <w:t>2.</w:t>
      </w:r>
      <w:r w:rsidR="00B31A27">
        <w:rPr>
          <w:rFonts w:ascii="Times New Roman" w:hAnsi="Times New Roman"/>
          <w:sz w:val="24"/>
          <w:szCs w:val="24"/>
        </w:rPr>
        <w:tab/>
      </w:r>
      <w:r w:rsidR="005B79F5">
        <w:rPr>
          <w:rFonts w:ascii="Times New Roman" w:hAnsi="Times New Roman"/>
          <w:sz w:val="24"/>
          <w:szCs w:val="24"/>
        </w:rPr>
        <w:t xml:space="preserve">PSE’s </w:t>
      </w:r>
      <w:r w:rsidR="00A55A6C" w:rsidRPr="00A55A6C">
        <w:rPr>
          <w:rFonts w:ascii="Times New Roman" w:hAnsi="Times New Roman"/>
          <w:sz w:val="24"/>
          <w:szCs w:val="24"/>
        </w:rPr>
        <w:t xml:space="preserve">Proposal to Increase Equity Ratio </w:t>
      </w:r>
      <w:r w:rsidR="005B79F5">
        <w:rPr>
          <w:rFonts w:ascii="Times New Roman" w:hAnsi="Times New Roman"/>
          <w:sz w:val="24"/>
          <w:szCs w:val="24"/>
        </w:rPr>
        <w:t>to 48 Percent</w:t>
      </w:r>
    </w:p>
    <w:p w:rsidR="005B79F5" w:rsidRDefault="00A55A6C" w:rsidP="008E07E5">
      <w:pPr>
        <w:tabs>
          <w:tab w:val="right" w:leader="dot" w:pos="9180"/>
        </w:tabs>
        <w:spacing w:after="0" w:line="240" w:lineRule="auto"/>
        <w:ind w:left="1440" w:firstLine="720"/>
        <w:rPr>
          <w:rFonts w:ascii="Times New Roman" w:hAnsi="Times New Roman"/>
          <w:sz w:val="24"/>
          <w:szCs w:val="24"/>
        </w:rPr>
      </w:pPr>
      <w:r w:rsidRPr="00A55A6C">
        <w:rPr>
          <w:rFonts w:ascii="Times New Roman" w:hAnsi="Times New Roman"/>
          <w:sz w:val="24"/>
          <w:szCs w:val="24"/>
        </w:rPr>
        <w:t xml:space="preserve">Violates Commission Policy to the Advantage of Its </w:t>
      </w:r>
    </w:p>
    <w:p w:rsidR="00A55A6C" w:rsidRDefault="00A55A6C" w:rsidP="005B79F5">
      <w:pPr>
        <w:tabs>
          <w:tab w:val="right" w:leader="dot" w:pos="9180"/>
        </w:tabs>
        <w:spacing w:after="0" w:line="240" w:lineRule="auto"/>
        <w:ind w:left="1440" w:firstLine="720"/>
        <w:rPr>
          <w:rFonts w:ascii="Times New Roman" w:hAnsi="Times New Roman"/>
          <w:sz w:val="24"/>
          <w:szCs w:val="24"/>
        </w:rPr>
      </w:pPr>
      <w:r w:rsidRPr="00A55A6C">
        <w:rPr>
          <w:rFonts w:ascii="Times New Roman" w:hAnsi="Times New Roman"/>
          <w:sz w:val="24"/>
          <w:szCs w:val="24"/>
        </w:rPr>
        <w:t>Owners At the Expense of Ratepayers</w:t>
      </w:r>
      <w:r>
        <w:rPr>
          <w:rFonts w:ascii="Times New Roman" w:hAnsi="Times New Roman"/>
          <w:sz w:val="24"/>
          <w:szCs w:val="24"/>
        </w:rPr>
        <w:tab/>
      </w:r>
      <w:r w:rsidR="008B77A4">
        <w:rPr>
          <w:rFonts w:ascii="Times New Roman" w:hAnsi="Times New Roman"/>
          <w:sz w:val="24"/>
          <w:szCs w:val="24"/>
        </w:rPr>
        <w:t>4</w:t>
      </w:r>
    </w:p>
    <w:p w:rsidR="00A55A6C" w:rsidRDefault="00A55A6C" w:rsidP="008E07E5">
      <w:pPr>
        <w:tabs>
          <w:tab w:val="left" w:pos="720"/>
          <w:tab w:val="left" w:pos="1440"/>
          <w:tab w:val="left" w:pos="2160"/>
          <w:tab w:val="right" w:leader="dot" w:pos="9180"/>
        </w:tabs>
        <w:spacing w:after="0" w:line="240" w:lineRule="auto"/>
        <w:ind w:firstLine="720"/>
        <w:rPr>
          <w:rFonts w:ascii="Times New Roman" w:hAnsi="Times New Roman"/>
          <w:sz w:val="24"/>
          <w:szCs w:val="24"/>
        </w:rPr>
      </w:pPr>
    </w:p>
    <w:p w:rsidR="00A55A6C" w:rsidRDefault="00A55A6C" w:rsidP="008E07E5">
      <w:pPr>
        <w:tabs>
          <w:tab w:val="left" w:pos="720"/>
          <w:tab w:val="left" w:pos="1440"/>
          <w:tab w:val="left" w:pos="2160"/>
          <w:tab w:val="right" w:leader="dot" w:pos="9180"/>
        </w:tabs>
        <w:spacing w:after="0" w:line="240" w:lineRule="auto"/>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Cost of Common Equity </w:t>
      </w:r>
      <w:r>
        <w:rPr>
          <w:rFonts w:ascii="Times New Roman" w:hAnsi="Times New Roman"/>
          <w:sz w:val="24"/>
          <w:szCs w:val="24"/>
        </w:rPr>
        <w:tab/>
      </w:r>
      <w:r w:rsidR="00076CFC">
        <w:rPr>
          <w:rFonts w:ascii="Times New Roman" w:hAnsi="Times New Roman"/>
          <w:sz w:val="24"/>
          <w:szCs w:val="24"/>
        </w:rPr>
        <w:t>6</w:t>
      </w:r>
    </w:p>
    <w:p w:rsidR="000E4143" w:rsidRDefault="000E4143" w:rsidP="008E07E5">
      <w:pPr>
        <w:tabs>
          <w:tab w:val="left" w:pos="720"/>
          <w:tab w:val="left" w:pos="1440"/>
          <w:tab w:val="left" w:pos="2160"/>
          <w:tab w:val="right" w:leader="dot" w:pos="9180"/>
        </w:tabs>
        <w:spacing w:after="0" w:line="240" w:lineRule="auto"/>
        <w:rPr>
          <w:rFonts w:ascii="Times New Roman" w:hAnsi="Times New Roman"/>
          <w:sz w:val="24"/>
          <w:szCs w:val="24"/>
        </w:rPr>
      </w:pPr>
    </w:p>
    <w:p w:rsidR="000E4143" w:rsidRDefault="000E4143" w:rsidP="008E07E5">
      <w:pPr>
        <w:tabs>
          <w:tab w:val="left" w:pos="720"/>
          <w:tab w:val="left" w:pos="1440"/>
          <w:tab w:val="left" w:pos="2160"/>
          <w:tab w:val="right" w:leader="dot" w:pos="9180"/>
        </w:tabs>
        <w:spacing w:after="0" w:line="240" w:lineRule="auto"/>
        <w:rPr>
          <w:rFonts w:ascii="Times New Roman" w:hAnsi="Times New Roman"/>
          <w:bCs/>
          <w:sz w:val="24"/>
          <w:szCs w:val="24"/>
        </w:rPr>
      </w:pPr>
      <w:r w:rsidRPr="000E4143">
        <w:rPr>
          <w:rFonts w:ascii="Times New Roman" w:hAnsi="Times New Roman"/>
          <w:sz w:val="24"/>
          <w:szCs w:val="24"/>
        </w:rPr>
        <w:tab/>
      </w:r>
      <w:r w:rsidRPr="000E4143">
        <w:rPr>
          <w:rFonts w:ascii="Times New Roman" w:hAnsi="Times New Roman"/>
          <w:sz w:val="24"/>
          <w:szCs w:val="24"/>
        </w:rPr>
        <w:tab/>
      </w:r>
      <w:r w:rsidRPr="000E4143">
        <w:rPr>
          <w:rFonts w:ascii="Times New Roman" w:hAnsi="Times New Roman"/>
          <w:bCs/>
          <w:sz w:val="24"/>
          <w:szCs w:val="24"/>
        </w:rPr>
        <w:t>1.</w:t>
      </w:r>
      <w:r w:rsidRPr="000E4143">
        <w:rPr>
          <w:rFonts w:ascii="Times New Roman" w:hAnsi="Times New Roman"/>
          <w:bCs/>
          <w:sz w:val="24"/>
          <w:szCs w:val="24"/>
        </w:rPr>
        <w:tab/>
        <w:t xml:space="preserve">Changes in Capital Markets Support Staff’s Recommendation </w:t>
      </w:r>
    </w:p>
    <w:p w:rsidR="000E4143" w:rsidRDefault="000E4143" w:rsidP="008E07E5">
      <w:pPr>
        <w:tabs>
          <w:tab w:val="left" w:pos="720"/>
          <w:tab w:val="left" w:pos="1440"/>
          <w:tab w:val="left" w:pos="2160"/>
          <w:tab w:val="right" w:leader="dot" w:pos="9180"/>
        </w:tabs>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0E4143">
        <w:rPr>
          <w:rFonts w:ascii="Times New Roman" w:hAnsi="Times New Roman"/>
          <w:bCs/>
          <w:sz w:val="24"/>
          <w:szCs w:val="24"/>
        </w:rPr>
        <w:t>to Reduce the Company’s Cost of Equity</w:t>
      </w:r>
      <w:r>
        <w:rPr>
          <w:rFonts w:ascii="Times New Roman" w:hAnsi="Times New Roman"/>
          <w:bCs/>
          <w:sz w:val="24"/>
          <w:szCs w:val="24"/>
        </w:rPr>
        <w:t xml:space="preserve"> </w:t>
      </w:r>
      <w:r>
        <w:rPr>
          <w:rFonts w:ascii="Times New Roman" w:hAnsi="Times New Roman"/>
          <w:bCs/>
          <w:sz w:val="24"/>
          <w:szCs w:val="24"/>
        </w:rPr>
        <w:tab/>
      </w:r>
      <w:r w:rsidR="00076CFC">
        <w:rPr>
          <w:rFonts w:ascii="Times New Roman" w:hAnsi="Times New Roman"/>
          <w:bCs/>
          <w:sz w:val="24"/>
          <w:szCs w:val="24"/>
        </w:rPr>
        <w:t>7</w:t>
      </w:r>
    </w:p>
    <w:p w:rsidR="000E4143" w:rsidRDefault="000E4143" w:rsidP="008E07E5">
      <w:pPr>
        <w:tabs>
          <w:tab w:val="left" w:pos="720"/>
          <w:tab w:val="left" w:pos="1440"/>
          <w:tab w:val="left" w:pos="2160"/>
          <w:tab w:val="right" w:leader="dot" w:pos="9180"/>
        </w:tabs>
        <w:spacing w:after="0" w:line="240" w:lineRule="auto"/>
        <w:rPr>
          <w:rFonts w:ascii="Times New Roman" w:hAnsi="Times New Roman"/>
          <w:bCs/>
          <w:sz w:val="24"/>
          <w:szCs w:val="24"/>
        </w:rPr>
      </w:pPr>
    </w:p>
    <w:p w:rsidR="009D2609" w:rsidRDefault="009D2609" w:rsidP="008E07E5">
      <w:pPr>
        <w:tabs>
          <w:tab w:val="left" w:pos="720"/>
          <w:tab w:val="left" w:pos="1440"/>
          <w:tab w:val="left" w:pos="2160"/>
          <w:tab w:val="right" w:leader="dot" w:pos="9180"/>
        </w:tabs>
        <w:spacing w:after="0" w:line="240" w:lineRule="auto"/>
        <w:rPr>
          <w:rFonts w:ascii="Times New Roman" w:hAnsi="Times New Roman"/>
          <w:bCs/>
          <w:sz w:val="24"/>
          <w:szCs w:val="24"/>
        </w:rPr>
      </w:pPr>
      <w:r>
        <w:rPr>
          <w:rFonts w:ascii="Times New Roman" w:hAnsi="Times New Roman"/>
          <w:bCs/>
          <w:sz w:val="24"/>
          <w:szCs w:val="24"/>
        </w:rPr>
        <w:tab/>
      </w:r>
      <w:r w:rsidR="000E4143" w:rsidRPr="009D2609">
        <w:rPr>
          <w:rFonts w:ascii="Times New Roman" w:hAnsi="Times New Roman"/>
          <w:bCs/>
          <w:sz w:val="24"/>
          <w:szCs w:val="24"/>
        </w:rPr>
        <w:tab/>
      </w:r>
      <w:r w:rsidRPr="009D2609">
        <w:rPr>
          <w:rFonts w:ascii="Times New Roman" w:hAnsi="Times New Roman"/>
          <w:sz w:val="24"/>
          <w:szCs w:val="24"/>
        </w:rPr>
        <w:t>2.</w:t>
      </w:r>
      <w:r w:rsidRPr="009D2609">
        <w:rPr>
          <w:rFonts w:ascii="Times New Roman" w:hAnsi="Times New Roman"/>
          <w:sz w:val="24"/>
          <w:szCs w:val="24"/>
        </w:rPr>
        <w:tab/>
      </w:r>
      <w:r w:rsidR="005B79F5">
        <w:rPr>
          <w:rFonts w:ascii="Times New Roman" w:hAnsi="Times New Roman"/>
          <w:bCs/>
          <w:sz w:val="24"/>
          <w:szCs w:val="24"/>
        </w:rPr>
        <w:t>Mr. Elgin’s A</w:t>
      </w:r>
      <w:r w:rsidRPr="009D2609">
        <w:rPr>
          <w:rFonts w:ascii="Times New Roman" w:hAnsi="Times New Roman"/>
          <w:bCs/>
          <w:sz w:val="24"/>
          <w:szCs w:val="24"/>
        </w:rPr>
        <w:t xml:space="preserve">nalytical Methods </w:t>
      </w:r>
      <w:r w:rsidR="005B79F5">
        <w:rPr>
          <w:rFonts w:ascii="Times New Roman" w:hAnsi="Times New Roman"/>
          <w:bCs/>
          <w:sz w:val="24"/>
          <w:szCs w:val="24"/>
        </w:rPr>
        <w:t>Support</w:t>
      </w:r>
      <w:r w:rsidRPr="009D2609">
        <w:rPr>
          <w:rFonts w:ascii="Times New Roman" w:hAnsi="Times New Roman"/>
          <w:bCs/>
          <w:sz w:val="24"/>
          <w:szCs w:val="24"/>
        </w:rPr>
        <w:t xml:space="preserve"> a </w:t>
      </w:r>
    </w:p>
    <w:p w:rsidR="000E4143" w:rsidRDefault="009D2609" w:rsidP="008E07E5">
      <w:pPr>
        <w:tabs>
          <w:tab w:val="left" w:pos="720"/>
          <w:tab w:val="left" w:pos="1440"/>
          <w:tab w:val="left" w:pos="2160"/>
          <w:tab w:val="right" w:leader="dot" w:pos="9180"/>
        </w:tabs>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9D2609">
        <w:rPr>
          <w:rFonts w:ascii="Times New Roman" w:hAnsi="Times New Roman"/>
          <w:bCs/>
          <w:sz w:val="24"/>
          <w:szCs w:val="24"/>
        </w:rPr>
        <w:t xml:space="preserve">Reduction in </w:t>
      </w:r>
      <w:r w:rsidR="005B79F5">
        <w:rPr>
          <w:rFonts w:ascii="Times New Roman" w:hAnsi="Times New Roman"/>
          <w:bCs/>
          <w:sz w:val="24"/>
          <w:szCs w:val="24"/>
        </w:rPr>
        <w:t>PSE’s</w:t>
      </w:r>
      <w:r w:rsidRPr="009D2609">
        <w:rPr>
          <w:rFonts w:ascii="Times New Roman" w:hAnsi="Times New Roman"/>
          <w:bCs/>
          <w:sz w:val="24"/>
          <w:szCs w:val="24"/>
        </w:rPr>
        <w:t xml:space="preserve"> Equity</w:t>
      </w:r>
      <w:r>
        <w:rPr>
          <w:rFonts w:ascii="Times New Roman" w:hAnsi="Times New Roman"/>
          <w:bCs/>
          <w:sz w:val="24"/>
          <w:szCs w:val="24"/>
        </w:rPr>
        <w:t xml:space="preserve"> </w:t>
      </w:r>
      <w:r w:rsidR="009F7CCF">
        <w:rPr>
          <w:rFonts w:ascii="Times New Roman" w:hAnsi="Times New Roman"/>
          <w:bCs/>
          <w:sz w:val="24"/>
          <w:szCs w:val="24"/>
        </w:rPr>
        <w:t xml:space="preserve">Return </w:t>
      </w:r>
      <w:r>
        <w:rPr>
          <w:rFonts w:ascii="Times New Roman" w:hAnsi="Times New Roman"/>
          <w:bCs/>
          <w:sz w:val="24"/>
          <w:szCs w:val="24"/>
        </w:rPr>
        <w:tab/>
      </w:r>
      <w:r w:rsidR="007940EB">
        <w:rPr>
          <w:rFonts w:ascii="Times New Roman" w:hAnsi="Times New Roman"/>
          <w:bCs/>
          <w:sz w:val="24"/>
          <w:szCs w:val="24"/>
        </w:rPr>
        <w:t>7</w:t>
      </w:r>
    </w:p>
    <w:p w:rsidR="009C5519" w:rsidRDefault="009C5519" w:rsidP="008E07E5">
      <w:pPr>
        <w:tabs>
          <w:tab w:val="left" w:pos="720"/>
          <w:tab w:val="left" w:pos="1440"/>
          <w:tab w:val="left" w:pos="2160"/>
          <w:tab w:val="right" w:leader="dot" w:pos="9180"/>
        </w:tabs>
        <w:spacing w:after="0" w:line="240" w:lineRule="auto"/>
        <w:rPr>
          <w:rFonts w:ascii="Times New Roman" w:hAnsi="Times New Roman"/>
          <w:bCs/>
          <w:sz w:val="24"/>
          <w:szCs w:val="24"/>
        </w:rPr>
      </w:pPr>
    </w:p>
    <w:p w:rsidR="009C5519" w:rsidRDefault="009C5519" w:rsidP="008E07E5">
      <w:pPr>
        <w:tabs>
          <w:tab w:val="left" w:pos="720"/>
          <w:tab w:val="left" w:pos="1440"/>
          <w:tab w:val="left" w:pos="2160"/>
          <w:tab w:val="right" w:leader="dot" w:pos="9180"/>
        </w:tabs>
        <w:spacing w:after="0" w:line="240" w:lineRule="auto"/>
        <w:rPr>
          <w:rFonts w:ascii="Times New Roman" w:hAnsi="Times New Roman"/>
          <w:sz w:val="24"/>
          <w:szCs w:val="24"/>
        </w:rPr>
      </w:pPr>
      <w:r w:rsidRPr="009C5519">
        <w:rPr>
          <w:rFonts w:ascii="Times New Roman" w:hAnsi="Times New Roman"/>
          <w:bCs/>
          <w:sz w:val="24"/>
          <w:szCs w:val="24"/>
        </w:rPr>
        <w:tab/>
      </w:r>
      <w:r w:rsidRPr="009C5519">
        <w:rPr>
          <w:rFonts w:ascii="Times New Roman" w:hAnsi="Times New Roman"/>
          <w:sz w:val="24"/>
          <w:szCs w:val="24"/>
        </w:rPr>
        <w:t>C.</w:t>
      </w:r>
      <w:r w:rsidRPr="009C5519">
        <w:rPr>
          <w:rFonts w:ascii="Times New Roman" w:hAnsi="Times New Roman"/>
          <w:sz w:val="24"/>
          <w:szCs w:val="24"/>
        </w:rPr>
        <w:tab/>
        <w:t>The Company Has Failed to Carry Its Burden to Prove Attrition</w:t>
      </w:r>
      <w:r>
        <w:rPr>
          <w:rFonts w:ascii="Times New Roman" w:hAnsi="Times New Roman"/>
          <w:sz w:val="24"/>
          <w:szCs w:val="24"/>
        </w:rPr>
        <w:t xml:space="preserve"> </w:t>
      </w:r>
      <w:r>
        <w:rPr>
          <w:rFonts w:ascii="Times New Roman" w:hAnsi="Times New Roman"/>
          <w:sz w:val="24"/>
          <w:szCs w:val="24"/>
        </w:rPr>
        <w:tab/>
      </w:r>
      <w:r w:rsidR="00076CFC">
        <w:rPr>
          <w:rFonts w:ascii="Times New Roman" w:hAnsi="Times New Roman"/>
          <w:sz w:val="24"/>
          <w:szCs w:val="24"/>
        </w:rPr>
        <w:t>10</w:t>
      </w:r>
    </w:p>
    <w:p w:rsidR="009C5519" w:rsidRDefault="009C5519" w:rsidP="008E07E5">
      <w:pPr>
        <w:tabs>
          <w:tab w:val="left" w:pos="720"/>
          <w:tab w:val="left" w:pos="1440"/>
          <w:tab w:val="left" w:pos="2160"/>
          <w:tab w:val="right" w:leader="dot" w:pos="9180"/>
        </w:tabs>
        <w:spacing w:after="0" w:line="240" w:lineRule="auto"/>
        <w:rPr>
          <w:rFonts w:ascii="Times New Roman" w:hAnsi="Times New Roman"/>
          <w:sz w:val="24"/>
          <w:szCs w:val="24"/>
        </w:rPr>
      </w:pPr>
    </w:p>
    <w:p w:rsidR="00BC5DB6" w:rsidRDefault="00BC5DB6" w:rsidP="008E07E5">
      <w:pPr>
        <w:tabs>
          <w:tab w:val="left" w:pos="720"/>
          <w:tab w:val="left" w:pos="1440"/>
          <w:tab w:val="left" w:pos="2160"/>
          <w:tab w:val="right" w:leader="dot" w:pos="9180"/>
        </w:tabs>
        <w:spacing w:after="0" w:line="240" w:lineRule="auto"/>
        <w:rPr>
          <w:rFonts w:ascii="Times New Roman" w:hAnsi="Times New Roman"/>
          <w:bCs/>
          <w:sz w:val="24"/>
          <w:szCs w:val="24"/>
        </w:rPr>
      </w:pPr>
      <w:r w:rsidRPr="00BC5DB6">
        <w:rPr>
          <w:rFonts w:ascii="Times New Roman" w:hAnsi="Times New Roman"/>
          <w:bCs/>
          <w:sz w:val="24"/>
          <w:szCs w:val="24"/>
        </w:rPr>
        <w:tab/>
      </w:r>
      <w:r w:rsidRPr="00BC5DB6">
        <w:rPr>
          <w:rFonts w:ascii="Times New Roman" w:hAnsi="Times New Roman"/>
          <w:bCs/>
          <w:sz w:val="24"/>
          <w:szCs w:val="24"/>
        </w:rPr>
        <w:tab/>
        <w:t>1.</w:t>
      </w:r>
      <w:r w:rsidRPr="00BC5DB6">
        <w:rPr>
          <w:rFonts w:ascii="Times New Roman" w:hAnsi="Times New Roman"/>
          <w:bCs/>
          <w:sz w:val="24"/>
          <w:szCs w:val="24"/>
        </w:rPr>
        <w:tab/>
        <w:t xml:space="preserve">PSE’s Remedies for Attrition Violate Commission </w:t>
      </w:r>
    </w:p>
    <w:p w:rsidR="009C5519" w:rsidRDefault="00BC5DB6" w:rsidP="008E07E5">
      <w:pPr>
        <w:tabs>
          <w:tab w:val="left" w:pos="720"/>
          <w:tab w:val="left" w:pos="1440"/>
          <w:tab w:val="left" w:pos="2160"/>
          <w:tab w:val="right" w:leader="dot" w:pos="9180"/>
        </w:tabs>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BC5DB6">
        <w:rPr>
          <w:rFonts w:ascii="Times New Roman" w:hAnsi="Times New Roman"/>
          <w:bCs/>
          <w:sz w:val="24"/>
          <w:szCs w:val="24"/>
        </w:rPr>
        <w:t>Policy and Practice</w:t>
      </w:r>
      <w:r>
        <w:rPr>
          <w:rFonts w:ascii="Times New Roman" w:hAnsi="Times New Roman"/>
          <w:bCs/>
          <w:sz w:val="24"/>
          <w:szCs w:val="24"/>
        </w:rPr>
        <w:t xml:space="preserve"> </w:t>
      </w:r>
      <w:r>
        <w:rPr>
          <w:rFonts w:ascii="Times New Roman" w:hAnsi="Times New Roman"/>
          <w:bCs/>
          <w:sz w:val="24"/>
          <w:szCs w:val="24"/>
        </w:rPr>
        <w:tab/>
      </w:r>
      <w:r w:rsidR="00076CFC">
        <w:rPr>
          <w:rFonts w:ascii="Times New Roman" w:hAnsi="Times New Roman"/>
          <w:bCs/>
          <w:sz w:val="24"/>
          <w:szCs w:val="24"/>
        </w:rPr>
        <w:t>11</w:t>
      </w:r>
    </w:p>
    <w:p w:rsidR="00BC5DB6" w:rsidRDefault="00BC5DB6" w:rsidP="008E07E5">
      <w:pPr>
        <w:tabs>
          <w:tab w:val="left" w:pos="720"/>
          <w:tab w:val="left" w:pos="1440"/>
          <w:tab w:val="left" w:pos="2160"/>
          <w:tab w:val="right" w:leader="dot" w:pos="9180"/>
        </w:tabs>
        <w:spacing w:after="0" w:line="240" w:lineRule="auto"/>
        <w:rPr>
          <w:rFonts w:ascii="Times New Roman" w:hAnsi="Times New Roman"/>
          <w:bCs/>
          <w:sz w:val="24"/>
          <w:szCs w:val="24"/>
        </w:rPr>
      </w:pPr>
    </w:p>
    <w:p w:rsidR="004A1BB7" w:rsidRDefault="004A1BB7"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4A1BB7">
        <w:rPr>
          <w:rFonts w:ascii="Times New Roman" w:hAnsi="Times New Roman" w:cs="Times New Roman"/>
          <w:bCs/>
          <w:sz w:val="24"/>
          <w:szCs w:val="24"/>
        </w:rPr>
        <w:t>2.</w:t>
      </w:r>
      <w:r w:rsidRPr="004A1BB7">
        <w:rPr>
          <w:rFonts w:ascii="Times New Roman" w:hAnsi="Times New Roman" w:cs="Times New Roman"/>
          <w:bCs/>
          <w:sz w:val="24"/>
          <w:szCs w:val="24"/>
        </w:rPr>
        <w:tab/>
        <w:t xml:space="preserve">Per Books Earnings Lower Than Authorized Levels </w:t>
      </w:r>
    </w:p>
    <w:p w:rsidR="00BC5DB6" w:rsidRDefault="004A1BB7"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A1BB7">
        <w:rPr>
          <w:rFonts w:ascii="Times New Roman" w:hAnsi="Times New Roman" w:cs="Times New Roman"/>
          <w:bCs/>
          <w:sz w:val="24"/>
          <w:szCs w:val="24"/>
        </w:rPr>
        <w:t>Is Insufficient Evidence of Attrition</w:t>
      </w:r>
      <w:r>
        <w:rPr>
          <w:rFonts w:ascii="Times New Roman" w:hAnsi="Times New Roman" w:cs="Times New Roman"/>
          <w:bCs/>
          <w:sz w:val="24"/>
          <w:szCs w:val="24"/>
        </w:rPr>
        <w:t xml:space="preserve"> </w:t>
      </w:r>
      <w:r>
        <w:rPr>
          <w:rFonts w:ascii="Times New Roman" w:hAnsi="Times New Roman" w:cs="Times New Roman"/>
          <w:bCs/>
          <w:sz w:val="24"/>
          <w:szCs w:val="24"/>
        </w:rPr>
        <w:tab/>
      </w:r>
      <w:r w:rsidR="00C179D6">
        <w:rPr>
          <w:rFonts w:ascii="Times New Roman" w:hAnsi="Times New Roman" w:cs="Times New Roman"/>
          <w:bCs/>
          <w:sz w:val="24"/>
          <w:szCs w:val="24"/>
        </w:rPr>
        <w:t>12</w:t>
      </w:r>
    </w:p>
    <w:p w:rsidR="004A1BB7" w:rsidRDefault="004A1BB7"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F67DE9" w:rsidRDefault="00F67DE9" w:rsidP="008E07E5">
      <w:pPr>
        <w:tabs>
          <w:tab w:val="left" w:pos="720"/>
          <w:tab w:val="left" w:pos="1440"/>
          <w:tab w:val="left" w:pos="2160"/>
          <w:tab w:val="right" w:leader="dot" w:pos="9180"/>
        </w:tabs>
        <w:spacing w:after="0" w:line="240" w:lineRule="auto"/>
        <w:rPr>
          <w:rFonts w:ascii="Times New Roman" w:hAnsi="Times New Roman"/>
          <w:sz w:val="24"/>
          <w:szCs w:val="24"/>
        </w:rPr>
      </w:pPr>
      <w:r w:rsidRPr="00F67DE9">
        <w:rPr>
          <w:rFonts w:ascii="Times New Roman" w:hAnsi="Times New Roman" w:cs="Times New Roman"/>
          <w:bCs/>
          <w:sz w:val="24"/>
          <w:szCs w:val="24"/>
        </w:rPr>
        <w:tab/>
      </w:r>
      <w:r w:rsidRPr="00F67DE9">
        <w:rPr>
          <w:rFonts w:ascii="Times New Roman" w:hAnsi="Times New Roman" w:cs="Times New Roman"/>
          <w:sz w:val="24"/>
          <w:szCs w:val="24"/>
        </w:rPr>
        <w:t>D.</w:t>
      </w:r>
      <w:r w:rsidRPr="00F67DE9">
        <w:rPr>
          <w:rFonts w:ascii="Times New Roman" w:hAnsi="Times New Roman" w:cs="Times New Roman"/>
          <w:sz w:val="24"/>
          <w:szCs w:val="24"/>
        </w:rPr>
        <w:tab/>
        <w:t>Staff’s Proposal for Expedited Rate Relief Will Address the</w:t>
      </w:r>
      <w:r w:rsidRPr="00F67DE9">
        <w:rPr>
          <w:rFonts w:ascii="Times New Roman" w:hAnsi="Times New Roman"/>
          <w:sz w:val="24"/>
          <w:szCs w:val="24"/>
        </w:rPr>
        <w:t xml:space="preserve"> </w:t>
      </w:r>
    </w:p>
    <w:p w:rsidR="00F67DE9" w:rsidRDefault="00F67DE9" w:rsidP="008E07E5">
      <w:pPr>
        <w:tabs>
          <w:tab w:val="left" w:pos="720"/>
          <w:tab w:val="left" w:pos="1440"/>
          <w:tab w:val="left" w:pos="216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67DE9">
        <w:rPr>
          <w:rFonts w:ascii="Times New Roman" w:hAnsi="Times New Roman"/>
          <w:sz w:val="24"/>
          <w:szCs w:val="24"/>
        </w:rPr>
        <w:t>Issue of Regulatory Lag</w:t>
      </w:r>
      <w:r>
        <w:rPr>
          <w:rFonts w:ascii="Times New Roman" w:hAnsi="Times New Roman"/>
          <w:sz w:val="24"/>
          <w:szCs w:val="24"/>
        </w:rPr>
        <w:t xml:space="preserve"> </w:t>
      </w:r>
      <w:r>
        <w:rPr>
          <w:rFonts w:ascii="Times New Roman" w:hAnsi="Times New Roman"/>
          <w:sz w:val="24"/>
          <w:szCs w:val="24"/>
        </w:rPr>
        <w:tab/>
      </w:r>
      <w:r w:rsidR="008D13C6">
        <w:rPr>
          <w:rFonts w:ascii="Times New Roman" w:hAnsi="Times New Roman"/>
          <w:sz w:val="24"/>
          <w:szCs w:val="24"/>
        </w:rPr>
        <w:t>13</w:t>
      </w:r>
    </w:p>
    <w:p w:rsidR="00F67DE9" w:rsidRDefault="00F67DE9" w:rsidP="008E07E5">
      <w:pPr>
        <w:tabs>
          <w:tab w:val="left" w:pos="720"/>
          <w:tab w:val="left" w:pos="1440"/>
          <w:tab w:val="left" w:pos="2160"/>
          <w:tab w:val="right" w:leader="dot" w:pos="9180"/>
        </w:tabs>
        <w:spacing w:after="0" w:line="240" w:lineRule="auto"/>
        <w:rPr>
          <w:rFonts w:ascii="Times New Roman" w:hAnsi="Times New Roman"/>
          <w:sz w:val="24"/>
          <w:szCs w:val="24"/>
        </w:rPr>
      </w:pPr>
    </w:p>
    <w:p w:rsidR="00F67DE9" w:rsidRDefault="00ED0A39"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III.</w:t>
      </w:r>
      <w:r>
        <w:rPr>
          <w:rFonts w:ascii="Times New Roman" w:hAnsi="Times New Roman" w:cs="Times New Roman"/>
          <w:bCs/>
          <w:sz w:val="24"/>
          <w:szCs w:val="24"/>
        </w:rPr>
        <w:tab/>
        <w:t xml:space="preserve">RESOURCE ACQUISITION </w:t>
      </w:r>
      <w:r>
        <w:rPr>
          <w:rFonts w:ascii="Times New Roman" w:hAnsi="Times New Roman" w:cs="Times New Roman"/>
          <w:bCs/>
          <w:sz w:val="24"/>
          <w:szCs w:val="24"/>
        </w:rPr>
        <w:tab/>
      </w:r>
      <w:r w:rsidR="008D13C6">
        <w:rPr>
          <w:rFonts w:ascii="Times New Roman" w:hAnsi="Times New Roman" w:cs="Times New Roman"/>
          <w:bCs/>
          <w:sz w:val="24"/>
          <w:szCs w:val="24"/>
        </w:rPr>
        <w:t>15</w:t>
      </w:r>
    </w:p>
    <w:p w:rsidR="00ED0A39" w:rsidRDefault="00ED0A39"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ED0A39" w:rsidRDefault="00ED0A39"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D0A39">
        <w:rPr>
          <w:rFonts w:ascii="Times New Roman" w:hAnsi="Times New Roman" w:cs="Times New Roman"/>
          <w:sz w:val="24"/>
          <w:szCs w:val="24"/>
        </w:rPr>
        <w:t>A.</w:t>
      </w:r>
      <w:r w:rsidRPr="00ED0A39">
        <w:rPr>
          <w:rFonts w:ascii="Times New Roman" w:hAnsi="Times New Roman" w:cs="Times New Roman"/>
          <w:sz w:val="24"/>
          <w:szCs w:val="24"/>
        </w:rPr>
        <w:tab/>
        <w:t>Klamath Winter Power Purchase Agreement</w:t>
      </w:r>
      <w:r>
        <w:rPr>
          <w:rFonts w:ascii="Times New Roman" w:hAnsi="Times New Roman" w:cs="Times New Roman"/>
          <w:sz w:val="24"/>
          <w:szCs w:val="24"/>
        </w:rPr>
        <w:t xml:space="preserve"> </w:t>
      </w:r>
      <w:r>
        <w:rPr>
          <w:rFonts w:ascii="Times New Roman" w:hAnsi="Times New Roman" w:cs="Times New Roman"/>
          <w:sz w:val="24"/>
          <w:szCs w:val="24"/>
        </w:rPr>
        <w:tab/>
      </w:r>
      <w:r w:rsidR="008D13C6">
        <w:rPr>
          <w:rFonts w:ascii="Times New Roman" w:hAnsi="Times New Roman" w:cs="Times New Roman"/>
          <w:sz w:val="24"/>
          <w:szCs w:val="24"/>
        </w:rPr>
        <w:t>15</w:t>
      </w:r>
    </w:p>
    <w:p w:rsidR="00ED0A39" w:rsidRDefault="00ED0A39"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ED0A39" w:rsidRDefault="00B06D03"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B.</w:t>
      </w:r>
      <w:r>
        <w:rPr>
          <w:rFonts w:ascii="Times New Roman" w:hAnsi="Times New Roman" w:cs="Times New Roman"/>
          <w:bCs/>
          <w:sz w:val="24"/>
          <w:szCs w:val="24"/>
        </w:rPr>
        <w:tab/>
        <w:t xml:space="preserve">Lower Snake River Wind Project </w:t>
      </w:r>
      <w:r>
        <w:rPr>
          <w:rFonts w:ascii="Times New Roman" w:hAnsi="Times New Roman" w:cs="Times New Roman"/>
          <w:bCs/>
          <w:sz w:val="24"/>
          <w:szCs w:val="24"/>
        </w:rPr>
        <w:tab/>
      </w:r>
      <w:r w:rsidR="007940EB">
        <w:rPr>
          <w:rFonts w:ascii="Times New Roman" w:hAnsi="Times New Roman" w:cs="Times New Roman"/>
          <w:bCs/>
          <w:sz w:val="24"/>
          <w:szCs w:val="24"/>
        </w:rPr>
        <w:t>15</w:t>
      </w:r>
    </w:p>
    <w:p w:rsidR="00B06D03" w:rsidRDefault="00B06D03"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B06D03" w:rsidRDefault="00B06D03"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1.</w:t>
      </w:r>
      <w:r>
        <w:rPr>
          <w:rFonts w:ascii="Times New Roman" w:hAnsi="Times New Roman" w:cs="Times New Roman"/>
          <w:bCs/>
          <w:sz w:val="24"/>
          <w:szCs w:val="24"/>
        </w:rPr>
        <w:tab/>
        <w:t xml:space="preserve">Background </w:t>
      </w:r>
      <w:r>
        <w:rPr>
          <w:rFonts w:ascii="Times New Roman" w:hAnsi="Times New Roman" w:cs="Times New Roman"/>
          <w:bCs/>
          <w:sz w:val="24"/>
          <w:szCs w:val="24"/>
        </w:rPr>
        <w:tab/>
      </w:r>
      <w:r w:rsidR="007940EB">
        <w:rPr>
          <w:rFonts w:ascii="Times New Roman" w:hAnsi="Times New Roman" w:cs="Times New Roman"/>
          <w:bCs/>
          <w:sz w:val="24"/>
          <w:szCs w:val="24"/>
        </w:rPr>
        <w:t>15</w:t>
      </w:r>
    </w:p>
    <w:p w:rsidR="00B06D03" w:rsidRDefault="00B06D03"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B06D03" w:rsidRDefault="007A7065"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w:t>
      </w:r>
      <w:r>
        <w:rPr>
          <w:rFonts w:ascii="Times New Roman" w:hAnsi="Times New Roman" w:cs="Times New Roman"/>
          <w:bCs/>
          <w:sz w:val="24"/>
          <w:szCs w:val="24"/>
        </w:rPr>
        <w:tab/>
        <w:t xml:space="preserve">Legal Standards </w:t>
      </w:r>
      <w:r>
        <w:rPr>
          <w:rFonts w:ascii="Times New Roman" w:hAnsi="Times New Roman" w:cs="Times New Roman"/>
          <w:bCs/>
          <w:sz w:val="24"/>
          <w:szCs w:val="24"/>
        </w:rPr>
        <w:tab/>
      </w:r>
      <w:r w:rsidR="008D13C6">
        <w:rPr>
          <w:rFonts w:ascii="Times New Roman" w:hAnsi="Times New Roman" w:cs="Times New Roman"/>
          <w:bCs/>
          <w:sz w:val="24"/>
          <w:szCs w:val="24"/>
        </w:rPr>
        <w:t>16</w:t>
      </w:r>
    </w:p>
    <w:p w:rsidR="007A7065" w:rsidRDefault="007A7065"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7A7065" w:rsidRDefault="007A7065" w:rsidP="008E07E5">
      <w:pPr>
        <w:tabs>
          <w:tab w:val="left" w:pos="720"/>
          <w:tab w:val="left" w:pos="1440"/>
          <w:tab w:val="left" w:pos="2160"/>
          <w:tab w:val="right" w:leader="dot" w:pos="9180"/>
        </w:tabs>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7A7065">
        <w:rPr>
          <w:rFonts w:ascii="Times New Roman" w:hAnsi="Times New Roman"/>
          <w:sz w:val="24"/>
          <w:szCs w:val="24"/>
        </w:rPr>
        <w:t>3.</w:t>
      </w:r>
      <w:r w:rsidRPr="007A7065">
        <w:rPr>
          <w:rFonts w:ascii="Times New Roman" w:hAnsi="Times New Roman"/>
          <w:sz w:val="24"/>
          <w:szCs w:val="24"/>
        </w:rPr>
        <w:tab/>
        <w:t xml:space="preserve">The Company’s Acquisition </w:t>
      </w:r>
      <w:r w:rsidR="00644F72">
        <w:rPr>
          <w:rFonts w:ascii="Times New Roman" w:hAnsi="Times New Roman"/>
          <w:sz w:val="24"/>
          <w:szCs w:val="24"/>
        </w:rPr>
        <w:t xml:space="preserve">of LSR </w:t>
      </w:r>
      <w:r w:rsidRPr="007A7065">
        <w:rPr>
          <w:rFonts w:ascii="Times New Roman" w:hAnsi="Times New Roman"/>
          <w:sz w:val="24"/>
          <w:szCs w:val="24"/>
        </w:rPr>
        <w:t xml:space="preserve">Satisfied All Applicable </w:t>
      </w:r>
    </w:p>
    <w:p w:rsidR="007A7065" w:rsidRDefault="007A7065" w:rsidP="008E07E5">
      <w:pPr>
        <w:tabs>
          <w:tab w:val="left" w:pos="720"/>
          <w:tab w:val="left" w:pos="1440"/>
          <w:tab w:val="left" w:pos="216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7065">
        <w:rPr>
          <w:rFonts w:ascii="Times New Roman" w:hAnsi="Times New Roman"/>
          <w:sz w:val="24"/>
          <w:szCs w:val="24"/>
        </w:rPr>
        <w:t>Legal Standards</w:t>
      </w:r>
      <w:r w:rsidR="005B79F5">
        <w:rPr>
          <w:rFonts w:ascii="Times New Roman" w:hAnsi="Times New Roman"/>
          <w:sz w:val="24"/>
          <w:szCs w:val="24"/>
        </w:rPr>
        <w:t xml:space="preserve"> </w:t>
      </w:r>
      <w:r>
        <w:rPr>
          <w:rFonts w:ascii="Times New Roman" w:hAnsi="Times New Roman"/>
          <w:sz w:val="24"/>
          <w:szCs w:val="24"/>
        </w:rPr>
        <w:tab/>
      </w:r>
      <w:r w:rsidR="00322948">
        <w:rPr>
          <w:rFonts w:ascii="Times New Roman" w:hAnsi="Times New Roman"/>
          <w:sz w:val="24"/>
          <w:szCs w:val="24"/>
        </w:rPr>
        <w:t>17</w:t>
      </w:r>
    </w:p>
    <w:p w:rsidR="007A7065" w:rsidRDefault="007A7065" w:rsidP="008E07E5">
      <w:pPr>
        <w:tabs>
          <w:tab w:val="left" w:pos="720"/>
          <w:tab w:val="left" w:pos="1440"/>
          <w:tab w:val="left" w:pos="2160"/>
          <w:tab w:val="right" w:leader="dot" w:pos="9180"/>
        </w:tabs>
        <w:spacing w:after="0" w:line="240" w:lineRule="auto"/>
        <w:rPr>
          <w:rFonts w:ascii="Times New Roman" w:hAnsi="Times New Roman"/>
          <w:sz w:val="24"/>
          <w:szCs w:val="24"/>
        </w:rPr>
      </w:pPr>
    </w:p>
    <w:p w:rsidR="00686E8E" w:rsidRDefault="00686E8E"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6E8E">
        <w:rPr>
          <w:rFonts w:ascii="Times New Roman" w:hAnsi="Times New Roman" w:cs="Times New Roman"/>
          <w:sz w:val="24"/>
          <w:szCs w:val="24"/>
        </w:rPr>
        <w:t>4.</w:t>
      </w:r>
      <w:r w:rsidRPr="00686E8E">
        <w:rPr>
          <w:rFonts w:ascii="Times New Roman" w:hAnsi="Times New Roman" w:cs="Times New Roman"/>
          <w:sz w:val="24"/>
          <w:szCs w:val="24"/>
        </w:rPr>
        <w:tab/>
        <w:t xml:space="preserve">Public Counsel’s and ICNU’s Criticisms of </w:t>
      </w:r>
      <w:r w:rsidR="005B79F5">
        <w:rPr>
          <w:rFonts w:ascii="Times New Roman" w:hAnsi="Times New Roman" w:cs="Times New Roman"/>
          <w:sz w:val="24"/>
          <w:szCs w:val="24"/>
        </w:rPr>
        <w:t xml:space="preserve">LSR are </w:t>
      </w:r>
    </w:p>
    <w:p w:rsidR="007A7065" w:rsidRDefault="00686E8E"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6E8E">
        <w:rPr>
          <w:rFonts w:ascii="Times New Roman" w:hAnsi="Times New Roman" w:cs="Times New Roman"/>
          <w:sz w:val="24"/>
          <w:szCs w:val="24"/>
        </w:rPr>
        <w:t>Unsupported and Should Be Rejected By the Commission</w:t>
      </w:r>
      <w:r>
        <w:rPr>
          <w:rFonts w:ascii="Times New Roman" w:hAnsi="Times New Roman" w:cs="Times New Roman"/>
          <w:sz w:val="24"/>
          <w:szCs w:val="24"/>
        </w:rPr>
        <w:t xml:space="preserve"> </w:t>
      </w:r>
      <w:r>
        <w:rPr>
          <w:rFonts w:ascii="Times New Roman" w:hAnsi="Times New Roman" w:cs="Times New Roman"/>
          <w:sz w:val="24"/>
          <w:szCs w:val="24"/>
        </w:rPr>
        <w:tab/>
      </w:r>
      <w:r w:rsidR="004669A8">
        <w:rPr>
          <w:rFonts w:ascii="Times New Roman" w:hAnsi="Times New Roman" w:cs="Times New Roman"/>
          <w:sz w:val="24"/>
          <w:szCs w:val="24"/>
        </w:rPr>
        <w:t>19</w:t>
      </w:r>
    </w:p>
    <w:p w:rsidR="00686E8E" w:rsidRDefault="00686E8E" w:rsidP="008E07E5">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686E8E" w:rsidRDefault="00686E8E"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sidRPr="00686E8E">
        <w:rPr>
          <w:rFonts w:ascii="Times New Roman" w:hAnsi="Times New Roman" w:cs="Times New Roman"/>
          <w:sz w:val="24"/>
          <w:szCs w:val="24"/>
        </w:rPr>
        <w:tab/>
      </w:r>
      <w:r w:rsidRPr="00686E8E">
        <w:rPr>
          <w:rFonts w:ascii="Times New Roman" w:hAnsi="Times New Roman" w:cs="Times New Roman"/>
          <w:sz w:val="24"/>
          <w:szCs w:val="24"/>
        </w:rPr>
        <w:tab/>
      </w:r>
      <w:r w:rsidRPr="00686E8E">
        <w:rPr>
          <w:rFonts w:ascii="Times New Roman" w:hAnsi="Times New Roman" w:cs="Times New Roman"/>
          <w:sz w:val="24"/>
          <w:szCs w:val="24"/>
        </w:rPr>
        <w:tab/>
        <w:t>a.</w:t>
      </w:r>
      <w:r w:rsidRPr="00686E8E">
        <w:rPr>
          <w:rFonts w:ascii="Times New Roman" w:hAnsi="Times New Roman" w:cs="Times New Roman"/>
          <w:sz w:val="24"/>
          <w:szCs w:val="24"/>
        </w:rPr>
        <w:tab/>
      </w:r>
      <w:r w:rsidR="005B79F5">
        <w:rPr>
          <w:rFonts w:ascii="Times New Roman" w:hAnsi="Times New Roman"/>
          <w:sz w:val="24"/>
          <w:szCs w:val="24"/>
        </w:rPr>
        <w:t>PSE Properly</w:t>
      </w:r>
      <w:r w:rsidRPr="00686E8E">
        <w:rPr>
          <w:rFonts w:ascii="Times New Roman" w:hAnsi="Times New Roman"/>
          <w:sz w:val="24"/>
          <w:szCs w:val="24"/>
        </w:rPr>
        <w:t xml:space="preserve"> Evaluated LSR Against </w:t>
      </w:r>
    </w:p>
    <w:p w:rsidR="00686E8E" w:rsidRDefault="00686E8E"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715F">
        <w:rPr>
          <w:rFonts w:ascii="Times New Roman" w:hAnsi="Times New Roman"/>
          <w:sz w:val="24"/>
          <w:szCs w:val="24"/>
        </w:rPr>
        <w:t xml:space="preserve">Other Available </w:t>
      </w:r>
      <w:r w:rsidRPr="00686E8E">
        <w:rPr>
          <w:rFonts w:ascii="Times New Roman" w:hAnsi="Times New Roman"/>
          <w:sz w:val="24"/>
          <w:szCs w:val="24"/>
        </w:rPr>
        <w:t>Renewable Resources</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20</w:t>
      </w:r>
    </w:p>
    <w:p w:rsidR="00686E8E" w:rsidRDefault="00686E8E"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10715F" w:rsidRDefault="0010715F"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sidRPr="0010715F">
        <w:rPr>
          <w:rFonts w:ascii="Times New Roman" w:hAnsi="Times New Roman"/>
          <w:sz w:val="24"/>
          <w:szCs w:val="24"/>
        </w:rPr>
        <w:tab/>
      </w:r>
      <w:r w:rsidRPr="0010715F">
        <w:rPr>
          <w:rFonts w:ascii="Times New Roman" w:hAnsi="Times New Roman"/>
          <w:sz w:val="24"/>
          <w:szCs w:val="24"/>
        </w:rPr>
        <w:tab/>
      </w:r>
      <w:r w:rsidRPr="0010715F">
        <w:rPr>
          <w:rFonts w:ascii="Times New Roman" w:hAnsi="Times New Roman"/>
          <w:sz w:val="24"/>
          <w:szCs w:val="24"/>
        </w:rPr>
        <w:tab/>
        <w:t>b.</w:t>
      </w:r>
      <w:r w:rsidRPr="0010715F">
        <w:rPr>
          <w:rFonts w:ascii="Times New Roman" w:hAnsi="Times New Roman"/>
          <w:sz w:val="24"/>
          <w:szCs w:val="24"/>
        </w:rPr>
        <w:tab/>
        <w:t xml:space="preserve">The Company </w:t>
      </w:r>
      <w:r w:rsidR="005B79F5">
        <w:rPr>
          <w:rFonts w:ascii="Times New Roman" w:hAnsi="Times New Roman"/>
          <w:sz w:val="24"/>
          <w:szCs w:val="24"/>
        </w:rPr>
        <w:t xml:space="preserve">Properly </w:t>
      </w:r>
      <w:r w:rsidRPr="0010715F">
        <w:rPr>
          <w:rFonts w:ascii="Times New Roman" w:hAnsi="Times New Roman"/>
          <w:sz w:val="24"/>
          <w:szCs w:val="24"/>
        </w:rPr>
        <w:t xml:space="preserve">Evaluated the Impact </w:t>
      </w:r>
    </w:p>
    <w:p w:rsidR="00686E8E" w:rsidRPr="0010715F" w:rsidRDefault="0010715F"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715F">
        <w:rPr>
          <w:rFonts w:ascii="Times New Roman" w:hAnsi="Times New Roman"/>
          <w:sz w:val="24"/>
          <w:szCs w:val="24"/>
        </w:rPr>
        <w:t>of REC Banking</w:t>
      </w:r>
      <w:r>
        <w:rPr>
          <w:rFonts w:ascii="Times New Roman" w:hAnsi="Times New Roman"/>
          <w:sz w:val="24"/>
          <w:szCs w:val="24"/>
        </w:rPr>
        <w:t xml:space="preserve"> </w:t>
      </w:r>
      <w:r>
        <w:rPr>
          <w:rFonts w:ascii="Times New Roman" w:hAnsi="Times New Roman"/>
          <w:sz w:val="24"/>
          <w:szCs w:val="24"/>
        </w:rPr>
        <w:tab/>
      </w:r>
      <w:r w:rsidR="009F7CCF">
        <w:rPr>
          <w:rFonts w:ascii="Times New Roman" w:hAnsi="Times New Roman"/>
          <w:sz w:val="24"/>
          <w:szCs w:val="24"/>
        </w:rPr>
        <w:t>21</w:t>
      </w:r>
    </w:p>
    <w:p w:rsidR="007A7065" w:rsidRPr="007A7065" w:rsidRDefault="007A7065" w:rsidP="008E07E5">
      <w:pPr>
        <w:tabs>
          <w:tab w:val="left" w:pos="720"/>
          <w:tab w:val="left" w:pos="1440"/>
          <w:tab w:val="left" w:pos="2160"/>
          <w:tab w:val="right" w:leader="dot" w:pos="9180"/>
        </w:tabs>
        <w:spacing w:after="0" w:line="240" w:lineRule="auto"/>
        <w:rPr>
          <w:rFonts w:ascii="Times New Roman" w:hAnsi="Times New Roman" w:cs="Times New Roman"/>
          <w:bCs/>
          <w:sz w:val="24"/>
          <w:szCs w:val="24"/>
        </w:rPr>
      </w:pPr>
    </w:p>
    <w:p w:rsidR="00A6075B" w:rsidRDefault="00A6075B"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6075B">
        <w:rPr>
          <w:rFonts w:ascii="Times New Roman" w:hAnsi="Times New Roman"/>
          <w:sz w:val="24"/>
          <w:szCs w:val="24"/>
        </w:rPr>
        <w:t>c.</w:t>
      </w:r>
      <w:r w:rsidRPr="00A6075B">
        <w:rPr>
          <w:rFonts w:ascii="Times New Roman" w:hAnsi="Times New Roman"/>
          <w:sz w:val="24"/>
          <w:szCs w:val="24"/>
        </w:rPr>
        <w:tab/>
        <w:t xml:space="preserve">The Company </w:t>
      </w:r>
      <w:r w:rsidR="005B79F5">
        <w:rPr>
          <w:rFonts w:ascii="Times New Roman" w:hAnsi="Times New Roman"/>
          <w:sz w:val="24"/>
          <w:szCs w:val="24"/>
        </w:rPr>
        <w:t xml:space="preserve">Properly </w:t>
      </w:r>
      <w:r w:rsidRPr="00A6075B">
        <w:rPr>
          <w:rFonts w:ascii="Times New Roman" w:hAnsi="Times New Roman"/>
          <w:sz w:val="24"/>
          <w:szCs w:val="24"/>
        </w:rPr>
        <w:t xml:space="preserve">Calculated the End-Effects </w:t>
      </w:r>
    </w:p>
    <w:p w:rsidR="004A1BB7" w:rsidRDefault="00A6075B"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6075B">
        <w:rPr>
          <w:rFonts w:ascii="Times New Roman" w:hAnsi="Times New Roman"/>
          <w:sz w:val="24"/>
          <w:szCs w:val="24"/>
        </w:rPr>
        <w:t>of Early Wind</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21</w:t>
      </w:r>
    </w:p>
    <w:p w:rsidR="00A6075B" w:rsidRDefault="00A6075B"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7F7957" w:rsidRDefault="007F7957"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F7957">
        <w:rPr>
          <w:rFonts w:ascii="Times New Roman" w:hAnsi="Times New Roman"/>
          <w:sz w:val="24"/>
          <w:szCs w:val="24"/>
        </w:rPr>
        <w:t>d.</w:t>
      </w:r>
      <w:r w:rsidRPr="007F7957">
        <w:rPr>
          <w:rFonts w:ascii="Times New Roman" w:hAnsi="Times New Roman"/>
          <w:sz w:val="24"/>
          <w:szCs w:val="24"/>
        </w:rPr>
        <w:tab/>
        <w:t xml:space="preserve">The Company Was Prudent to Assume that Federal </w:t>
      </w:r>
    </w:p>
    <w:p w:rsidR="00A6075B" w:rsidRDefault="007F7957"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F7957">
        <w:rPr>
          <w:rFonts w:ascii="Times New Roman" w:hAnsi="Times New Roman"/>
          <w:sz w:val="24"/>
          <w:szCs w:val="24"/>
        </w:rPr>
        <w:t>Tax Incentives Would Not Be Extended</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22</w:t>
      </w:r>
    </w:p>
    <w:p w:rsidR="007F7957" w:rsidRDefault="007F7957"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7F7957" w:rsidRDefault="008E07E5"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E07E5">
        <w:rPr>
          <w:rFonts w:ascii="Times New Roman" w:hAnsi="Times New Roman"/>
          <w:sz w:val="24"/>
          <w:szCs w:val="24"/>
        </w:rPr>
        <w:t>e.</w:t>
      </w:r>
      <w:r w:rsidRPr="008E07E5">
        <w:rPr>
          <w:rFonts w:ascii="Times New Roman" w:hAnsi="Times New Roman"/>
          <w:sz w:val="24"/>
          <w:szCs w:val="24"/>
        </w:rPr>
        <w:tab/>
        <w:t>The Company Properly Modeled Carbon Price Forecasts</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22</w:t>
      </w:r>
    </w:p>
    <w:p w:rsidR="008E07E5" w:rsidRDefault="008E07E5"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9E1191" w:rsidRDefault="009E1191"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sidRPr="009E1191">
        <w:rPr>
          <w:rFonts w:ascii="Times New Roman" w:hAnsi="Times New Roman"/>
          <w:sz w:val="24"/>
          <w:szCs w:val="24"/>
        </w:rPr>
        <w:tab/>
      </w:r>
      <w:r w:rsidRPr="009E1191">
        <w:rPr>
          <w:rFonts w:ascii="Times New Roman" w:hAnsi="Times New Roman"/>
          <w:sz w:val="24"/>
          <w:szCs w:val="24"/>
        </w:rPr>
        <w:tab/>
      </w:r>
      <w:r w:rsidRPr="009E1191">
        <w:rPr>
          <w:rFonts w:ascii="Times New Roman" w:hAnsi="Times New Roman"/>
          <w:sz w:val="24"/>
          <w:szCs w:val="24"/>
        </w:rPr>
        <w:tab/>
        <w:t>f.</w:t>
      </w:r>
      <w:r w:rsidRPr="009E1191">
        <w:rPr>
          <w:rFonts w:ascii="Times New Roman" w:hAnsi="Times New Roman"/>
          <w:sz w:val="24"/>
          <w:szCs w:val="24"/>
        </w:rPr>
        <w:tab/>
        <w:t xml:space="preserve">The Company Properly Evaluated Purchasing RECs </w:t>
      </w:r>
    </w:p>
    <w:p w:rsidR="008E07E5" w:rsidRDefault="009E1191"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E1191">
        <w:rPr>
          <w:rFonts w:ascii="Times New Roman" w:hAnsi="Times New Roman"/>
          <w:sz w:val="24"/>
          <w:szCs w:val="24"/>
        </w:rPr>
        <w:t>as an Alternative to Building a New Wind Facility</w:t>
      </w:r>
      <w:r>
        <w:rPr>
          <w:rFonts w:ascii="Times New Roman" w:hAnsi="Times New Roman"/>
          <w:sz w:val="24"/>
          <w:szCs w:val="24"/>
        </w:rPr>
        <w:t xml:space="preserve"> </w:t>
      </w:r>
      <w:r>
        <w:rPr>
          <w:rFonts w:ascii="Times New Roman" w:hAnsi="Times New Roman"/>
          <w:sz w:val="24"/>
          <w:szCs w:val="24"/>
        </w:rPr>
        <w:tab/>
      </w:r>
      <w:r w:rsidR="009F7CCF">
        <w:rPr>
          <w:rFonts w:ascii="Times New Roman" w:hAnsi="Times New Roman"/>
          <w:sz w:val="24"/>
          <w:szCs w:val="24"/>
        </w:rPr>
        <w:t>23</w:t>
      </w:r>
    </w:p>
    <w:p w:rsidR="009E1191" w:rsidRDefault="009E1191"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927F2D" w:rsidRDefault="00927F2D"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7F2D">
        <w:rPr>
          <w:rFonts w:ascii="Times New Roman" w:hAnsi="Times New Roman"/>
          <w:sz w:val="24"/>
          <w:szCs w:val="24"/>
        </w:rPr>
        <w:t>g.</w:t>
      </w:r>
      <w:r w:rsidRPr="00927F2D">
        <w:rPr>
          <w:rFonts w:ascii="Times New Roman" w:hAnsi="Times New Roman"/>
          <w:sz w:val="24"/>
          <w:szCs w:val="24"/>
        </w:rPr>
        <w:tab/>
        <w:t xml:space="preserve">Any Modeling Errors Performed By PSE Were </w:t>
      </w:r>
    </w:p>
    <w:p w:rsidR="009E1191" w:rsidRPr="00927F2D" w:rsidRDefault="00927F2D"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7F2D">
        <w:rPr>
          <w:rFonts w:ascii="Times New Roman" w:hAnsi="Times New Roman"/>
          <w:sz w:val="24"/>
          <w:szCs w:val="24"/>
        </w:rPr>
        <w:t>Inconsequential</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23</w:t>
      </w:r>
    </w:p>
    <w:p w:rsidR="008E07E5" w:rsidRDefault="008E07E5"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8E07E5" w:rsidRPr="00927F2D" w:rsidRDefault="00927F2D"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27F2D">
        <w:rPr>
          <w:rFonts w:ascii="Times New Roman" w:hAnsi="Times New Roman"/>
          <w:sz w:val="24"/>
          <w:szCs w:val="24"/>
        </w:rPr>
        <w:t>5.</w:t>
      </w:r>
      <w:r w:rsidRPr="00927F2D">
        <w:rPr>
          <w:rFonts w:ascii="Times New Roman" w:hAnsi="Times New Roman"/>
          <w:sz w:val="24"/>
          <w:szCs w:val="24"/>
        </w:rPr>
        <w:tab/>
        <w:t>Normalization of LSR Treasury Grants is No Longer Required</w:t>
      </w:r>
      <w:r>
        <w:rPr>
          <w:rFonts w:ascii="Times New Roman" w:hAnsi="Times New Roman"/>
          <w:sz w:val="24"/>
          <w:szCs w:val="24"/>
        </w:rPr>
        <w:t xml:space="preserve"> </w:t>
      </w:r>
      <w:r>
        <w:rPr>
          <w:rFonts w:ascii="Times New Roman" w:hAnsi="Times New Roman"/>
          <w:sz w:val="24"/>
          <w:szCs w:val="24"/>
        </w:rPr>
        <w:tab/>
      </w:r>
      <w:r w:rsidR="004669A8">
        <w:rPr>
          <w:rFonts w:ascii="Times New Roman" w:hAnsi="Times New Roman"/>
          <w:sz w:val="24"/>
          <w:szCs w:val="24"/>
        </w:rPr>
        <w:t>24</w:t>
      </w:r>
    </w:p>
    <w:p w:rsidR="008E07E5" w:rsidRDefault="008E07E5"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8E07E5" w:rsidRDefault="00731743"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 xml:space="preserve">RATEMAKING ADJUSTMENTS </w:t>
      </w:r>
      <w:r>
        <w:rPr>
          <w:rFonts w:ascii="Times New Roman" w:hAnsi="Times New Roman"/>
          <w:sz w:val="24"/>
          <w:szCs w:val="24"/>
        </w:rPr>
        <w:tab/>
      </w:r>
      <w:r w:rsidR="004669A8">
        <w:rPr>
          <w:rFonts w:ascii="Times New Roman" w:hAnsi="Times New Roman"/>
          <w:sz w:val="24"/>
          <w:szCs w:val="24"/>
        </w:rPr>
        <w:t>25</w:t>
      </w:r>
    </w:p>
    <w:p w:rsidR="00731743" w:rsidRDefault="00731743"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731743" w:rsidRDefault="00731743"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Uncontested Ratemaking Adjustments </w:t>
      </w:r>
      <w:r>
        <w:rPr>
          <w:rFonts w:ascii="Times New Roman" w:hAnsi="Times New Roman"/>
          <w:sz w:val="24"/>
          <w:szCs w:val="24"/>
        </w:rPr>
        <w:tab/>
      </w:r>
      <w:r w:rsidR="004669A8">
        <w:rPr>
          <w:rFonts w:ascii="Times New Roman" w:hAnsi="Times New Roman"/>
          <w:sz w:val="24"/>
          <w:szCs w:val="24"/>
        </w:rPr>
        <w:t>25</w:t>
      </w:r>
    </w:p>
    <w:p w:rsidR="00731743" w:rsidRDefault="00731743" w:rsidP="008E07E5">
      <w:pPr>
        <w:tabs>
          <w:tab w:val="left" w:pos="720"/>
          <w:tab w:val="left" w:pos="1440"/>
          <w:tab w:val="left" w:pos="2160"/>
          <w:tab w:val="left" w:pos="2880"/>
          <w:tab w:val="right" w:leader="dot" w:pos="9180"/>
        </w:tabs>
        <w:spacing w:after="0" w:line="240" w:lineRule="auto"/>
        <w:rPr>
          <w:rFonts w:ascii="Times New Roman" w:hAnsi="Times New Roman"/>
          <w:sz w:val="24"/>
          <w:szCs w:val="24"/>
        </w:rPr>
      </w:pPr>
    </w:p>
    <w:p w:rsidR="00731743" w:rsidRDefault="00DA701B"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A701B">
        <w:rPr>
          <w:rFonts w:ascii="Times New Roman" w:hAnsi="Times New Roman" w:cs="Times New Roman"/>
          <w:sz w:val="24"/>
          <w:szCs w:val="24"/>
        </w:rPr>
        <w:t>B.</w:t>
      </w:r>
      <w:r w:rsidRPr="00DA701B">
        <w:rPr>
          <w:rFonts w:ascii="Times New Roman" w:hAnsi="Times New Roman" w:cs="Times New Roman"/>
          <w:sz w:val="24"/>
          <w:szCs w:val="24"/>
        </w:rPr>
        <w:tab/>
        <w:t>Co</w:t>
      </w:r>
      <w:r w:rsidR="009F7CCF">
        <w:rPr>
          <w:rFonts w:ascii="Times New Roman" w:hAnsi="Times New Roman" w:cs="Times New Roman"/>
          <w:sz w:val="24"/>
          <w:szCs w:val="24"/>
        </w:rPr>
        <w:t>ntested Ratemaking Adjustments-</w:t>
      </w:r>
      <w:r w:rsidRPr="00DA701B">
        <w:rPr>
          <w:rFonts w:ascii="Times New Roman" w:hAnsi="Times New Roman" w:cs="Times New Roman"/>
          <w:sz w:val="24"/>
          <w:szCs w:val="24"/>
        </w:rPr>
        <w:t>Rate of Return Impact Only</w:t>
      </w:r>
      <w:r>
        <w:rPr>
          <w:rFonts w:ascii="Times New Roman" w:hAnsi="Times New Roman" w:cs="Times New Roman"/>
          <w:sz w:val="24"/>
          <w:szCs w:val="24"/>
        </w:rPr>
        <w:t xml:space="preserve"> </w:t>
      </w:r>
      <w:r>
        <w:rPr>
          <w:rFonts w:ascii="Times New Roman" w:hAnsi="Times New Roman" w:cs="Times New Roman"/>
          <w:sz w:val="24"/>
          <w:szCs w:val="24"/>
        </w:rPr>
        <w:tab/>
      </w:r>
      <w:r w:rsidR="004669A8">
        <w:rPr>
          <w:rFonts w:ascii="Times New Roman" w:hAnsi="Times New Roman" w:cs="Times New Roman"/>
          <w:sz w:val="24"/>
          <w:szCs w:val="24"/>
        </w:rPr>
        <w:t>26</w:t>
      </w:r>
    </w:p>
    <w:p w:rsidR="00BA6030" w:rsidRDefault="00BA6030"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BA6030" w:rsidRDefault="00BA6030"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Contested Ratemaking Adjustments </w:t>
      </w:r>
      <w:r>
        <w:rPr>
          <w:rFonts w:ascii="Times New Roman" w:hAnsi="Times New Roman" w:cs="Times New Roman"/>
          <w:sz w:val="24"/>
          <w:szCs w:val="24"/>
        </w:rPr>
        <w:tab/>
      </w:r>
      <w:r w:rsidR="009F7CCF">
        <w:rPr>
          <w:rFonts w:ascii="Times New Roman" w:hAnsi="Times New Roman" w:cs="Times New Roman"/>
          <w:sz w:val="24"/>
          <w:szCs w:val="24"/>
        </w:rPr>
        <w:t>27</w:t>
      </w:r>
    </w:p>
    <w:p w:rsidR="00BA6030" w:rsidRDefault="00BA6030"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BA6030" w:rsidRDefault="00BA6030"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Contested Electricity-Only Adjustments </w:t>
      </w:r>
      <w:r>
        <w:rPr>
          <w:rFonts w:ascii="Times New Roman" w:hAnsi="Times New Roman" w:cs="Times New Roman"/>
          <w:sz w:val="24"/>
          <w:szCs w:val="24"/>
        </w:rPr>
        <w:tab/>
      </w:r>
      <w:r w:rsidR="009F7CCF">
        <w:rPr>
          <w:rFonts w:ascii="Times New Roman" w:hAnsi="Times New Roman" w:cs="Times New Roman"/>
          <w:sz w:val="24"/>
          <w:szCs w:val="24"/>
        </w:rPr>
        <w:t>27</w:t>
      </w:r>
    </w:p>
    <w:p w:rsidR="00DA701B" w:rsidRDefault="00DA701B"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DA701B" w:rsidRPr="001E5372" w:rsidRDefault="001E5372" w:rsidP="001E5372">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sidRPr="001E5372">
        <w:rPr>
          <w:rFonts w:ascii="Times New Roman" w:hAnsi="Times New Roman"/>
          <w:sz w:val="24"/>
        </w:rPr>
        <w:tab/>
      </w:r>
      <w:r w:rsidRPr="001E5372">
        <w:rPr>
          <w:rFonts w:ascii="Times New Roman" w:hAnsi="Times New Roman"/>
          <w:sz w:val="24"/>
        </w:rPr>
        <w:tab/>
      </w:r>
      <w:r>
        <w:rPr>
          <w:rFonts w:ascii="Times New Roman" w:hAnsi="Times New Roman"/>
          <w:sz w:val="24"/>
        </w:rPr>
        <w:tab/>
      </w:r>
      <w:r w:rsidRPr="001E5372">
        <w:rPr>
          <w:rFonts w:ascii="Times New Roman" w:hAnsi="Times New Roman"/>
          <w:sz w:val="24"/>
        </w:rPr>
        <w:t>a.</w:t>
      </w:r>
      <w:r w:rsidRPr="001E5372">
        <w:rPr>
          <w:rFonts w:ascii="Times New Roman" w:hAnsi="Times New Roman"/>
          <w:sz w:val="24"/>
        </w:rPr>
        <w:tab/>
        <w:t>Adjustment 13.01, Power Costs</w:t>
      </w:r>
      <w:r>
        <w:rPr>
          <w:rFonts w:ascii="Times New Roman" w:hAnsi="Times New Roman"/>
          <w:sz w:val="24"/>
        </w:rPr>
        <w:t xml:space="preserve"> </w:t>
      </w:r>
      <w:r w:rsidR="00BA6030">
        <w:rPr>
          <w:rFonts w:ascii="Times New Roman" w:hAnsi="Times New Roman"/>
          <w:sz w:val="24"/>
        </w:rPr>
        <w:tab/>
      </w:r>
      <w:r w:rsidR="009F7CCF">
        <w:rPr>
          <w:rFonts w:ascii="Times New Roman" w:hAnsi="Times New Roman"/>
          <w:sz w:val="24"/>
        </w:rPr>
        <w:t>27</w:t>
      </w:r>
    </w:p>
    <w:p w:rsidR="00DA701B" w:rsidRDefault="00DA701B" w:rsidP="008E07E5">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BA6030" w:rsidRDefault="00BA6030"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A6030">
        <w:rPr>
          <w:rFonts w:ascii="Times New Roman" w:hAnsi="Times New Roman"/>
          <w:sz w:val="24"/>
        </w:rPr>
        <w:t>i.</w:t>
      </w:r>
      <w:r w:rsidRPr="00BA6030">
        <w:rPr>
          <w:rFonts w:ascii="Times New Roman" w:hAnsi="Times New Roman"/>
          <w:sz w:val="24"/>
        </w:rPr>
        <w:tab/>
        <w:t xml:space="preserve">Non Contract Major Maintenance Using </w:t>
      </w:r>
    </w:p>
    <w:p w:rsidR="00DA701B" w:rsidRDefault="00BA6030"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BA6030">
        <w:rPr>
          <w:rFonts w:ascii="Times New Roman" w:hAnsi="Times New Roman"/>
          <w:sz w:val="24"/>
        </w:rPr>
        <w:t>Average of Five Year Actual Costs</w:t>
      </w:r>
      <w:r>
        <w:rPr>
          <w:rFonts w:ascii="Times New Roman" w:hAnsi="Times New Roman"/>
          <w:sz w:val="24"/>
        </w:rPr>
        <w:t xml:space="preserve"> </w:t>
      </w:r>
      <w:r>
        <w:rPr>
          <w:rFonts w:ascii="Times New Roman" w:hAnsi="Times New Roman"/>
          <w:sz w:val="24"/>
        </w:rPr>
        <w:tab/>
      </w:r>
      <w:r w:rsidR="004669A8">
        <w:rPr>
          <w:rFonts w:ascii="Times New Roman" w:hAnsi="Times New Roman"/>
          <w:sz w:val="24"/>
        </w:rPr>
        <w:t>27</w:t>
      </w:r>
    </w:p>
    <w:p w:rsidR="00BA6030" w:rsidRDefault="00BA6030"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A00F84" w:rsidRDefault="00A00F8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00F84">
        <w:rPr>
          <w:rFonts w:ascii="Times New Roman" w:hAnsi="Times New Roman"/>
          <w:sz w:val="24"/>
        </w:rPr>
        <w:t>ii.</w:t>
      </w:r>
      <w:r w:rsidRPr="00A00F84">
        <w:rPr>
          <w:rFonts w:ascii="Times New Roman" w:hAnsi="Times New Roman"/>
          <w:sz w:val="24"/>
        </w:rPr>
        <w:tab/>
        <w:t xml:space="preserve">BPA Transmission Service Credit for </w:t>
      </w:r>
    </w:p>
    <w:p w:rsidR="00BA6030" w:rsidRDefault="00A00F8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00F84">
        <w:rPr>
          <w:rFonts w:ascii="Times New Roman" w:hAnsi="Times New Roman"/>
          <w:sz w:val="24"/>
        </w:rPr>
        <w:t>Lower Snake River</w:t>
      </w:r>
      <w:r>
        <w:rPr>
          <w:rFonts w:ascii="Times New Roman" w:hAnsi="Times New Roman"/>
          <w:sz w:val="24"/>
        </w:rPr>
        <w:t xml:space="preserve"> </w:t>
      </w:r>
      <w:r>
        <w:rPr>
          <w:rFonts w:ascii="Times New Roman" w:hAnsi="Times New Roman"/>
          <w:sz w:val="24"/>
        </w:rPr>
        <w:tab/>
      </w:r>
      <w:r w:rsidR="007F5286">
        <w:rPr>
          <w:rFonts w:ascii="Times New Roman" w:hAnsi="Times New Roman"/>
          <w:sz w:val="24"/>
        </w:rPr>
        <w:t>28</w:t>
      </w:r>
    </w:p>
    <w:p w:rsidR="00A00F84" w:rsidRDefault="00A00F8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A00F84" w:rsidRDefault="00F07A78"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sidRPr="00F07A78">
        <w:rPr>
          <w:rFonts w:ascii="Times New Roman" w:hAnsi="Times New Roman"/>
          <w:sz w:val="24"/>
        </w:rPr>
        <w:t>iii.</w:t>
      </w:r>
      <w:r w:rsidRPr="00F07A78">
        <w:rPr>
          <w:rFonts w:ascii="Times New Roman" w:hAnsi="Times New Roman"/>
          <w:sz w:val="24"/>
        </w:rPr>
        <w:tab/>
        <w:t>Gas for Power Hedges Cost Recovery Limitation</w:t>
      </w:r>
      <w:r>
        <w:rPr>
          <w:rFonts w:ascii="Times New Roman" w:hAnsi="Times New Roman"/>
          <w:sz w:val="24"/>
        </w:rPr>
        <w:t xml:space="preserve"> </w:t>
      </w:r>
      <w:r>
        <w:rPr>
          <w:rFonts w:ascii="Times New Roman" w:hAnsi="Times New Roman"/>
          <w:sz w:val="24"/>
        </w:rPr>
        <w:tab/>
      </w:r>
      <w:r w:rsidR="00322948">
        <w:rPr>
          <w:rFonts w:ascii="Times New Roman" w:hAnsi="Times New Roman"/>
          <w:sz w:val="24"/>
        </w:rPr>
        <w:t>28</w:t>
      </w:r>
    </w:p>
    <w:p w:rsidR="00F07A78" w:rsidRDefault="00F07A78"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F07A78" w:rsidRDefault="004B6A1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A1D">
        <w:rPr>
          <w:rFonts w:ascii="Times New Roman" w:hAnsi="Times New Roman" w:cs="Times New Roman"/>
          <w:sz w:val="24"/>
          <w:szCs w:val="24"/>
        </w:rPr>
        <w:t>iv.</w:t>
      </w:r>
      <w:r w:rsidRPr="004B6A1D">
        <w:rPr>
          <w:rFonts w:ascii="Times New Roman" w:hAnsi="Times New Roman" w:cs="Times New Roman"/>
          <w:sz w:val="24"/>
          <w:szCs w:val="24"/>
        </w:rPr>
        <w:tab/>
        <w:t>Extension of 23 MW Transmission Contract</w:t>
      </w:r>
      <w:r>
        <w:rPr>
          <w:rFonts w:ascii="Times New Roman" w:hAnsi="Times New Roman" w:cs="Times New Roman"/>
          <w:sz w:val="24"/>
          <w:szCs w:val="24"/>
        </w:rPr>
        <w:t xml:space="preserve"> </w:t>
      </w:r>
      <w:r>
        <w:rPr>
          <w:rFonts w:ascii="Times New Roman" w:hAnsi="Times New Roman" w:cs="Times New Roman"/>
          <w:sz w:val="24"/>
          <w:szCs w:val="24"/>
        </w:rPr>
        <w:tab/>
      </w:r>
      <w:r w:rsidR="007F5286">
        <w:rPr>
          <w:rFonts w:ascii="Times New Roman" w:hAnsi="Times New Roman" w:cs="Times New Roman"/>
          <w:sz w:val="24"/>
          <w:szCs w:val="24"/>
        </w:rPr>
        <w:t>29</w:t>
      </w:r>
    </w:p>
    <w:p w:rsidR="004B6A1D" w:rsidRDefault="004B6A1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p>
    <w:p w:rsidR="0019209E" w:rsidRDefault="0019209E"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19209E">
        <w:rPr>
          <w:rFonts w:ascii="Times New Roman" w:hAnsi="Times New Roman"/>
          <w:sz w:val="24"/>
        </w:rPr>
        <w:t>v.</w:t>
      </w:r>
      <w:r w:rsidRPr="0019209E">
        <w:rPr>
          <w:rFonts w:ascii="Times New Roman" w:hAnsi="Times New Roman"/>
          <w:sz w:val="24"/>
        </w:rPr>
        <w:tab/>
        <w:t xml:space="preserve">Day-Ahead Wind Integration Costs and </w:t>
      </w:r>
    </w:p>
    <w:p w:rsidR="004B6A1D" w:rsidRDefault="0019209E"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19209E">
        <w:rPr>
          <w:rFonts w:ascii="Times New Roman" w:hAnsi="Times New Roman"/>
          <w:sz w:val="24"/>
        </w:rPr>
        <w:t>Within-Hour Wind Integration Costs</w:t>
      </w:r>
      <w:r>
        <w:rPr>
          <w:rFonts w:ascii="Times New Roman" w:hAnsi="Times New Roman"/>
          <w:sz w:val="24"/>
        </w:rPr>
        <w:t xml:space="preserve"> </w:t>
      </w:r>
      <w:r>
        <w:rPr>
          <w:rFonts w:ascii="Times New Roman" w:hAnsi="Times New Roman"/>
          <w:sz w:val="24"/>
        </w:rPr>
        <w:tab/>
      </w:r>
      <w:r w:rsidR="00B07B86">
        <w:rPr>
          <w:rFonts w:ascii="Times New Roman" w:hAnsi="Times New Roman"/>
          <w:sz w:val="24"/>
        </w:rPr>
        <w:t>30</w:t>
      </w:r>
    </w:p>
    <w:p w:rsidR="0019209E" w:rsidRDefault="0019209E"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19209E" w:rsidRDefault="00C55146"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55146">
        <w:rPr>
          <w:rFonts w:ascii="Times New Roman" w:hAnsi="Times New Roman"/>
          <w:sz w:val="24"/>
        </w:rPr>
        <w:t>vi.</w:t>
      </w:r>
      <w:r w:rsidRPr="00C55146">
        <w:rPr>
          <w:rFonts w:ascii="Times New Roman" w:hAnsi="Times New Roman"/>
          <w:sz w:val="24"/>
        </w:rPr>
        <w:tab/>
        <w:t>Cedar Hills Contract Cost Limitation</w:t>
      </w:r>
      <w:r>
        <w:rPr>
          <w:rFonts w:ascii="Times New Roman" w:hAnsi="Times New Roman"/>
          <w:sz w:val="24"/>
        </w:rPr>
        <w:t xml:space="preserve"> </w:t>
      </w:r>
      <w:r>
        <w:rPr>
          <w:rFonts w:ascii="Times New Roman" w:hAnsi="Times New Roman"/>
          <w:sz w:val="24"/>
        </w:rPr>
        <w:tab/>
      </w:r>
      <w:r w:rsidR="007F5286">
        <w:rPr>
          <w:rFonts w:ascii="Times New Roman" w:hAnsi="Times New Roman"/>
          <w:sz w:val="24"/>
        </w:rPr>
        <w:t>31</w:t>
      </w:r>
    </w:p>
    <w:p w:rsidR="00C55146" w:rsidRDefault="00C55146"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C55146" w:rsidRDefault="00EC3187"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EC3187">
        <w:rPr>
          <w:rFonts w:ascii="Times New Roman" w:hAnsi="Times New Roman"/>
          <w:sz w:val="24"/>
        </w:rPr>
        <w:t>vii.</w:t>
      </w:r>
      <w:r w:rsidRPr="00EC3187">
        <w:rPr>
          <w:rFonts w:ascii="Times New Roman" w:hAnsi="Times New Roman"/>
          <w:sz w:val="24"/>
        </w:rPr>
        <w:tab/>
        <w:t>Other Production O&amp;M Using 2012 Budget</w:t>
      </w:r>
      <w:r>
        <w:rPr>
          <w:rFonts w:ascii="Times New Roman" w:hAnsi="Times New Roman"/>
          <w:sz w:val="24"/>
        </w:rPr>
        <w:t xml:space="preserve"> </w:t>
      </w:r>
      <w:r>
        <w:rPr>
          <w:rFonts w:ascii="Times New Roman" w:hAnsi="Times New Roman"/>
          <w:sz w:val="24"/>
        </w:rPr>
        <w:tab/>
      </w:r>
      <w:r w:rsidR="007F5286">
        <w:rPr>
          <w:rFonts w:ascii="Times New Roman" w:hAnsi="Times New Roman"/>
          <w:sz w:val="24"/>
        </w:rPr>
        <w:t>32</w:t>
      </w:r>
    </w:p>
    <w:p w:rsidR="00EC3187" w:rsidRDefault="00EC3187"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EC3187" w:rsidRDefault="006144A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6144A4">
        <w:rPr>
          <w:rFonts w:ascii="Times New Roman" w:hAnsi="Times New Roman"/>
          <w:sz w:val="24"/>
        </w:rPr>
        <w:t>viii.</w:t>
      </w:r>
      <w:r w:rsidRPr="006144A4">
        <w:rPr>
          <w:rFonts w:ascii="Times New Roman" w:hAnsi="Times New Roman"/>
          <w:sz w:val="24"/>
        </w:rPr>
        <w:tab/>
        <w:t>Update for Current Gas Price Forecast</w:t>
      </w:r>
      <w:r>
        <w:rPr>
          <w:rFonts w:ascii="Times New Roman" w:hAnsi="Times New Roman"/>
          <w:sz w:val="24"/>
        </w:rPr>
        <w:t xml:space="preserve"> </w:t>
      </w:r>
      <w:r>
        <w:rPr>
          <w:rFonts w:ascii="Times New Roman" w:hAnsi="Times New Roman"/>
          <w:sz w:val="24"/>
        </w:rPr>
        <w:tab/>
      </w:r>
      <w:r w:rsidR="00B07B86">
        <w:rPr>
          <w:rFonts w:ascii="Times New Roman" w:hAnsi="Times New Roman"/>
          <w:sz w:val="24"/>
        </w:rPr>
        <w:t>33</w:t>
      </w:r>
    </w:p>
    <w:p w:rsidR="006144A4" w:rsidRDefault="006144A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14442D" w:rsidRDefault="0014442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sidRPr="0014442D">
        <w:rPr>
          <w:rFonts w:ascii="Times New Roman" w:hAnsi="Times New Roman" w:cs="Times New Roman"/>
          <w:sz w:val="24"/>
          <w:szCs w:val="24"/>
        </w:rPr>
        <w:tab/>
      </w:r>
      <w:r w:rsidRPr="0014442D">
        <w:rPr>
          <w:rFonts w:ascii="Times New Roman" w:hAnsi="Times New Roman" w:cs="Times New Roman"/>
          <w:sz w:val="24"/>
          <w:szCs w:val="24"/>
        </w:rPr>
        <w:tab/>
      </w:r>
      <w:r w:rsidRPr="0014442D">
        <w:rPr>
          <w:rFonts w:ascii="Times New Roman" w:hAnsi="Times New Roman" w:cs="Times New Roman"/>
          <w:sz w:val="24"/>
          <w:szCs w:val="24"/>
        </w:rPr>
        <w:tab/>
      </w:r>
      <w:r w:rsidRPr="0014442D">
        <w:rPr>
          <w:rFonts w:ascii="Times New Roman" w:hAnsi="Times New Roman" w:cs="Times New Roman"/>
          <w:sz w:val="24"/>
          <w:szCs w:val="24"/>
        </w:rPr>
        <w:tab/>
        <w:t>ix.</w:t>
      </w:r>
      <w:r w:rsidRPr="0014442D">
        <w:rPr>
          <w:rFonts w:ascii="Times New Roman" w:hAnsi="Times New Roman" w:cs="Times New Roman"/>
          <w:sz w:val="24"/>
          <w:szCs w:val="24"/>
        </w:rPr>
        <w:tab/>
        <w:t xml:space="preserve">Variable PCA Treatment for Jackson </w:t>
      </w:r>
    </w:p>
    <w:p w:rsidR="006144A4" w:rsidRDefault="0014442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42D">
        <w:rPr>
          <w:rFonts w:ascii="Times New Roman" w:hAnsi="Times New Roman" w:cs="Times New Roman"/>
          <w:sz w:val="24"/>
          <w:szCs w:val="24"/>
        </w:rPr>
        <w:t>Prairie Storage</w:t>
      </w:r>
      <w:r>
        <w:rPr>
          <w:rFonts w:ascii="Times New Roman" w:hAnsi="Times New Roman" w:cs="Times New Roman"/>
          <w:b/>
          <w:sz w:val="24"/>
          <w:szCs w:val="24"/>
        </w:rPr>
        <w:t xml:space="preserve"> </w:t>
      </w:r>
      <w:r w:rsidRPr="0014442D">
        <w:rPr>
          <w:rFonts w:ascii="Times New Roman" w:hAnsi="Times New Roman" w:cs="Times New Roman"/>
          <w:sz w:val="24"/>
          <w:szCs w:val="24"/>
        </w:rPr>
        <w:t>Rent</w:t>
      </w:r>
      <w:r>
        <w:rPr>
          <w:rFonts w:ascii="Times New Roman" w:hAnsi="Times New Roman" w:cs="Times New Roman"/>
          <w:sz w:val="24"/>
          <w:szCs w:val="24"/>
        </w:rPr>
        <w:t xml:space="preserve"> </w:t>
      </w:r>
      <w:r>
        <w:rPr>
          <w:rFonts w:ascii="Times New Roman" w:hAnsi="Times New Roman" w:cs="Times New Roman"/>
          <w:sz w:val="24"/>
          <w:szCs w:val="24"/>
        </w:rPr>
        <w:tab/>
      </w:r>
      <w:r w:rsidR="00322948">
        <w:rPr>
          <w:rFonts w:ascii="Times New Roman" w:hAnsi="Times New Roman" w:cs="Times New Roman"/>
          <w:sz w:val="24"/>
          <w:szCs w:val="24"/>
        </w:rPr>
        <w:t>33</w:t>
      </w:r>
    </w:p>
    <w:p w:rsidR="0014442D" w:rsidRDefault="0014442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p>
    <w:p w:rsidR="0014442D" w:rsidRDefault="00261E0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261E04">
        <w:rPr>
          <w:rFonts w:ascii="Times New Roman" w:hAnsi="Times New Roman"/>
          <w:sz w:val="24"/>
        </w:rPr>
        <w:t>b.</w:t>
      </w:r>
      <w:r w:rsidRPr="00261E04">
        <w:rPr>
          <w:rFonts w:ascii="Times New Roman" w:hAnsi="Times New Roman"/>
          <w:sz w:val="24"/>
        </w:rPr>
        <w:tab/>
        <w:t>Adjustment 13.02, Lower Snake River</w:t>
      </w:r>
      <w:r>
        <w:rPr>
          <w:rFonts w:ascii="Times New Roman" w:hAnsi="Times New Roman"/>
          <w:sz w:val="24"/>
        </w:rPr>
        <w:t xml:space="preserve"> </w:t>
      </w:r>
      <w:r>
        <w:rPr>
          <w:rFonts w:ascii="Times New Roman" w:hAnsi="Times New Roman"/>
          <w:sz w:val="24"/>
        </w:rPr>
        <w:tab/>
      </w:r>
      <w:r w:rsidR="00322948">
        <w:rPr>
          <w:rFonts w:ascii="Times New Roman" w:hAnsi="Times New Roman"/>
          <w:sz w:val="24"/>
        </w:rPr>
        <w:t>34</w:t>
      </w:r>
    </w:p>
    <w:p w:rsidR="00261E04" w:rsidRDefault="00261E0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261E04" w:rsidRPr="009402F5" w:rsidRDefault="009402F5" w:rsidP="009402F5">
      <w:pPr>
        <w:tabs>
          <w:tab w:val="left" w:pos="720"/>
          <w:tab w:val="left" w:pos="1440"/>
          <w:tab w:val="left" w:pos="2160"/>
          <w:tab w:val="left" w:pos="2880"/>
          <w:tab w:val="left" w:pos="3600"/>
          <w:tab w:val="right" w:leader="dot" w:pos="9180"/>
        </w:tabs>
        <w:spacing w:after="0" w:line="240" w:lineRule="auto"/>
        <w:ind w:left="2160"/>
        <w:rPr>
          <w:rFonts w:ascii="Times New Roman" w:hAnsi="Times New Roman" w:cs="Times New Roman"/>
          <w:sz w:val="24"/>
          <w:szCs w:val="24"/>
        </w:rPr>
      </w:pPr>
      <w:r w:rsidRPr="009402F5">
        <w:rPr>
          <w:rFonts w:ascii="Times New Roman" w:hAnsi="Times New Roman" w:cs="Times New Roman"/>
          <w:sz w:val="24"/>
          <w:szCs w:val="24"/>
        </w:rPr>
        <w:t>c.</w:t>
      </w:r>
      <w:r w:rsidRPr="009402F5">
        <w:rPr>
          <w:rFonts w:ascii="Times New Roman" w:hAnsi="Times New Roman" w:cs="Times New Roman"/>
          <w:sz w:val="24"/>
          <w:szCs w:val="24"/>
        </w:rPr>
        <w:tab/>
      </w:r>
      <w:r w:rsidRPr="009402F5">
        <w:rPr>
          <w:rFonts w:ascii="Times New Roman" w:hAnsi="Times New Roman" w:cs="Times New Roman"/>
          <w:bCs/>
          <w:sz w:val="24"/>
          <w:szCs w:val="24"/>
        </w:rPr>
        <w:t xml:space="preserve">Adjustment 13.04, MT Electric Energy Tax </w:t>
      </w:r>
      <w:r w:rsidRPr="009402F5">
        <w:rPr>
          <w:rFonts w:ascii="Times New Roman" w:hAnsi="Times New Roman" w:cs="Times New Roman"/>
          <w:bCs/>
          <w:sz w:val="24"/>
          <w:szCs w:val="24"/>
        </w:rPr>
        <w:tab/>
      </w:r>
      <w:r w:rsidR="00B07B86">
        <w:rPr>
          <w:rFonts w:ascii="Times New Roman" w:hAnsi="Times New Roman" w:cs="Times New Roman"/>
          <w:bCs/>
          <w:sz w:val="24"/>
          <w:szCs w:val="24"/>
        </w:rPr>
        <w:t>36</w:t>
      </w:r>
    </w:p>
    <w:p w:rsidR="0014442D" w:rsidRPr="009402F5" w:rsidRDefault="0014442D" w:rsidP="009402F5">
      <w:pPr>
        <w:tabs>
          <w:tab w:val="left" w:pos="720"/>
          <w:tab w:val="left" w:pos="1440"/>
          <w:tab w:val="left" w:pos="2160"/>
          <w:tab w:val="left" w:pos="2880"/>
          <w:tab w:val="left" w:pos="3600"/>
          <w:tab w:val="right" w:leader="dot" w:pos="9180"/>
        </w:tabs>
        <w:spacing w:after="0" w:line="240" w:lineRule="auto"/>
        <w:ind w:left="2160"/>
        <w:rPr>
          <w:rFonts w:ascii="Times New Roman" w:hAnsi="Times New Roman" w:cs="Times New Roman"/>
          <w:sz w:val="24"/>
          <w:szCs w:val="24"/>
        </w:rPr>
      </w:pPr>
    </w:p>
    <w:p w:rsidR="0014442D" w:rsidRPr="009402F5" w:rsidRDefault="009402F5" w:rsidP="009402F5">
      <w:pPr>
        <w:tabs>
          <w:tab w:val="left" w:pos="720"/>
          <w:tab w:val="left" w:pos="1440"/>
          <w:tab w:val="left" w:pos="2160"/>
          <w:tab w:val="left" w:pos="2880"/>
          <w:tab w:val="left" w:pos="3600"/>
          <w:tab w:val="right" w:leader="dot" w:pos="9180"/>
        </w:tabs>
        <w:spacing w:after="0" w:line="240" w:lineRule="auto"/>
        <w:ind w:left="2160"/>
        <w:rPr>
          <w:rFonts w:ascii="Times New Roman" w:hAnsi="Times New Roman" w:cs="Times New Roman"/>
          <w:sz w:val="24"/>
          <w:szCs w:val="24"/>
        </w:rPr>
      </w:pPr>
      <w:r w:rsidRPr="009402F5">
        <w:rPr>
          <w:rFonts w:ascii="Times New Roman" w:hAnsi="Times New Roman" w:cs="Times New Roman"/>
          <w:sz w:val="24"/>
          <w:szCs w:val="24"/>
        </w:rPr>
        <w:t>d.</w:t>
      </w:r>
      <w:r w:rsidRPr="009402F5">
        <w:rPr>
          <w:rFonts w:ascii="Times New Roman" w:hAnsi="Times New Roman" w:cs="Times New Roman"/>
          <w:sz w:val="24"/>
          <w:szCs w:val="24"/>
        </w:rPr>
        <w:tab/>
        <w:t>Adjustment 13.07, Storm Damage</w:t>
      </w:r>
      <w:r w:rsidRPr="009402F5">
        <w:rPr>
          <w:rFonts w:ascii="Times New Roman" w:hAnsi="Times New Roman" w:cs="Times New Roman"/>
          <w:sz w:val="24"/>
          <w:szCs w:val="24"/>
        </w:rPr>
        <w:tab/>
      </w:r>
      <w:r w:rsidR="00B07B86">
        <w:rPr>
          <w:rFonts w:ascii="Times New Roman" w:hAnsi="Times New Roman" w:cs="Times New Roman"/>
          <w:sz w:val="24"/>
          <w:szCs w:val="24"/>
        </w:rPr>
        <w:t>36</w:t>
      </w:r>
    </w:p>
    <w:p w:rsidR="00C55146" w:rsidRPr="009402F5" w:rsidRDefault="00C55146"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p>
    <w:p w:rsidR="0019209E" w:rsidRDefault="00750161"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750161">
        <w:rPr>
          <w:rFonts w:ascii="Times New Roman" w:hAnsi="Times New Roman"/>
          <w:sz w:val="24"/>
        </w:rPr>
        <w:t>e.</w:t>
      </w:r>
      <w:r w:rsidRPr="00750161">
        <w:rPr>
          <w:rFonts w:ascii="Times New Roman" w:hAnsi="Times New Roman"/>
          <w:sz w:val="24"/>
        </w:rPr>
        <w:tab/>
        <w:t>Adjustment 13.10, Regulatory Assets &amp; Liabilities</w:t>
      </w:r>
      <w:r>
        <w:rPr>
          <w:rFonts w:ascii="Times New Roman" w:hAnsi="Times New Roman"/>
          <w:sz w:val="24"/>
        </w:rPr>
        <w:t xml:space="preserve"> </w:t>
      </w:r>
      <w:r>
        <w:rPr>
          <w:rFonts w:ascii="Times New Roman" w:hAnsi="Times New Roman"/>
          <w:sz w:val="24"/>
        </w:rPr>
        <w:tab/>
      </w:r>
      <w:r w:rsidR="00B07B86">
        <w:rPr>
          <w:rFonts w:ascii="Times New Roman" w:hAnsi="Times New Roman"/>
          <w:sz w:val="24"/>
        </w:rPr>
        <w:t>38</w:t>
      </w:r>
    </w:p>
    <w:p w:rsidR="00750161" w:rsidRDefault="00750161"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750161" w:rsidRPr="00F05337" w:rsidRDefault="00F05337" w:rsidP="00F05337">
      <w:pPr>
        <w:tabs>
          <w:tab w:val="left" w:pos="720"/>
          <w:tab w:val="left" w:pos="1440"/>
          <w:tab w:val="left" w:pos="2160"/>
          <w:tab w:val="left" w:pos="2880"/>
          <w:tab w:val="left" w:pos="3600"/>
          <w:tab w:val="right" w:leader="dot" w:pos="9180"/>
        </w:tabs>
        <w:spacing w:after="0" w:line="240" w:lineRule="auto"/>
        <w:ind w:left="2880"/>
        <w:rPr>
          <w:rFonts w:ascii="Times New Roman" w:hAnsi="Times New Roman"/>
          <w:sz w:val="24"/>
        </w:rPr>
      </w:pPr>
      <w:r w:rsidRPr="00F05337">
        <w:rPr>
          <w:rFonts w:ascii="Times New Roman" w:hAnsi="Times New Roman"/>
          <w:sz w:val="24"/>
        </w:rPr>
        <w:t>i</w:t>
      </w:r>
      <w:r w:rsidRPr="00F05337">
        <w:rPr>
          <w:rFonts w:ascii="Times New Roman" w:hAnsi="Times New Roman" w:cs="Times New Roman"/>
          <w:sz w:val="24"/>
          <w:szCs w:val="24"/>
        </w:rPr>
        <w:t>.</w:t>
      </w:r>
      <w:r w:rsidRPr="00F05337">
        <w:rPr>
          <w:rFonts w:ascii="Times New Roman" w:hAnsi="Times New Roman" w:cs="Times New Roman"/>
          <w:sz w:val="24"/>
          <w:szCs w:val="24"/>
        </w:rPr>
        <w:tab/>
        <w:t>Colstrip 1&amp;2 Dedication Fee Amortization</w:t>
      </w:r>
      <w:r>
        <w:rPr>
          <w:rFonts w:ascii="Times New Roman" w:hAnsi="Times New Roman" w:cs="Times New Roman"/>
          <w:sz w:val="24"/>
          <w:szCs w:val="24"/>
        </w:rPr>
        <w:t xml:space="preserve"> </w:t>
      </w:r>
      <w:r>
        <w:rPr>
          <w:rFonts w:ascii="Times New Roman" w:hAnsi="Times New Roman" w:cs="Times New Roman"/>
          <w:sz w:val="24"/>
          <w:szCs w:val="24"/>
        </w:rPr>
        <w:tab/>
      </w:r>
      <w:r w:rsidR="007F5286">
        <w:rPr>
          <w:rFonts w:ascii="Times New Roman" w:hAnsi="Times New Roman" w:cs="Times New Roman"/>
          <w:sz w:val="24"/>
          <w:szCs w:val="24"/>
        </w:rPr>
        <w:t>38</w:t>
      </w:r>
    </w:p>
    <w:p w:rsidR="00750161" w:rsidRPr="00F05337" w:rsidRDefault="00750161" w:rsidP="00F05337">
      <w:pPr>
        <w:tabs>
          <w:tab w:val="left" w:pos="720"/>
          <w:tab w:val="left" w:pos="1440"/>
          <w:tab w:val="left" w:pos="2160"/>
          <w:tab w:val="left" w:pos="2880"/>
          <w:tab w:val="left" w:pos="3600"/>
          <w:tab w:val="right" w:leader="dot" w:pos="9180"/>
        </w:tabs>
        <w:spacing w:after="0" w:line="240" w:lineRule="auto"/>
        <w:ind w:left="2880"/>
        <w:rPr>
          <w:rFonts w:ascii="Times New Roman" w:hAnsi="Times New Roman"/>
          <w:sz w:val="24"/>
        </w:rPr>
      </w:pPr>
    </w:p>
    <w:p w:rsidR="00750161" w:rsidRPr="00F05337" w:rsidRDefault="00F05337" w:rsidP="00F05337">
      <w:pPr>
        <w:tabs>
          <w:tab w:val="left" w:pos="720"/>
          <w:tab w:val="left" w:pos="1440"/>
          <w:tab w:val="left" w:pos="2160"/>
          <w:tab w:val="left" w:pos="2880"/>
          <w:tab w:val="left" w:pos="3600"/>
          <w:tab w:val="right" w:leader="dot" w:pos="9180"/>
        </w:tabs>
        <w:spacing w:after="0" w:line="240" w:lineRule="auto"/>
        <w:ind w:left="2880"/>
        <w:rPr>
          <w:rFonts w:ascii="Times New Roman" w:hAnsi="Times New Roman" w:cs="Times New Roman"/>
          <w:sz w:val="24"/>
          <w:szCs w:val="24"/>
        </w:rPr>
      </w:pPr>
      <w:r w:rsidRPr="00F05337">
        <w:rPr>
          <w:rFonts w:ascii="Times New Roman" w:hAnsi="Times New Roman" w:cs="Times New Roman"/>
          <w:sz w:val="24"/>
          <w:szCs w:val="24"/>
        </w:rPr>
        <w:t>ii.</w:t>
      </w:r>
      <w:r w:rsidRPr="00F05337">
        <w:rPr>
          <w:rFonts w:ascii="Times New Roman" w:hAnsi="Times New Roman" w:cs="Times New Roman"/>
          <w:sz w:val="24"/>
          <w:szCs w:val="24"/>
        </w:rPr>
        <w:tab/>
        <w:t>Contract Major Maintenance Amortization</w:t>
      </w:r>
      <w:r>
        <w:rPr>
          <w:rFonts w:ascii="Times New Roman" w:hAnsi="Times New Roman" w:cs="Times New Roman"/>
          <w:sz w:val="24"/>
          <w:szCs w:val="24"/>
        </w:rPr>
        <w:t xml:space="preserve"> </w:t>
      </w:r>
      <w:r>
        <w:rPr>
          <w:rFonts w:ascii="Times New Roman" w:hAnsi="Times New Roman" w:cs="Times New Roman"/>
          <w:sz w:val="24"/>
          <w:szCs w:val="24"/>
        </w:rPr>
        <w:tab/>
      </w:r>
      <w:r w:rsidR="00B07B86">
        <w:rPr>
          <w:rFonts w:ascii="Times New Roman" w:hAnsi="Times New Roman" w:cs="Times New Roman"/>
          <w:sz w:val="24"/>
          <w:szCs w:val="24"/>
        </w:rPr>
        <w:t>39</w:t>
      </w:r>
    </w:p>
    <w:p w:rsidR="004B6A1D" w:rsidRPr="00F05337" w:rsidRDefault="004B6A1D" w:rsidP="00F05337">
      <w:pPr>
        <w:tabs>
          <w:tab w:val="left" w:pos="720"/>
          <w:tab w:val="left" w:pos="1440"/>
          <w:tab w:val="left" w:pos="2160"/>
          <w:tab w:val="left" w:pos="2880"/>
          <w:tab w:val="left" w:pos="3600"/>
          <w:tab w:val="right" w:leader="dot" w:pos="9180"/>
        </w:tabs>
        <w:spacing w:after="0" w:line="240" w:lineRule="auto"/>
        <w:ind w:left="2880"/>
        <w:rPr>
          <w:rFonts w:ascii="Times New Roman" w:hAnsi="Times New Roman"/>
          <w:sz w:val="24"/>
        </w:rPr>
      </w:pPr>
    </w:p>
    <w:p w:rsidR="00A00F84" w:rsidRPr="00F05337" w:rsidRDefault="00F05337" w:rsidP="00F05337">
      <w:pPr>
        <w:tabs>
          <w:tab w:val="left" w:pos="720"/>
          <w:tab w:val="left" w:pos="1440"/>
          <w:tab w:val="left" w:pos="2160"/>
          <w:tab w:val="left" w:pos="2880"/>
          <w:tab w:val="left" w:pos="3600"/>
          <w:tab w:val="right" w:leader="dot" w:pos="9180"/>
        </w:tabs>
        <w:spacing w:after="0" w:line="240" w:lineRule="auto"/>
        <w:ind w:left="2880"/>
        <w:rPr>
          <w:rFonts w:ascii="Times New Roman" w:hAnsi="Times New Roman"/>
          <w:sz w:val="24"/>
        </w:rPr>
      </w:pPr>
      <w:proofErr w:type="gramStart"/>
      <w:r w:rsidRPr="00F05337">
        <w:rPr>
          <w:rFonts w:ascii="Times New Roman" w:hAnsi="Times New Roman" w:cs="Times New Roman"/>
          <w:sz w:val="24"/>
          <w:szCs w:val="24"/>
        </w:rPr>
        <w:t>iii.</w:t>
      </w:r>
      <w:r w:rsidRPr="00F05337">
        <w:rPr>
          <w:rFonts w:ascii="Times New Roman" w:hAnsi="Times New Roman" w:cs="Times New Roman"/>
          <w:sz w:val="24"/>
          <w:szCs w:val="24"/>
        </w:rPr>
        <w:tab/>
      </w:r>
      <w:proofErr w:type="spellStart"/>
      <w:r w:rsidRPr="00F05337">
        <w:rPr>
          <w:rFonts w:ascii="Times New Roman" w:hAnsi="Times New Roman" w:cs="Times New Roman"/>
          <w:sz w:val="24"/>
          <w:szCs w:val="24"/>
        </w:rPr>
        <w:t>LSR</w:t>
      </w:r>
      <w:proofErr w:type="spellEnd"/>
      <w:proofErr w:type="gramEnd"/>
      <w:r w:rsidRPr="00F05337">
        <w:rPr>
          <w:rFonts w:ascii="Times New Roman" w:hAnsi="Times New Roman" w:cs="Times New Roman"/>
          <w:sz w:val="24"/>
          <w:szCs w:val="24"/>
        </w:rPr>
        <w:t xml:space="preserve"> Deferred Costs</w:t>
      </w:r>
      <w:r>
        <w:rPr>
          <w:rFonts w:ascii="Times New Roman" w:hAnsi="Times New Roman" w:cs="Times New Roman"/>
          <w:sz w:val="24"/>
          <w:szCs w:val="24"/>
        </w:rPr>
        <w:t xml:space="preserve"> </w:t>
      </w:r>
      <w:r>
        <w:rPr>
          <w:rFonts w:ascii="Times New Roman" w:hAnsi="Times New Roman" w:cs="Times New Roman"/>
          <w:sz w:val="24"/>
          <w:szCs w:val="24"/>
        </w:rPr>
        <w:tab/>
      </w:r>
      <w:r w:rsidR="00322948">
        <w:rPr>
          <w:rFonts w:ascii="Times New Roman" w:hAnsi="Times New Roman" w:cs="Times New Roman"/>
          <w:sz w:val="24"/>
          <w:szCs w:val="24"/>
        </w:rPr>
        <w:t>40</w:t>
      </w:r>
    </w:p>
    <w:p w:rsidR="00A00F84" w:rsidRPr="00A00F84" w:rsidRDefault="00A00F84"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BA6030"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f</w:t>
      </w:r>
      <w:r w:rsidRPr="00F606BB">
        <w:rPr>
          <w:rFonts w:ascii="Times New Roman" w:hAnsi="Times New Roman"/>
          <w:sz w:val="24"/>
        </w:rPr>
        <w:t>.</w:t>
      </w:r>
      <w:r w:rsidRPr="00F606BB">
        <w:rPr>
          <w:rFonts w:ascii="Times New Roman" w:hAnsi="Times New Roman"/>
          <w:sz w:val="24"/>
        </w:rPr>
        <w:tab/>
        <w:t>Adjustment 13.11, Production Adjustment</w:t>
      </w:r>
      <w:r w:rsidR="007F5286">
        <w:rPr>
          <w:rFonts w:ascii="Times New Roman" w:hAnsi="Times New Roman"/>
          <w:sz w:val="24"/>
        </w:rPr>
        <w:t xml:space="preserve"> </w:t>
      </w:r>
      <w:r w:rsidR="007F5286">
        <w:rPr>
          <w:rFonts w:ascii="Times New Roman" w:hAnsi="Times New Roman"/>
          <w:sz w:val="24"/>
        </w:rPr>
        <w:tab/>
      </w:r>
      <w:r w:rsidR="00B07B86">
        <w:rPr>
          <w:rFonts w:ascii="Times New Roman" w:hAnsi="Times New Roman"/>
          <w:sz w:val="24"/>
        </w:rPr>
        <w:t>42</w:t>
      </w:r>
    </w:p>
    <w:p w:rsidR="00F606BB"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F606BB"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t>2.</w:t>
      </w:r>
      <w:r>
        <w:rPr>
          <w:rFonts w:ascii="Times New Roman" w:hAnsi="Times New Roman"/>
          <w:sz w:val="24"/>
        </w:rPr>
        <w:tab/>
        <w:t xml:space="preserve">Contested Electricity and Natural Gas Adjustments </w:t>
      </w:r>
      <w:r>
        <w:rPr>
          <w:rFonts w:ascii="Times New Roman" w:hAnsi="Times New Roman"/>
          <w:sz w:val="24"/>
        </w:rPr>
        <w:tab/>
      </w:r>
      <w:r w:rsidR="00BC66F4">
        <w:rPr>
          <w:rFonts w:ascii="Times New Roman" w:hAnsi="Times New Roman"/>
          <w:sz w:val="24"/>
        </w:rPr>
        <w:t>42</w:t>
      </w:r>
    </w:p>
    <w:p w:rsidR="00F606BB"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B07B86"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w:t>
      </w:r>
      <w:r>
        <w:rPr>
          <w:rFonts w:ascii="Times New Roman" w:hAnsi="Times New Roman"/>
          <w:sz w:val="24"/>
        </w:rPr>
        <w:tab/>
        <w:t>Adjustments 13.02 and 6.04, Federal Income Tax</w:t>
      </w:r>
      <w:r w:rsidR="00B07B86">
        <w:rPr>
          <w:rFonts w:ascii="Times New Roman" w:hAnsi="Times New Roman"/>
          <w:sz w:val="24"/>
        </w:rPr>
        <w:t>-</w:t>
      </w:r>
    </w:p>
    <w:p w:rsidR="00B07B86" w:rsidRDefault="00B07B86"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Tax Accounting Method Change for Repairs and </w:t>
      </w:r>
    </w:p>
    <w:p w:rsidR="00F606BB" w:rsidRDefault="00B07B86"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Retirement</w:t>
      </w:r>
      <w:r w:rsidR="00F606BB">
        <w:rPr>
          <w:rFonts w:ascii="Times New Roman" w:hAnsi="Times New Roman"/>
          <w:sz w:val="24"/>
        </w:rPr>
        <w:t xml:space="preserve"> </w:t>
      </w:r>
      <w:r w:rsidR="00F606BB">
        <w:rPr>
          <w:rFonts w:ascii="Times New Roman" w:hAnsi="Times New Roman"/>
          <w:sz w:val="24"/>
        </w:rPr>
        <w:tab/>
      </w:r>
      <w:r w:rsidR="00BC66F4">
        <w:rPr>
          <w:rFonts w:ascii="Times New Roman" w:hAnsi="Times New Roman"/>
          <w:sz w:val="24"/>
        </w:rPr>
        <w:t>42</w:t>
      </w:r>
    </w:p>
    <w:p w:rsidR="00F606BB" w:rsidRDefault="00F606B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rPr>
      </w:pPr>
    </w:p>
    <w:p w:rsidR="00F606BB"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w:t>
      </w:r>
      <w:r>
        <w:rPr>
          <w:rFonts w:ascii="Times New Roman" w:hAnsi="Times New Roman"/>
          <w:sz w:val="24"/>
          <w:szCs w:val="24"/>
        </w:rPr>
        <w:tab/>
        <w:t xml:space="preserve">Background </w:t>
      </w:r>
      <w:r>
        <w:rPr>
          <w:rFonts w:ascii="Times New Roman" w:hAnsi="Times New Roman"/>
          <w:sz w:val="24"/>
          <w:szCs w:val="24"/>
        </w:rPr>
        <w:tab/>
      </w:r>
      <w:r w:rsidR="00B07B86">
        <w:rPr>
          <w:rFonts w:ascii="Times New Roman" w:hAnsi="Times New Roman"/>
          <w:sz w:val="24"/>
          <w:szCs w:val="24"/>
        </w:rPr>
        <w:t>43</w:t>
      </w: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szCs w:val="24"/>
        </w:rPr>
      </w:pP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610C">
        <w:rPr>
          <w:rFonts w:ascii="Times New Roman" w:hAnsi="Times New Roman" w:cs="Times New Roman"/>
          <w:sz w:val="24"/>
          <w:szCs w:val="24"/>
        </w:rPr>
        <w:t>ii.</w:t>
      </w:r>
      <w:r w:rsidRPr="00E1610C">
        <w:rPr>
          <w:rFonts w:ascii="Times New Roman" w:hAnsi="Times New Roman" w:cs="Times New Roman"/>
          <w:sz w:val="24"/>
          <w:szCs w:val="24"/>
        </w:rPr>
        <w:tab/>
        <w:t xml:space="preserve">The Company’s Position Ignores the Plain </w:t>
      </w: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610C">
        <w:rPr>
          <w:rFonts w:ascii="Times New Roman" w:hAnsi="Times New Roman" w:cs="Times New Roman"/>
          <w:sz w:val="24"/>
          <w:szCs w:val="24"/>
        </w:rPr>
        <w:t xml:space="preserve">Reading of Prior Commission Decisions that </w:t>
      </w: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610C">
        <w:rPr>
          <w:rFonts w:ascii="Times New Roman" w:hAnsi="Times New Roman" w:cs="Times New Roman"/>
          <w:sz w:val="24"/>
          <w:szCs w:val="24"/>
        </w:rPr>
        <w:t xml:space="preserve">Require the Impact of the Repairs Deduction </w:t>
      </w: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610C">
        <w:rPr>
          <w:rFonts w:ascii="Times New Roman" w:hAnsi="Times New Roman" w:cs="Times New Roman"/>
          <w:sz w:val="24"/>
          <w:szCs w:val="24"/>
        </w:rPr>
        <w:t>Change in Tax Accounting to Reduce Rate Base</w:t>
      </w:r>
      <w:r>
        <w:rPr>
          <w:rFonts w:ascii="Times New Roman" w:hAnsi="Times New Roman" w:cs="Times New Roman"/>
          <w:sz w:val="24"/>
          <w:szCs w:val="24"/>
        </w:rPr>
        <w:t xml:space="preserve"> </w:t>
      </w:r>
      <w:r>
        <w:rPr>
          <w:rFonts w:ascii="Times New Roman" w:hAnsi="Times New Roman" w:cs="Times New Roman"/>
          <w:sz w:val="24"/>
          <w:szCs w:val="24"/>
        </w:rPr>
        <w:tab/>
      </w:r>
      <w:r w:rsidR="00B07B86">
        <w:rPr>
          <w:rFonts w:ascii="Times New Roman" w:hAnsi="Times New Roman" w:cs="Times New Roman"/>
          <w:sz w:val="24"/>
          <w:szCs w:val="24"/>
        </w:rPr>
        <w:t>44</w:t>
      </w:r>
    </w:p>
    <w:p w:rsidR="00E1610C" w:rsidRDefault="00E1610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p>
    <w:p w:rsidR="00E717CD" w:rsidRDefault="00E717CD" w:rsidP="00B07B86">
      <w:pPr>
        <w:keepNext/>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E717CD">
        <w:rPr>
          <w:rFonts w:ascii="Times New Roman" w:hAnsi="Times New Roman" w:cs="Times New Roman"/>
          <w:sz w:val="24"/>
          <w:szCs w:val="24"/>
        </w:rPr>
        <w:t>b.</w:t>
      </w:r>
      <w:r w:rsidRPr="00E717CD">
        <w:rPr>
          <w:rFonts w:ascii="Times New Roman" w:hAnsi="Times New Roman" w:cs="Times New Roman"/>
          <w:sz w:val="24"/>
          <w:szCs w:val="24"/>
        </w:rPr>
        <w:tab/>
        <w:t xml:space="preserve">Adjustments 14.05 and 6.05, Tax Benefit of </w:t>
      </w:r>
    </w:p>
    <w:p w:rsidR="00E1610C" w:rsidRDefault="00E717C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17CD">
        <w:rPr>
          <w:rFonts w:ascii="Times New Roman" w:hAnsi="Times New Roman" w:cs="Times New Roman"/>
          <w:sz w:val="24"/>
          <w:szCs w:val="24"/>
        </w:rPr>
        <w:t>Pro Forma Interest</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48</w:t>
      </w:r>
    </w:p>
    <w:p w:rsidR="00E717CD" w:rsidRDefault="00E717CD"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p>
    <w:p w:rsidR="00AA2D0B" w:rsidRDefault="00AA2D0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2D0B">
        <w:rPr>
          <w:rFonts w:ascii="Times New Roman" w:hAnsi="Times New Roman" w:cs="Times New Roman"/>
          <w:sz w:val="24"/>
          <w:szCs w:val="24"/>
        </w:rPr>
        <w:t>c.</w:t>
      </w:r>
      <w:r w:rsidRPr="00AA2D0B">
        <w:rPr>
          <w:rFonts w:ascii="Times New Roman" w:hAnsi="Times New Roman" w:cs="Times New Roman"/>
          <w:sz w:val="24"/>
          <w:szCs w:val="24"/>
        </w:rPr>
        <w:tab/>
        <w:t xml:space="preserve">Adjustments 14.06 and 6.06, Miscellaneous Operating </w:t>
      </w:r>
    </w:p>
    <w:p w:rsidR="00E717CD" w:rsidRPr="00AA2D0B" w:rsidRDefault="00AA2D0B"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A2D0B">
        <w:rPr>
          <w:rFonts w:ascii="Times New Roman" w:hAnsi="Times New Roman" w:cs="Times New Roman"/>
          <w:sz w:val="24"/>
          <w:szCs w:val="24"/>
        </w:rPr>
        <w:t>Expense</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48</w:t>
      </w:r>
    </w:p>
    <w:p w:rsidR="00235DEC" w:rsidRPr="00FA3DC1" w:rsidRDefault="00235DEC" w:rsidP="00BA6030">
      <w:pPr>
        <w:tabs>
          <w:tab w:val="left" w:pos="720"/>
          <w:tab w:val="left" w:pos="1440"/>
          <w:tab w:val="left" w:pos="2160"/>
          <w:tab w:val="left" w:pos="2880"/>
          <w:tab w:val="left" w:pos="3600"/>
          <w:tab w:val="right" w:leader="dot" w:pos="9180"/>
        </w:tabs>
        <w:spacing w:after="0" w:line="240" w:lineRule="auto"/>
        <w:rPr>
          <w:rFonts w:ascii="Times New Roman" w:hAnsi="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d.</w:t>
      </w:r>
      <w:r w:rsidRPr="00F7149A">
        <w:rPr>
          <w:rFonts w:ascii="Times New Roman" w:hAnsi="Times New Roman" w:cs="Times New Roman"/>
          <w:sz w:val="24"/>
          <w:szCs w:val="24"/>
        </w:rPr>
        <w:tab/>
        <w:t>Adjustments 14.10 and 6.10, Incentive Pay</w:t>
      </w:r>
      <w:r w:rsidRPr="00271D1A">
        <w:rPr>
          <w:rFonts w:ascii="Times New Roman" w:hAnsi="Times New Roman" w:cs="Times New Roman"/>
          <w:sz w:val="24"/>
          <w:szCs w:val="24"/>
        </w:rPr>
        <w:t xml:space="preserve"> </w:t>
      </w:r>
      <w:r w:rsidRPr="00271D1A">
        <w:rPr>
          <w:rFonts w:ascii="Times New Roman" w:hAnsi="Times New Roman" w:cs="Times New Roman"/>
          <w:sz w:val="24"/>
          <w:szCs w:val="24"/>
        </w:rPr>
        <w:tab/>
      </w:r>
      <w:r w:rsidR="0040144B">
        <w:rPr>
          <w:rFonts w:ascii="Times New Roman" w:hAnsi="Times New Roman" w:cs="Times New Roman"/>
          <w:sz w:val="24"/>
          <w:szCs w:val="24"/>
        </w:rPr>
        <w:t>49</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sidRPr="00F7149A">
        <w:rPr>
          <w:rFonts w:ascii="Times New Roman" w:hAnsi="Times New Roman"/>
          <w:sz w:val="24"/>
          <w:szCs w:val="24"/>
        </w:rPr>
        <w:tab/>
      </w:r>
      <w:r>
        <w:rPr>
          <w:rFonts w:ascii="Times New Roman" w:hAnsi="Times New Roman"/>
          <w:sz w:val="24"/>
          <w:szCs w:val="24"/>
        </w:rPr>
        <w:tab/>
      </w:r>
      <w:r w:rsidRPr="00F7149A">
        <w:rPr>
          <w:rFonts w:ascii="Times New Roman" w:hAnsi="Times New Roman"/>
          <w:sz w:val="24"/>
          <w:szCs w:val="24"/>
        </w:rPr>
        <w:tab/>
        <w:t>e.</w:t>
      </w:r>
      <w:r w:rsidRPr="00F7149A">
        <w:rPr>
          <w:rFonts w:ascii="Times New Roman" w:hAnsi="Times New Roman"/>
          <w:sz w:val="24"/>
          <w:szCs w:val="24"/>
        </w:rPr>
        <w:tab/>
        <w:t>Adjustments 14.11 and 6.11, Property Tax</w:t>
      </w:r>
      <w:r>
        <w:rPr>
          <w:rFonts w:ascii="Times New Roman" w:hAnsi="Times New Roman"/>
          <w:sz w:val="24"/>
          <w:szCs w:val="24"/>
        </w:rPr>
        <w:t xml:space="preserve"> </w:t>
      </w:r>
      <w:r>
        <w:rPr>
          <w:rFonts w:ascii="Times New Roman" w:hAnsi="Times New Roman"/>
          <w:sz w:val="24"/>
          <w:szCs w:val="24"/>
        </w:rPr>
        <w:tab/>
      </w:r>
      <w:r w:rsidR="008432A3">
        <w:rPr>
          <w:rFonts w:ascii="Times New Roman" w:hAnsi="Times New Roman"/>
          <w:sz w:val="24"/>
          <w:szCs w:val="24"/>
        </w:rPr>
        <w:t>51</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f.</w:t>
      </w:r>
      <w:r w:rsidRPr="00F7149A">
        <w:rPr>
          <w:rFonts w:ascii="Times New Roman" w:hAnsi="Times New Roman" w:cs="Times New Roman"/>
          <w:sz w:val="24"/>
          <w:szCs w:val="24"/>
        </w:rPr>
        <w:tab/>
        <w:t>Adjustments 14.13 and 6.13, Directors &amp; Officers Insurance</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53</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20B">
        <w:rPr>
          <w:rFonts w:ascii="Times New Roman" w:hAnsi="Times New Roman" w:cs="Times New Roman"/>
          <w:sz w:val="24"/>
          <w:szCs w:val="24"/>
        </w:rPr>
        <w:t>g.</w:t>
      </w:r>
      <w:r w:rsidRPr="0092320B">
        <w:rPr>
          <w:rFonts w:ascii="Times New Roman" w:hAnsi="Times New Roman" w:cs="Times New Roman"/>
          <w:sz w:val="24"/>
          <w:szCs w:val="24"/>
        </w:rPr>
        <w:tab/>
        <w:t>Adjustments 14.15 and 6.15, Rate Case Expense</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54</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h.</w:t>
      </w:r>
      <w:r w:rsidRPr="00F7149A">
        <w:rPr>
          <w:rFonts w:ascii="Times New Roman" w:hAnsi="Times New Roman" w:cs="Times New Roman"/>
          <w:sz w:val="24"/>
          <w:szCs w:val="24"/>
        </w:rPr>
        <w:tab/>
        <w:t xml:space="preserve">Adjustments 14.22 and 6.22, Working Capital- Debit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 xml:space="preserve">Balance in Account 236, Accrued Federal Income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Taxes Payable</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55</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sidRPr="00F7149A">
        <w:rPr>
          <w:rFonts w:ascii="Times New Roman" w:hAnsi="Times New Roman" w:cs="Times New Roman"/>
          <w:sz w:val="24"/>
          <w:szCs w:val="24"/>
        </w:rPr>
        <w:t>IV.</w:t>
      </w:r>
      <w:r w:rsidRPr="00F7149A">
        <w:rPr>
          <w:rFonts w:ascii="Times New Roman" w:hAnsi="Times New Roman" w:cs="Times New Roman"/>
          <w:sz w:val="24"/>
          <w:szCs w:val="24"/>
        </w:rPr>
        <w:tab/>
        <w:t>CONSERVATION DECOUPLING PROPOSALS</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57</w:t>
      </w:r>
    </w:p>
    <w:p w:rsidR="00F95C62" w:rsidRDefault="00F95C62"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95C62" w:rsidRPr="00F95C62" w:rsidRDefault="00F95C62"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95C62">
        <w:rPr>
          <w:rFonts w:ascii="Times New Roman" w:hAnsi="Times New Roman" w:cs="Times New Roman"/>
          <w:sz w:val="24"/>
          <w:szCs w:val="24"/>
        </w:rPr>
        <w:t>A.</w:t>
      </w:r>
      <w:r w:rsidRPr="00F95C62">
        <w:rPr>
          <w:rFonts w:ascii="Times New Roman" w:hAnsi="Times New Roman" w:cs="Times New Roman"/>
          <w:sz w:val="24"/>
          <w:szCs w:val="24"/>
        </w:rPr>
        <w:tab/>
        <w:t>Description of the Company and NWEC Proposals</w:t>
      </w:r>
      <w:r w:rsidR="00BC549F">
        <w:rPr>
          <w:rFonts w:ascii="Times New Roman" w:hAnsi="Times New Roman" w:cs="Times New Roman"/>
          <w:sz w:val="24"/>
          <w:szCs w:val="24"/>
        </w:rPr>
        <w:t xml:space="preserve"> </w:t>
      </w:r>
      <w:r w:rsidR="00BC549F">
        <w:rPr>
          <w:rFonts w:ascii="Times New Roman" w:hAnsi="Times New Roman" w:cs="Times New Roman"/>
          <w:sz w:val="24"/>
          <w:szCs w:val="24"/>
        </w:rPr>
        <w:tab/>
        <w:t>58</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5C62">
        <w:rPr>
          <w:rFonts w:ascii="Times New Roman" w:hAnsi="Times New Roman" w:cs="Times New Roman"/>
          <w:sz w:val="24"/>
          <w:szCs w:val="24"/>
        </w:rPr>
        <w:t>B</w:t>
      </w:r>
      <w:r w:rsidRPr="00F7149A">
        <w:rPr>
          <w:rFonts w:ascii="Times New Roman" w:hAnsi="Times New Roman" w:cs="Times New Roman"/>
          <w:sz w:val="24"/>
          <w:szCs w:val="24"/>
        </w:rPr>
        <w:t>.</w:t>
      </w:r>
      <w:r w:rsidRPr="00F7149A">
        <w:rPr>
          <w:rFonts w:ascii="Times New Roman" w:hAnsi="Times New Roman" w:cs="Times New Roman"/>
          <w:sz w:val="24"/>
          <w:szCs w:val="24"/>
        </w:rPr>
        <w:tab/>
        <w:t xml:space="preserve">The Company’s CSA and NWEC’s Full Decoupling Mechanism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Do Not Comply with the Decoupling Policy Statement</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58</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1.</w:t>
      </w:r>
      <w:r w:rsidRPr="00F7149A">
        <w:rPr>
          <w:rFonts w:ascii="Times New Roman" w:hAnsi="Times New Roman" w:cs="Times New Roman"/>
          <w:sz w:val="24"/>
          <w:szCs w:val="24"/>
        </w:rPr>
        <w:tab/>
        <w:t xml:space="preserve">Neither the Company nor NWEC Analyze the Impact of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Their </w:t>
      </w:r>
      <w:r w:rsidRPr="00F7149A">
        <w:rPr>
          <w:rFonts w:ascii="Times New Roman" w:hAnsi="Times New Roman" w:cs="Times New Roman"/>
          <w:sz w:val="24"/>
          <w:szCs w:val="24"/>
        </w:rPr>
        <w:t>Proposals on Rate of Return</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58</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2.</w:t>
      </w:r>
      <w:r w:rsidRPr="00F7149A">
        <w:rPr>
          <w:rFonts w:ascii="Times New Roman" w:hAnsi="Times New Roman" w:cs="Times New Roman"/>
          <w:sz w:val="24"/>
          <w:szCs w:val="24"/>
        </w:rPr>
        <w:tab/>
        <w:t xml:space="preserve">Neither the Company nor NWEC Account for Offsets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or Found Margin</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60</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3.</w:t>
      </w:r>
      <w:r w:rsidRPr="00F7149A">
        <w:rPr>
          <w:rFonts w:ascii="Times New Roman" w:hAnsi="Times New Roman" w:cs="Times New Roman"/>
          <w:sz w:val="24"/>
          <w:szCs w:val="24"/>
        </w:rPr>
        <w:tab/>
        <w:t xml:space="preserve">Neither the Company nor NWEC Account for Incremental </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Conservation</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60</w:t>
      </w: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left" w:pos="288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5C62">
        <w:rPr>
          <w:rFonts w:ascii="Times New Roman" w:hAnsi="Times New Roman" w:cs="Times New Roman"/>
          <w:sz w:val="24"/>
          <w:szCs w:val="24"/>
        </w:rPr>
        <w:t>C</w:t>
      </w:r>
      <w:r w:rsidRPr="00F7149A">
        <w:rPr>
          <w:rFonts w:ascii="Times New Roman" w:hAnsi="Times New Roman" w:cs="Times New Roman"/>
          <w:sz w:val="24"/>
          <w:szCs w:val="24"/>
        </w:rPr>
        <w:t>.</w:t>
      </w:r>
      <w:r w:rsidRPr="00F7149A">
        <w:rPr>
          <w:rFonts w:ascii="Times New Roman" w:hAnsi="Times New Roman" w:cs="Times New Roman"/>
          <w:sz w:val="24"/>
          <w:szCs w:val="24"/>
        </w:rPr>
        <w:tab/>
        <w:t xml:space="preserve">The Company’s CSA Contains Significant Flaws that Warrant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Its Rejection</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61</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1.</w:t>
      </w:r>
      <w:r w:rsidRPr="00F7149A">
        <w:rPr>
          <w:rFonts w:ascii="Times New Roman" w:hAnsi="Times New Roman" w:cs="Times New Roman"/>
          <w:sz w:val="24"/>
          <w:szCs w:val="24"/>
        </w:rPr>
        <w:tab/>
        <w:t xml:space="preserve">The CSA Uses Energy Savings Estimates that are Not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Known and Measureable</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61</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2.</w:t>
      </w:r>
      <w:r w:rsidRPr="00F7149A">
        <w:rPr>
          <w:rFonts w:ascii="Times New Roman" w:hAnsi="Times New Roman" w:cs="Times New Roman"/>
          <w:sz w:val="24"/>
          <w:szCs w:val="24"/>
        </w:rPr>
        <w:tab/>
        <w:t xml:space="preserve">The CSA Inappropriately Uses Savings Estimates Like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Billing Determinants</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63</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3.</w:t>
      </w:r>
      <w:r w:rsidRPr="00F7149A">
        <w:rPr>
          <w:rFonts w:ascii="Times New Roman" w:hAnsi="Times New Roman" w:cs="Times New Roman"/>
          <w:sz w:val="24"/>
          <w:szCs w:val="24"/>
        </w:rPr>
        <w:tab/>
        <w:t>The CSA Will Result in Automatic Rate Increases</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64</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BC549F">
      <w:pPr>
        <w:keepNext/>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F95C62">
        <w:rPr>
          <w:rFonts w:ascii="Times New Roman" w:hAnsi="Times New Roman" w:cs="Times New Roman"/>
          <w:sz w:val="24"/>
          <w:szCs w:val="24"/>
        </w:rPr>
        <w:t>D</w:t>
      </w:r>
      <w:r w:rsidRPr="00F7149A">
        <w:rPr>
          <w:rFonts w:ascii="Times New Roman" w:hAnsi="Times New Roman" w:cs="Times New Roman"/>
          <w:sz w:val="24"/>
          <w:szCs w:val="24"/>
        </w:rPr>
        <w:t>.</w:t>
      </w:r>
      <w:r w:rsidRPr="00F7149A">
        <w:rPr>
          <w:rFonts w:ascii="Times New Roman" w:hAnsi="Times New Roman" w:cs="Times New Roman"/>
          <w:sz w:val="24"/>
          <w:szCs w:val="24"/>
        </w:rPr>
        <w:tab/>
        <w:t xml:space="preserve">NWEC’s Decoupling Proposal Contains Significant Flaws that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Warrant Rejection</w:t>
      </w:r>
      <w:r>
        <w:rPr>
          <w:rFonts w:ascii="Times New Roman" w:hAnsi="Times New Roman" w:cs="Times New Roman"/>
          <w:sz w:val="24"/>
          <w:szCs w:val="24"/>
        </w:rPr>
        <w:tab/>
      </w:r>
      <w:r w:rsidR="0040144B">
        <w:rPr>
          <w:rFonts w:ascii="Times New Roman" w:hAnsi="Times New Roman" w:cs="Times New Roman"/>
          <w:sz w:val="24"/>
          <w:szCs w:val="24"/>
        </w:rPr>
        <w:t>64</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BC549F"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1.</w:t>
      </w:r>
      <w:r w:rsidRPr="00F7149A">
        <w:rPr>
          <w:rFonts w:ascii="Times New Roman" w:hAnsi="Times New Roman" w:cs="Times New Roman"/>
          <w:sz w:val="24"/>
          <w:szCs w:val="24"/>
        </w:rPr>
        <w:tab/>
        <w:t xml:space="preserve">NWEC’s Decoupling Proposal May </w:t>
      </w:r>
      <w:r w:rsidR="00BC549F">
        <w:rPr>
          <w:rFonts w:ascii="Times New Roman" w:hAnsi="Times New Roman" w:cs="Times New Roman"/>
          <w:sz w:val="24"/>
          <w:szCs w:val="24"/>
        </w:rPr>
        <w:t>Cause Unlawful</w:t>
      </w:r>
    </w:p>
    <w:p w:rsidR="00FA3DC1" w:rsidRDefault="00BC549F"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3DC1" w:rsidRPr="00F7149A">
        <w:rPr>
          <w:rFonts w:ascii="Times New Roman" w:hAnsi="Times New Roman" w:cs="Times New Roman"/>
          <w:sz w:val="24"/>
          <w:szCs w:val="24"/>
        </w:rPr>
        <w:t>Discriminat</w:t>
      </w:r>
      <w:r>
        <w:rPr>
          <w:rFonts w:ascii="Times New Roman" w:hAnsi="Times New Roman" w:cs="Times New Roman"/>
          <w:sz w:val="24"/>
          <w:szCs w:val="24"/>
        </w:rPr>
        <w:t>ion</w:t>
      </w:r>
      <w:r w:rsidR="00FA3DC1">
        <w:rPr>
          <w:rFonts w:ascii="Times New Roman" w:hAnsi="Times New Roman" w:cs="Times New Roman"/>
          <w:sz w:val="24"/>
          <w:szCs w:val="24"/>
        </w:rPr>
        <w:t xml:space="preserve"> </w:t>
      </w:r>
      <w:r w:rsidR="00FA3DC1">
        <w:rPr>
          <w:rFonts w:ascii="Times New Roman" w:hAnsi="Times New Roman" w:cs="Times New Roman"/>
          <w:sz w:val="24"/>
          <w:szCs w:val="24"/>
        </w:rPr>
        <w:tab/>
      </w:r>
      <w:r w:rsidR="0040144B">
        <w:rPr>
          <w:rFonts w:ascii="Times New Roman" w:hAnsi="Times New Roman" w:cs="Times New Roman"/>
          <w:sz w:val="24"/>
          <w:szCs w:val="24"/>
        </w:rPr>
        <w:t>64</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keepNext/>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2.</w:t>
      </w:r>
      <w:r w:rsidRPr="00F7149A">
        <w:rPr>
          <w:rFonts w:ascii="Times New Roman" w:hAnsi="Times New Roman" w:cs="Times New Roman"/>
          <w:sz w:val="24"/>
          <w:szCs w:val="24"/>
        </w:rPr>
        <w:tab/>
        <w:t xml:space="preserve">NWEC’s Decoupling Proposal Fails to Condition Recovery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r w:rsidRPr="00F7149A">
        <w:rPr>
          <w:rFonts w:ascii="Times New Roman" w:hAnsi="Times New Roman" w:cs="Times New Roman"/>
          <w:sz w:val="24"/>
          <w:szCs w:val="24"/>
        </w:rPr>
        <w:t>Conservation Achievement</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66</w:t>
      </w:r>
    </w:p>
    <w:p w:rsidR="00F05C5C" w:rsidRDefault="00F05C5C"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05C5C" w:rsidRDefault="00F05C5C"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F05C5C">
        <w:rPr>
          <w:rFonts w:ascii="Times New Roman" w:hAnsi="Times New Roman" w:cs="Times New Roman"/>
          <w:sz w:val="24"/>
          <w:szCs w:val="24"/>
        </w:rPr>
        <w:tab/>
        <w:t>E.</w:t>
      </w:r>
      <w:r w:rsidRPr="00F05C5C">
        <w:rPr>
          <w:rFonts w:ascii="Times New Roman" w:hAnsi="Times New Roman" w:cs="Times New Roman"/>
          <w:sz w:val="24"/>
          <w:szCs w:val="24"/>
        </w:rPr>
        <w:tab/>
        <w:t xml:space="preserve">The Proposals of the Company and NWEC Are Unnecessary </w:t>
      </w:r>
    </w:p>
    <w:p w:rsidR="00F05C5C" w:rsidRPr="00F05C5C" w:rsidRDefault="00F05C5C"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F05C5C">
        <w:rPr>
          <w:rFonts w:ascii="Times New Roman" w:hAnsi="Times New Roman" w:cs="Times New Roman"/>
          <w:sz w:val="24"/>
          <w:szCs w:val="24"/>
        </w:rPr>
        <w:t>and</w:t>
      </w:r>
      <w:proofErr w:type="gramEnd"/>
      <w:r w:rsidRPr="00F05C5C">
        <w:rPr>
          <w:rFonts w:ascii="Times New Roman" w:hAnsi="Times New Roman" w:cs="Times New Roman"/>
          <w:sz w:val="24"/>
          <w:szCs w:val="24"/>
        </w:rPr>
        <w:t xml:space="preserve"> Complex Responses to the Impact of Conservation</w:t>
      </w:r>
      <w:r w:rsidR="0040144B">
        <w:rPr>
          <w:rFonts w:ascii="Times New Roman" w:hAnsi="Times New Roman" w:cs="Times New Roman"/>
          <w:sz w:val="24"/>
          <w:szCs w:val="24"/>
        </w:rPr>
        <w:t xml:space="preserve"> </w:t>
      </w:r>
      <w:r w:rsidR="0040144B">
        <w:rPr>
          <w:rFonts w:ascii="Times New Roman" w:hAnsi="Times New Roman" w:cs="Times New Roman"/>
          <w:sz w:val="24"/>
          <w:szCs w:val="24"/>
        </w:rPr>
        <w:tab/>
        <w:t>66</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F7149A">
        <w:rPr>
          <w:rFonts w:ascii="Times New Roman" w:hAnsi="Times New Roman" w:cs="Times New Roman"/>
          <w:sz w:val="24"/>
          <w:szCs w:val="24"/>
        </w:rPr>
        <w:t>V.</w:t>
      </w:r>
      <w:r w:rsidRPr="00F7149A">
        <w:rPr>
          <w:rFonts w:ascii="Times New Roman" w:hAnsi="Times New Roman" w:cs="Times New Roman"/>
          <w:sz w:val="24"/>
          <w:szCs w:val="24"/>
        </w:rPr>
        <w:tab/>
      </w:r>
      <w:proofErr w:type="spellStart"/>
      <w:r w:rsidRPr="00F7149A">
        <w:rPr>
          <w:rFonts w:ascii="Times New Roman" w:hAnsi="Times New Roman" w:cs="Times New Roman"/>
          <w:sz w:val="24"/>
          <w:szCs w:val="24"/>
        </w:rPr>
        <w:t>SQI</w:t>
      </w:r>
      <w:proofErr w:type="spellEnd"/>
      <w:r w:rsidRPr="00F7149A">
        <w:rPr>
          <w:rFonts w:ascii="Times New Roman" w:hAnsi="Times New Roman" w:cs="Times New Roman"/>
          <w:sz w:val="24"/>
          <w:szCs w:val="24"/>
        </w:rPr>
        <w:t xml:space="preserve"> 9: DISCONNECTION RATIO</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67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7149A">
        <w:rPr>
          <w:rFonts w:ascii="Times New Roman" w:hAnsi="Times New Roman" w:cs="Times New Roman"/>
          <w:sz w:val="24"/>
          <w:szCs w:val="24"/>
        </w:rPr>
        <w:t>A.</w:t>
      </w:r>
      <w:r w:rsidRPr="00F7149A">
        <w:rPr>
          <w:rFonts w:ascii="Times New Roman" w:hAnsi="Times New Roman" w:cs="Times New Roman"/>
          <w:sz w:val="24"/>
          <w:szCs w:val="24"/>
        </w:rPr>
        <w:tab/>
        <w:t>Background</w:t>
      </w:r>
      <w:r>
        <w:rPr>
          <w:rFonts w:ascii="Times New Roman" w:hAnsi="Times New Roman" w:cs="Times New Roman"/>
          <w:sz w:val="24"/>
          <w:szCs w:val="24"/>
        </w:rPr>
        <w:t xml:space="preserve"> </w:t>
      </w:r>
      <w:r>
        <w:rPr>
          <w:rFonts w:ascii="Times New Roman" w:hAnsi="Times New Roman" w:cs="Times New Roman"/>
          <w:sz w:val="24"/>
          <w:szCs w:val="24"/>
        </w:rPr>
        <w:tab/>
      </w:r>
      <w:r w:rsidR="0040144B">
        <w:rPr>
          <w:rFonts w:ascii="Times New Roman" w:hAnsi="Times New Roman" w:cs="Times New Roman"/>
          <w:sz w:val="24"/>
          <w:szCs w:val="24"/>
        </w:rPr>
        <w:t>67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7149A">
        <w:rPr>
          <w:rFonts w:ascii="Times New Roman" w:hAnsi="Times New Roman" w:cs="Times New Roman"/>
          <w:sz w:val="24"/>
          <w:szCs w:val="24"/>
        </w:rPr>
        <w:t>B.</w:t>
      </w:r>
      <w:r w:rsidRPr="00F7149A">
        <w:rPr>
          <w:rFonts w:ascii="Times New Roman" w:hAnsi="Times New Roman" w:cs="Times New Roman"/>
          <w:sz w:val="24"/>
          <w:szCs w:val="24"/>
        </w:rPr>
        <w:tab/>
        <w:t xml:space="preserve">SQI-9 Interferes With the Proper Application of Existing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 xml:space="preserve">Customer Protections and Results in Inequitable Treatment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7149A">
        <w:rPr>
          <w:rFonts w:ascii="Times New Roman" w:hAnsi="Times New Roman" w:cs="Times New Roman"/>
          <w:sz w:val="24"/>
          <w:szCs w:val="24"/>
        </w:rPr>
        <w:t>of Customers</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F7149A">
        <w:rPr>
          <w:rFonts w:ascii="Times New Roman" w:hAnsi="Times New Roman" w:cs="Times New Roman"/>
          <w:sz w:val="24"/>
          <w:szCs w:val="24"/>
        </w:rPr>
        <w:t>VII.</w:t>
      </w:r>
      <w:r w:rsidRPr="00F7149A">
        <w:rPr>
          <w:rFonts w:ascii="Times New Roman" w:hAnsi="Times New Roman" w:cs="Times New Roman"/>
          <w:sz w:val="24"/>
          <w:szCs w:val="24"/>
        </w:rPr>
        <w:tab/>
        <w:t>LOW INCOME ASSISTANCE</w:t>
      </w:r>
      <w:r>
        <w:rPr>
          <w:rFonts w:ascii="Times New Roman" w:hAnsi="Times New Roman" w:cs="Times New Roman"/>
          <w:sz w:val="24"/>
          <w:szCs w:val="24"/>
        </w:rPr>
        <w:t xml:space="preserve"> </w:t>
      </w:r>
      <w:r>
        <w:rPr>
          <w:rFonts w:ascii="Times New Roman" w:hAnsi="Times New Roman" w:cs="Times New Roman"/>
          <w:sz w:val="24"/>
          <w:szCs w:val="24"/>
        </w:rPr>
        <w:tab/>
      </w:r>
      <w:r w:rsidR="00BC549F">
        <w:rPr>
          <w:rFonts w:ascii="Times New Roman" w:hAnsi="Times New Roman" w:cs="Times New Roman"/>
          <w:sz w:val="24"/>
          <w:szCs w:val="24"/>
        </w:rPr>
        <w:t>69</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A3DC1" w:rsidRDefault="00FA3DC1" w:rsidP="00FA3DC1">
      <w:pPr>
        <w:tabs>
          <w:tab w:val="left" w:pos="720"/>
          <w:tab w:val="left" w:pos="1440"/>
          <w:tab w:val="left" w:pos="2160"/>
          <w:tab w:val="right" w:leader="dot" w:pos="91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AUTHORITIES</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Pr="00FA3DC1" w:rsidRDefault="00FA3DC1" w:rsidP="00FA3DC1">
      <w:pPr>
        <w:tabs>
          <w:tab w:val="left" w:pos="720"/>
          <w:tab w:val="left" w:pos="1440"/>
          <w:tab w:val="left" w:pos="2160"/>
          <w:tab w:val="right" w:leader="dot" w:pos="9180"/>
        </w:tabs>
        <w:spacing w:after="0" w:line="240" w:lineRule="auto"/>
        <w:jc w:val="center"/>
        <w:rPr>
          <w:rFonts w:ascii="Times New Roman" w:hAnsi="Times New Roman" w:cs="Times New Roman"/>
          <w:sz w:val="24"/>
          <w:szCs w:val="24"/>
          <w:u w:val="single"/>
        </w:rPr>
      </w:pPr>
      <w:r w:rsidRPr="00FA3DC1">
        <w:rPr>
          <w:rFonts w:ascii="Times New Roman" w:hAnsi="Times New Roman" w:cs="Times New Roman"/>
          <w:i/>
          <w:sz w:val="24"/>
          <w:szCs w:val="24"/>
          <w:u w:val="single"/>
        </w:rPr>
        <w:t>Table of Cases</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060EA4" w:rsidRDefault="00060EA4" w:rsidP="00FA3DC1">
      <w:pPr>
        <w:tabs>
          <w:tab w:val="left" w:pos="720"/>
          <w:tab w:val="left" w:pos="1440"/>
          <w:tab w:val="left" w:pos="2160"/>
          <w:tab w:val="right" w:leader="dot" w:pos="9180"/>
        </w:tabs>
        <w:spacing w:after="0" w:line="240" w:lineRule="auto"/>
        <w:rPr>
          <w:rFonts w:ascii="Times New Roman" w:hAnsi="Times New Roman" w:cs="Times New Roman"/>
          <w:i/>
          <w:sz w:val="24"/>
          <w:szCs w:val="24"/>
        </w:rPr>
      </w:pPr>
      <w:r w:rsidRPr="00060EA4">
        <w:rPr>
          <w:rFonts w:ascii="Times New Roman" w:hAnsi="Times New Roman" w:cs="Times New Roman"/>
          <w:i/>
          <w:sz w:val="24"/>
          <w:szCs w:val="24"/>
        </w:rPr>
        <w:t xml:space="preserve">Federal Power Commission v. Natural Gas Pipeline, </w:t>
      </w:r>
    </w:p>
    <w:p w:rsidR="00060EA4" w:rsidRPr="00060EA4" w:rsidRDefault="00060EA4"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060EA4">
        <w:rPr>
          <w:rFonts w:ascii="Times New Roman" w:hAnsi="Times New Roman" w:cs="Times New Roman"/>
          <w:sz w:val="24"/>
          <w:szCs w:val="24"/>
        </w:rPr>
        <w:tab/>
        <w:t xml:space="preserve">315 U.S. 575, 585 (1942) </w:t>
      </w:r>
      <w:r w:rsidRPr="00060EA4">
        <w:rPr>
          <w:rFonts w:ascii="Times New Roman" w:hAnsi="Times New Roman" w:cs="Times New Roman"/>
          <w:sz w:val="24"/>
          <w:szCs w:val="24"/>
        </w:rPr>
        <w:tab/>
      </w:r>
      <w:r>
        <w:rPr>
          <w:rFonts w:ascii="Times New Roman" w:hAnsi="Times New Roman" w:cs="Times New Roman"/>
          <w:sz w:val="24"/>
          <w:szCs w:val="24"/>
        </w:rPr>
        <w:t>7</w:t>
      </w:r>
    </w:p>
    <w:p w:rsidR="00060EA4" w:rsidRDefault="00060EA4" w:rsidP="00FA3DC1">
      <w:pPr>
        <w:tabs>
          <w:tab w:val="left" w:pos="720"/>
          <w:tab w:val="left" w:pos="1440"/>
          <w:tab w:val="left" w:pos="2160"/>
          <w:tab w:val="right" w:leader="dot" w:pos="9180"/>
        </w:tabs>
        <w:spacing w:after="0" w:line="240" w:lineRule="auto"/>
        <w:rPr>
          <w:rFonts w:ascii="Times New Roman" w:hAnsi="Times New Roman" w:cs="Times New Roman"/>
          <w:i/>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706261">
        <w:rPr>
          <w:rFonts w:ascii="Times New Roman" w:hAnsi="Times New Roman" w:cs="Times New Roman"/>
          <w:i/>
          <w:sz w:val="24"/>
          <w:szCs w:val="24"/>
        </w:rPr>
        <w:t>Federal Power Commission v. Hope Natural Gas Co.</w:t>
      </w:r>
      <w:r>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320 U.S. 591 (1942) </w:t>
      </w:r>
      <w:r>
        <w:rPr>
          <w:rFonts w:ascii="Times New Roman" w:hAnsi="Times New Roman" w:cs="Times New Roman"/>
          <w:sz w:val="24"/>
          <w:szCs w:val="24"/>
        </w:rPr>
        <w:tab/>
      </w:r>
      <w:r w:rsidR="00060EA4">
        <w:rPr>
          <w:rFonts w:ascii="Times New Roman" w:hAnsi="Times New Roman" w:cs="Times New Roman"/>
          <w:sz w:val="24"/>
          <w:szCs w:val="24"/>
        </w:rPr>
        <w:t>7</w:t>
      </w:r>
      <w:r w:rsidR="002619B9">
        <w:rPr>
          <w:rFonts w:ascii="Times New Roman" w:hAnsi="Times New Roman" w:cs="Times New Roman"/>
          <w:sz w:val="24"/>
          <w:szCs w:val="24"/>
        </w:rPr>
        <w:t>, 12</w:t>
      </w:r>
    </w:p>
    <w:p w:rsidR="00CF677B" w:rsidRDefault="00CF677B" w:rsidP="00FA3DC1">
      <w:pPr>
        <w:tabs>
          <w:tab w:val="left" w:pos="720"/>
          <w:tab w:val="left" w:pos="1440"/>
          <w:tab w:val="left" w:pos="2160"/>
          <w:tab w:val="right" w:leader="dot" w:pos="9180"/>
        </w:tabs>
        <w:spacing w:after="0" w:line="240" w:lineRule="auto"/>
        <w:rPr>
          <w:rFonts w:ascii="Times New Roman" w:hAnsi="Times New Roman" w:cs="Times New Roman"/>
          <w:i/>
          <w:sz w:val="24"/>
          <w:szCs w:val="24"/>
        </w:rPr>
      </w:pPr>
    </w:p>
    <w:p w:rsidR="00CF677B" w:rsidRDefault="00CF677B"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CF677B">
        <w:rPr>
          <w:rFonts w:ascii="Times New Roman" w:hAnsi="Times New Roman" w:cs="Times New Roman"/>
          <w:i/>
          <w:sz w:val="24"/>
          <w:szCs w:val="24"/>
        </w:rPr>
        <w:t>Schneidewind v. ANR Pipeline Co.</w:t>
      </w:r>
      <w:r w:rsidRPr="00CF677B">
        <w:rPr>
          <w:rFonts w:ascii="Times New Roman" w:hAnsi="Times New Roman" w:cs="Times New Roman"/>
          <w:sz w:val="24"/>
          <w:szCs w:val="24"/>
        </w:rPr>
        <w:t xml:space="preserve">, </w:t>
      </w:r>
    </w:p>
    <w:p w:rsidR="00FA3DC1" w:rsidRDefault="00CF677B"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F677B">
        <w:rPr>
          <w:rFonts w:ascii="Times New Roman" w:hAnsi="Times New Roman" w:cs="Times New Roman"/>
          <w:sz w:val="24"/>
          <w:szCs w:val="24"/>
        </w:rPr>
        <w:t>485 U.S. 293</w:t>
      </w:r>
      <w:r>
        <w:rPr>
          <w:rFonts w:ascii="Times New Roman" w:hAnsi="Times New Roman" w:cs="Times New Roman"/>
          <w:sz w:val="24"/>
          <w:szCs w:val="24"/>
        </w:rPr>
        <w:t xml:space="preserve"> </w:t>
      </w:r>
      <w:r w:rsidRPr="00CF677B">
        <w:rPr>
          <w:rFonts w:ascii="Times New Roman" w:hAnsi="Times New Roman" w:cs="Times New Roman"/>
          <w:sz w:val="24"/>
          <w:szCs w:val="24"/>
        </w:rPr>
        <w:t>(1988)</w:t>
      </w:r>
      <w:r>
        <w:rPr>
          <w:rFonts w:ascii="Times New Roman" w:hAnsi="Times New Roman" w:cs="Times New Roman"/>
          <w:sz w:val="24"/>
          <w:szCs w:val="24"/>
        </w:rPr>
        <w:t xml:space="preserve"> </w:t>
      </w:r>
      <w:r>
        <w:rPr>
          <w:rFonts w:ascii="Times New Roman" w:hAnsi="Times New Roman" w:cs="Times New Roman"/>
          <w:sz w:val="24"/>
          <w:szCs w:val="24"/>
        </w:rPr>
        <w:tab/>
        <w:t>3</w:t>
      </w:r>
    </w:p>
    <w:p w:rsidR="00CF677B" w:rsidRDefault="00CF677B"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Pr="00FA3DC1" w:rsidRDefault="00FA3DC1" w:rsidP="00FA3DC1">
      <w:pPr>
        <w:tabs>
          <w:tab w:val="left" w:pos="720"/>
          <w:tab w:val="left" w:pos="1440"/>
          <w:tab w:val="left" w:pos="2160"/>
          <w:tab w:val="right" w:leader="dot" w:pos="9180"/>
        </w:tabs>
        <w:spacing w:after="0" w:line="240" w:lineRule="auto"/>
        <w:jc w:val="center"/>
        <w:rPr>
          <w:rFonts w:ascii="Times New Roman" w:hAnsi="Times New Roman" w:cs="Times New Roman"/>
          <w:i/>
          <w:sz w:val="24"/>
          <w:szCs w:val="24"/>
          <w:u w:val="single"/>
        </w:rPr>
      </w:pPr>
      <w:r w:rsidRPr="00FA3DC1">
        <w:rPr>
          <w:rFonts w:ascii="Times New Roman" w:hAnsi="Times New Roman" w:cs="Times New Roman"/>
          <w:i/>
          <w:sz w:val="24"/>
          <w:szCs w:val="24"/>
          <w:u w:val="single"/>
        </w:rPr>
        <w:t>Table of Commission Cases</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855891">
        <w:rPr>
          <w:rFonts w:ascii="Times New Roman" w:hAnsi="Times New Roman" w:cs="Times New Roman"/>
          <w:i/>
          <w:sz w:val="24"/>
          <w:szCs w:val="24"/>
        </w:rPr>
        <w:t>In the Matter of the Joint Application of Puget Holdings LLC and Puget Sound Energy, Inc</w:t>
      </w:r>
      <w:r w:rsidRPr="00855891">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55891">
        <w:rPr>
          <w:rFonts w:ascii="Times New Roman" w:hAnsi="Times New Roman" w:cs="Times New Roman"/>
          <w:sz w:val="24"/>
          <w:szCs w:val="24"/>
        </w:rPr>
        <w:t xml:space="preserve">Docket U-072375, Order 08, Attachment A, Appendix A,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55891">
        <w:rPr>
          <w:rFonts w:ascii="Times New Roman" w:hAnsi="Times New Roman" w:cs="Times New Roman"/>
          <w:sz w:val="24"/>
          <w:szCs w:val="24"/>
        </w:rPr>
        <w:t>Commitment 24 (December 30, 2008)</w:t>
      </w:r>
      <w:r>
        <w:rPr>
          <w:rFonts w:ascii="Times New Roman" w:hAnsi="Times New Roman" w:cs="Times New Roman"/>
          <w:sz w:val="24"/>
          <w:szCs w:val="24"/>
        </w:rPr>
        <w:t xml:space="preserve"> </w:t>
      </w:r>
      <w:r>
        <w:rPr>
          <w:rFonts w:ascii="Times New Roman" w:hAnsi="Times New Roman" w:cs="Times New Roman"/>
          <w:sz w:val="24"/>
          <w:szCs w:val="24"/>
        </w:rPr>
        <w:tab/>
      </w:r>
      <w:r w:rsidR="00127D94">
        <w:rPr>
          <w:rFonts w:ascii="Times New Roman" w:hAnsi="Times New Roman" w:cs="Times New Roman"/>
          <w:sz w:val="24"/>
          <w:szCs w:val="24"/>
        </w:rPr>
        <w:t>3</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i/>
          <w:sz w:val="24"/>
          <w:szCs w:val="24"/>
        </w:rPr>
        <w:t>In the Matter of Puget Sound Energy, Inc. for an Accounting Order Regarding the Treatment of U.S. Treasury Grant</w:t>
      </w:r>
      <w:r w:rsidRPr="00D964F3">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964F3">
        <w:rPr>
          <w:rFonts w:ascii="Times New Roman" w:hAnsi="Times New Roman" w:cs="Times New Roman"/>
          <w:sz w:val="24"/>
          <w:szCs w:val="24"/>
        </w:rPr>
        <w:t>Docket UE-091570, Order 01 (December 10, 2009)</w:t>
      </w:r>
      <w:r>
        <w:rPr>
          <w:rFonts w:ascii="Times New Roman" w:hAnsi="Times New Roman" w:cs="Times New Roman"/>
          <w:sz w:val="24"/>
          <w:szCs w:val="24"/>
        </w:rPr>
        <w:t xml:space="preserve"> </w:t>
      </w:r>
      <w:r>
        <w:rPr>
          <w:rFonts w:ascii="Times New Roman" w:hAnsi="Times New Roman" w:cs="Times New Roman"/>
          <w:sz w:val="24"/>
          <w:szCs w:val="24"/>
        </w:rPr>
        <w:tab/>
      </w:r>
      <w:r w:rsidR="002619B9">
        <w:rPr>
          <w:rFonts w:ascii="Times New Roman" w:hAnsi="Times New Roman" w:cs="Times New Roman"/>
          <w:sz w:val="24"/>
          <w:szCs w:val="24"/>
        </w:rPr>
        <w:t>25</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141E7D">
        <w:rPr>
          <w:rFonts w:ascii="Times New Roman" w:hAnsi="Times New Roman" w:cs="Times New Roman"/>
          <w:i/>
          <w:sz w:val="24"/>
          <w:szCs w:val="24"/>
        </w:rPr>
        <w:t>In the Matter of the Washington Utilities and Transportation Commission’s Investigation into Energy Conservation Incentives</w:t>
      </w:r>
      <w:r w:rsidRPr="00141E7D">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41E7D">
        <w:rPr>
          <w:rFonts w:ascii="Times New Roman" w:hAnsi="Times New Roman" w:cs="Times New Roman"/>
          <w:sz w:val="24"/>
          <w:szCs w:val="24"/>
        </w:rPr>
        <w:t>Docket U-100522, Report an</w:t>
      </w:r>
      <w:r>
        <w:rPr>
          <w:rFonts w:ascii="Times New Roman" w:hAnsi="Times New Roman" w:cs="Times New Roman"/>
          <w:sz w:val="24"/>
          <w:szCs w:val="24"/>
        </w:rPr>
        <w:t xml:space="preserve">d Policy Statement </w:t>
      </w:r>
      <w:r w:rsidRPr="00141E7D">
        <w:rPr>
          <w:rFonts w:ascii="Times New Roman" w:hAnsi="Times New Roman" w:cs="Times New Roman"/>
          <w:sz w:val="24"/>
          <w:szCs w:val="24"/>
        </w:rPr>
        <w:t xml:space="preserve">(November 4, 2010)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(“Decoupling </w:t>
      </w:r>
      <w:r w:rsidR="002619B9">
        <w:rPr>
          <w:rFonts w:ascii="Times New Roman" w:hAnsi="Times New Roman" w:cs="Times New Roman"/>
          <w:sz w:val="24"/>
          <w:szCs w:val="24"/>
        </w:rPr>
        <w:t xml:space="preserve">Policy </w:t>
      </w:r>
      <w:r>
        <w:rPr>
          <w:rFonts w:ascii="Times New Roman" w:hAnsi="Times New Roman" w:cs="Times New Roman"/>
          <w:sz w:val="24"/>
          <w:szCs w:val="24"/>
        </w:rPr>
        <w:t>Statement”)</w:t>
      </w:r>
      <w:r>
        <w:rPr>
          <w:rFonts w:ascii="Times New Roman" w:hAnsi="Times New Roman" w:cs="Times New Roman"/>
          <w:sz w:val="24"/>
          <w:szCs w:val="24"/>
        </w:rPr>
        <w:tab/>
      </w:r>
      <w:r w:rsidR="002619B9">
        <w:rPr>
          <w:rFonts w:ascii="Times New Roman" w:hAnsi="Times New Roman" w:cs="Times New Roman"/>
          <w:sz w:val="24"/>
          <w:szCs w:val="24"/>
        </w:rPr>
        <w:t>11, 14, 57-61, 65</w:t>
      </w:r>
      <w:r w:rsidR="00CF5777">
        <w:rPr>
          <w:rFonts w:ascii="Times New Roman" w:hAnsi="Times New Roman" w:cs="Times New Roman"/>
          <w:sz w:val="24"/>
          <w:szCs w:val="24"/>
        </w:rPr>
        <w:t>, 66</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i/>
          <w:sz w:val="24"/>
          <w:szCs w:val="24"/>
        </w:rPr>
        <w:t>In the Matter of the Washington Utilities and Transportation Commission’s Inquiry on Regulatory Treatment for Renewable Energy Resources</w:t>
      </w:r>
      <w:r w:rsidRPr="00D964F3">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964F3">
        <w:rPr>
          <w:rFonts w:ascii="Times New Roman" w:hAnsi="Times New Roman" w:cs="Times New Roman"/>
          <w:sz w:val="24"/>
          <w:szCs w:val="24"/>
        </w:rPr>
        <w:t xml:space="preserve">Docket UE-100849, Report and Policy Statement Concerning Acquisition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964F3">
        <w:rPr>
          <w:rFonts w:ascii="Times New Roman" w:hAnsi="Times New Roman" w:cs="Times New Roman"/>
          <w:sz w:val="24"/>
          <w:szCs w:val="24"/>
        </w:rPr>
        <w:t xml:space="preserve">of Renewable Resources by Investor-Owned Utilities at ¶55 (January 3, 2011)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(“Renewable Policy Statement”) </w:t>
      </w:r>
      <w:r>
        <w:rPr>
          <w:rFonts w:ascii="Times New Roman" w:hAnsi="Times New Roman" w:cs="Times New Roman"/>
          <w:sz w:val="24"/>
          <w:szCs w:val="24"/>
        </w:rPr>
        <w:tab/>
      </w:r>
      <w:r w:rsidR="002619B9">
        <w:rPr>
          <w:rFonts w:ascii="Times New Roman" w:hAnsi="Times New Roman" w:cs="Times New Roman"/>
          <w:sz w:val="24"/>
          <w:szCs w:val="24"/>
        </w:rPr>
        <w:t>16, 17, 20</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463BD2">
        <w:rPr>
          <w:rFonts w:ascii="Times New Roman" w:hAnsi="Times New Roman" w:cs="Times New Roman"/>
          <w:i/>
          <w:sz w:val="24"/>
          <w:szCs w:val="24"/>
        </w:rPr>
        <w:t>WUTC v. Avista Corporation</w:t>
      </w:r>
      <w:r w:rsidRPr="00463BD2">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3BD2">
        <w:rPr>
          <w:rFonts w:ascii="Times New Roman" w:hAnsi="Times New Roman" w:cs="Times New Roman"/>
          <w:sz w:val="24"/>
          <w:szCs w:val="24"/>
        </w:rPr>
        <w:t xml:space="preserve">Dockets UE-991606 and </w:t>
      </w:r>
      <w:r>
        <w:rPr>
          <w:rFonts w:ascii="Times New Roman" w:hAnsi="Times New Roman" w:cs="Times New Roman"/>
          <w:sz w:val="24"/>
          <w:szCs w:val="24"/>
        </w:rPr>
        <w:t xml:space="preserve">UG-991607, Third Supp. Order, </w:t>
      </w:r>
      <w:r w:rsidRPr="00463BD2">
        <w:rPr>
          <w:rFonts w:ascii="Times New Roman" w:hAnsi="Times New Roman" w:cs="Times New Roman"/>
          <w:sz w:val="24"/>
          <w:szCs w:val="24"/>
        </w:rPr>
        <w:t>(September 29, 2000)</w:t>
      </w:r>
      <w:r>
        <w:rPr>
          <w:rFonts w:ascii="Times New Roman" w:hAnsi="Times New Roman" w:cs="Times New Roman"/>
          <w:sz w:val="24"/>
          <w:szCs w:val="24"/>
        </w:rPr>
        <w:t xml:space="preserve"> </w:t>
      </w:r>
      <w:r>
        <w:rPr>
          <w:rFonts w:ascii="Times New Roman" w:hAnsi="Times New Roman" w:cs="Times New Roman"/>
          <w:sz w:val="24"/>
          <w:szCs w:val="24"/>
        </w:rPr>
        <w:tab/>
      </w:r>
      <w:r w:rsidR="002619B9">
        <w:rPr>
          <w:rFonts w:ascii="Times New Roman" w:hAnsi="Times New Roman" w:cs="Times New Roman"/>
          <w:sz w:val="24"/>
          <w:szCs w:val="24"/>
        </w:rPr>
        <w:t>50</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462E82">
        <w:rPr>
          <w:rFonts w:ascii="Times New Roman" w:hAnsi="Times New Roman" w:cs="Times New Roman"/>
          <w:i/>
          <w:sz w:val="24"/>
          <w:szCs w:val="24"/>
        </w:rPr>
        <w:t>WUTC v. Avista Corporation</w:t>
      </w:r>
      <w:r w:rsidRPr="00462E82">
        <w:rPr>
          <w:rFonts w:ascii="Times New Roman" w:hAnsi="Times New Roman" w:cs="Times New Roman"/>
          <w:sz w:val="24"/>
          <w:szCs w:val="24"/>
        </w:rPr>
        <w:t xml:space="preserve">, </w:t>
      </w:r>
    </w:p>
    <w:p w:rsidR="002619B9"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2E82">
        <w:rPr>
          <w:rFonts w:ascii="Times New Roman" w:hAnsi="Times New Roman" w:cs="Times New Roman"/>
          <w:sz w:val="24"/>
          <w:szCs w:val="24"/>
        </w:rPr>
        <w:t xml:space="preserve">Dockets UE-090134, UG-090135 and UG-060518, </w:t>
      </w:r>
    </w:p>
    <w:p w:rsidR="00FA3DC1" w:rsidRDefault="002619B9"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A3DC1" w:rsidRPr="00462E82">
        <w:rPr>
          <w:rFonts w:ascii="Times New Roman" w:hAnsi="Times New Roman" w:cs="Times New Roman"/>
          <w:sz w:val="24"/>
          <w:szCs w:val="24"/>
        </w:rPr>
        <w:t>Order 10 (December 22, 2009)</w:t>
      </w:r>
      <w:r w:rsidR="00FA3DC1">
        <w:rPr>
          <w:rFonts w:ascii="Times New Roman" w:hAnsi="Times New Roman" w:cs="Times New Roman"/>
          <w:sz w:val="24"/>
          <w:szCs w:val="24"/>
        </w:rPr>
        <w:t xml:space="preserve"> </w:t>
      </w:r>
      <w:r w:rsidR="00FA3DC1">
        <w:rPr>
          <w:rFonts w:ascii="Times New Roman" w:hAnsi="Times New Roman" w:cs="Times New Roman"/>
          <w:sz w:val="24"/>
          <w:szCs w:val="24"/>
        </w:rPr>
        <w:tab/>
      </w:r>
      <w:r>
        <w:rPr>
          <w:rFonts w:ascii="Times New Roman" w:hAnsi="Times New Roman" w:cs="Times New Roman"/>
          <w:sz w:val="24"/>
          <w:szCs w:val="24"/>
        </w:rPr>
        <w:t>49, 53</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i/>
          <w:sz w:val="24"/>
          <w:szCs w:val="24"/>
        </w:rPr>
        <w:t>WUTC v. PacifiCorp, d/b/a Pacific Power &amp; Light Co.,</w:t>
      </w:r>
      <w:r w:rsidRPr="00D964F3">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964F3">
        <w:rPr>
          <w:rFonts w:ascii="Times New Roman" w:hAnsi="Times New Roman" w:cs="Times New Roman"/>
          <w:sz w:val="24"/>
          <w:szCs w:val="24"/>
        </w:rPr>
        <w:t xml:space="preserve">Docket UE-050684, Order 04 </w:t>
      </w:r>
      <w:r w:rsidRPr="00D964F3">
        <w:rPr>
          <w:rFonts w:ascii="Times New Roman" w:hAnsi="Times New Roman" w:cs="Times New Roman"/>
          <w:bCs/>
          <w:sz w:val="24"/>
          <w:szCs w:val="24"/>
        </w:rPr>
        <w:t>(April 17, 2006)</w:t>
      </w:r>
      <w:r>
        <w:rPr>
          <w:rFonts w:ascii="Times New Roman" w:hAnsi="Times New Roman" w:cs="Times New Roman"/>
          <w:bCs/>
          <w:sz w:val="24"/>
          <w:szCs w:val="24"/>
        </w:rPr>
        <w:t xml:space="preserve"> </w:t>
      </w:r>
      <w:r>
        <w:rPr>
          <w:rFonts w:ascii="Times New Roman" w:hAnsi="Times New Roman" w:cs="Times New Roman"/>
          <w:bCs/>
          <w:sz w:val="24"/>
          <w:szCs w:val="24"/>
        </w:rPr>
        <w:tab/>
      </w:r>
      <w:r w:rsidR="002619B9">
        <w:rPr>
          <w:rFonts w:ascii="Times New Roman" w:hAnsi="Times New Roman" w:cs="Times New Roman"/>
          <w:bCs/>
          <w:sz w:val="24"/>
          <w:szCs w:val="24"/>
        </w:rPr>
        <w:t>16</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C55B3">
      <w:pPr>
        <w:keepNext/>
        <w:tabs>
          <w:tab w:val="left" w:pos="720"/>
          <w:tab w:val="left" w:pos="1440"/>
          <w:tab w:val="left" w:pos="2160"/>
          <w:tab w:val="right" w:leader="dot" w:pos="9180"/>
        </w:tabs>
        <w:spacing w:after="0" w:line="240" w:lineRule="auto"/>
        <w:rPr>
          <w:rFonts w:ascii="Times New Roman" w:hAnsi="Times New Roman" w:cs="Times New Roman"/>
          <w:sz w:val="24"/>
          <w:szCs w:val="24"/>
        </w:rPr>
      </w:pPr>
      <w:r w:rsidRPr="00706261">
        <w:rPr>
          <w:rFonts w:ascii="Times New Roman" w:hAnsi="Times New Roman" w:cs="Times New Roman"/>
          <w:i/>
          <w:sz w:val="24"/>
          <w:szCs w:val="24"/>
        </w:rPr>
        <w:lastRenderedPageBreak/>
        <w:t>WUTC v. PacifiCorp d/b/a Pacific Power &amp; Light</w:t>
      </w:r>
      <w:r>
        <w:rPr>
          <w:rFonts w:ascii="Times New Roman" w:hAnsi="Times New Roman" w:cs="Times New Roman"/>
          <w:i/>
          <w:sz w:val="24"/>
          <w:szCs w:val="24"/>
        </w:rPr>
        <w:t xml:space="preserve"> Co.</w:t>
      </w:r>
      <w:r w:rsidRPr="00706261">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06261">
        <w:rPr>
          <w:rFonts w:ascii="Times New Roman" w:hAnsi="Times New Roman" w:cs="Times New Roman"/>
          <w:sz w:val="24"/>
          <w:szCs w:val="24"/>
        </w:rPr>
        <w:t>Docket UE-100749, Order 6 (March 25, 2011)</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7, 4</w:t>
      </w:r>
      <w:r w:rsidR="00635501">
        <w:rPr>
          <w:rFonts w:ascii="Times New Roman" w:hAnsi="Times New Roman" w:cs="Times New Roman"/>
          <w:sz w:val="24"/>
          <w:szCs w:val="24"/>
        </w:rPr>
        <w:t>5</w:t>
      </w:r>
      <w:r w:rsidR="00656585">
        <w:rPr>
          <w:rFonts w:ascii="Times New Roman" w:hAnsi="Times New Roman" w:cs="Times New Roman"/>
          <w:sz w:val="24"/>
          <w:szCs w:val="24"/>
        </w:rPr>
        <w:t>, 5</w:t>
      </w:r>
      <w:r w:rsidR="00635501">
        <w:rPr>
          <w:rFonts w:ascii="Times New Roman" w:hAnsi="Times New Roman" w:cs="Times New Roman"/>
          <w:sz w:val="24"/>
          <w:szCs w:val="24"/>
        </w:rPr>
        <w:t>0</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i/>
          <w:sz w:val="24"/>
          <w:szCs w:val="24"/>
        </w:rPr>
      </w:pPr>
      <w:r w:rsidRPr="006C0F63">
        <w:rPr>
          <w:rFonts w:ascii="Times New Roman" w:hAnsi="Times New Roman" w:cs="Times New Roman"/>
          <w:i/>
          <w:sz w:val="24"/>
          <w:szCs w:val="24"/>
        </w:rPr>
        <w:t xml:space="preserve">WUTC v. PacifiCorp, d/b/a Pacific Power &amp; Light Co.,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6C0F63">
        <w:rPr>
          <w:rFonts w:ascii="Times New Roman" w:hAnsi="Times New Roman" w:cs="Times New Roman"/>
          <w:sz w:val="24"/>
          <w:szCs w:val="24"/>
        </w:rPr>
        <w:t>Docket UE-100749, Order 07 (May 12, 2011)</w:t>
      </w:r>
      <w:r>
        <w:rPr>
          <w:rFonts w:ascii="Times New Roman" w:hAnsi="Times New Roman" w:cs="Times New Roman"/>
          <w:sz w:val="24"/>
          <w:szCs w:val="24"/>
        </w:rPr>
        <w:t xml:space="preserve"> </w:t>
      </w:r>
      <w:r>
        <w:rPr>
          <w:rFonts w:ascii="Times New Roman" w:hAnsi="Times New Roman" w:cs="Times New Roman"/>
          <w:sz w:val="24"/>
          <w:szCs w:val="24"/>
        </w:rPr>
        <w:tab/>
      </w:r>
      <w:r w:rsidR="00127D94">
        <w:rPr>
          <w:rFonts w:ascii="Times New Roman" w:hAnsi="Times New Roman" w:cs="Times New Roman"/>
          <w:sz w:val="24"/>
          <w:szCs w:val="24"/>
        </w:rPr>
        <w:t>3</w:t>
      </w:r>
      <w:r w:rsidR="00076CFC">
        <w:rPr>
          <w:rFonts w:ascii="Times New Roman" w:hAnsi="Times New Roman" w:cs="Times New Roman"/>
          <w:sz w:val="24"/>
          <w:szCs w:val="24"/>
        </w:rPr>
        <w:t>, 5</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keepNext/>
        <w:tabs>
          <w:tab w:val="left" w:pos="720"/>
          <w:tab w:val="left" w:pos="1440"/>
          <w:tab w:val="left" w:pos="2160"/>
          <w:tab w:val="right" w:leader="dot" w:pos="9180"/>
        </w:tabs>
        <w:spacing w:after="0" w:line="240" w:lineRule="auto"/>
        <w:rPr>
          <w:rFonts w:ascii="Times New Roman" w:hAnsi="Times New Roman" w:cs="Times New Roman"/>
          <w:sz w:val="24"/>
          <w:szCs w:val="24"/>
        </w:rPr>
      </w:pPr>
      <w:r w:rsidRPr="00754A22">
        <w:rPr>
          <w:rFonts w:ascii="Times New Roman" w:hAnsi="Times New Roman" w:cs="Times New Roman"/>
          <w:i/>
          <w:sz w:val="24"/>
          <w:szCs w:val="24"/>
        </w:rPr>
        <w:t>WUTC v. Puget Sound Energy, Inc.</w:t>
      </w:r>
      <w:r w:rsidRPr="00754A22">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4A22">
        <w:rPr>
          <w:rFonts w:ascii="Times New Roman" w:hAnsi="Times New Roman" w:cs="Times New Roman"/>
          <w:sz w:val="24"/>
          <w:szCs w:val="24"/>
        </w:rPr>
        <w:t xml:space="preserve">Docket Nos. UE-011570 and UG-011571, 12th Suppl. Order,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4A22">
        <w:rPr>
          <w:rFonts w:ascii="Times New Roman" w:hAnsi="Times New Roman" w:cs="Times New Roman"/>
          <w:sz w:val="24"/>
          <w:szCs w:val="24"/>
        </w:rPr>
        <w:t xml:space="preserve">Appendix Exhibit A to Settlement Stipulation at 4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4A22">
        <w:rPr>
          <w:rFonts w:ascii="Times New Roman" w:hAnsi="Times New Roman" w:cs="Times New Roman"/>
          <w:sz w:val="24"/>
          <w:szCs w:val="24"/>
        </w:rPr>
        <w:t>(Settlement Terms For PCA) (June 20, 2002)</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39, 69</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keepNext/>
        <w:tabs>
          <w:tab w:val="left" w:pos="720"/>
          <w:tab w:val="left" w:pos="1440"/>
          <w:tab w:val="left" w:pos="216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i/>
          <w:sz w:val="24"/>
          <w:szCs w:val="24"/>
        </w:rPr>
        <w:t>WUTC v. Puget Sound Energy, Inc.,</w:t>
      </w:r>
      <w:r w:rsidRPr="00D964F3">
        <w:rPr>
          <w:rFonts w:ascii="Times New Roman" w:hAnsi="Times New Roman" w:cs="Times New Roman"/>
          <w:sz w:val="24"/>
          <w:szCs w:val="24"/>
        </w:rPr>
        <w:t xml:space="preserve"> </w:t>
      </w:r>
    </w:p>
    <w:p w:rsidR="00FA3DC1" w:rsidRPr="006C0F63"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964F3">
        <w:rPr>
          <w:rFonts w:ascii="Times New Roman" w:hAnsi="Times New Roman" w:cs="Times New Roman"/>
          <w:sz w:val="24"/>
          <w:szCs w:val="24"/>
        </w:rPr>
        <w:t>Docket UE-031725, Order 12 (April 7, 2004)</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17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i/>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480CCF">
        <w:rPr>
          <w:rFonts w:ascii="Times New Roman" w:hAnsi="Times New Roman" w:cs="Times New Roman"/>
          <w:i/>
          <w:sz w:val="24"/>
          <w:szCs w:val="24"/>
        </w:rPr>
        <w:t>WUTC v. Puget Sound Energy, Inc.</w:t>
      </w:r>
      <w:r w:rsidRPr="00480CCF">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0CCF">
        <w:rPr>
          <w:rFonts w:ascii="Times New Roman" w:hAnsi="Times New Roman" w:cs="Times New Roman"/>
          <w:sz w:val="24"/>
          <w:szCs w:val="24"/>
        </w:rPr>
        <w:t>Dockets UE-040641 and UG-040640, Order 06 (February 18, 2007)</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2, 8</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706261">
        <w:rPr>
          <w:rFonts w:ascii="Times New Roman" w:hAnsi="Times New Roman" w:cs="Times New Roman"/>
          <w:i/>
          <w:sz w:val="24"/>
          <w:szCs w:val="24"/>
        </w:rPr>
        <w:t>WUTC v. Puget Sound Energy, Inc</w:t>
      </w:r>
      <w:r w:rsidRPr="00706261">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06261">
        <w:rPr>
          <w:rFonts w:ascii="Times New Roman" w:hAnsi="Times New Roman" w:cs="Times New Roman"/>
          <w:sz w:val="24"/>
          <w:szCs w:val="24"/>
        </w:rPr>
        <w:t>Dockets UE-060266 and UG-060267, Order</w:t>
      </w:r>
      <w:r>
        <w:rPr>
          <w:rFonts w:ascii="Times New Roman" w:hAnsi="Times New Roman" w:cs="Times New Roman"/>
          <w:sz w:val="24"/>
          <w:szCs w:val="24"/>
        </w:rPr>
        <w:t xml:space="preserve"> 08 (January 5, 2007) </w:t>
      </w:r>
      <w:r>
        <w:rPr>
          <w:rFonts w:ascii="Times New Roman" w:hAnsi="Times New Roman" w:cs="Times New Roman"/>
          <w:sz w:val="24"/>
          <w:szCs w:val="24"/>
        </w:rPr>
        <w:tab/>
      </w:r>
      <w:r w:rsidR="00656585">
        <w:rPr>
          <w:rFonts w:ascii="Times New Roman" w:hAnsi="Times New Roman" w:cs="Times New Roman"/>
          <w:sz w:val="24"/>
          <w:szCs w:val="24"/>
        </w:rPr>
        <w:t>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1C532C">
        <w:rPr>
          <w:rFonts w:ascii="Times New Roman" w:hAnsi="Times New Roman" w:cs="Times New Roman"/>
          <w:i/>
          <w:sz w:val="24"/>
          <w:szCs w:val="24"/>
        </w:rPr>
        <w:t>WUTC v Puget Sound Energy, Inc</w:t>
      </w:r>
      <w:r w:rsidRPr="001C532C">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C532C">
        <w:rPr>
          <w:rFonts w:ascii="Times New Roman" w:hAnsi="Times New Roman" w:cs="Times New Roman"/>
          <w:sz w:val="24"/>
          <w:szCs w:val="24"/>
        </w:rPr>
        <w:t xml:space="preserve">Dockets </w:t>
      </w:r>
      <w:proofErr w:type="spellStart"/>
      <w:r w:rsidRPr="001C532C">
        <w:rPr>
          <w:rFonts w:ascii="Times New Roman" w:hAnsi="Times New Roman" w:cs="Times New Roman"/>
          <w:sz w:val="24"/>
          <w:szCs w:val="24"/>
        </w:rPr>
        <w:t>UE</w:t>
      </w:r>
      <w:proofErr w:type="spellEnd"/>
      <w:r w:rsidRPr="001C532C">
        <w:rPr>
          <w:rFonts w:ascii="Times New Roman" w:hAnsi="Times New Roman" w:cs="Times New Roman"/>
          <w:sz w:val="24"/>
          <w:szCs w:val="24"/>
        </w:rPr>
        <w:t xml:space="preserve">-072300 and </w:t>
      </w:r>
      <w:proofErr w:type="spellStart"/>
      <w:r w:rsidRPr="001C532C">
        <w:rPr>
          <w:rFonts w:ascii="Times New Roman" w:hAnsi="Times New Roman" w:cs="Times New Roman"/>
          <w:sz w:val="24"/>
          <w:szCs w:val="24"/>
        </w:rPr>
        <w:t>UG</w:t>
      </w:r>
      <w:proofErr w:type="spellEnd"/>
      <w:r w:rsidRPr="001C532C">
        <w:rPr>
          <w:rFonts w:ascii="Times New Roman" w:hAnsi="Times New Roman" w:cs="Times New Roman"/>
          <w:sz w:val="24"/>
          <w:szCs w:val="24"/>
        </w:rPr>
        <w:t>-072301, Order 14 (November 13, 2009)</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6</w:t>
      </w:r>
      <w:r w:rsidR="00635501">
        <w:rPr>
          <w:rFonts w:ascii="Times New Roman" w:hAnsi="Times New Roman" w:cs="Times New Roman"/>
          <w:sz w:val="24"/>
          <w:szCs w:val="24"/>
        </w:rPr>
        <w:t>7</w:t>
      </w:r>
      <w:r w:rsidR="00656585">
        <w:rPr>
          <w:rFonts w:ascii="Times New Roman" w:hAnsi="Times New Roman" w:cs="Times New Roman"/>
          <w:sz w:val="24"/>
          <w:szCs w:val="24"/>
        </w:rPr>
        <w:t>, 69</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1C532C">
        <w:rPr>
          <w:rFonts w:ascii="Times New Roman" w:hAnsi="Times New Roman" w:cs="Times New Roman"/>
          <w:i/>
          <w:sz w:val="24"/>
          <w:szCs w:val="24"/>
        </w:rPr>
        <w:t>WUTC v Puget Sound Energy, Inc</w:t>
      </w:r>
      <w:r w:rsidRPr="001C532C">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C532C">
        <w:rPr>
          <w:rFonts w:ascii="Times New Roman" w:hAnsi="Times New Roman" w:cs="Times New Roman"/>
          <w:sz w:val="24"/>
          <w:szCs w:val="24"/>
        </w:rPr>
        <w:t>Dockets UE-072300 and UG-072301, Order 16 (August 10, 2010)</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67</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E620C3">
        <w:rPr>
          <w:rFonts w:ascii="Times New Roman" w:hAnsi="Times New Roman" w:cs="Times New Roman"/>
          <w:i/>
          <w:sz w:val="24"/>
          <w:szCs w:val="24"/>
        </w:rPr>
        <w:t>WUTC v. Puget Sound Energy, Inc.</w:t>
      </w:r>
      <w:r w:rsidRPr="00E620C3">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620C3">
        <w:rPr>
          <w:rFonts w:ascii="Times New Roman" w:hAnsi="Times New Roman" w:cs="Times New Roman"/>
          <w:sz w:val="24"/>
          <w:szCs w:val="24"/>
        </w:rPr>
        <w:t>Dockets UE-090704 and UG-090705, Order 11 (April 2, 2010</w:t>
      </w:r>
      <w:r>
        <w:rPr>
          <w:rFonts w:ascii="Times New Roman" w:hAnsi="Times New Roman" w:cs="Times New Roman"/>
          <w:sz w:val="24"/>
          <w:szCs w:val="24"/>
        </w:rPr>
        <w:t xml:space="preserve">) </w:t>
      </w:r>
      <w:r>
        <w:rPr>
          <w:rFonts w:ascii="Times New Roman" w:hAnsi="Times New Roman" w:cs="Times New Roman"/>
          <w:sz w:val="24"/>
          <w:szCs w:val="24"/>
        </w:rPr>
        <w:tab/>
      </w:r>
      <w:r w:rsidR="00076CFC">
        <w:rPr>
          <w:rFonts w:ascii="Times New Roman" w:hAnsi="Times New Roman" w:cs="Times New Roman"/>
          <w:sz w:val="24"/>
          <w:szCs w:val="24"/>
        </w:rPr>
        <w:t>6</w:t>
      </w:r>
      <w:r w:rsidR="00635501">
        <w:rPr>
          <w:rFonts w:ascii="Times New Roman" w:hAnsi="Times New Roman" w:cs="Times New Roman"/>
          <w:sz w:val="24"/>
          <w:szCs w:val="24"/>
        </w:rPr>
        <w:t>, 17, 18, 44</w:t>
      </w:r>
      <w:r w:rsidR="00656585">
        <w:rPr>
          <w:rFonts w:ascii="Times New Roman" w:hAnsi="Times New Roman" w:cs="Times New Roman"/>
          <w:sz w:val="24"/>
          <w:szCs w:val="24"/>
        </w:rPr>
        <w:t>, 54</w:t>
      </w:r>
    </w:p>
    <w:p w:rsidR="00FA3DC1" w:rsidRDefault="00FA3DC1" w:rsidP="00FA3DC1">
      <w:pPr>
        <w:tabs>
          <w:tab w:val="left" w:pos="720"/>
          <w:tab w:val="left" w:pos="1440"/>
          <w:tab w:val="left" w:pos="2160"/>
          <w:tab w:val="right" w:leader="dot" w:pos="9180"/>
          <w:tab w:val="right" w:pos="936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 w:val="right" w:pos="9360"/>
        </w:tabs>
        <w:spacing w:after="0" w:line="240" w:lineRule="auto"/>
        <w:rPr>
          <w:rFonts w:ascii="Times New Roman" w:hAnsi="Times New Roman" w:cs="Times New Roman"/>
          <w:sz w:val="24"/>
          <w:szCs w:val="24"/>
        </w:rPr>
      </w:pPr>
      <w:r w:rsidRPr="00754A22">
        <w:rPr>
          <w:rFonts w:ascii="Times New Roman" w:hAnsi="Times New Roman" w:cs="Times New Roman"/>
          <w:i/>
          <w:sz w:val="24"/>
          <w:szCs w:val="24"/>
        </w:rPr>
        <w:t>WUTC v. Puget Sound Energy, Inc</w:t>
      </w:r>
      <w:r w:rsidRPr="00754A22">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4A22">
        <w:rPr>
          <w:rFonts w:ascii="Times New Roman" w:hAnsi="Times New Roman" w:cs="Times New Roman"/>
          <w:sz w:val="24"/>
          <w:szCs w:val="24"/>
        </w:rPr>
        <w:t xml:space="preserve">Dockets </w:t>
      </w:r>
      <w:proofErr w:type="spellStart"/>
      <w:r w:rsidRPr="00754A22">
        <w:rPr>
          <w:rFonts w:ascii="Times New Roman" w:hAnsi="Times New Roman" w:cs="Times New Roman"/>
          <w:sz w:val="24"/>
          <w:szCs w:val="24"/>
        </w:rPr>
        <w:t>UE</w:t>
      </w:r>
      <w:proofErr w:type="spellEnd"/>
      <w:r w:rsidRPr="00754A22">
        <w:rPr>
          <w:rFonts w:ascii="Times New Roman" w:hAnsi="Times New Roman" w:cs="Times New Roman"/>
          <w:sz w:val="24"/>
          <w:szCs w:val="24"/>
        </w:rPr>
        <w:t xml:space="preserve">-090704 and </w:t>
      </w:r>
      <w:proofErr w:type="spellStart"/>
      <w:r w:rsidRPr="00754A22">
        <w:rPr>
          <w:rFonts w:ascii="Times New Roman" w:hAnsi="Times New Roman" w:cs="Times New Roman"/>
          <w:sz w:val="24"/>
          <w:szCs w:val="24"/>
        </w:rPr>
        <w:t>UG</w:t>
      </w:r>
      <w:proofErr w:type="spellEnd"/>
      <w:r w:rsidRPr="00754A22">
        <w:rPr>
          <w:rFonts w:ascii="Times New Roman" w:hAnsi="Times New Roman" w:cs="Times New Roman"/>
          <w:sz w:val="24"/>
          <w:szCs w:val="24"/>
        </w:rPr>
        <w:t>-090705, Order 12 (April 2, 2010)</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3</w:t>
      </w:r>
      <w:r w:rsidR="00635501">
        <w:rPr>
          <w:rFonts w:ascii="Times New Roman" w:hAnsi="Times New Roman" w:cs="Times New Roman"/>
          <w:sz w:val="24"/>
          <w:szCs w:val="24"/>
        </w:rPr>
        <w:t>5, 51</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463BD2">
        <w:rPr>
          <w:rFonts w:ascii="Times New Roman" w:hAnsi="Times New Roman" w:cs="Times New Roman"/>
          <w:i/>
          <w:sz w:val="24"/>
          <w:szCs w:val="24"/>
        </w:rPr>
        <w:t>WUTC v. Puget Sound Power &amp; Light Co.</w:t>
      </w:r>
      <w:r w:rsidRPr="00463BD2">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3BD2">
        <w:rPr>
          <w:rFonts w:ascii="Times New Roman" w:hAnsi="Times New Roman" w:cs="Times New Roman"/>
          <w:sz w:val="24"/>
          <w:szCs w:val="24"/>
        </w:rPr>
        <w:t>Docket UE-020433, 11</w:t>
      </w:r>
      <w:r w:rsidRPr="00463BD2">
        <w:rPr>
          <w:rFonts w:ascii="Times New Roman" w:hAnsi="Times New Roman" w:cs="Times New Roman"/>
          <w:sz w:val="24"/>
          <w:szCs w:val="24"/>
          <w:vertAlign w:val="superscript"/>
        </w:rPr>
        <w:t>th</w:t>
      </w:r>
      <w:r w:rsidRPr="00463BD2">
        <w:rPr>
          <w:rFonts w:ascii="Times New Roman" w:hAnsi="Times New Roman" w:cs="Times New Roman"/>
          <w:sz w:val="24"/>
          <w:szCs w:val="24"/>
        </w:rPr>
        <w:t xml:space="preserve"> Suppl. Order, page 61 (September 21, </w:t>
      </w:r>
      <w:r>
        <w:rPr>
          <w:rFonts w:ascii="Times New Roman" w:hAnsi="Times New Roman" w:cs="Times New Roman"/>
          <w:sz w:val="24"/>
          <w:szCs w:val="24"/>
        </w:rPr>
        <w:t xml:space="preserve">1993) </w:t>
      </w:r>
      <w:r>
        <w:rPr>
          <w:rFonts w:ascii="Times New Roman" w:hAnsi="Times New Roman" w:cs="Times New Roman"/>
          <w:sz w:val="24"/>
          <w:szCs w:val="24"/>
        </w:rPr>
        <w:tab/>
      </w:r>
      <w:r w:rsidR="00656585">
        <w:rPr>
          <w:rFonts w:ascii="Times New Roman" w:hAnsi="Times New Roman" w:cs="Times New Roman"/>
          <w:sz w:val="24"/>
          <w:szCs w:val="24"/>
        </w:rPr>
        <w:t>50</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463BD2">
        <w:rPr>
          <w:rFonts w:ascii="Times New Roman" w:hAnsi="Times New Roman" w:cs="Times New Roman"/>
          <w:i/>
          <w:sz w:val="24"/>
          <w:szCs w:val="24"/>
        </w:rPr>
        <w:t>WUTC v. U S West</w:t>
      </w:r>
      <w:r w:rsidRPr="00463BD2">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3BD2">
        <w:rPr>
          <w:rFonts w:ascii="Times New Roman" w:hAnsi="Times New Roman" w:cs="Times New Roman"/>
          <w:sz w:val="24"/>
          <w:szCs w:val="24"/>
        </w:rPr>
        <w:t>Docket UT-950200, 15</w:t>
      </w:r>
      <w:r w:rsidRPr="00463BD2">
        <w:rPr>
          <w:rFonts w:ascii="Times New Roman" w:hAnsi="Times New Roman" w:cs="Times New Roman"/>
          <w:sz w:val="24"/>
          <w:szCs w:val="24"/>
          <w:vertAlign w:val="superscript"/>
        </w:rPr>
        <w:t>th</w:t>
      </w:r>
      <w:r w:rsidRPr="00463BD2">
        <w:rPr>
          <w:rFonts w:ascii="Times New Roman" w:hAnsi="Times New Roman" w:cs="Times New Roman"/>
          <w:sz w:val="24"/>
          <w:szCs w:val="24"/>
        </w:rPr>
        <w:t xml:space="preserve"> Supp. Order (April 11, 1996)</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50</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5A3C91">
        <w:rPr>
          <w:rFonts w:ascii="Times New Roman" w:hAnsi="Times New Roman" w:cs="Times New Roman"/>
          <w:i/>
          <w:sz w:val="24"/>
          <w:szCs w:val="24"/>
        </w:rPr>
        <w:t>WUTC v. Washington Water Power Company,</w:t>
      </w:r>
      <w:r w:rsidRPr="005A3C91">
        <w:rPr>
          <w:rFonts w:ascii="Times New Roman" w:hAnsi="Times New Roman" w:cs="Times New Roman"/>
          <w:sz w:val="24"/>
          <w:szCs w:val="24"/>
        </w:rPr>
        <w:t xml:space="preserve"> </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A3C91">
        <w:rPr>
          <w:rFonts w:ascii="Times New Roman" w:hAnsi="Times New Roman" w:cs="Times New Roman"/>
          <w:sz w:val="24"/>
          <w:szCs w:val="24"/>
        </w:rPr>
        <w:t>Cause No. U-81-15/16, 2</w:t>
      </w:r>
      <w:r w:rsidRPr="005A3C91">
        <w:rPr>
          <w:rFonts w:ascii="Times New Roman" w:hAnsi="Times New Roman" w:cs="Times New Roman"/>
          <w:sz w:val="24"/>
          <w:szCs w:val="24"/>
          <w:vertAlign w:val="superscript"/>
        </w:rPr>
        <w:t>nd</w:t>
      </w:r>
      <w:r w:rsidRPr="005A3C91">
        <w:rPr>
          <w:rFonts w:ascii="Times New Roman" w:hAnsi="Times New Roman" w:cs="Times New Roman"/>
          <w:sz w:val="24"/>
          <w:szCs w:val="24"/>
        </w:rPr>
        <w:t xml:space="preserve"> Suppl. Order (November 25, 1981)</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14</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5333C9" w:rsidRDefault="005333C9">
      <w:pPr>
        <w:rPr>
          <w:rFonts w:ascii="Times New Roman" w:hAnsi="Times New Roman" w:cs="Times New Roman"/>
          <w:sz w:val="24"/>
          <w:szCs w:val="24"/>
        </w:rPr>
      </w:pPr>
      <w:r>
        <w:rPr>
          <w:rFonts w:ascii="Times New Roman" w:hAnsi="Times New Roman" w:cs="Times New Roman"/>
          <w:sz w:val="24"/>
          <w:szCs w:val="24"/>
        </w:rPr>
        <w:br w:type="page"/>
      </w:r>
    </w:p>
    <w:p w:rsidR="00FA3DC1" w:rsidRPr="00FA3DC1" w:rsidRDefault="00FA3DC1" w:rsidP="00FA3DC1">
      <w:pPr>
        <w:tabs>
          <w:tab w:val="left" w:pos="720"/>
          <w:tab w:val="left" w:pos="1440"/>
          <w:tab w:val="left" w:pos="2160"/>
          <w:tab w:val="right" w:leader="dot" w:pos="9180"/>
        </w:tabs>
        <w:spacing w:after="0" w:line="240" w:lineRule="auto"/>
        <w:jc w:val="center"/>
        <w:rPr>
          <w:rFonts w:ascii="Times New Roman" w:hAnsi="Times New Roman" w:cs="Times New Roman"/>
          <w:i/>
          <w:sz w:val="24"/>
          <w:szCs w:val="24"/>
          <w:u w:val="single"/>
        </w:rPr>
      </w:pPr>
      <w:r w:rsidRPr="00FA3DC1">
        <w:rPr>
          <w:rFonts w:ascii="Times New Roman" w:hAnsi="Times New Roman" w:cs="Times New Roman"/>
          <w:i/>
          <w:sz w:val="24"/>
          <w:szCs w:val="24"/>
          <w:u w:val="single"/>
        </w:rPr>
        <w:lastRenderedPageBreak/>
        <w:t>Statutes</w:t>
      </w:r>
      <w:r w:rsidR="00FC4766">
        <w:rPr>
          <w:rFonts w:ascii="Times New Roman" w:hAnsi="Times New Roman" w:cs="Times New Roman"/>
          <w:i/>
          <w:sz w:val="24"/>
          <w:szCs w:val="24"/>
          <w:u w:val="single"/>
        </w:rPr>
        <w:t xml:space="preserve"> and Rules</w:t>
      </w: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sz w:val="24"/>
          <w:szCs w:val="24"/>
        </w:rPr>
        <w:t>WAC 480-07-505(1)</w:t>
      </w:r>
      <w:r>
        <w:rPr>
          <w:rFonts w:ascii="Times New Roman" w:hAnsi="Times New Roman" w:cs="Times New Roman"/>
          <w:sz w:val="24"/>
          <w:szCs w:val="24"/>
        </w:rPr>
        <w:t xml:space="preserve"> </w:t>
      </w:r>
      <w:r>
        <w:rPr>
          <w:rFonts w:ascii="Times New Roman" w:hAnsi="Times New Roman" w:cs="Times New Roman"/>
          <w:sz w:val="24"/>
          <w:szCs w:val="24"/>
        </w:rPr>
        <w:tab/>
      </w:r>
      <w:r w:rsidR="00656585">
        <w:rPr>
          <w:rFonts w:ascii="Times New Roman" w:hAnsi="Times New Roman" w:cs="Times New Roman"/>
          <w:sz w:val="24"/>
          <w:szCs w:val="24"/>
        </w:rPr>
        <w:t>15</w:t>
      </w: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480-07-510(3)(e)(iii) </w:t>
      </w:r>
      <w:r>
        <w:rPr>
          <w:rFonts w:ascii="Times New Roman" w:hAnsi="Times New Roman" w:cs="Times New Roman"/>
          <w:sz w:val="24"/>
          <w:szCs w:val="24"/>
        </w:rPr>
        <w:tab/>
        <w:t>29</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sz w:val="24"/>
          <w:szCs w:val="24"/>
        </w:rPr>
        <w:t>WAC 480-07-510</w:t>
      </w:r>
      <w:r>
        <w:rPr>
          <w:rFonts w:ascii="Times New Roman" w:hAnsi="Times New Roman" w:cs="Times New Roman"/>
          <w:sz w:val="24"/>
          <w:szCs w:val="24"/>
        </w:rPr>
        <w:t xml:space="preserve"> </w:t>
      </w:r>
      <w:r>
        <w:rPr>
          <w:rFonts w:ascii="Times New Roman" w:hAnsi="Times New Roman" w:cs="Times New Roman"/>
          <w:sz w:val="24"/>
          <w:szCs w:val="24"/>
        </w:rPr>
        <w:tab/>
      </w:r>
      <w:r w:rsidR="009A2091">
        <w:rPr>
          <w:rFonts w:ascii="Times New Roman" w:hAnsi="Times New Roman" w:cs="Times New Roman"/>
          <w:sz w:val="24"/>
          <w:szCs w:val="24"/>
        </w:rPr>
        <w:t>15</w:t>
      </w: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p>
    <w:p w:rsidR="009A2091" w:rsidRDefault="008B47F6"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480-90-123 </w:t>
      </w:r>
      <w:r>
        <w:rPr>
          <w:rFonts w:ascii="Times New Roman" w:hAnsi="Times New Roman" w:cs="Times New Roman"/>
          <w:sz w:val="24"/>
          <w:szCs w:val="24"/>
        </w:rPr>
        <w:tab/>
        <w:t>68</w:t>
      </w: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480-90-128 </w:t>
      </w:r>
      <w:r>
        <w:rPr>
          <w:rFonts w:ascii="Times New Roman" w:hAnsi="Times New Roman" w:cs="Times New Roman"/>
          <w:sz w:val="24"/>
          <w:szCs w:val="24"/>
        </w:rPr>
        <w:tab/>
        <w:t>67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WAC 4</w:t>
      </w:r>
      <w:r w:rsidR="00FA3DC1">
        <w:rPr>
          <w:rFonts w:ascii="Times New Roman" w:hAnsi="Times New Roman" w:cs="Times New Roman"/>
          <w:sz w:val="24"/>
          <w:szCs w:val="24"/>
        </w:rPr>
        <w:t xml:space="preserve">80-90-138 </w:t>
      </w:r>
      <w:r w:rsidR="00FA3DC1">
        <w:rPr>
          <w:rFonts w:ascii="Times New Roman" w:hAnsi="Times New Roman" w:cs="Times New Roman"/>
          <w:sz w:val="24"/>
          <w:szCs w:val="24"/>
        </w:rPr>
        <w:tab/>
      </w:r>
      <w:r>
        <w:rPr>
          <w:rFonts w:ascii="Times New Roman" w:hAnsi="Times New Roman" w:cs="Times New Roman"/>
          <w:sz w:val="24"/>
          <w:szCs w:val="24"/>
        </w:rPr>
        <w:t>68</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480-90-143 </w:t>
      </w:r>
      <w:r>
        <w:rPr>
          <w:rFonts w:ascii="Times New Roman" w:hAnsi="Times New Roman" w:cs="Times New Roman"/>
          <w:sz w:val="24"/>
          <w:szCs w:val="24"/>
        </w:rPr>
        <w:tab/>
      </w:r>
      <w:r w:rsidR="009A2091">
        <w:rPr>
          <w:rFonts w:ascii="Times New Roman" w:hAnsi="Times New Roman" w:cs="Times New Roman"/>
          <w:sz w:val="24"/>
          <w:szCs w:val="24"/>
        </w:rPr>
        <w:t>68</w:t>
      </w:r>
    </w:p>
    <w:p w:rsidR="008B47F6" w:rsidRDefault="008B47F6" w:rsidP="00FA3DC1">
      <w:pPr>
        <w:tabs>
          <w:tab w:val="left" w:pos="720"/>
          <w:tab w:val="left" w:pos="1440"/>
          <w:tab w:val="right" w:leader="dot" w:pos="9180"/>
        </w:tabs>
        <w:spacing w:after="0" w:line="240" w:lineRule="auto"/>
        <w:rPr>
          <w:rFonts w:ascii="Times New Roman" w:hAnsi="Times New Roman" w:cs="Times New Roman"/>
          <w:sz w:val="24"/>
          <w:szCs w:val="24"/>
        </w:rPr>
      </w:pPr>
    </w:p>
    <w:p w:rsidR="008B47F6" w:rsidRDefault="008B47F6"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480-90-173 </w:t>
      </w:r>
      <w:r>
        <w:rPr>
          <w:rFonts w:ascii="Times New Roman" w:hAnsi="Times New Roman" w:cs="Times New Roman"/>
          <w:sz w:val="24"/>
          <w:szCs w:val="24"/>
        </w:rPr>
        <w:tab/>
        <w:t>67</w:t>
      </w: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p>
    <w:p w:rsidR="009A2091" w:rsidRDefault="009A209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480-90-178 </w:t>
      </w:r>
      <w:r>
        <w:rPr>
          <w:rFonts w:ascii="Times New Roman" w:hAnsi="Times New Roman" w:cs="Times New Roman"/>
          <w:sz w:val="24"/>
          <w:szCs w:val="24"/>
        </w:rPr>
        <w:tab/>
        <w:t>67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480-90-203 </w:t>
      </w:r>
      <w:r>
        <w:rPr>
          <w:rFonts w:ascii="Times New Roman" w:hAnsi="Times New Roman" w:cs="Times New Roman"/>
          <w:sz w:val="24"/>
          <w:szCs w:val="24"/>
        </w:rPr>
        <w:tab/>
      </w:r>
      <w:r w:rsidR="008B47F6">
        <w:rPr>
          <w:rFonts w:ascii="Times New Roman" w:hAnsi="Times New Roman" w:cs="Times New Roman"/>
          <w:sz w:val="24"/>
          <w:szCs w:val="24"/>
        </w:rPr>
        <w:t>47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5A3C91">
        <w:rPr>
          <w:rFonts w:ascii="Times New Roman" w:hAnsi="Times New Roman" w:cs="Times New Roman"/>
          <w:sz w:val="24"/>
          <w:szCs w:val="24"/>
        </w:rPr>
        <w:t>WAC 480-90-257</w:t>
      </w:r>
      <w:r>
        <w:rPr>
          <w:rFonts w:ascii="Times New Roman" w:hAnsi="Times New Roman" w:cs="Times New Roman"/>
          <w:sz w:val="24"/>
          <w:szCs w:val="24"/>
        </w:rPr>
        <w:t xml:space="preserve"> </w:t>
      </w:r>
      <w:r>
        <w:rPr>
          <w:rFonts w:ascii="Times New Roman" w:hAnsi="Times New Roman" w:cs="Times New Roman"/>
          <w:sz w:val="24"/>
          <w:szCs w:val="24"/>
        </w:rPr>
        <w:tab/>
      </w:r>
      <w:r w:rsidR="009A2091">
        <w:rPr>
          <w:rFonts w:ascii="Times New Roman" w:hAnsi="Times New Roman" w:cs="Times New Roman"/>
          <w:sz w:val="24"/>
          <w:szCs w:val="24"/>
        </w:rPr>
        <w:t>13</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7D0349" w:rsidRDefault="008B47F6"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480-100-123 </w:t>
      </w:r>
      <w:r>
        <w:rPr>
          <w:rFonts w:ascii="Times New Roman" w:hAnsi="Times New Roman" w:cs="Times New Roman"/>
          <w:sz w:val="24"/>
          <w:szCs w:val="24"/>
        </w:rPr>
        <w:tab/>
        <w:t>68</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480-100-128 </w:t>
      </w:r>
      <w:r>
        <w:rPr>
          <w:rFonts w:ascii="Times New Roman" w:hAnsi="Times New Roman" w:cs="Times New Roman"/>
          <w:sz w:val="24"/>
          <w:szCs w:val="24"/>
        </w:rPr>
        <w:tab/>
        <w:t>67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480-100-138 </w:t>
      </w:r>
      <w:r>
        <w:rPr>
          <w:rFonts w:ascii="Times New Roman" w:hAnsi="Times New Roman" w:cs="Times New Roman"/>
          <w:sz w:val="24"/>
          <w:szCs w:val="24"/>
        </w:rPr>
        <w:tab/>
      </w:r>
      <w:r w:rsidR="007D0349">
        <w:rPr>
          <w:rFonts w:ascii="Times New Roman" w:hAnsi="Times New Roman" w:cs="Times New Roman"/>
          <w:sz w:val="24"/>
          <w:szCs w:val="24"/>
        </w:rPr>
        <w:t>68</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480-100-143 </w:t>
      </w:r>
      <w:r>
        <w:rPr>
          <w:rFonts w:ascii="Times New Roman" w:hAnsi="Times New Roman" w:cs="Times New Roman"/>
          <w:sz w:val="24"/>
          <w:szCs w:val="24"/>
        </w:rPr>
        <w:tab/>
      </w:r>
      <w:r w:rsidR="007D0349">
        <w:rPr>
          <w:rFonts w:ascii="Times New Roman" w:hAnsi="Times New Roman" w:cs="Times New Roman"/>
          <w:sz w:val="24"/>
          <w:szCs w:val="24"/>
        </w:rPr>
        <w:t>68</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480-100-173 </w:t>
      </w:r>
      <w:r>
        <w:rPr>
          <w:rFonts w:ascii="Times New Roman" w:hAnsi="Times New Roman" w:cs="Times New Roman"/>
          <w:sz w:val="24"/>
          <w:szCs w:val="24"/>
        </w:rPr>
        <w:tab/>
        <w:t>67</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480-100-178 </w:t>
      </w:r>
      <w:r>
        <w:rPr>
          <w:rFonts w:ascii="Times New Roman" w:hAnsi="Times New Roman" w:cs="Times New Roman"/>
          <w:sz w:val="24"/>
          <w:szCs w:val="24"/>
        </w:rPr>
        <w:tab/>
        <w:t>67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480-100-203 </w:t>
      </w:r>
      <w:r>
        <w:rPr>
          <w:rFonts w:ascii="Times New Roman" w:hAnsi="Times New Roman" w:cs="Times New Roman"/>
          <w:sz w:val="24"/>
          <w:szCs w:val="24"/>
        </w:rPr>
        <w:tab/>
      </w:r>
      <w:r w:rsidR="008B47F6">
        <w:rPr>
          <w:rFonts w:ascii="Times New Roman" w:hAnsi="Times New Roman" w:cs="Times New Roman"/>
          <w:sz w:val="24"/>
          <w:szCs w:val="24"/>
        </w:rPr>
        <w:t>47</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WAC 480-100-257 </w:t>
      </w:r>
      <w:r>
        <w:rPr>
          <w:rFonts w:ascii="Times New Roman" w:hAnsi="Times New Roman" w:cs="Times New Roman"/>
          <w:sz w:val="24"/>
          <w:szCs w:val="24"/>
        </w:rPr>
        <w:tab/>
      </w:r>
      <w:r w:rsidR="007D0349">
        <w:rPr>
          <w:rFonts w:ascii="Times New Roman" w:hAnsi="Times New Roman" w:cs="Times New Roman"/>
          <w:sz w:val="24"/>
          <w:szCs w:val="24"/>
        </w:rPr>
        <w:t>13</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7D0349" w:rsidRDefault="007D0349" w:rsidP="007D0349">
      <w:pPr>
        <w:tabs>
          <w:tab w:val="left" w:pos="72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19.285 </w:t>
      </w:r>
      <w:r>
        <w:rPr>
          <w:rFonts w:ascii="Times New Roman" w:hAnsi="Times New Roman" w:cs="Times New Roman"/>
          <w:sz w:val="24"/>
          <w:szCs w:val="24"/>
        </w:rPr>
        <w:tab/>
        <w:t>16</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19.285.040(1)(e) </w:t>
      </w:r>
      <w:r>
        <w:rPr>
          <w:rFonts w:ascii="Times New Roman" w:hAnsi="Times New Roman" w:cs="Times New Roman"/>
          <w:sz w:val="24"/>
          <w:szCs w:val="24"/>
        </w:rPr>
        <w:tab/>
      </w:r>
      <w:r w:rsidR="007D0349">
        <w:rPr>
          <w:rFonts w:ascii="Times New Roman" w:hAnsi="Times New Roman" w:cs="Times New Roman"/>
          <w:sz w:val="24"/>
          <w:szCs w:val="24"/>
        </w:rPr>
        <w:t>6</w:t>
      </w:r>
      <w:r w:rsidR="008B47F6">
        <w:rPr>
          <w:rFonts w:ascii="Times New Roman" w:hAnsi="Times New Roman" w:cs="Times New Roman"/>
          <w:sz w:val="24"/>
          <w:szCs w:val="24"/>
        </w:rPr>
        <w:t>1</w:t>
      </w:r>
      <w:bookmarkStart w:id="0" w:name="_GoBack"/>
      <w:bookmarkEnd w:id="0"/>
      <w:r w:rsidR="00644F72">
        <w:rPr>
          <w:rFonts w:ascii="Times New Roman" w:hAnsi="Times New Roman" w:cs="Times New Roman"/>
          <w:sz w:val="24"/>
          <w:szCs w:val="24"/>
        </w:rPr>
        <w:t>, 63</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34.05.230(1) </w:t>
      </w:r>
      <w:r>
        <w:rPr>
          <w:rFonts w:ascii="Times New Roman" w:hAnsi="Times New Roman" w:cs="Times New Roman"/>
          <w:sz w:val="24"/>
          <w:szCs w:val="24"/>
        </w:rPr>
        <w:tab/>
      </w:r>
      <w:r w:rsidR="007D0349">
        <w:rPr>
          <w:rFonts w:ascii="Times New Roman" w:hAnsi="Times New Roman" w:cs="Times New Roman"/>
          <w:sz w:val="24"/>
          <w:szCs w:val="24"/>
        </w:rPr>
        <w:t>57</w:t>
      </w:r>
    </w:p>
    <w:p w:rsidR="007D0349" w:rsidRDefault="007D0349"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sz w:val="24"/>
          <w:szCs w:val="24"/>
        </w:rPr>
        <w:lastRenderedPageBreak/>
        <w:t xml:space="preserve">RCW </w:t>
      </w:r>
      <w:r>
        <w:rPr>
          <w:rFonts w:ascii="Times New Roman" w:hAnsi="Times New Roman" w:cs="Times New Roman"/>
          <w:sz w:val="24"/>
          <w:szCs w:val="24"/>
        </w:rPr>
        <w:t xml:space="preserve">80.04.130(1) </w:t>
      </w:r>
      <w:r>
        <w:rPr>
          <w:rFonts w:ascii="Times New Roman" w:hAnsi="Times New Roman" w:cs="Times New Roman"/>
          <w:sz w:val="24"/>
          <w:szCs w:val="24"/>
        </w:rPr>
        <w:tab/>
      </w:r>
      <w:r w:rsidR="001B156B">
        <w:rPr>
          <w:rFonts w:ascii="Times New Roman" w:hAnsi="Times New Roman" w:cs="Times New Roman"/>
          <w:sz w:val="24"/>
          <w:szCs w:val="24"/>
        </w:rPr>
        <w:t>15</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D964F3">
        <w:rPr>
          <w:rFonts w:ascii="Times New Roman" w:hAnsi="Times New Roman" w:cs="Times New Roman"/>
          <w:sz w:val="24"/>
          <w:szCs w:val="24"/>
        </w:rPr>
        <w:t>RCW 80.04.250</w:t>
      </w:r>
      <w:r>
        <w:rPr>
          <w:rFonts w:ascii="Times New Roman" w:hAnsi="Times New Roman" w:cs="Times New Roman"/>
          <w:sz w:val="24"/>
          <w:szCs w:val="24"/>
        </w:rPr>
        <w:t xml:space="preserve"> </w:t>
      </w:r>
      <w:r>
        <w:rPr>
          <w:rFonts w:ascii="Times New Roman" w:hAnsi="Times New Roman" w:cs="Times New Roman"/>
          <w:sz w:val="24"/>
          <w:szCs w:val="24"/>
        </w:rPr>
        <w:tab/>
      </w:r>
      <w:r w:rsidR="00097365">
        <w:rPr>
          <w:rFonts w:ascii="Times New Roman" w:hAnsi="Times New Roman" w:cs="Times New Roman"/>
          <w:sz w:val="24"/>
          <w:szCs w:val="24"/>
        </w:rPr>
        <w:t>16</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480CCF">
        <w:rPr>
          <w:rFonts w:ascii="Times New Roman" w:hAnsi="Times New Roman" w:cs="Times New Roman"/>
          <w:sz w:val="24"/>
          <w:szCs w:val="24"/>
        </w:rPr>
        <w:t>RCW 80.28.010(1)</w:t>
      </w:r>
      <w:r>
        <w:rPr>
          <w:rFonts w:ascii="Times New Roman" w:hAnsi="Times New Roman" w:cs="Times New Roman"/>
          <w:sz w:val="24"/>
          <w:szCs w:val="24"/>
        </w:rPr>
        <w:t xml:space="preserve"> </w:t>
      </w:r>
      <w:r>
        <w:rPr>
          <w:rFonts w:ascii="Times New Roman" w:hAnsi="Times New Roman" w:cs="Times New Roman"/>
          <w:sz w:val="24"/>
          <w:szCs w:val="24"/>
        </w:rPr>
        <w:tab/>
      </w:r>
      <w:r w:rsidR="006D36BE">
        <w:rPr>
          <w:rFonts w:ascii="Times New Roman" w:hAnsi="Times New Roman" w:cs="Times New Roman"/>
          <w:sz w:val="24"/>
          <w:szCs w:val="24"/>
        </w:rPr>
        <w:t>1</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480CCF">
        <w:rPr>
          <w:rFonts w:ascii="Times New Roman" w:hAnsi="Times New Roman" w:cs="Times New Roman"/>
          <w:sz w:val="24"/>
          <w:szCs w:val="24"/>
        </w:rPr>
        <w:t>RCW 80.28.020</w:t>
      </w:r>
      <w:r>
        <w:rPr>
          <w:rFonts w:ascii="Times New Roman" w:hAnsi="Times New Roman" w:cs="Times New Roman"/>
          <w:sz w:val="24"/>
          <w:szCs w:val="24"/>
        </w:rPr>
        <w:t xml:space="preserve"> </w:t>
      </w:r>
      <w:r>
        <w:rPr>
          <w:rFonts w:ascii="Times New Roman" w:hAnsi="Times New Roman" w:cs="Times New Roman"/>
          <w:sz w:val="24"/>
          <w:szCs w:val="24"/>
        </w:rPr>
        <w:tab/>
      </w:r>
      <w:r w:rsidR="006D36BE">
        <w:rPr>
          <w:rFonts w:ascii="Times New Roman" w:hAnsi="Times New Roman" w:cs="Times New Roman"/>
          <w:sz w:val="24"/>
          <w:szCs w:val="24"/>
        </w:rPr>
        <w:t>1</w:t>
      </w:r>
      <w:r w:rsidR="00644F72">
        <w:rPr>
          <w:rFonts w:ascii="Times New Roman" w:hAnsi="Times New Roman" w:cs="Times New Roman"/>
          <w:sz w:val="24"/>
          <w:szCs w:val="24"/>
        </w:rPr>
        <w:t>, 11</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80.28.090 </w:t>
      </w:r>
      <w:r>
        <w:rPr>
          <w:rFonts w:ascii="Times New Roman" w:hAnsi="Times New Roman" w:cs="Times New Roman"/>
          <w:sz w:val="24"/>
          <w:szCs w:val="24"/>
        </w:rPr>
        <w:tab/>
      </w:r>
      <w:r w:rsidR="00097365">
        <w:rPr>
          <w:rFonts w:ascii="Times New Roman" w:hAnsi="Times New Roman" w:cs="Times New Roman"/>
          <w:sz w:val="24"/>
          <w:szCs w:val="24"/>
        </w:rPr>
        <w:t>65</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Pr="002A0B07"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RCW 80.28.100 </w:t>
      </w:r>
      <w:r>
        <w:rPr>
          <w:rFonts w:ascii="Times New Roman" w:hAnsi="Times New Roman" w:cs="Times New Roman"/>
          <w:sz w:val="24"/>
          <w:szCs w:val="24"/>
        </w:rPr>
        <w:tab/>
      </w:r>
      <w:r w:rsidR="00097365">
        <w:rPr>
          <w:rFonts w:ascii="Times New Roman" w:hAnsi="Times New Roman" w:cs="Times New Roman"/>
          <w:sz w:val="24"/>
          <w:szCs w:val="24"/>
        </w:rPr>
        <w:t>65</w:t>
      </w:r>
    </w:p>
    <w:p w:rsidR="00FA3DC1"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p>
    <w:p w:rsidR="00FA3DC1" w:rsidRPr="002A0B07" w:rsidRDefault="00FA3DC1" w:rsidP="00FA3DC1">
      <w:pPr>
        <w:tabs>
          <w:tab w:val="left" w:pos="720"/>
          <w:tab w:val="left" w:pos="1440"/>
          <w:tab w:val="right" w:leader="dot" w:pos="9180"/>
        </w:tabs>
        <w:spacing w:after="0" w:line="240" w:lineRule="auto"/>
        <w:rPr>
          <w:rFonts w:ascii="Times New Roman" w:hAnsi="Times New Roman" w:cs="Times New Roman"/>
          <w:sz w:val="24"/>
          <w:szCs w:val="24"/>
        </w:rPr>
      </w:pPr>
      <w:r w:rsidRPr="001E23A9">
        <w:rPr>
          <w:rFonts w:ascii="Times New Roman" w:hAnsi="Times New Roman" w:cs="Times New Roman"/>
          <w:sz w:val="24"/>
          <w:szCs w:val="24"/>
        </w:rPr>
        <w:t>RCW 80.80.060(6)</w:t>
      </w:r>
      <w:r>
        <w:rPr>
          <w:rFonts w:ascii="Times New Roman" w:hAnsi="Times New Roman" w:cs="Times New Roman"/>
          <w:sz w:val="24"/>
          <w:szCs w:val="24"/>
        </w:rPr>
        <w:t xml:space="preserve"> </w:t>
      </w:r>
      <w:r>
        <w:rPr>
          <w:rFonts w:ascii="Times New Roman" w:hAnsi="Times New Roman" w:cs="Times New Roman"/>
          <w:sz w:val="24"/>
          <w:szCs w:val="24"/>
        </w:rPr>
        <w:tab/>
      </w:r>
      <w:r w:rsidR="00097365">
        <w:rPr>
          <w:rFonts w:ascii="Times New Roman" w:hAnsi="Times New Roman" w:cs="Times New Roman"/>
          <w:sz w:val="24"/>
          <w:szCs w:val="24"/>
        </w:rPr>
        <w:t>41</w:t>
      </w:r>
    </w:p>
    <w:p w:rsidR="00FA3DC1" w:rsidRPr="002A0B07" w:rsidRDefault="00FA3DC1"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p>
    <w:p w:rsidR="005333C9" w:rsidRDefault="005333C9"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sidRPr="005333C9">
        <w:rPr>
          <w:rFonts w:ascii="Times New Roman" w:hAnsi="Times New Roman" w:cs="Times New Roman"/>
          <w:sz w:val="24"/>
          <w:szCs w:val="24"/>
        </w:rPr>
        <w:t xml:space="preserve">National Defense Authorization Act for Fiscal Year 2012, </w:t>
      </w:r>
      <w:r>
        <w:rPr>
          <w:rFonts w:ascii="Times New Roman" w:hAnsi="Times New Roman" w:cs="Times New Roman"/>
          <w:sz w:val="24"/>
          <w:szCs w:val="24"/>
        </w:rPr>
        <w:t xml:space="preserve">Section 1096 </w:t>
      </w:r>
    </w:p>
    <w:p w:rsidR="00FA3DC1" w:rsidRPr="002A0B07" w:rsidRDefault="005333C9" w:rsidP="00FA3DC1">
      <w:pPr>
        <w:tabs>
          <w:tab w:val="left" w:pos="720"/>
          <w:tab w:val="left" w:pos="1440"/>
          <w:tab w:val="left" w:pos="2160"/>
          <w:tab w:val="right" w:leader="dot"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333C9">
        <w:rPr>
          <w:rFonts w:ascii="Times New Roman" w:hAnsi="Times New Roman" w:cs="Times New Roman"/>
          <w:sz w:val="24"/>
          <w:szCs w:val="24"/>
        </w:rPr>
        <w:t>H.R. 1540, 112</w:t>
      </w:r>
      <w:r w:rsidRPr="005333C9">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1st Session </w:t>
      </w:r>
      <w:r>
        <w:rPr>
          <w:rFonts w:ascii="Times New Roman" w:hAnsi="Times New Roman" w:cs="Times New Roman"/>
          <w:sz w:val="24"/>
          <w:szCs w:val="24"/>
        </w:rPr>
        <w:tab/>
        <w:t>24</w:t>
      </w: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pPr>
    </w:p>
    <w:p w:rsidR="00271D1A" w:rsidRPr="00271D1A" w:rsidRDefault="00271D1A" w:rsidP="00271D1A">
      <w:pPr>
        <w:spacing w:after="0" w:line="240" w:lineRule="auto"/>
        <w:rPr>
          <w:rFonts w:ascii="Times New Roman" w:hAnsi="Times New Roman" w:cs="Times New Roman"/>
          <w:sz w:val="24"/>
          <w:szCs w:val="24"/>
        </w:rPr>
        <w:sectPr w:rsidR="00271D1A" w:rsidRPr="00271D1A" w:rsidSect="007C3894">
          <w:footerReference w:type="default" r:id="rId9"/>
          <w:pgSz w:w="12240" w:h="15840" w:code="1"/>
          <w:pgMar w:top="1440" w:right="1440" w:bottom="1440" w:left="1440" w:header="720" w:footer="720" w:gutter="0"/>
          <w:pgNumType w:fmt="lowerRoman" w:start="1"/>
          <w:cols w:space="720"/>
          <w:docGrid w:linePitch="360"/>
        </w:sectPr>
      </w:pPr>
    </w:p>
    <w:p w:rsidR="00527B50" w:rsidRPr="00527B50" w:rsidRDefault="00527B50" w:rsidP="00527B50">
      <w:pPr>
        <w:spacing w:line="480" w:lineRule="auto"/>
        <w:jc w:val="center"/>
        <w:rPr>
          <w:rFonts w:ascii="Times New Roman" w:hAnsi="Times New Roman"/>
          <w:b/>
          <w:sz w:val="24"/>
          <w:szCs w:val="24"/>
        </w:rPr>
      </w:pPr>
      <w:r>
        <w:rPr>
          <w:rFonts w:ascii="Times New Roman" w:hAnsi="Times New Roman"/>
          <w:b/>
          <w:sz w:val="24"/>
          <w:szCs w:val="24"/>
        </w:rPr>
        <w:lastRenderedPageBreak/>
        <w:t>I.</w:t>
      </w:r>
      <w:r>
        <w:rPr>
          <w:rFonts w:ascii="Times New Roman" w:hAnsi="Times New Roman"/>
          <w:b/>
          <w:sz w:val="24"/>
          <w:szCs w:val="24"/>
        </w:rPr>
        <w:tab/>
        <w:t>INTRODUCTION</w:t>
      </w:r>
    </w:p>
    <w:p w:rsidR="009435F9" w:rsidRDefault="00527B50" w:rsidP="007F700D">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Pr="00803D18">
        <w:rPr>
          <w:rFonts w:ascii="Times New Roman" w:hAnsi="Times New Roman"/>
          <w:sz w:val="24"/>
          <w:szCs w:val="24"/>
        </w:rPr>
        <w:t>Puget Sound Energy, Inc. (“PSE” or “the Company”) seeks to increase electric and natural gas</w:t>
      </w:r>
      <w:r w:rsidR="009435F9">
        <w:rPr>
          <w:rFonts w:ascii="Times New Roman" w:hAnsi="Times New Roman"/>
          <w:sz w:val="24"/>
          <w:szCs w:val="24"/>
        </w:rPr>
        <w:t xml:space="preserve"> rates</w:t>
      </w:r>
      <w:r w:rsidR="00E95BEE">
        <w:rPr>
          <w:rFonts w:ascii="Times New Roman" w:hAnsi="Times New Roman"/>
          <w:sz w:val="24"/>
          <w:szCs w:val="24"/>
        </w:rPr>
        <w:t xml:space="preserve"> by $126</w:t>
      </w:r>
      <w:r w:rsidRPr="00803D18">
        <w:rPr>
          <w:rFonts w:ascii="Times New Roman" w:hAnsi="Times New Roman"/>
          <w:sz w:val="24"/>
          <w:szCs w:val="24"/>
        </w:rPr>
        <w:t xml:space="preserve"> million (</w:t>
      </w:r>
      <w:r w:rsidR="001C3208">
        <w:rPr>
          <w:rFonts w:ascii="Times New Roman" w:hAnsi="Times New Roman"/>
          <w:sz w:val="24"/>
          <w:szCs w:val="24"/>
        </w:rPr>
        <w:t>6.</w:t>
      </w:r>
      <w:r w:rsidR="00E95BEE">
        <w:rPr>
          <w:rFonts w:ascii="Times New Roman" w:hAnsi="Times New Roman"/>
          <w:sz w:val="24"/>
          <w:szCs w:val="24"/>
        </w:rPr>
        <w:t>2</w:t>
      </w:r>
      <w:r>
        <w:rPr>
          <w:rFonts w:ascii="Times New Roman" w:hAnsi="Times New Roman"/>
          <w:sz w:val="24"/>
          <w:szCs w:val="24"/>
        </w:rPr>
        <w:t xml:space="preserve"> </w:t>
      </w:r>
      <w:r w:rsidRPr="00803D18">
        <w:rPr>
          <w:rFonts w:ascii="Times New Roman" w:hAnsi="Times New Roman"/>
          <w:sz w:val="24"/>
          <w:szCs w:val="24"/>
        </w:rPr>
        <w:t>percent) and $</w:t>
      </w:r>
      <w:r w:rsidR="00E95BEE">
        <w:rPr>
          <w:rFonts w:ascii="Times New Roman" w:hAnsi="Times New Roman"/>
          <w:sz w:val="24"/>
          <w:szCs w:val="24"/>
        </w:rPr>
        <w:t>28.5</w:t>
      </w:r>
      <w:r>
        <w:rPr>
          <w:rFonts w:ascii="Times New Roman" w:hAnsi="Times New Roman"/>
          <w:sz w:val="24"/>
          <w:szCs w:val="24"/>
        </w:rPr>
        <w:t xml:space="preserve"> </w:t>
      </w:r>
      <w:r w:rsidRPr="00803D18">
        <w:rPr>
          <w:rFonts w:ascii="Times New Roman" w:hAnsi="Times New Roman"/>
          <w:sz w:val="24"/>
          <w:szCs w:val="24"/>
        </w:rPr>
        <w:t>million (</w:t>
      </w:r>
      <w:r w:rsidR="001C3208">
        <w:rPr>
          <w:rFonts w:ascii="Times New Roman" w:hAnsi="Times New Roman"/>
          <w:sz w:val="24"/>
          <w:szCs w:val="24"/>
        </w:rPr>
        <w:t>2.7</w:t>
      </w:r>
      <w:r w:rsidRPr="00803D18">
        <w:rPr>
          <w:rFonts w:ascii="Times New Roman" w:hAnsi="Times New Roman"/>
          <w:sz w:val="24"/>
          <w:szCs w:val="24"/>
        </w:rPr>
        <w:t xml:space="preserve"> percent), respectively.</w:t>
      </w:r>
      <w:r w:rsidRPr="00F358F7">
        <w:rPr>
          <w:rStyle w:val="FootnoteReference"/>
          <w:rFonts w:ascii="Times New Roman" w:hAnsi="Times New Roman"/>
          <w:sz w:val="24"/>
          <w:szCs w:val="24"/>
        </w:rPr>
        <w:footnoteReference w:id="1"/>
      </w:r>
      <w:r w:rsidRPr="00803D18">
        <w:rPr>
          <w:rFonts w:ascii="Times New Roman" w:hAnsi="Times New Roman"/>
          <w:sz w:val="24"/>
          <w:szCs w:val="24"/>
        </w:rPr>
        <w:t xml:space="preserve">  </w:t>
      </w:r>
      <w:r w:rsidR="009F20F6">
        <w:rPr>
          <w:rFonts w:ascii="Times New Roman" w:hAnsi="Times New Roman"/>
          <w:sz w:val="24"/>
          <w:szCs w:val="24"/>
        </w:rPr>
        <w:t xml:space="preserve">PSE </w:t>
      </w:r>
      <w:r w:rsidR="009435F9">
        <w:rPr>
          <w:rFonts w:ascii="Times New Roman" w:hAnsi="Times New Roman"/>
          <w:sz w:val="24"/>
          <w:szCs w:val="24"/>
        </w:rPr>
        <w:t xml:space="preserve">also </w:t>
      </w:r>
      <w:r w:rsidR="00D13DD6">
        <w:rPr>
          <w:rFonts w:ascii="Times New Roman" w:hAnsi="Times New Roman"/>
          <w:sz w:val="24"/>
          <w:szCs w:val="24"/>
        </w:rPr>
        <w:t xml:space="preserve">proposes a new </w:t>
      </w:r>
      <w:r w:rsidR="009435F9">
        <w:rPr>
          <w:rFonts w:ascii="Times New Roman" w:hAnsi="Times New Roman"/>
          <w:sz w:val="24"/>
          <w:szCs w:val="24"/>
        </w:rPr>
        <w:t>annual surcharge related to conservation that will provide $9.8 million in additional electric revenues and $2 million in additional gas revenues in the rate year.</w:t>
      </w:r>
      <w:r w:rsidR="009435F9">
        <w:rPr>
          <w:rStyle w:val="FootnoteReference"/>
          <w:rFonts w:ascii="Times New Roman" w:hAnsi="Times New Roman"/>
          <w:sz w:val="24"/>
          <w:szCs w:val="24"/>
        </w:rPr>
        <w:footnoteReference w:id="2"/>
      </w:r>
    </w:p>
    <w:p w:rsidR="00527B50" w:rsidRDefault="009435F9" w:rsidP="009435F9">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93855">
        <w:rPr>
          <w:rFonts w:ascii="Times New Roman" w:hAnsi="Times New Roman"/>
          <w:sz w:val="24"/>
          <w:szCs w:val="24"/>
        </w:rPr>
        <w:t>Staff proposes</w:t>
      </w:r>
      <w:r w:rsidR="00527B50" w:rsidRPr="00803D18">
        <w:rPr>
          <w:rFonts w:ascii="Times New Roman" w:hAnsi="Times New Roman"/>
          <w:sz w:val="24"/>
          <w:szCs w:val="24"/>
        </w:rPr>
        <w:t xml:space="preserve"> an increase in electr</w:t>
      </w:r>
      <w:r w:rsidR="00D15C35">
        <w:rPr>
          <w:rFonts w:ascii="Times New Roman" w:hAnsi="Times New Roman"/>
          <w:sz w:val="24"/>
          <w:szCs w:val="24"/>
        </w:rPr>
        <w:t>ic revenues of $40</w:t>
      </w:r>
      <w:r w:rsidR="00527B50" w:rsidRPr="00803D18">
        <w:rPr>
          <w:rFonts w:ascii="Times New Roman" w:hAnsi="Times New Roman"/>
          <w:sz w:val="24"/>
          <w:szCs w:val="24"/>
        </w:rPr>
        <w:t xml:space="preserve"> million (</w:t>
      </w:r>
      <w:r w:rsidR="001C3208">
        <w:rPr>
          <w:rFonts w:ascii="Times New Roman" w:hAnsi="Times New Roman"/>
          <w:sz w:val="24"/>
          <w:szCs w:val="24"/>
        </w:rPr>
        <w:t>2</w:t>
      </w:r>
      <w:r w:rsidR="00527B50" w:rsidRPr="00803D18">
        <w:rPr>
          <w:rFonts w:ascii="Times New Roman" w:hAnsi="Times New Roman"/>
          <w:sz w:val="24"/>
          <w:szCs w:val="24"/>
        </w:rPr>
        <w:t xml:space="preserve"> percent) and an </w:t>
      </w:r>
      <w:r w:rsidR="00D15C35">
        <w:rPr>
          <w:rFonts w:ascii="Times New Roman" w:hAnsi="Times New Roman"/>
          <w:sz w:val="24"/>
          <w:szCs w:val="24"/>
        </w:rPr>
        <w:t>increase in gas revenues of $1.5</w:t>
      </w:r>
      <w:r w:rsidR="00527B50" w:rsidRPr="00803D18">
        <w:rPr>
          <w:rFonts w:ascii="Times New Roman" w:hAnsi="Times New Roman"/>
          <w:sz w:val="24"/>
          <w:szCs w:val="24"/>
        </w:rPr>
        <w:t xml:space="preserve"> million (.</w:t>
      </w:r>
      <w:r w:rsidR="007F700D">
        <w:rPr>
          <w:rFonts w:ascii="Times New Roman" w:hAnsi="Times New Roman"/>
          <w:sz w:val="24"/>
          <w:szCs w:val="24"/>
        </w:rPr>
        <w:t>1</w:t>
      </w:r>
      <w:r w:rsidR="00527B50" w:rsidRPr="00803D18">
        <w:rPr>
          <w:rFonts w:ascii="Times New Roman" w:hAnsi="Times New Roman"/>
          <w:sz w:val="24"/>
          <w:szCs w:val="24"/>
        </w:rPr>
        <w:t xml:space="preserve"> percent).</w:t>
      </w:r>
      <w:r w:rsidR="00527B50">
        <w:rPr>
          <w:rStyle w:val="FootnoteReference"/>
          <w:rFonts w:ascii="Times New Roman" w:hAnsi="Times New Roman"/>
          <w:sz w:val="24"/>
          <w:szCs w:val="24"/>
        </w:rPr>
        <w:footnoteReference w:id="3"/>
      </w:r>
      <w:r>
        <w:rPr>
          <w:rFonts w:ascii="Times New Roman" w:hAnsi="Times New Roman"/>
          <w:sz w:val="24"/>
          <w:szCs w:val="24"/>
        </w:rPr>
        <w:t xml:space="preserve">  Staff opposes the conservation surcharge.</w:t>
      </w:r>
    </w:p>
    <w:p w:rsidR="009435F9" w:rsidRDefault="009435F9" w:rsidP="009435F9">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t>The flaws in t</w:t>
      </w:r>
      <w:r w:rsidR="004001AE">
        <w:rPr>
          <w:rFonts w:ascii="Times New Roman" w:hAnsi="Times New Roman"/>
          <w:sz w:val="24"/>
          <w:szCs w:val="24"/>
        </w:rPr>
        <w:t>he Company’s proposals</w:t>
      </w:r>
      <w:r w:rsidR="00447421">
        <w:rPr>
          <w:rFonts w:ascii="Times New Roman" w:hAnsi="Times New Roman"/>
          <w:sz w:val="24"/>
          <w:szCs w:val="24"/>
        </w:rPr>
        <w:t xml:space="preserve"> </w:t>
      </w:r>
      <w:r w:rsidR="00081DCD">
        <w:rPr>
          <w:rFonts w:ascii="Times New Roman" w:hAnsi="Times New Roman"/>
          <w:sz w:val="24"/>
          <w:szCs w:val="24"/>
        </w:rPr>
        <w:t>are</w:t>
      </w:r>
      <w:r>
        <w:rPr>
          <w:rFonts w:ascii="Times New Roman" w:hAnsi="Times New Roman"/>
          <w:sz w:val="24"/>
          <w:szCs w:val="24"/>
        </w:rPr>
        <w:t xml:space="preserve"> a</w:t>
      </w:r>
      <w:r w:rsidR="00C12E72">
        <w:rPr>
          <w:rFonts w:ascii="Times New Roman" w:hAnsi="Times New Roman"/>
          <w:sz w:val="24"/>
          <w:szCs w:val="24"/>
        </w:rPr>
        <w:t>ddressed at length below</w:t>
      </w:r>
      <w:r>
        <w:rPr>
          <w:rFonts w:ascii="Times New Roman" w:hAnsi="Times New Roman"/>
          <w:sz w:val="24"/>
          <w:szCs w:val="24"/>
        </w:rPr>
        <w:t xml:space="preserve">.  </w:t>
      </w:r>
      <w:r w:rsidR="004A2D2D">
        <w:rPr>
          <w:rFonts w:ascii="Times New Roman" w:hAnsi="Times New Roman"/>
          <w:sz w:val="24"/>
          <w:szCs w:val="24"/>
        </w:rPr>
        <w:t>However, it</w:t>
      </w:r>
      <w:r w:rsidR="004A2D2D" w:rsidRPr="004A2D2D">
        <w:rPr>
          <w:rFonts w:ascii="Times New Roman" w:hAnsi="Times New Roman"/>
          <w:sz w:val="24"/>
          <w:szCs w:val="24"/>
        </w:rPr>
        <w:t xml:space="preserve"> should be noted </w:t>
      </w:r>
      <w:r w:rsidR="00FC4766">
        <w:rPr>
          <w:rFonts w:ascii="Times New Roman" w:hAnsi="Times New Roman"/>
          <w:sz w:val="24"/>
          <w:szCs w:val="24"/>
        </w:rPr>
        <w:t xml:space="preserve">at the outset </w:t>
      </w:r>
      <w:r w:rsidR="004A2D2D" w:rsidRPr="004A2D2D">
        <w:rPr>
          <w:rFonts w:ascii="Times New Roman" w:hAnsi="Times New Roman"/>
          <w:sz w:val="24"/>
          <w:szCs w:val="24"/>
        </w:rPr>
        <w:t>that PSE requests</w:t>
      </w:r>
      <w:r w:rsidR="00A0318D">
        <w:rPr>
          <w:rFonts w:ascii="Times New Roman" w:hAnsi="Times New Roman"/>
          <w:sz w:val="24"/>
          <w:szCs w:val="24"/>
        </w:rPr>
        <w:t xml:space="preserve"> an</w:t>
      </w:r>
      <w:r w:rsidR="004A2D2D" w:rsidRPr="004A2D2D">
        <w:rPr>
          <w:rFonts w:ascii="Times New Roman" w:hAnsi="Times New Roman"/>
          <w:sz w:val="24"/>
          <w:szCs w:val="24"/>
        </w:rPr>
        <w:t xml:space="preserve"> increase in profits for its entire rate base through</w:t>
      </w:r>
      <w:r w:rsidR="004A2D2D">
        <w:rPr>
          <w:rFonts w:ascii="Times New Roman" w:hAnsi="Times New Roman"/>
          <w:sz w:val="24"/>
          <w:szCs w:val="24"/>
        </w:rPr>
        <w:t xml:space="preserve"> a 10.75</w:t>
      </w:r>
      <w:r w:rsidR="004A2D2D" w:rsidRPr="004A2D2D">
        <w:rPr>
          <w:rFonts w:ascii="Times New Roman" w:hAnsi="Times New Roman"/>
          <w:sz w:val="24"/>
          <w:szCs w:val="24"/>
        </w:rPr>
        <w:t xml:space="preserve"> percent return on equity compared to the 10.1 percent the Commission determined fair </w:t>
      </w:r>
      <w:r w:rsidR="00EF3124">
        <w:rPr>
          <w:rFonts w:ascii="Times New Roman" w:hAnsi="Times New Roman"/>
          <w:sz w:val="24"/>
          <w:szCs w:val="24"/>
        </w:rPr>
        <w:t xml:space="preserve">in the Company’s last </w:t>
      </w:r>
      <w:r w:rsidR="00FC4766">
        <w:rPr>
          <w:rFonts w:ascii="Times New Roman" w:hAnsi="Times New Roman"/>
          <w:sz w:val="24"/>
          <w:szCs w:val="24"/>
        </w:rPr>
        <w:t xml:space="preserve">general </w:t>
      </w:r>
      <w:r w:rsidR="004A2D2D" w:rsidRPr="004A2D2D">
        <w:rPr>
          <w:rFonts w:ascii="Times New Roman" w:hAnsi="Times New Roman"/>
          <w:sz w:val="24"/>
          <w:szCs w:val="24"/>
        </w:rPr>
        <w:t>rate case</w:t>
      </w:r>
      <w:r w:rsidR="004A2D2D">
        <w:rPr>
          <w:rFonts w:ascii="Times New Roman" w:hAnsi="Times New Roman"/>
          <w:sz w:val="24"/>
          <w:szCs w:val="24"/>
        </w:rPr>
        <w:t xml:space="preserve">.  PSE also asks ratepayers to pay an additional surcharge for lost revenues from </w:t>
      </w:r>
      <w:r w:rsidR="00FC4766">
        <w:rPr>
          <w:rFonts w:ascii="Times New Roman" w:hAnsi="Times New Roman"/>
          <w:sz w:val="24"/>
          <w:szCs w:val="24"/>
        </w:rPr>
        <w:t xml:space="preserve">the same </w:t>
      </w:r>
      <w:r w:rsidR="004A2D2D">
        <w:rPr>
          <w:rFonts w:ascii="Times New Roman" w:hAnsi="Times New Roman"/>
          <w:sz w:val="24"/>
          <w:szCs w:val="24"/>
        </w:rPr>
        <w:t>conservation measures they also already fund.</w:t>
      </w:r>
    </w:p>
    <w:p w:rsidR="009949ED" w:rsidRPr="00271D1A"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A2D2D" w:rsidRPr="00271D1A">
        <w:rPr>
          <w:rFonts w:ascii="Times New Roman" w:hAnsi="Times New Roman"/>
          <w:sz w:val="24"/>
          <w:szCs w:val="24"/>
        </w:rPr>
        <w:t>The</w:t>
      </w:r>
      <w:r w:rsidR="00C609A5" w:rsidRPr="00271D1A">
        <w:rPr>
          <w:rFonts w:ascii="Times New Roman" w:hAnsi="Times New Roman"/>
          <w:sz w:val="24"/>
          <w:szCs w:val="24"/>
        </w:rPr>
        <w:t xml:space="preserve"> Commission heard </w:t>
      </w:r>
      <w:r w:rsidR="004A2D2D" w:rsidRPr="00271D1A">
        <w:rPr>
          <w:rFonts w:ascii="Times New Roman" w:hAnsi="Times New Roman"/>
          <w:sz w:val="24"/>
          <w:szCs w:val="24"/>
        </w:rPr>
        <w:t xml:space="preserve">testimony from citizens who </w:t>
      </w:r>
      <w:r w:rsidR="00693855" w:rsidRPr="00271D1A">
        <w:rPr>
          <w:rFonts w:ascii="Times New Roman" w:hAnsi="Times New Roman"/>
          <w:sz w:val="24"/>
          <w:szCs w:val="24"/>
        </w:rPr>
        <w:t xml:space="preserve">strongly </w:t>
      </w:r>
      <w:r w:rsidR="00A0318D" w:rsidRPr="00271D1A">
        <w:rPr>
          <w:rFonts w:ascii="Times New Roman" w:hAnsi="Times New Roman"/>
          <w:sz w:val="24"/>
          <w:szCs w:val="24"/>
        </w:rPr>
        <w:t xml:space="preserve">condemned </w:t>
      </w:r>
      <w:r w:rsidR="00C12E72">
        <w:rPr>
          <w:rFonts w:ascii="Times New Roman" w:hAnsi="Times New Roman"/>
          <w:sz w:val="24"/>
          <w:szCs w:val="24"/>
        </w:rPr>
        <w:t>such proposals.  This</w:t>
      </w:r>
      <w:r w:rsidR="004A2D2D" w:rsidRPr="00271D1A">
        <w:rPr>
          <w:rFonts w:ascii="Times New Roman" w:hAnsi="Times New Roman"/>
          <w:sz w:val="24"/>
          <w:szCs w:val="24"/>
        </w:rPr>
        <w:t xml:space="preserve"> testimony</w:t>
      </w:r>
      <w:r w:rsidR="00C609A5" w:rsidRPr="00271D1A">
        <w:rPr>
          <w:rFonts w:ascii="Times New Roman" w:hAnsi="Times New Roman"/>
          <w:sz w:val="24"/>
          <w:szCs w:val="24"/>
        </w:rPr>
        <w:t xml:space="preserve"> provides a real world </w:t>
      </w:r>
      <w:r w:rsidR="00A0318D" w:rsidRPr="00271D1A">
        <w:rPr>
          <w:rFonts w:ascii="Times New Roman" w:hAnsi="Times New Roman"/>
          <w:sz w:val="24"/>
          <w:szCs w:val="24"/>
        </w:rPr>
        <w:t xml:space="preserve">perspective </w:t>
      </w:r>
      <w:r w:rsidR="004001AE">
        <w:rPr>
          <w:rFonts w:ascii="Times New Roman" w:hAnsi="Times New Roman"/>
          <w:sz w:val="24"/>
          <w:szCs w:val="24"/>
        </w:rPr>
        <w:t>while</w:t>
      </w:r>
      <w:r w:rsidR="00A0318D" w:rsidRPr="00271D1A">
        <w:rPr>
          <w:rFonts w:ascii="Times New Roman" w:hAnsi="Times New Roman"/>
          <w:sz w:val="24"/>
          <w:szCs w:val="24"/>
        </w:rPr>
        <w:t xml:space="preserve"> the</w:t>
      </w:r>
      <w:r w:rsidR="00C609A5" w:rsidRPr="00271D1A">
        <w:rPr>
          <w:rFonts w:ascii="Times New Roman" w:hAnsi="Times New Roman"/>
          <w:sz w:val="24"/>
          <w:szCs w:val="24"/>
        </w:rPr>
        <w:t xml:space="preserve"> Commis</w:t>
      </w:r>
      <w:r w:rsidR="004001AE">
        <w:rPr>
          <w:rFonts w:ascii="Times New Roman" w:hAnsi="Times New Roman"/>
          <w:sz w:val="24"/>
          <w:szCs w:val="24"/>
        </w:rPr>
        <w:t xml:space="preserve">sion considers the </w:t>
      </w:r>
      <w:r w:rsidR="00A0318D" w:rsidRPr="00271D1A">
        <w:rPr>
          <w:rFonts w:ascii="Times New Roman" w:hAnsi="Times New Roman"/>
          <w:sz w:val="24"/>
          <w:szCs w:val="24"/>
        </w:rPr>
        <w:t xml:space="preserve">many issues </w:t>
      </w:r>
      <w:r w:rsidR="00C12E72">
        <w:rPr>
          <w:rFonts w:ascii="Times New Roman" w:hAnsi="Times New Roman"/>
          <w:sz w:val="24"/>
          <w:szCs w:val="24"/>
        </w:rPr>
        <w:t>in</w:t>
      </w:r>
      <w:r w:rsidR="00A0318D" w:rsidRPr="00271D1A">
        <w:rPr>
          <w:rFonts w:ascii="Times New Roman" w:hAnsi="Times New Roman"/>
          <w:sz w:val="24"/>
          <w:szCs w:val="24"/>
        </w:rPr>
        <w:t xml:space="preserve"> this proceeding.</w:t>
      </w:r>
      <w:r w:rsidR="00C609A5" w:rsidRPr="00271D1A">
        <w:rPr>
          <w:rFonts w:ascii="Times New Roman" w:hAnsi="Times New Roman"/>
          <w:sz w:val="24"/>
          <w:szCs w:val="24"/>
        </w:rPr>
        <w:t xml:space="preserve"> </w:t>
      </w:r>
      <w:r w:rsidR="009949ED" w:rsidRPr="00271D1A">
        <w:rPr>
          <w:rFonts w:ascii="Times New Roman" w:hAnsi="Times New Roman"/>
          <w:sz w:val="24"/>
          <w:szCs w:val="24"/>
        </w:rPr>
        <w:t xml:space="preserve"> Staf</w:t>
      </w:r>
      <w:r w:rsidR="00C609A5" w:rsidRPr="00271D1A">
        <w:rPr>
          <w:rFonts w:ascii="Times New Roman" w:hAnsi="Times New Roman"/>
          <w:sz w:val="24"/>
          <w:szCs w:val="24"/>
        </w:rPr>
        <w:t xml:space="preserve">f’s case offers </w:t>
      </w:r>
      <w:r w:rsidR="009949ED" w:rsidRPr="00271D1A">
        <w:rPr>
          <w:rFonts w:ascii="Times New Roman" w:hAnsi="Times New Roman"/>
          <w:sz w:val="24"/>
          <w:szCs w:val="24"/>
        </w:rPr>
        <w:t>a th</w:t>
      </w:r>
      <w:r w:rsidR="00C609A5" w:rsidRPr="00271D1A">
        <w:rPr>
          <w:rFonts w:ascii="Times New Roman" w:hAnsi="Times New Roman"/>
          <w:sz w:val="24"/>
          <w:szCs w:val="24"/>
        </w:rPr>
        <w:t xml:space="preserve">orough evaluation of those issues, </w:t>
      </w:r>
      <w:r w:rsidR="00C25326" w:rsidRPr="00271D1A">
        <w:rPr>
          <w:rFonts w:ascii="Times New Roman" w:hAnsi="Times New Roman"/>
          <w:sz w:val="24"/>
          <w:szCs w:val="24"/>
        </w:rPr>
        <w:t>includ</w:t>
      </w:r>
      <w:r w:rsidR="00C609A5" w:rsidRPr="00271D1A">
        <w:rPr>
          <w:rFonts w:ascii="Times New Roman" w:hAnsi="Times New Roman"/>
          <w:sz w:val="24"/>
          <w:szCs w:val="24"/>
        </w:rPr>
        <w:t>ing PSE</w:t>
      </w:r>
      <w:r w:rsidR="009949ED" w:rsidRPr="00271D1A">
        <w:rPr>
          <w:rFonts w:ascii="Times New Roman" w:hAnsi="Times New Roman"/>
          <w:sz w:val="24"/>
          <w:szCs w:val="24"/>
        </w:rPr>
        <w:t>’s signi</w:t>
      </w:r>
      <w:r w:rsidR="00C609A5" w:rsidRPr="00271D1A">
        <w:rPr>
          <w:rFonts w:ascii="Times New Roman" w:hAnsi="Times New Roman"/>
          <w:sz w:val="24"/>
          <w:szCs w:val="24"/>
        </w:rPr>
        <w:t xml:space="preserve">ficant investment in new </w:t>
      </w:r>
      <w:r w:rsidR="009949ED" w:rsidRPr="00271D1A">
        <w:rPr>
          <w:rFonts w:ascii="Times New Roman" w:hAnsi="Times New Roman"/>
          <w:sz w:val="24"/>
          <w:szCs w:val="24"/>
        </w:rPr>
        <w:t xml:space="preserve">renewable generation.  It is a fair portrayal </w:t>
      </w:r>
      <w:r w:rsidR="00EF3124">
        <w:rPr>
          <w:rFonts w:ascii="Times New Roman" w:hAnsi="Times New Roman"/>
          <w:sz w:val="24"/>
          <w:szCs w:val="24"/>
        </w:rPr>
        <w:t xml:space="preserve">of PSE’s costs that balances </w:t>
      </w:r>
      <w:r w:rsidR="009949ED" w:rsidRPr="00271D1A">
        <w:rPr>
          <w:rFonts w:ascii="Times New Roman" w:hAnsi="Times New Roman"/>
          <w:sz w:val="24"/>
          <w:szCs w:val="24"/>
        </w:rPr>
        <w:t>appropriate</w:t>
      </w:r>
      <w:r w:rsidR="00EF3124">
        <w:rPr>
          <w:rFonts w:ascii="Times New Roman" w:hAnsi="Times New Roman"/>
          <w:sz w:val="24"/>
          <w:szCs w:val="24"/>
        </w:rPr>
        <w:t xml:space="preserve">ly </w:t>
      </w:r>
      <w:r w:rsidR="00C609A5" w:rsidRPr="00271D1A">
        <w:rPr>
          <w:rFonts w:ascii="Times New Roman" w:hAnsi="Times New Roman"/>
          <w:sz w:val="24"/>
          <w:szCs w:val="24"/>
        </w:rPr>
        <w:t>the Commission’s overall responsibilit</w:t>
      </w:r>
      <w:r w:rsidR="00EF3124">
        <w:rPr>
          <w:rFonts w:ascii="Times New Roman" w:hAnsi="Times New Roman"/>
          <w:sz w:val="24"/>
          <w:szCs w:val="24"/>
        </w:rPr>
        <w:t xml:space="preserve">y to set rates that are just, </w:t>
      </w:r>
      <w:r w:rsidR="00C609A5" w:rsidRPr="00271D1A">
        <w:rPr>
          <w:rFonts w:ascii="Times New Roman" w:hAnsi="Times New Roman"/>
          <w:sz w:val="24"/>
          <w:szCs w:val="24"/>
        </w:rPr>
        <w:t>reasonable and sufficient.</w:t>
      </w:r>
      <w:r w:rsidR="00C609A5">
        <w:rPr>
          <w:rStyle w:val="FootnoteReference"/>
          <w:rFonts w:ascii="Times New Roman" w:hAnsi="Times New Roman"/>
          <w:sz w:val="24"/>
          <w:szCs w:val="24"/>
        </w:rPr>
        <w:footnoteReference w:id="4"/>
      </w:r>
    </w:p>
    <w:p w:rsidR="007F700D" w:rsidRDefault="007F700D" w:rsidP="004215EA">
      <w:pPr>
        <w:pStyle w:val="ListParagraph"/>
        <w:keepNext/>
        <w:spacing w:line="480" w:lineRule="auto"/>
        <w:ind w:left="0"/>
        <w:jc w:val="center"/>
        <w:rPr>
          <w:rFonts w:ascii="Times New Roman" w:hAnsi="Times New Roman"/>
          <w:b/>
          <w:sz w:val="24"/>
          <w:szCs w:val="24"/>
        </w:rPr>
      </w:pPr>
      <w:r w:rsidRPr="007F700D">
        <w:rPr>
          <w:rFonts w:ascii="Times New Roman" w:hAnsi="Times New Roman"/>
          <w:b/>
          <w:sz w:val="24"/>
          <w:szCs w:val="24"/>
        </w:rPr>
        <w:lastRenderedPageBreak/>
        <w:t>II.</w:t>
      </w:r>
      <w:r w:rsidRPr="007F700D">
        <w:rPr>
          <w:rFonts w:ascii="Times New Roman" w:hAnsi="Times New Roman"/>
          <w:b/>
          <w:sz w:val="24"/>
          <w:szCs w:val="24"/>
        </w:rPr>
        <w:tab/>
        <w:t>COST OF CAPITAL</w:t>
      </w:r>
    </w:p>
    <w:p w:rsidR="002438FA" w:rsidRPr="008D28A4" w:rsidRDefault="008D28A4" w:rsidP="00753F66">
      <w:pPr>
        <w:pStyle w:val="ListParagraph"/>
        <w:numPr>
          <w:ilvl w:val="0"/>
          <w:numId w:val="1"/>
        </w:numPr>
        <w:spacing w:line="480" w:lineRule="auto"/>
        <w:rPr>
          <w:rFonts w:ascii="Times New Roman" w:hAnsi="Times New Roman"/>
          <w:sz w:val="24"/>
          <w:szCs w:val="24"/>
        </w:rPr>
      </w:pPr>
      <w:r w:rsidRPr="008D28A4">
        <w:rPr>
          <w:rFonts w:ascii="Times New Roman" w:hAnsi="Times New Roman"/>
          <w:sz w:val="24"/>
          <w:szCs w:val="24"/>
        </w:rPr>
        <w:tab/>
        <w:t xml:space="preserve">The </w:t>
      </w:r>
      <w:r w:rsidR="007F700D" w:rsidRPr="008D28A4">
        <w:rPr>
          <w:rFonts w:ascii="Times New Roman" w:hAnsi="Times New Roman"/>
          <w:sz w:val="24"/>
          <w:szCs w:val="24"/>
        </w:rPr>
        <w:t>cost of capital for PS</w:t>
      </w:r>
      <w:r w:rsidR="00277F2A">
        <w:rPr>
          <w:rFonts w:ascii="Times New Roman" w:hAnsi="Times New Roman"/>
          <w:sz w:val="24"/>
          <w:szCs w:val="24"/>
        </w:rPr>
        <w:t>E is one of the most significant</w:t>
      </w:r>
      <w:r w:rsidR="007F700D" w:rsidRPr="008D28A4">
        <w:rPr>
          <w:rFonts w:ascii="Times New Roman" w:hAnsi="Times New Roman"/>
          <w:sz w:val="24"/>
          <w:szCs w:val="24"/>
        </w:rPr>
        <w:t xml:space="preserve"> is</w:t>
      </w:r>
      <w:r w:rsidR="006F6249">
        <w:rPr>
          <w:rFonts w:ascii="Times New Roman" w:hAnsi="Times New Roman"/>
          <w:sz w:val="24"/>
          <w:szCs w:val="24"/>
        </w:rPr>
        <w:t xml:space="preserve">sues in this proceeding.  </w:t>
      </w:r>
      <w:r w:rsidR="00277F2A">
        <w:rPr>
          <w:rFonts w:ascii="Times New Roman" w:hAnsi="Times New Roman"/>
          <w:sz w:val="24"/>
          <w:szCs w:val="24"/>
        </w:rPr>
        <w:t>There are two areas of dispute among</w:t>
      </w:r>
      <w:r w:rsidR="007F700D" w:rsidRPr="008D28A4">
        <w:rPr>
          <w:rFonts w:ascii="Times New Roman" w:hAnsi="Times New Roman"/>
          <w:sz w:val="24"/>
          <w:szCs w:val="24"/>
        </w:rPr>
        <w:t xml:space="preserve"> Mr. Kenneth L. Elgin for Staff, Dr. Charles </w:t>
      </w:r>
      <w:r w:rsidR="002438FA" w:rsidRPr="008D28A4">
        <w:rPr>
          <w:rFonts w:ascii="Times New Roman" w:hAnsi="Times New Roman"/>
          <w:sz w:val="24"/>
          <w:szCs w:val="24"/>
        </w:rPr>
        <w:t>E. Olson</w:t>
      </w:r>
      <w:r w:rsidR="007F700D" w:rsidRPr="008D28A4">
        <w:rPr>
          <w:rFonts w:ascii="Times New Roman" w:hAnsi="Times New Roman"/>
          <w:sz w:val="24"/>
          <w:szCs w:val="24"/>
        </w:rPr>
        <w:t xml:space="preserve"> and Mr. Donald </w:t>
      </w:r>
      <w:r w:rsidR="002438FA" w:rsidRPr="008D28A4">
        <w:rPr>
          <w:rFonts w:ascii="Times New Roman" w:hAnsi="Times New Roman"/>
          <w:sz w:val="24"/>
          <w:szCs w:val="24"/>
        </w:rPr>
        <w:t xml:space="preserve">E. </w:t>
      </w:r>
      <w:r w:rsidR="007F700D" w:rsidRPr="008D28A4">
        <w:rPr>
          <w:rFonts w:ascii="Times New Roman" w:hAnsi="Times New Roman"/>
          <w:sz w:val="24"/>
          <w:szCs w:val="24"/>
        </w:rPr>
        <w:t xml:space="preserve">Gaines for PSE, and Mr. </w:t>
      </w:r>
      <w:r w:rsidR="002438FA" w:rsidRPr="008D28A4">
        <w:rPr>
          <w:rFonts w:ascii="Times New Roman" w:hAnsi="Times New Roman"/>
          <w:sz w:val="24"/>
          <w:szCs w:val="24"/>
        </w:rPr>
        <w:t>Michael P. Gorman</w:t>
      </w:r>
      <w:r w:rsidR="007F700D" w:rsidRPr="008D28A4">
        <w:rPr>
          <w:rFonts w:ascii="Times New Roman" w:hAnsi="Times New Roman"/>
          <w:sz w:val="24"/>
          <w:szCs w:val="24"/>
        </w:rPr>
        <w:t xml:space="preserve"> for </w:t>
      </w:r>
      <w:r w:rsidR="002438FA" w:rsidRPr="008D28A4">
        <w:rPr>
          <w:rFonts w:ascii="Times New Roman" w:hAnsi="Times New Roman"/>
          <w:sz w:val="24"/>
          <w:szCs w:val="24"/>
        </w:rPr>
        <w:t>the Industrial Customers of Northwest Utilities (“ICNU”)</w:t>
      </w:r>
      <w:r w:rsidR="007F700D" w:rsidRPr="008D28A4">
        <w:rPr>
          <w:rFonts w:ascii="Times New Roman" w:hAnsi="Times New Roman"/>
          <w:sz w:val="24"/>
          <w:szCs w:val="24"/>
        </w:rPr>
        <w:t>:</w:t>
      </w:r>
      <w:r w:rsidR="00187465">
        <w:rPr>
          <w:rStyle w:val="FootnoteReference"/>
          <w:rFonts w:ascii="Times New Roman" w:hAnsi="Times New Roman"/>
          <w:sz w:val="24"/>
          <w:szCs w:val="24"/>
        </w:rPr>
        <w:footnoteReference w:id="5"/>
      </w:r>
    </w:p>
    <w:p w:rsidR="002438FA" w:rsidRDefault="007F700D" w:rsidP="003E7FF8">
      <w:pPr>
        <w:spacing w:line="240" w:lineRule="auto"/>
        <w:rPr>
          <w:rFonts w:ascii="Times New Roman" w:hAnsi="Times New Roman"/>
          <w:sz w:val="24"/>
          <w:szCs w:val="24"/>
        </w:rPr>
      </w:pPr>
      <w:r>
        <w:rPr>
          <w:rFonts w:ascii="Times New Roman" w:hAnsi="Times New Roman"/>
          <w:sz w:val="24"/>
          <w:szCs w:val="24"/>
        </w:rPr>
        <w:tab/>
      </w:r>
      <w:r w:rsidR="006E43CF">
        <w:rPr>
          <w:rFonts w:ascii="Times New Roman" w:hAnsi="Times New Roman"/>
          <w:sz w:val="24"/>
          <w:szCs w:val="24"/>
        </w:rPr>
        <w:tab/>
      </w:r>
      <w:r w:rsidRPr="002F05E6">
        <w:rPr>
          <w:rFonts w:ascii="Times New Roman" w:hAnsi="Times New Roman"/>
          <w:sz w:val="24"/>
          <w:szCs w:val="24"/>
          <w:u w:val="single"/>
        </w:rPr>
        <w:t>Issue</w:t>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u w:val="single"/>
        </w:rPr>
        <w:t>PSE</w:t>
      </w:r>
      <w:r w:rsidRPr="002F05E6">
        <w:rPr>
          <w:rFonts w:ascii="Times New Roman" w:hAnsi="Times New Roman"/>
          <w:sz w:val="24"/>
          <w:szCs w:val="24"/>
        </w:rPr>
        <w:tab/>
      </w:r>
      <w:r w:rsidRPr="002F05E6">
        <w:rPr>
          <w:rFonts w:ascii="Times New Roman" w:hAnsi="Times New Roman"/>
          <w:sz w:val="24"/>
          <w:szCs w:val="24"/>
        </w:rPr>
        <w:tab/>
      </w:r>
      <w:r w:rsidRPr="002F05E6">
        <w:rPr>
          <w:rFonts w:ascii="Times New Roman" w:hAnsi="Times New Roman"/>
          <w:sz w:val="24"/>
          <w:szCs w:val="24"/>
          <w:u w:val="single"/>
        </w:rPr>
        <w:t>Staff</w:t>
      </w:r>
      <w:r w:rsidRPr="002F05E6">
        <w:rPr>
          <w:rFonts w:ascii="Times New Roman" w:hAnsi="Times New Roman"/>
          <w:sz w:val="24"/>
          <w:szCs w:val="24"/>
        </w:rPr>
        <w:tab/>
      </w:r>
      <w:r w:rsidR="002438FA">
        <w:rPr>
          <w:rFonts w:ascii="Times New Roman" w:hAnsi="Times New Roman"/>
          <w:sz w:val="24"/>
          <w:szCs w:val="24"/>
        </w:rPr>
        <w:tab/>
      </w:r>
      <w:r w:rsidR="002438FA" w:rsidRPr="002438FA">
        <w:rPr>
          <w:rFonts w:ascii="Times New Roman" w:hAnsi="Times New Roman"/>
          <w:sz w:val="24"/>
          <w:szCs w:val="24"/>
          <w:u w:val="single"/>
        </w:rPr>
        <w:t>ICNU</w:t>
      </w:r>
    </w:p>
    <w:p w:rsidR="002438FA" w:rsidRPr="00137437" w:rsidRDefault="002438FA" w:rsidP="003E7FF8">
      <w:pPr>
        <w:spacing w:after="0" w:line="240" w:lineRule="auto"/>
        <w:ind w:firstLine="720"/>
        <w:rPr>
          <w:rFonts w:ascii="Times New Roman" w:hAnsi="Times New Roman"/>
          <w:sz w:val="24"/>
          <w:szCs w:val="24"/>
        </w:rPr>
      </w:pPr>
      <w:r w:rsidRPr="00137437">
        <w:rPr>
          <w:rFonts w:ascii="Times New Roman" w:hAnsi="Times New Roman"/>
          <w:sz w:val="24"/>
          <w:szCs w:val="24"/>
        </w:rPr>
        <w:t>Common Equity Ratio</w:t>
      </w:r>
      <w:r w:rsidRPr="00137437">
        <w:rPr>
          <w:rFonts w:ascii="Times New Roman" w:hAnsi="Times New Roman"/>
          <w:sz w:val="24"/>
          <w:szCs w:val="24"/>
        </w:rPr>
        <w:tab/>
      </w:r>
      <w:r w:rsidRPr="00137437">
        <w:rPr>
          <w:rFonts w:ascii="Times New Roman" w:hAnsi="Times New Roman"/>
          <w:sz w:val="24"/>
          <w:szCs w:val="24"/>
        </w:rPr>
        <w:tab/>
      </w:r>
      <w:r>
        <w:rPr>
          <w:rFonts w:ascii="Times New Roman" w:hAnsi="Times New Roman"/>
          <w:sz w:val="24"/>
          <w:szCs w:val="24"/>
        </w:rPr>
        <w:tab/>
      </w:r>
      <w:r w:rsidR="00187465">
        <w:rPr>
          <w:rFonts w:ascii="Times New Roman" w:hAnsi="Times New Roman"/>
          <w:sz w:val="24"/>
          <w:szCs w:val="24"/>
        </w:rPr>
        <w:t xml:space="preserve">48.0% </w:t>
      </w:r>
      <w:r w:rsidR="00187465">
        <w:rPr>
          <w:rFonts w:ascii="Times New Roman" w:hAnsi="Times New Roman"/>
          <w:sz w:val="24"/>
          <w:szCs w:val="24"/>
        </w:rPr>
        <w:tab/>
      </w:r>
      <w:r>
        <w:rPr>
          <w:rFonts w:ascii="Times New Roman" w:hAnsi="Times New Roman"/>
          <w:sz w:val="24"/>
          <w:szCs w:val="24"/>
        </w:rPr>
        <w:tab/>
        <w:t>46</w:t>
      </w:r>
      <w:r w:rsidR="00664AC6">
        <w:rPr>
          <w:rFonts w:ascii="Times New Roman" w:hAnsi="Times New Roman"/>
          <w:sz w:val="24"/>
          <w:szCs w:val="24"/>
        </w:rPr>
        <w:t>.0%</w:t>
      </w:r>
      <w:r w:rsidR="00664AC6">
        <w:rPr>
          <w:rFonts w:ascii="Times New Roman" w:hAnsi="Times New Roman"/>
          <w:sz w:val="24"/>
          <w:szCs w:val="24"/>
        </w:rPr>
        <w:tab/>
      </w:r>
      <w:r w:rsidR="00664AC6">
        <w:rPr>
          <w:rFonts w:ascii="Times New Roman" w:hAnsi="Times New Roman"/>
          <w:sz w:val="24"/>
          <w:szCs w:val="24"/>
        </w:rPr>
        <w:tab/>
        <w:t>46</w:t>
      </w:r>
      <w:r w:rsidR="00B21BDB">
        <w:rPr>
          <w:rFonts w:ascii="Times New Roman" w:hAnsi="Times New Roman"/>
          <w:sz w:val="24"/>
          <w:szCs w:val="24"/>
        </w:rPr>
        <w:t>.0%</w:t>
      </w:r>
    </w:p>
    <w:p w:rsidR="003E7FF8" w:rsidRDefault="002438FA" w:rsidP="00A37153">
      <w:pPr>
        <w:spacing w:line="240" w:lineRule="auto"/>
        <w:ind w:firstLine="720"/>
        <w:rPr>
          <w:rFonts w:ascii="Times New Roman" w:hAnsi="Times New Roman"/>
          <w:sz w:val="24"/>
          <w:szCs w:val="24"/>
        </w:rPr>
      </w:pPr>
      <w:r w:rsidRPr="00137437">
        <w:rPr>
          <w:rFonts w:ascii="Times New Roman" w:hAnsi="Times New Roman"/>
          <w:sz w:val="24"/>
          <w:szCs w:val="24"/>
        </w:rPr>
        <w:t>Cost of Commo</w:t>
      </w:r>
      <w:r>
        <w:rPr>
          <w:rFonts w:ascii="Times New Roman" w:hAnsi="Times New Roman"/>
          <w:sz w:val="24"/>
          <w:szCs w:val="24"/>
        </w:rPr>
        <w:t>n Equity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7437">
        <w:rPr>
          <w:rFonts w:ascii="Times New Roman" w:hAnsi="Times New Roman"/>
          <w:sz w:val="24"/>
          <w:szCs w:val="24"/>
        </w:rPr>
        <w:t>10.7</w:t>
      </w:r>
      <w:r>
        <w:rPr>
          <w:rFonts w:ascii="Times New Roman" w:hAnsi="Times New Roman"/>
          <w:sz w:val="24"/>
          <w:szCs w:val="24"/>
        </w:rPr>
        <w:t>5</w:t>
      </w:r>
      <w:r w:rsidRPr="00137437">
        <w:rPr>
          <w:rFonts w:ascii="Times New Roman" w:hAnsi="Times New Roman"/>
          <w:sz w:val="24"/>
          <w:szCs w:val="24"/>
        </w:rPr>
        <w:t>%</w:t>
      </w:r>
      <w:r w:rsidRPr="00137437">
        <w:rPr>
          <w:rFonts w:ascii="Times New Roman" w:hAnsi="Times New Roman"/>
          <w:sz w:val="24"/>
          <w:szCs w:val="24"/>
        </w:rPr>
        <w:tab/>
      </w:r>
      <w:r>
        <w:rPr>
          <w:rFonts w:ascii="Times New Roman" w:hAnsi="Times New Roman"/>
          <w:sz w:val="24"/>
          <w:szCs w:val="24"/>
        </w:rPr>
        <w:t>9.5</w:t>
      </w:r>
      <w:r w:rsidR="00187465">
        <w:rPr>
          <w:rFonts w:ascii="Times New Roman" w:hAnsi="Times New Roman"/>
          <w:sz w:val="24"/>
          <w:szCs w:val="24"/>
        </w:rPr>
        <w:t>0%</w:t>
      </w:r>
      <w:r w:rsidR="00187465">
        <w:rPr>
          <w:rFonts w:ascii="Times New Roman" w:hAnsi="Times New Roman"/>
          <w:sz w:val="24"/>
          <w:szCs w:val="24"/>
        </w:rPr>
        <w:tab/>
      </w:r>
      <w:r w:rsidR="00187465">
        <w:rPr>
          <w:rFonts w:ascii="Times New Roman" w:hAnsi="Times New Roman"/>
          <w:sz w:val="24"/>
          <w:szCs w:val="24"/>
        </w:rPr>
        <w:tab/>
        <w:t>9.70</w:t>
      </w:r>
      <w:r w:rsidRPr="00137437">
        <w:rPr>
          <w:rFonts w:ascii="Times New Roman" w:hAnsi="Times New Roman"/>
          <w:sz w:val="24"/>
          <w:szCs w:val="24"/>
        </w:rPr>
        <w:t>%</w:t>
      </w:r>
    </w:p>
    <w:p w:rsidR="007F700D" w:rsidRPr="007F700D" w:rsidRDefault="002438FA" w:rsidP="00A37153">
      <w:pPr>
        <w:spacing w:line="240" w:lineRule="auto"/>
        <w:ind w:firstLine="720"/>
        <w:rPr>
          <w:rFonts w:ascii="Times New Roman" w:hAnsi="Times New Roman"/>
          <w:b/>
          <w:sz w:val="24"/>
          <w:szCs w:val="24"/>
        </w:rPr>
      </w:pPr>
      <w:r>
        <w:rPr>
          <w:rFonts w:ascii="Times New Roman" w:hAnsi="Times New Roman"/>
          <w:sz w:val="24"/>
          <w:szCs w:val="24"/>
        </w:rPr>
        <w:t>Total Cost of Capital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8.26%</w:t>
      </w:r>
      <w:r>
        <w:rPr>
          <w:rFonts w:ascii="Times New Roman" w:hAnsi="Times New Roman"/>
          <w:sz w:val="24"/>
          <w:szCs w:val="24"/>
        </w:rPr>
        <w:tab/>
      </w:r>
      <w:r>
        <w:rPr>
          <w:rFonts w:ascii="Times New Roman" w:hAnsi="Times New Roman"/>
          <w:sz w:val="24"/>
          <w:szCs w:val="24"/>
        </w:rPr>
        <w:tab/>
        <w:t>7.59</w:t>
      </w:r>
      <w:r w:rsidR="00187465">
        <w:rPr>
          <w:rFonts w:ascii="Times New Roman" w:hAnsi="Times New Roman"/>
          <w:sz w:val="24"/>
          <w:szCs w:val="24"/>
        </w:rPr>
        <w:t>%</w:t>
      </w:r>
      <w:r w:rsidR="00187465">
        <w:rPr>
          <w:rFonts w:ascii="Times New Roman" w:hAnsi="Times New Roman"/>
          <w:sz w:val="24"/>
          <w:szCs w:val="24"/>
        </w:rPr>
        <w:tab/>
      </w:r>
      <w:r w:rsidR="00187465">
        <w:rPr>
          <w:rFonts w:ascii="Times New Roman" w:hAnsi="Times New Roman"/>
          <w:sz w:val="24"/>
          <w:szCs w:val="24"/>
        </w:rPr>
        <w:tab/>
        <w:t>7.8</w:t>
      </w:r>
      <w:r w:rsidRPr="00137437">
        <w:rPr>
          <w:rFonts w:ascii="Times New Roman" w:hAnsi="Times New Roman"/>
          <w:sz w:val="24"/>
          <w:szCs w:val="24"/>
        </w:rPr>
        <w:t>3%</w:t>
      </w:r>
    </w:p>
    <w:p w:rsidR="00F04452" w:rsidRPr="007270AD" w:rsidRDefault="00C25326" w:rsidP="00F04452">
      <w:pPr>
        <w:pStyle w:val="ListParagraph"/>
        <w:numPr>
          <w:ilvl w:val="0"/>
          <w:numId w:val="1"/>
        </w:numPr>
        <w:spacing w:line="480" w:lineRule="auto"/>
        <w:rPr>
          <w:rFonts w:ascii="Times New Roman" w:hAnsi="Times New Roman"/>
          <w:b/>
          <w:bCs/>
          <w:sz w:val="24"/>
          <w:szCs w:val="24"/>
        </w:rPr>
      </w:pPr>
      <w:r>
        <w:rPr>
          <w:rFonts w:ascii="Times New Roman" w:hAnsi="Times New Roman"/>
          <w:bCs/>
          <w:sz w:val="24"/>
          <w:szCs w:val="24"/>
        </w:rPr>
        <w:tab/>
      </w:r>
      <w:r w:rsidR="00542749">
        <w:rPr>
          <w:rFonts w:ascii="Times New Roman" w:hAnsi="Times New Roman"/>
          <w:bCs/>
          <w:sz w:val="24"/>
          <w:szCs w:val="24"/>
        </w:rPr>
        <w:t>For the following reasons</w:t>
      </w:r>
      <w:r w:rsidR="00F04452">
        <w:rPr>
          <w:rFonts w:ascii="Times New Roman" w:hAnsi="Times New Roman"/>
          <w:bCs/>
          <w:sz w:val="24"/>
          <w:szCs w:val="24"/>
        </w:rPr>
        <w:t xml:space="preserve">, the </w:t>
      </w:r>
      <w:r w:rsidR="00F04452" w:rsidRPr="00137437">
        <w:rPr>
          <w:rFonts w:ascii="Times New Roman" w:hAnsi="Times New Roman"/>
          <w:sz w:val="24"/>
          <w:szCs w:val="24"/>
        </w:rPr>
        <w:t>Commission should find that the</w:t>
      </w:r>
      <w:r w:rsidR="00F04452">
        <w:rPr>
          <w:rFonts w:ascii="Times New Roman" w:hAnsi="Times New Roman"/>
          <w:sz w:val="24"/>
          <w:szCs w:val="24"/>
        </w:rPr>
        <w:t xml:space="preserve"> total cost o</w:t>
      </w:r>
      <w:r w:rsidR="00B21BDB">
        <w:rPr>
          <w:rFonts w:ascii="Times New Roman" w:hAnsi="Times New Roman"/>
          <w:sz w:val="24"/>
          <w:szCs w:val="24"/>
        </w:rPr>
        <w:t>f capital for PSE is Mr. Elgin</w:t>
      </w:r>
      <w:r w:rsidR="00F04452">
        <w:rPr>
          <w:rFonts w:ascii="Times New Roman" w:hAnsi="Times New Roman"/>
          <w:sz w:val="24"/>
          <w:szCs w:val="24"/>
        </w:rPr>
        <w:t>’s 7.</w:t>
      </w:r>
      <w:r w:rsidR="00B21BDB">
        <w:rPr>
          <w:rFonts w:ascii="Times New Roman" w:hAnsi="Times New Roman"/>
          <w:sz w:val="24"/>
          <w:szCs w:val="24"/>
        </w:rPr>
        <w:t>59</w:t>
      </w:r>
      <w:r w:rsidR="00F04452">
        <w:rPr>
          <w:rFonts w:ascii="Times New Roman" w:hAnsi="Times New Roman"/>
          <w:sz w:val="24"/>
          <w:szCs w:val="24"/>
        </w:rPr>
        <w:t xml:space="preserve"> percent</w:t>
      </w:r>
      <w:r w:rsidR="00FC485F">
        <w:rPr>
          <w:rFonts w:ascii="Times New Roman" w:hAnsi="Times New Roman"/>
          <w:sz w:val="24"/>
          <w:szCs w:val="24"/>
        </w:rPr>
        <w:t>.</w:t>
      </w:r>
    </w:p>
    <w:p w:rsidR="00753F66" w:rsidRDefault="00A27DB7" w:rsidP="00753F66">
      <w:pPr>
        <w:spacing w:after="0" w:line="480" w:lineRule="auto"/>
        <w:rPr>
          <w:rFonts w:ascii="Times New Roman" w:hAnsi="Times New Roman"/>
          <w:b/>
          <w:bCs/>
          <w:sz w:val="24"/>
          <w:szCs w:val="24"/>
        </w:rPr>
      </w:pPr>
      <w:r w:rsidRPr="00753F66">
        <w:rPr>
          <w:rFonts w:ascii="Times New Roman" w:hAnsi="Times New Roman"/>
          <w:b/>
          <w:bCs/>
          <w:sz w:val="24"/>
          <w:szCs w:val="24"/>
        </w:rPr>
        <w:t>A</w:t>
      </w:r>
      <w:r w:rsidR="00F04452" w:rsidRPr="00753F66">
        <w:rPr>
          <w:rFonts w:ascii="Times New Roman" w:hAnsi="Times New Roman"/>
          <w:b/>
          <w:bCs/>
          <w:sz w:val="24"/>
          <w:szCs w:val="24"/>
        </w:rPr>
        <w:t>.</w:t>
      </w:r>
      <w:r w:rsidR="00F04452" w:rsidRPr="00753F66">
        <w:rPr>
          <w:rFonts w:ascii="Times New Roman" w:hAnsi="Times New Roman"/>
          <w:b/>
          <w:bCs/>
          <w:sz w:val="24"/>
          <w:szCs w:val="24"/>
        </w:rPr>
        <w:tab/>
        <w:t>Capital Structure</w:t>
      </w:r>
    </w:p>
    <w:p w:rsidR="008E2456" w:rsidRPr="00271D1A"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8E2456" w:rsidRPr="00271D1A">
        <w:rPr>
          <w:rFonts w:ascii="Times New Roman" w:hAnsi="Times New Roman"/>
          <w:sz w:val="24"/>
          <w:szCs w:val="24"/>
        </w:rPr>
        <w:t xml:space="preserve">PSE requests a </w:t>
      </w:r>
      <w:r w:rsidR="00425372" w:rsidRPr="00271D1A">
        <w:rPr>
          <w:rFonts w:ascii="Times New Roman" w:hAnsi="Times New Roman"/>
          <w:sz w:val="24"/>
          <w:szCs w:val="24"/>
        </w:rPr>
        <w:t xml:space="preserve">hypothetical </w:t>
      </w:r>
      <w:r w:rsidR="008E2456" w:rsidRPr="00271D1A">
        <w:rPr>
          <w:rFonts w:ascii="Times New Roman" w:hAnsi="Times New Roman"/>
          <w:sz w:val="24"/>
          <w:szCs w:val="24"/>
        </w:rPr>
        <w:t xml:space="preserve">capital structure containing 48.0 percent common equity based upon a calculation of the </w:t>
      </w:r>
      <w:r w:rsidR="00063911" w:rsidRPr="00271D1A">
        <w:rPr>
          <w:rFonts w:ascii="Times New Roman" w:hAnsi="Times New Roman"/>
          <w:sz w:val="24"/>
          <w:szCs w:val="24"/>
        </w:rPr>
        <w:t xml:space="preserve">actual, </w:t>
      </w:r>
      <w:r w:rsidR="008E2456" w:rsidRPr="00271D1A">
        <w:rPr>
          <w:rFonts w:ascii="Times New Roman" w:hAnsi="Times New Roman"/>
          <w:sz w:val="24"/>
          <w:szCs w:val="24"/>
        </w:rPr>
        <w:t>average of mont</w:t>
      </w:r>
      <w:r w:rsidR="004F3CF5" w:rsidRPr="00271D1A">
        <w:rPr>
          <w:rFonts w:ascii="Times New Roman" w:hAnsi="Times New Roman"/>
          <w:sz w:val="24"/>
          <w:szCs w:val="24"/>
        </w:rPr>
        <w:t xml:space="preserve">hly average balances </w:t>
      </w:r>
      <w:r w:rsidR="008E2456" w:rsidRPr="00271D1A">
        <w:rPr>
          <w:rFonts w:ascii="Times New Roman" w:hAnsi="Times New Roman"/>
          <w:sz w:val="24"/>
          <w:szCs w:val="24"/>
        </w:rPr>
        <w:t xml:space="preserve">during </w:t>
      </w:r>
      <w:r w:rsidR="004F3CF5" w:rsidRPr="00271D1A">
        <w:rPr>
          <w:rFonts w:ascii="Times New Roman" w:hAnsi="Times New Roman"/>
          <w:sz w:val="24"/>
          <w:szCs w:val="24"/>
        </w:rPr>
        <w:t xml:space="preserve">the </w:t>
      </w:r>
      <w:r w:rsidR="008E2456" w:rsidRPr="00271D1A">
        <w:rPr>
          <w:rFonts w:ascii="Times New Roman" w:hAnsi="Times New Roman"/>
          <w:sz w:val="24"/>
          <w:szCs w:val="24"/>
        </w:rPr>
        <w:t>2010</w:t>
      </w:r>
      <w:r w:rsidR="004F3CF5" w:rsidRPr="00271D1A">
        <w:rPr>
          <w:rFonts w:ascii="Times New Roman" w:hAnsi="Times New Roman"/>
          <w:sz w:val="24"/>
          <w:szCs w:val="24"/>
        </w:rPr>
        <w:t xml:space="preserve"> test year</w:t>
      </w:r>
      <w:r w:rsidR="008E2456" w:rsidRPr="00271D1A">
        <w:rPr>
          <w:rFonts w:ascii="Times New Roman" w:hAnsi="Times New Roman"/>
          <w:sz w:val="24"/>
          <w:szCs w:val="24"/>
        </w:rPr>
        <w:t>.</w:t>
      </w:r>
      <w:r w:rsidR="008E2456" w:rsidRPr="008E2456">
        <w:rPr>
          <w:rStyle w:val="FootnoteReference"/>
          <w:rFonts w:ascii="Times New Roman" w:hAnsi="Times New Roman"/>
          <w:sz w:val="24"/>
          <w:szCs w:val="24"/>
        </w:rPr>
        <w:footnoteReference w:id="6"/>
      </w:r>
      <w:r w:rsidR="008E2456" w:rsidRPr="00271D1A">
        <w:rPr>
          <w:rFonts w:ascii="Times New Roman" w:hAnsi="Times New Roman"/>
          <w:sz w:val="24"/>
          <w:szCs w:val="24"/>
        </w:rPr>
        <w:t xml:space="preserve">  This request contains too much equity, which places excessive costs on ratepayers.   In contrast, Mr. Elgin recommends </w:t>
      </w:r>
      <w:r w:rsidR="000D558B" w:rsidRPr="00271D1A">
        <w:rPr>
          <w:rFonts w:ascii="Times New Roman" w:hAnsi="Times New Roman"/>
          <w:sz w:val="24"/>
          <w:szCs w:val="24"/>
        </w:rPr>
        <w:t xml:space="preserve">a hypothetical </w:t>
      </w:r>
      <w:r w:rsidR="004001AE">
        <w:rPr>
          <w:rFonts w:ascii="Times New Roman" w:hAnsi="Times New Roman"/>
          <w:sz w:val="24"/>
          <w:szCs w:val="24"/>
        </w:rPr>
        <w:t xml:space="preserve">capital structure with </w:t>
      </w:r>
      <w:r w:rsidR="008E2456" w:rsidRPr="00271D1A">
        <w:rPr>
          <w:rFonts w:ascii="Times New Roman" w:hAnsi="Times New Roman"/>
          <w:sz w:val="24"/>
          <w:szCs w:val="24"/>
        </w:rPr>
        <w:t>an equity ratio of 46.0 percent that appropriately balances the interests of safety and economy.</w:t>
      </w:r>
    </w:p>
    <w:p w:rsidR="00B74815" w:rsidRDefault="00B74815" w:rsidP="00753F66">
      <w:pPr>
        <w:tabs>
          <w:tab w:val="left" w:pos="720"/>
          <w:tab w:val="left" w:pos="1440"/>
          <w:tab w:val="left" w:pos="9240"/>
        </w:tabs>
        <w:spacing w:after="0" w:line="240" w:lineRule="auto"/>
        <w:ind w:left="1440" w:hanging="720"/>
        <w:rPr>
          <w:rFonts w:ascii="Times New Roman" w:hAnsi="Times New Roman" w:cs="Times New Roman"/>
          <w:b/>
          <w:sz w:val="24"/>
          <w:szCs w:val="24"/>
        </w:rPr>
      </w:pPr>
      <w:r w:rsidRPr="00B74815">
        <w:rPr>
          <w:rFonts w:ascii="Times New Roman" w:hAnsi="Times New Roman" w:cs="Times New Roman"/>
          <w:b/>
          <w:sz w:val="24"/>
          <w:szCs w:val="24"/>
        </w:rPr>
        <w:t>1.</w:t>
      </w:r>
      <w:r w:rsidR="00753F66">
        <w:rPr>
          <w:rFonts w:ascii="Times New Roman" w:hAnsi="Times New Roman" w:cs="Times New Roman"/>
          <w:b/>
          <w:sz w:val="24"/>
          <w:szCs w:val="24"/>
        </w:rPr>
        <w:tab/>
      </w:r>
      <w:r>
        <w:rPr>
          <w:rFonts w:ascii="Times New Roman" w:hAnsi="Times New Roman" w:cs="Times New Roman"/>
          <w:b/>
          <w:sz w:val="24"/>
          <w:szCs w:val="24"/>
        </w:rPr>
        <w:t>A Capital Structu</w:t>
      </w:r>
      <w:r w:rsidR="00076500">
        <w:rPr>
          <w:rFonts w:ascii="Times New Roman" w:hAnsi="Times New Roman" w:cs="Times New Roman"/>
          <w:b/>
          <w:sz w:val="24"/>
          <w:szCs w:val="24"/>
        </w:rPr>
        <w:t>re Containing 46 Percent Equity is Consistent w</w:t>
      </w:r>
      <w:r w:rsidR="005B79F5">
        <w:rPr>
          <w:rFonts w:ascii="Times New Roman" w:hAnsi="Times New Roman" w:cs="Times New Roman"/>
          <w:b/>
          <w:sz w:val="24"/>
          <w:szCs w:val="24"/>
        </w:rPr>
        <w:t>ith Commission Policy t</w:t>
      </w:r>
      <w:r w:rsidR="00EF3124">
        <w:rPr>
          <w:rFonts w:ascii="Times New Roman" w:hAnsi="Times New Roman" w:cs="Times New Roman"/>
          <w:b/>
          <w:sz w:val="24"/>
          <w:szCs w:val="24"/>
        </w:rPr>
        <w:t>o Balance Safety and Economy</w:t>
      </w:r>
    </w:p>
    <w:p w:rsidR="00B74815" w:rsidRDefault="00B74815" w:rsidP="00B74815">
      <w:pPr>
        <w:tabs>
          <w:tab w:val="left" w:pos="720"/>
          <w:tab w:val="left" w:pos="1440"/>
          <w:tab w:val="left" w:pos="9240"/>
        </w:tabs>
        <w:spacing w:after="0" w:line="240" w:lineRule="auto"/>
        <w:ind w:left="1440" w:hanging="1440"/>
        <w:rPr>
          <w:rFonts w:ascii="Times New Roman" w:hAnsi="Times New Roman" w:cs="Times New Roman"/>
          <w:b/>
          <w:sz w:val="24"/>
          <w:szCs w:val="24"/>
        </w:rPr>
      </w:pPr>
    </w:p>
    <w:p w:rsidR="00B74815" w:rsidRPr="00271D1A" w:rsidRDefault="00271D1A" w:rsidP="00271D1A">
      <w:pPr>
        <w:pStyle w:val="ListParagraph"/>
        <w:numPr>
          <w:ilvl w:val="0"/>
          <w:numId w:val="1"/>
        </w:numPr>
        <w:tabs>
          <w:tab w:val="left" w:pos="720"/>
          <w:tab w:val="left" w:pos="1440"/>
          <w:tab w:val="left" w:pos="9240"/>
        </w:tabs>
        <w:spacing w:line="480" w:lineRule="auto"/>
        <w:rPr>
          <w:rFonts w:ascii="Times New Roman" w:hAnsi="Times New Roman"/>
          <w:sz w:val="24"/>
          <w:szCs w:val="24"/>
        </w:rPr>
      </w:pPr>
      <w:r>
        <w:rPr>
          <w:rFonts w:ascii="Times New Roman" w:hAnsi="Times New Roman"/>
          <w:sz w:val="24"/>
          <w:szCs w:val="24"/>
        </w:rPr>
        <w:tab/>
      </w:r>
      <w:r w:rsidR="00B74815" w:rsidRPr="00271D1A">
        <w:rPr>
          <w:rFonts w:ascii="Times New Roman" w:hAnsi="Times New Roman"/>
          <w:sz w:val="24"/>
          <w:szCs w:val="24"/>
        </w:rPr>
        <w:t xml:space="preserve">The Commission’s policy for determining an appropriate capital structure is to balance </w:t>
      </w:r>
      <w:r w:rsidR="00076500" w:rsidRPr="00271D1A">
        <w:rPr>
          <w:rFonts w:ascii="Times New Roman" w:hAnsi="Times New Roman"/>
          <w:sz w:val="24"/>
          <w:szCs w:val="24"/>
        </w:rPr>
        <w:t xml:space="preserve">the </w:t>
      </w:r>
      <w:r w:rsidR="00425372" w:rsidRPr="00271D1A">
        <w:rPr>
          <w:rFonts w:ascii="Times New Roman" w:hAnsi="Times New Roman"/>
          <w:sz w:val="24"/>
          <w:szCs w:val="24"/>
        </w:rPr>
        <w:t xml:space="preserve">amount of equity </w:t>
      </w:r>
      <w:r w:rsidR="00076500" w:rsidRPr="00271D1A">
        <w:rPr>
          <w:rFonts w:ascii="Times New Roman" w:hAnsi="Times New Roman"/>
          <w:sz w:val="24"/>
          <w:szCs w:val="24"/>
        </w:rPr>
        <w:t>(safety) with its cost to ratepayers (economy)</w:t>
      </w:r>
      <w:r w:rsidR="00425372" w:rsidRPr="00271D1A">
        <w:rPr>
          <w:rFonts w:ascii="Times New Roman" w:hAnsi="Times New Roman"/>
          <w:sz w:val="24"/>
          <w:szCs w:val="24"/>
        </w:rPr>
        <w:t xml:space="preserve"> in order to ensure </w:t>
      </w:r>
      <w:r w:rsidR="007C422C" w:rsidRPr="00271D1A">
        <w:rPr>
          <w:rFonts w:ascii="Times New Roman" w:hAnsi="Times New Roman"/>
          <w:sz w:val="24"/>
          <w:szCs w:val="24"/>
        </w:rPr>
        <w:t>a company’s</w:t>
      </w:r>
      <w:r w:rsidR="00425372" w:rsidRPr="00271D1A">
        <w:rPr>
          <w:rFonts w:ascii="Times New Roman" w:hAnsi="Times New Roman"/>
          <w:sz w:val="24"/>
          <w:szCs w:val="24"/>
        </w:rPr>
        <w:t xml:space="preserve"> fi</w:t>
      </w:r>
      <w:r w:rsidR="007C422C" w:rsidRPr="00271D1A">
        <w:rPr>
          <w:rFonts w:ascii="Times New Roman" w:hAnsi="Times New Roman"/>
          <w:sz w:val="24"/>
          <w:szCs w:val="24"/>
        </w:rPr>
        <w:t>nancial integrity</w:t>
      </w:r>
      <w:r w:rsidR="00F61FE3" w:rsidRPr="00271D1A">
        <w:rPr>
          <w:rFonts w:ascii="Times New Roman" w:hAnsi="Times New Roman"/>
          <w:sz w:val="24"/>
          <w:szCs w:val="24"/>
        </w:rPr>
        <w:t>.</w:t>
      </w:r>
      <w:r w:rsidR="00232B4C">
        <w:rPr>
          <w:rStyle w:val="FootnoteReference"/>
          <w:rFonts w:ascii="Times New Roman" w:hAnsi="Times New Roman"/>
          <w:sz w:val="24"/>
          <w:szCs w:val="24"/>
        </w:rPr>
        <w:footnoteReference w:id="7"/>
      </w:r>
      <w:r w:rsidR="00F61FE3" w:rsidRPr="00271D1A">
        <w:rPr>
          <w:rFonts w:ascii="Times New Roman" w:hAnsi="Times New Roman"/>
          <w:sz w:val="24"/>
          <w:szCs w:val="24"/>
        </w:rPr>
        <w:t xml:space="preserve">  </w:t>
      </w:r>
      <w:r w:rsidR="00F709DC">
        <w:rPr>
          <w:rFonts w:ascii="Times New Roman" w:hAnsi="Times New Roman"/>
          <w:sz w:val="24"/>
          <w:szCs w:val="24"/>
        </w:rPr>
        <w:t>This policy embodies a</w:t>
      </w:r>
      <w:r w:rsidR="007C422C" w:rsidRPr="00271D1A">
        <w:rPr>
          <w:rFonts w:ascii="Times New Roman" w:hAnsi="Times New Roman"/>
          <w:sz w:val="24"/>
          <w:szCs w:val="24"/>
        </w:rPr>
        <w:t xml:space="preserve"> f</w:t>
      </w:r>
      <w:r w:rsidR="00EF3124">
        <w:rPr>
          <w:rFonts w:ascii="Times New Roman" w:hAnsi="Times New Roman"/>
          <w:sz w:val="24"/>
          <w:szCs w:val="24"/>
        </w:rPr>
        <w:t xml:space="preserve">undamental principle </w:t>
      </w:r>
      <w:r w:rsidR="007C422C" w:rsidRPr="00271D1A">
        <w:rPr>
          <w:rFonts w:ascii="Times New Roman" w:hAnsi="Times New Roman"/>
          <w:sz w:val="24"/>
          <w:szCs w:val="24"/>
        </w:rPr>
        <w:t>that a properly</w:t>
      </w:r>
      <w:r w:rsidR="00232B4C">
        <w:rPr>
          <w:rFonts w:ascii="Times New Roman" w:hAnsi="Times New Roman"/>
          <w:sz w:val="24"/>
          <w:szCs w:val="24"/>
        </w:rPr>
        <w:t xml:space="preserve"> </w:t>
      </w:r>
      <w:r w:rsidR="007C422C" w:rsidRPr="00271D1A">
        <w:rPr>
          <w:rFonts w:ascii="Times New Roman" w:hAnsi="Times New Roman"/>
          <w:sz w:val="24"/>
          <w:szCs w:val="24"/>
        </w:rPr>
        <w:lastRenderedPageBreak/>
        <w:t>balanced capital structure should ensure a utility efficiently finances its long-lived assets to achieve the lowest possible cost</w:t>
      </w:r>
      <w:r w:rsidR="00232B4C">
        <w:rPr>
          <w:rFonts w:ascii="Times New Roman" w:hAnsi="Times New Roman"/>
          <w:sz w:val="24"/>
          <w:szCs w:val="24"/>
        </w:rPr>
        <w:t xml:space="preserve"> for ratepayers</w:t>
      </w:r>
      <w:r w:rsidR="007C422C" w:rsidRPr="00271D1A">
        <w:rPr>
          <w:rFonts w:ascii="Times New Roman" w:hAnsi="Times New Roman"/>
          <w:sz w:val="24"/>
          <w:szCs w:val="24"/>
        </w:rPr>
        <w:t>.</w:t>
      </w:r>
      <w:r w:rsidR="007C422C">
        <w:rPr>
          <w:rStyle w:val="FootnoteReference"/>
          <w:rFonts w:ascii="Times New Roman" w:hAnsi="Times New Roman"/>
          <w:sz w:val="24"/>
          <w:szCs w:val="24"/>
        </w:rPr>
        <w:footnoteReference w:id="8"/>
      </w:r>
      <w:r w:rsidR="007C422C" w:rsidRPr="00271D1A">
        <w:rPr>
          <w:rFonts w:ascii="Times New Roman" w:hAnsi="Times New Roman"/>
          <w:sz w:val="24"/>
          <w:szCs w:val="24"/>
        </w:rPr>
        <w:t xml:space="preserve">  </w:t>
      </w:r>
      <w:r w:rsidR="00F61FE3" w:rsidRPr="00271D1A">
        <w:rPr>
          <w:rFonts w:ascii="Times New Roman" w:hAnsi="Times New Roman"/>
          <w:sz w:val="24"/>
          <w:szCs w:val="24"/>
        </w:rPr>
        <w:t>This policy</w:t>
      </w:r>
      <w:r w:rsidR="00063911" w:rsidRPr="00271D1A">
        <w:rPr>
          <w:rFonts w:ascii="Times New Roman" w:hAnsi="Times New Roman"/>
          <w:sz w:val="24"/>
          <w:szCs w:val="24"/>
        </w:rPr>
        <w:t xml:space="preserve"> was</w:t>
      </w:r>
      <w:r w:rsidR="00F61FE3" w:rsidRPr="00271D1A">
        <w:rPr>
          <w:rFonts w:ascii="Times New Roman" w:hAnsi="Times New Roman"/>
          <w:sz w:val="24"/>
          <w:szCs w:val="24"/>
        </w:rPr>
        <w:t xml:space="preserve"> affirmed </w:t>
      </w:r>
      <w:r w:rsidR="00B74815" w:rsidRPr="00271D1A">
        <w:rPr>
          <w:rFonts w:ascii="Times New Roman" w:hAnsi="Times New Roman"/>
          <w:sz w:val="24"/>
          <w:szCs w:val="24"/>
        </w:rPr>
        <w:t>r</w:t>
      </w:r>
      <w:r w:rsidR="00EF3124">
        <w:rPr>
          <w:rFonts w:ascii="Times New Roman" w:hAnsi="Times New Roman"/>
          <w:sz w:val="24"/>
          <w:szCs w:val="24"/>
        </w:rPr>
        <w:t xml:space="preserve">ecently in a </w:t>
      </w:r>
      <w:r w:rsidR="00F709DC">
        <w:rPr>
          <w:rFonts w:ascii="Times New Roman" w:hAnsi="Times New Roman"/>
          <w:sz w:val="24"/>
          <w:szCs w:val="24"/>
        </w:rPr>
        <w:t>case</w:t>
      </w:r>
      <w:r w:rsidR="00FC4766">
        <w:rPr>
          <w:rFonts w:ascii="Times New Roman" w:hAnsi="Times New Roman"/>
          <w:sz w:val="24"/>
          <w:szCs w:val="24"/>
        </w:rPr>
        <w:t xml:space="preserve"> where capital structure was contested</w:t>
      </w:r>
      <w:r w:rsidR="00B74815" w:rsidRPr="00271D1A">
        <w:rPr>
          <w:rFonts w:ascii="Times New Roman" w:hAnsi="Times New Roman"/>
          <w:sz w:val="24"/>
          <w:szCs w:val="24"/>
        </w:rPr>
        <w:t>.</w:t>
      </w:r>
      <w:r w:rsidR="00B74815" w:rsidRPr="00B74815">
        <w:rPr>
          <w:rStyle w:val="FootnoteReference"/>
          <w:rFonts w:ascii="Times New Roman" w:hAnsi="Times New Roman"/>
          <w:sz w:val="24"/>
          <w:szCs w:val="24"/>
        </w:rPr>
        <w:footnoteReference w:id="9"/>
      </w:r>
      <w:r w:rsidR="00B74815" w:rsidRPr="00271D1A">
        <w:rPr>
          <w:rFonts w:ascii="Times New Roman" w:hAnsi="Times New Roman"/>
          <w:sz w:val="24"/>
          <w:szCs w:val="24"/>
        </w:rPr>
        <w:t xml:space="preserve">  </w:t>
      </w:r>
    </w:p>
    <w:p w:rsidR="00F04452"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B74815">
        <w:rPr>
          <w:rFonts w:ascii="Times New Roman" w:hAnsi="Times New Roman"/>
          <w:sz w:val="24"/>
          <w:szCs w:val="24"/>
        </w:rPr>
        <w:t xml:space="preserve">A </w:t>
      </w:r>
      <w:r w:rsidR="00B74815" w:rsidRPr="00B74815">
        <w:rPr>
          <w:rFonts w:ascii="Times New Roman" w:hAnsi="Times New Roman"/>
          <w:sz w:val="24"/>
          <w:szCs w:val="24"/>
        </w:rPr>
        <w:t>crit</w:t>
      </w:r>
      <w:r w:rsidR="004001AE">
        <w:rPr>
          <w:rFonts w:ascii="Times New Roman" w:hAnsi="Times New Roman"/>
          <w:sz w:val="24"/>
          <w:szCs w:val="24"/>
        </w:rPr>
        <w:t xml:space="preserve">ical factor in applying </w:t>
      </w:r>
      <w:r w:rsidR="00F61FE3">
        <w:rPr>
          <w:rFonts w:ascii="Times New Roman" w:hAnsi="Times New Roman"/>
          <w:sz w:val="24"/>
          <w:szCs w:val="24"/>
        </w:rPr>
        <w:t>these principles</w:t>
      </w:r>
      <w:r w:rsidR="004001AE">
        <w:rPr>
          <w:rFonts w:ascii="Times New Roman" w:hAnsi="Times New Roman"/>
          <w:sz w:val="24"/>
          <w:szCs w:val="24"/>
        </w:rPr>
        <w:t xml:space="preserve"> here is the fact that PSE is privately held by </w:t>
      </w:r>
      <w:r w:rsidR="00F61FE3">
        <w:rPr>
          <w:rFonts w:ascii="Times New Roman" w:hAnsi="Times New Roman"/>
          <w:sz w:val="24"/>
          <w:szCs w:val="24"/>
        </w:rPr>
        <w:t xml:space="preserve">owners </w:t>
      </w:r>
      <w:r w:rsidR="004001AE">
        <w:rPr>
          <w:rFonts w:ascii="Times New Roman" w:hAnsi="Times New Roman"/>
          <w:sz w:val="24"/>
          <w:szCs w:val="24"/>
        </w:rPr>
        <w:t xml:space="preserve">who </w:t>
      </w:r>
      <w:r w:rsidR="00FC4766">
        <w:rPr>
          <w:rFonts w:ascii="Times New Roman" w:hAnsi="Times New Roman"/>
          <w:sz w:val="24"/>
          <w:szCs w:val="24"/>
        </w:rPr>
        <w:t>control the Company’s</w:t>
      </w:r>
      <w:r w:rsidR="00F61FE3">
        <w:rPr>
          <w:rFonts w:ascii="Times New Roman" w:hAnsi="Times New Roman"/>
          <w:sz w:val="24"/>
          <w:szCs w:val="24"/>
        </w:rPr>
        <w:t xml:space="preserve"> capital structure </w:t>
      </w:r>
      <w:r w:rsidR="007C422C">
        <w:rPr>
          <w:rFonts w:ascii="Times New Roman" w:hAnsi="Times New Roman"/>
          <w:sz w:val="24"/>
          <w:szCs w:val="24"/>
        </w:rPr>
        <w:t>in order to maximize</w:t>
      </w:r>
      <w:r w:rsidR="00B74815" w:rsidRPr="00B74815">
        <w:rPr>
          <w:rFonts w:ascii="Times New Roman" w:hAnsi="Times New Roman"/>
          <w:sz w:val="24"/>
          <w:szCs w:val="24"/>
        </w:rPr>
        <w:t xml:space="preserve"> their returns at the holding company</w:t>
      </w:r>
      <w:r w:rsidR="000116E8">
        <w:rPr>
          <w:rFonts w:ascii="Times New Roman" w:hAnsi="Times New Roman"/>
          <w:sz w:val="24"/>
          <w:szCs w:val="24"/>
        </w:rPr>
        <w:t xml:space="preserve"> level.  </w:t>
      </w:r>
      <w:r w:rsidR="00B74815" w:rsidRPr="00B74815">
        <w:rPr>
          <w:rFonts w:ascii="Times New Roman" w:hAnsi="Times New Roman"/>
          <w:sz w:val="24"/>
          <w:szCs w:val="24"/>
        </w:rPr>
        <w:t xml:space="preserve">Therefore, the Commission must ensure PSE’s regulated operations are properly capitalized since the owners’ incentive is to capitalize </w:t>
      </w:r>
      <w:r w:rsidR="004001AE">
        <w:rPr>
          <w:rFonts w:ascii="Times New Roman" w:hAnsi="Times New Roman"/>
          <w:sz w:val="24"/>
          <w:szCs w:val="24"/>
        </w:rPr>
        <w:t xml:space="preserve">the utility </w:t>
      </w:r>
      <w:r w:rsidR="00B74815" w:rsidRPr="00B74815">
        <w:rPr>
          <w:rFonts w:ascii="Times New Roman" w:hAnsi="Times New Roman"/>
          <w:sz w:val="24"/>
          <w:szCs w:val="24"/>
        </w:rPr>
        <w:t>with too much equity.</w:t>
      </w:r>
      <w:r w:rsidR="000116E8">
        <w:rPr>
          <w:rStyle w:val="FootnoteReference"/>
          <w:rFonts w:ascii="Times New Roman" w:hAnsi="Times New Roman"/>
          <w:sz w:val="24"/>
          <w:szCs w:val="24"/>
        </w:rPr>
        <w:footnoteReference w:id="10"/>
      </w:r>
      <w:r w:rsidR="00B74815" w:rsidRPr="00B74815">
        <w:rPr>
          <w:rFonts w:ascii="Times New Roman" w:hAnsi="Times New Roman"/>
          <w:sz w:val="24"/>
          <w:szCs w:val="24"/>
        </w:rPr>
        <w:t xml:space="preserve">  </w:t>
      </w:r>
    </w:p>
    <w:p w:rsidR="000116E8"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116E8">
        <w:rPr>
          <w:rFonts w:ascii="Times New Roman" w:hAnsi="Times New Roman"/>
          <w:sz w:val="24"/>
          <w:szCs w:val="24"/>
        </w:rPr>
        <w:t>This “double-leverage” con</w:t>
      </w:r>
      <w:r w:rsidR="009C760A">
        <w:rPr>
          <w:rFonts w:ascii="Times New Roman" w:hAnsi="Times New Roman"/>
          <w:sz w:val="24"/>
          <w:szCs w:val="24"/>
        </w:rPr>
        <w:t>cern i</w:t>
      </w:r>
      <w:r w:rsidR="007C422C">
        <w:rPr>
          <w:rFonts w:ascii="Times New Roman" w:hAnsi="Times New Roman"/>
          <w:sz w:val="24"/>
          <w:szCs w:val="24"/>
        </w:rPr>
        <w:t xml:space="preserve">s not theoretical.  PSE </w:t>
      </w:r>
      <w:r w:rsidR="000116E8">
        <w:rPr>
          <w:rFonts w:ascii="Times New Roman" w:hAnsi="Times New Roman"/>
          <w:sz w:val="24"/>
          <w:szCs w:val="24"/>
        </w:rPr>
        <w:t>increased its dividend to its parent, Puget Energy, by roughly 25 percent</w:t>
      </w:r>
      <w:r w:rsidR="009C760A">
        <w:rPr>
          <w:rFonts w:ascii="Times New Roman" w:hAnsi="Times New Roman"/>
          <w:sz w:val="24"/>
          <w:szCs w:val="24"/>
        </w:rPr>
        <w:t xml:space="preserve"> immediately following its 2009 acquisition</w:t>
      </w:r>
      <w:r w:rsidR="000116E8">
        <w:rPr>
          <w:rFonts w:ascii="Times New Roman" w:hAnsi="Times New Roman"/>
          <w:sz w:val="24"/>
          <w:szCs w:val="24"/>
        </w:rPr>
        <w:t>.</w:t>
      </w:r>
      <w:r w:rsidR="000116E8">
        <w:rPr>
          <w:rStyle w:val="FootnoteReference"/>
          <w:rFonts w:ascii="Times New Roman" w:hAnsi="Times New Roman"/>
          <w:sz w:val="24"/>
          <w:szCs w:val="24"/>
        </w:rPr>
        <w:footnoteReference w:id="11"/>
      </w:r>
      <w:r w:rsidR="000116E8">
        <w:rPr>
          <w:rFonts w:ascii="Times New Roman" w:hAnsi="Times New Roman"/>
          <w:sz w:val="24"/>
          <w:szCs w:val="24"/>
        </w:rPr>
        <w:t xml:space="preserve">  </w:t>
      </w:r>
      <w:r w:rsidR="00A21394">
        <w:rPr>
          <w:rFonts w:ascii="Times New Roman" w:hAnsi="Times New Roman"/>
          <w:sz w:val="24"/>
          <w:szCs w:val="24"/>
        </w:rPr>
        <w:t>A</w:t>
      </w:r>
      <w:r w:rsidR="009C760A">
        <w:rPr>
          <w:rFonts w:ascii="Times New Roman" w:hAnsi="Times New Roman"/>
          <w:sz w:val="24"/>
          <w:szCs w:val="24"/>
        </w:rPr>
        <w:t>n additional dividend increase was declared in 2011.</w:t>
      </w:r>
      <w:r w:rsidR="009C760A">
        <w:rPr>
          <w:rStyle w:val="FootnoteReference"/>
          <w:rFonts w:ascii="Times New Roman" w:hAnsi="Times New Roman"/>
          <w:sz w:val="24"/>
          <w:szCs w:val="24"/>
        </w:rPr>
        <w:footnoteReference w:id="12"/>
      </w:r>
      <w:r w:rsidR="009C760A">
        <w:rPr>
          <w:rFonts w:ascii="Times New Roman" w:hAnsi="Times New Roman"/>
          <w:sz w:val="24"/>
          <w:szCs w:val="24"/>
        </w:rPr>
        <w:t xml:space="preserve">  </w:t>
      </w:r>
      <w:r w:rsidR="00465FFF">
        <w:rPr>
          <w:rFonts w:ascii="Times New Roman" w:hAnsi="Times New Roman"/>
          <w:sz w:val="24"/>
          <w:szCs w:val="24"/>
        </w:rPr>
        <w:t>Thus, t</w:t>
      </w:r>
      <w:r w:rsidR="00076500">
        <w:rPr>
          <w:rFonts w:ascii="Times New Roman" w:hAnsi="Times New Roman"/>
          <w:sz w:val="24"/>
          <w:szCs w:val="24"/>
        </w:rPr>
        <w:t>he evidence suggests</w:t>
      </w:r>
      <w:r w:rsidR="00F61FE3">
        <w:rPr>
          <w:rFonts w:ascii="Times New Roman" w:hAnsi="Times New Roman"/>
          <w:sz w:val="24"/>
          <w:szCs w:val="24"/>
        </w:rPr>
        <w:t xml:space="preserve"> that PSE’s </w:t>
      </w:r>
      <w:r w:rsidR="000116E8">
        <w:rPr>
          <w:rFonts w:ascii="Times New Roman" w:hAnsi="Times New Roman"/>
          <w:sz w:val="24"/>
          <w:szCs w:val="24"/>
        </w:rPr>
        <w:t>request to increase i</w:t>
      </w:r>
      <w:r w:rsidR="007C422C">
        <w:rPr>
          <w:rFonts w:ascii="Times New Roman" w:hAnsi="Times New Roman"/>
          <w:sz w:val="24"/>
          <w:szCs w:val="24"/>
        </w:rPr>
        <w:t xml:space="preserve">ts equity ratio </w:t>
      </w:r>
      <w:r w:rsidR="00DA7A05">
        <w:rPr>
          <w:rFonts w:ascii="Times New Roman" w:hAnsi="Times New Roman"/>
          <w:sz w:val="24"/>
          <w:szCs w:val="24"/>
        </w:rPr>
        <w:t xml:space="preserve">from 46 to </w:t>
      </w:r>
      <w:r w:rsidR="000116E8">
        <w:rPr>
          <w:rFonts w:ascii="Times New Roman" w:hAnsi="Times New Roman"/>
          <w:sz w:val="24"/>
          <w:szCs w:val="24"/>
        </w:rPr>
        <w:t xml:space="preserve">48 percent </w:t>
      </w:r>
      <w:r w:rsidR="00F61FE3">
        <w:rPr>
          <w:rFonts w:ascii="Times New Roman" w:hAnsi="Times New Roman"/>
          <w:sz w:val="24"/>
          <w:szCs w:val="24"/>
        </w:rPr>
        <w:t xml:space="preserve">is designed </w:t>
      </w:r>
      <w:r w:rsidR="000116E8">
        <w:rPr>
          <w:rFonts w:ascii="Times New Roman" w:hAnsi="Times New Roman"/>
          <w:sz w:val="24"/>
          <w:szCs w:val="24"/>
        </w:rPr>
        <w:t>to support the cash requirements o</w:t>
      </w:r>
      <w:r w:rsidR="00465FFF">
        <w:rPr>
          <w:rFonts w:ascii="Times New Roman" w:hAnsi="Times New Roman"/>
          <w:sz w:val="24"/>
          <w:szCs w:val="24"/>
        </w:rPr>
        <w:t>f Puget Energy</w:t>
      </w:r>
      <w:r w:rsidR="000116E8">
        <w:rPr>
          <w:rFonts w:ascii="Times New Roman" w:hAnsi="Times New Roman"/>
          <w:sz w:val="24"/>
          <w:szCs w:val="24"/>
        </w:rPr>
        <w:t xml:space="preserve"> to fund holding company debt.</w:t>
      </w:r>
      <w:r w:rsidR="00A21394">
        <w:rPr>
          <w:rFonts w:ascii="Times New Roman" w:hAnsi="Times New Roman"/>
          <w:sz w:val="24"/>
          <w:szCs w:val="24"/>
        </w:rPr>
        <w:t xml:space="preserve">  This is</w:t>
      </w:r>
      <w:r w:rsidR="00DA7A05">
        <w:rPr>
          <w:rFonts w:ascii="Times New Roman" w:hAnsi="Times New Roman"/>
          <w:sz w:val="24"/>
          <w:szCs w:val="24"/>
        </w:rPr>
        <w:t xml:space="preserve"> inconsistent with PSE’s</w:t>
      </w:r>
      <w:r w:rsidR="000D558B">
        <w:rPr>
          <w:rFonts w:ascii="Times New Roman" w:hAnsi="Times New Roman"/>
          <w:sz w:val="24"/>
          <w:szCs w:val="24"/>
        </w:rPr>
        <w:t xml:space="preserve"> commitment</w:t>
      </w:r>
      <w:r w:rsidR="00DA7A05">
        <w:rPr>
          <w:rFonts w:ascii="Times New Roman" w:hAnsi="Times New Roman"/>
          <w:sz w:val="24"/>
          <w:szCs w:val="24"/>
        </w:rPr>
        <w:t xml:space="preserve"> </w:t>
      </w:r>
      <w:r w:rsidR="007C422C">
        <w:rPr>
          <w:rFonts w:ascii="Times New Roman" w:hAnsi="Times New Roman"/>
          <w:sz w:val="24"/>
          <w:szCs w:val="24"/>
        </w:rPr>
        <w:t xml:space="preserve">that the </w:t>
      </w:r>
      <w:r w:rsidR="000D558B">
        <w:rPr>
          <w:rFonts w:ascii="Times New Roman" w:hAnsi="Times New Roman"/>
          <w:sz w:val="24"/>
          <w:szCs w:val="24"/>
        </w:rPr>
        <w:t>cost of capital would not increase as a result of the 2009 acquisition.</w:t>
      </w:r>
      <w:r w:rsidR="000D558B">
        <w:rPr>
          <w:rStyle w:val="FootnoteReference"/>
          <w:rFonts w:ascii="Times New Roman" w:hAnsi="Times New Roman"/>
          <w:sz w:val="24"/>
          <w:szCs w:val="24"/>
        </w:rPr>
        <w:footnoteReference w:id="13"/>
      </w:r>
    </w:p>
    <w:p w:rsidR="00F61FE3"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E14FAF">
        <w:rPr>
          <w:rFonts w:ascii="Times New Roman" w:hAnsi="Times New Roman"/>
          <w:sz w:val="24"/>
          <w:szCs w:val="24"/>
        </w:rPr>
        <w:t>Mr. Elgin</w:t>
      </w:r>
      <w:r w:rsidR="00F61FE3">
        <w:rPr>
          <w:rFonts w:ascii="Times New Roman" w:hAnsi="Times New Roman"/>
          <w:sz w:val="24"/>
          <w:szCs w:val="24"/>
        </w:rPr>
        <w:t>’s recommendation for a capital structure with 46 percent equity is based upon numerous factors that implement Commission policy</w:t>
      </w:r>
      <w:r w:rsidR="007C422C">
        <w:rPr>
          <w:rFonts w:ascii="Times New Roman" w:hAnsi="Times New Roman"/>
          <w:sz w:val="24"/>
          <w:szCs w:val="24"/>
        </w:rPr>
        <w:t xml:space="preserve"> to maintain PSE</w:t>
      </w:r>
      <w:r w:rsidR="002E0481">
        <w:rPr>
          <w:rFonts w:ascii="Times New Roman" w:hAnsi="Times New Roman"/>
          <w:sz w:val="24"/>
          <w:szCs w:val="24"/>
        </w:rPr>
        <w:t>’s financial integrity, while also protecting</w:t>
      </w:r>
      <w:r w:rsidR="007C422C">
        <w:rPr>
          <w:rFonts w:ascii="Times New Roman" w:hAnsi="Times New Roman"/>
          <w:sz w:val="24"/>
          <w:szCs w:val="24"/>
        </w:rPr>
        <w:t xml:space="preserve"> ratepayers from </w:t>
      </w:r>
      <w:r w:rsidR="009C760A">
        <w:rPr>
          <w:rFonts w:ascii="Times New Roman" w:hAnsi="Times New Roman"/>
          <w:sz w:val="24"/>
          <w:szCs w:val="24"/>
        </w:rPr>
        <w:t>excessive costs</w:t>
      </w:r>
      <w:r w:rsidR="00E14FAF">
        <w:rPr>
          <w:rFonts w:ascii="Times New Roman" w:hAnsi="Times New Roman"/>
          <w:sz w:val="24"/>
          <w:szCs w:val="24"/>
        </w:rPr>
        <w:t xml:space="preserve"> of the holding company structure:</w:t>
      </w:r>
    </w:p>
    <w:p w:rsidR="00E14FAF" w:rsidRDefault="00E14FAF" w:rsidP="004736BE">
      <w:pPr>
        <w:pStyle w:val="ListParagraph"/>
        <w:numPr>
          <w:ilvl w:val="0"/>
          <w:numId w:val="5"/>
        </w:numPr>
        <w:rPr>
          <w:rFonts w:ascii="Times New Roman" w:hAnsi="Times New Roman"/>
          <w:sz w:val="24"/>
          <w:szCs w:val="24"/>
        </w:rPr>
      </w:pPr>
      <w:r w:rsidRPr="00E14FAF">
        <w:rPr>
          <w:rFonts w:ascii="Times New Roman" w:hAnsi="Times New Roman"/>
          <w:sz w:val="24"/>
          <w:szCs w:val="24"/>
        </w:rPr>
        <w:t>A 46 percent equ</w:t>
      </w:r>
      <w:r>
        <w:rPr>
          <w:rFonts w:ascii="Times New Roman" w:hAnsi="Times New Roman"/>
          <w:sz w:val="24"/>
          <w:szCs w:val="24"/>
        </w:rPr>
        <w:t>ity ratio is consistent with PSE’s</w:t>
      </w:r>
      <w:r w:rsidRPr="00E14FAF">
        <w:rPr>
          <w:rFonts w:ascii="Times New Roman" w:hAnsi="Times New Roman"/>
          <w:sz w:val="24"/>
          <w:szCs w:val="24"/>
        </w:rPr>
        <w:t xml:space="preserve"> actual 2010 year-end equity ratio </w:t>
      </w:r>
      <w:r>
        <w:rPr>
          <w:rFonts w:ascii="Times New Roman" w:hAnsi="Times New Roman"/>
          <w:sz w:val="24"/>
          <w:szCs w:val="24"/>
        </w:rPr>
        <w:t>of 46.5 percent</w:t>
      </w:r>
      <w:r w:rsidRPr="00E14FAF">
        <w:rPr>
          <w:rFonts w:ascii="Times New Roman" w:hAnsi="Times New Roman"/>
          <w:sz w:val="24"/>
          <w:szCs w:val="24"/>
        </w:rPr>
        <w:t>.</w:t>
      </w:r>
      <w:r w:rsidRPr="00E14FAF">
        <w:rPr>
          <w:rStyle w:val="FootnoteReference"/>
          <w:rFonts w:ascii="Times New Roman" w:hAnsi="Times New Roman"/>
          <w:sz w:val="24"/>
          <w:szCs w:val="24"/>
        </w:rPr>
        <w:footnoteReference w:id="14"/>
      </w:r>
    </w:p>
    <w:p w:rsidR="00702C66" w:rsidRDefault="00702C66" w:rsidP="00702C66">
      <w:pPr>
        <w:pStyle w:val="ListParagraph"/>
        <w:ind w:left="1440"/>
        <w:rPr>
          <w:rFonts w:ascii="Times New Roman" w:hAnsi="Times New Roman"/>
          <w:sz w:val="24"/>
          <w:szCs w:val="24"/>
        </w:rPr>
      </w:pPr>
    </w:p>
    <w:p w:rsidR="00E14FAF" w:rsidRDefault="00E14FAF" w:rsidP="004736BE">
      <w:pPr>
        <w:pStyle w:val="ListParagraph"/>
        <w:numPr>
          <w:ilvl w:val="0"/>
          <w:numId w:val="5"/>
        </w:numPr>
        <w:rPr>
          <w:rFonts w:ascii="Times New Roman" w:hAnsi="Times New Roman"/>
          <w:sz w:val="24"/>
          <w:szCs w:val="24"/>
        </w:rPr>
      </w:pPr>
      <w:r>
        <w:rPr>
          <w:rFonts w:ascii="Times New Roman" w:hAnsi="Times New Roman"/>
          <w:sz w:val="24"/>
          <w:szCs w:val="24"/>
        </w:rPr>
        <w:lastRenderedPageBreak/>
        <w:t>A 46 percent equ</w:t>
      </w:r>
      <w:r w:rsidR="00702C66">
        <w:rPr>
          <w:rFonts w:ascii="Times New Roman" w:hAnsi="Times New Roman"/>
          <w:sz w:val="24"/>
          <w:szCs w:val="24"/>
        </w:rPr>
        <w:t>ity ratio recognizes PSE</w:t>
      </w:r>
      <w:r>
        <w:rPr>
          <w:rFonts w:ascii="Times New Roman" w:hAnsi="Times New Roman"/>
          <w:sz w:val="24"/>
          <w:szCs w:val="24"/>
        </w:rPr>
        <w:t>’s issuance of new debt in 2011.</w:t>
      </w:r>
      <w:r>
        <w:rPr>
          <w:rStyle w:val="FootnoteReference"/>
          <w:rFonts w:ascii="Times New Roman" w:hAnsi="Times New Roman"/>
          <w:sz w:val="24"/>
          <w:szCs w:val="24"/>
        </w:rPr>
        <w:footnoteReference w:id="15"/>
      </w:r>
      <w:r w:rsidRPr="00E14FAF">
        <w:rPr>
          <w:rFonts w:ascii="Times New Roman" w:hAnsi="Times New Roman"/>
          <w:sz w:val="24"/>
          <w:szCs w:val="24"/>
        </w:rPr>
        <w:t xml:space="preserve">  </w:t>
      </w:r>
      <w:r w:rsidR="00320ECD" w:rsidRPr="00320ECD">
        <w:rPr>
          <w:rFonts w:ascii="Times New Roman" w:hAnsi="Times New Roman"/>
          <w:sz w:val="24"/>
          <w:szCs w:val="24"/>
        </w:rPr>
        <w:t xml:space="preserve">In fact, </w:t>
      </w:r>
      <w:r w:rsidR="00076500">
        <w:rPr>
          <w:rFonts w:ascii="Times New Roman" w:hAnsi="Times New Roman"/>
          <w:sz w:val="24"/>
          <w:szCs w:val="24"/>
        </w:rPr>
        <w:t>the</w:t>
      </w:r>
      <w:r w:rsidR="00320ECD">
        <w:rPr>
          <w:rFonts w:ascii="Times New Roman" w:hAnsi="Times New Roman"/>
          <w:sz w:val="24"/>
          <w:szCs w:val="24"/>
        </w:rPr>
        <w:t xml:space="preserve"> actual</w:t>
      </w:r>
      <w:r w:rsidR="00C12E72">
        <w:rPr>
          <w:rFonts w:ascii="Times New Roman" w:hAnsi="Times New Roman"/>
          <w:sz w:val="24"/>
          <w:szCs w:val="24"/>
        </w:rPr>
        <w:t xml:space="preserve"> </w:t>
      </w:r>
      <w:r w:rsidR="006B1F80">
        <w:rPr>
          <w:rFonts w:ascii="Times New Roman" w:hAnsi="Times New Roman"/>
          <w:sz w:val="24"/>
          <w:szCs w:val="24"/>
        </w:rPr>
        <w:t xml:space="preserve">equity ratio declined to </w:t>
      </w:r>
      <w:r w:rsidR="00320ECD" w:rsidRPr="00320ECD">
        <w:rPr>
          <w:rFonts w:ascii="Times New Roman" w:hAnsi="Times New Roman"/>
          <w:sz w:val="24"/>
          <w:szCs w:val="24"/>
        </w:rPr>
        <w:t>44.5 percent, based upon its September 30, 2011 balan</w:t>
      </w:r>
      <w:r w:rsidR="00076500">
        <w:rPr>
          <w:rFonts w:ascii="Times New Roman" w:hAnsi="Times New Roman"/>
          <w:sz w:val="24"/>
          <w:szCs w:val="24"/>
        </w:rPr>
        <w:t xml:space="preserve">ce sheet with the effect of </w:t>
      </w:r>
      <w:r w:rsidR="00320ECD" w:rsidRPr="00320ECD">
        <w:rPr>
          <w:rFonts w:ascii="Times New Roman" w:hAnsi="Times New Roman"/>
          <w:sz w:val="24"/>
          <w:szCs w:val="24"/>
        </w:rPr>
        <w:t>ne</w:t>
      </w:r>
      <w:r w:rsidR="00320ECD">
        <w:rPr>
          <w:rFonts w:ascii="Times New Roman" w:hAnsi="Times New Roman"/>
          <w:sz w:val="24"/>
          <w:szCs w:val="24"/>
        </w:rPr>
        <w:t>w debt issued in November 2011.</w:t>
      </w:r>
      <w:r w:rsidR="00320ECD">
        <w:rPr>
          <w:rStyle w:val="FootnoteReference"/>
          <w:rFonts w:ascii="Times New Roman" w:hAnsi="Times New Roman"/>
          <w:sz w:val="24"/>
          <w:szCs w:val="24"/>
        </w:rPr>
        <w:footnoteReference w:id="16"/>
      </w:r>
      <w:r w:rsidR="00320ECD" w:rsidRPr="00320ECD">
        <w:rPr>
          <w:rFonts w:ascii="Times New Roman" w:hAnsi="Times New Roman"/>
          <w:sz w:val="24"/>
          <w:szCs w:val="24"/>
        </w:rPr>
        <w:t xml:space="preserve"> </w:t>
      </w:r>
    </w:p>
    <w:p w:rsidR="00702C66" w:rsidRPr="00320ECD" w:rsidRDefault="00702C66" w:rsidP="00702C66">
      <w:pPr>
        <w:pStyle w:val="ListParagraph"/>
        <w:ind w:left="1440"/>
        <w:rPr>
          <w:rFonts w:ascii="Times New Roman" w:hAnsi="Times New Roman"/>
          <w:sz w:val="24"/>
          <w:szCs w:val="24"/>
        </w:rPr>
      </w:pPr>
    </w:p>
    <w:p w:rsidR="00B87660" w:rsidRDefault="00320ECD" w:rsidP="004736BE">
      <w:pPr>
        <w:pStyle w:val="ListParagraph"/>
        <w:numPr>
          <w:ilvl w:val="0"/>
          <w:numId w:val="5"/>
        </w:numPr>
        <w:rPr>
          <w:rFonts w:ascii="Times New Roman" w:hAnsi="Times New Roman"/>
          <w:sz w:val="24"/>
          <w:szCs w:val="24"/>
        </w:rPr>
      </w:pPr>
      <w:r>
        <w:rPr>
          <w:rFonts w:ascii="Times New Roman" w:hAnsi="Times New Roman"/>
          <w:sz w:val="24"/>
          <w:szCs w:val="24"/>
        </w:rPr>
        <w:t>A 46 percent equity ratio is consistent with the consolidated equity ratios of utilities engaged principally in regulated electricity and elect</w:t>
      </w:r>
      <w:r w:rsidR="006B1F80">
        <w:rPr>
          <w:rFonts w:ascii="Times New Roman" w:hAnsi="Times New Roman"/>
          <w:sz w:val="24"/>
          <w:szCs w:val="24"/>
        </w:rPr>
        <w:t xml:space="preserve">ricity and natural gas service, </w:t>
      </w:r>
      <w:r>
        <w:rPr>
          <w:rFonts w:ascii="Times New Roman" w:hAnsi="Times New Roman"/>
          <w:sz w:val="24"/>
          <w:szCs w:val="24"/>
        </w:rPr>
        <w:t>and the equity ratios of the p</w:t>
      </w:r>
      <w:r w:rsidR="00076500">
        <w:rPr>
          <w:rFonts w:ascii="Times New Roman" w:hAnsi="Times New Roman"/>
          <w:sz w:val="24"/>
          <w:szCs w:val="24"/>
        </w:rPr>
        <w:t>roxy companies Mr. Elgin studied</w:t>
      </w:r>
      <w:r>
        <w:rPr>
          <w:rFonts w:ascii="Times New Roman" w:hAnsi="Times New Roman"/>
          <w:sz w:val="24"/>
          <w:szCs w:val="24"/>
        </w:rPr>
        <w:t xml:space="preserve"> for his cost of equity recommendation.</w:t>
      </w:r>
      <w:r>
        <w:rPr>
          <w:rStyle w:val="FootnoteReference"/>
          <w:rFonts w:ascii="Times New Roman" w:hAnsi="Times New Roman"/>
          <w:sz w:val="24"/>
          <w:szCs w:val="24"/>
        </w:rPr>
        <w:footnoteReference w:id="17"/>
      </w:r>
    </w:p>
    <w:p w:rsidR="00702C66" w:rsidRDefault="00702C66" w:rsidP="00702C66">
      <w:pPr>
        <w:pStyle w:val="ListParagraph"/>
        <w:ind w:left="1440"/>
        <w:rPr>
          <w:rFonts w:ascii="Times New Roman" w:hAnsi="Times New Roman"/>
          <w:sz w:val="24"/>
          <w:szCs w:val="24"/>
        </w:rPr>
      </w:pPr>
    </w:p>
    <w:p w:rsidR="00320ECD" w:rsidRDefault="00BD7039" w:rsidP="004736BE">
      <w:pPr>
        <w:pStyle w:val="ListParagraph"/>
        <w:numPr>
          <w:ilvl w:val="0"/>
          <w:numId w:val="5"/>
        </w:numPr>
        <w:rPr>
          <w:rFonts w:ascii="Times New Roman" w:hAnsi="Times New Roman"/>
          <w:sz w:val="24"/>
          <w:szCs w:val="24"/>
        </w:rPr>
      </w:pPr>
      <w:r>
        <w:rPr>
          <w:rFonts w:ascii="Times New Roman" w:hAnsi="Times New Roman"/>
          <w:sz w:val="24"/>
          <w:szCs w:val="24"/>
        </w:rPr>
        <w:t>A 46 perc</w:t>
      </w:r>
      <w:r w:rsidR="00FC4766">
        <w:rPr>
          <w:rFonts w:ascii="Times New Roman" w:hAnsi="Times New Roman"/>
          <w:sz w:val="24"/>
          <w:szCs w:val="24"/>
        </w:rPr>
        <w:t xml:space="preserve">ent equity ratio will support the Company’s </w:t>
      </w:r>
      <w:r>
        <w:rPr>
          <w:rFonts w:ascii="Times New Roman" w:hAnsi="Times New Roman"/>
          <w:sz w:val="24"/>
          <w:szCs w:val="24"/>
        </w:rPr>
        <w:t>BBB corporate credit rating and A- secured bond rating, con</w:t>
      </w:r>
      <w:r w:rsidR="00C12E72">
        <w:rPr>
          <w:rFonts w:ascii="Times New Roman" w:hAnsi="Times New Roman"/>
          <w:sz w:val="24"/>
          <w:szCs w:val="24"/>
        </w:rPr>
        <w:t>sistent with industry standards</w:t>
      </w:r>
      <w:r>
        <w:rPr>
          <w:rFonts w:ascii="Times New Roman" w:hAnsi="Times New Roman"/>
          <w:sz w:val="24"/>
          <w:szCs w:val="24"/>
        </w:rPr>
        <w:t>.</w:t>
      </w:r>
      <w:r>
        <w:rPr>
          <w:rStyle w:val="FootnoteReference"/>
          <w:rFonts w:ascii="Times New Roman" w:hAnsi="Times New Roman"/>
          <w:sz w:val="24"/>
          <w:szCs w:val="24"/>
        </w:rPr>
        <w:footnoteReference w:id="18"/>
      </w:r>
    </w:p>
    <w:p w:rsidR="00702C66" w:rsidRDefault="00702C66" w:rsidP="00702C66">
      <w:pPr>
        <w:pStyle w:val="ListParagraph"/>
        <w:ind w:left="1440"/>
        <w:rPr>
          <w:rFonts w:ascii="Times New Roman" w:hAnsi="Times New Roman"/>
          <w:sz w:val="24"/>
          <w:szCs w:val="24"/>
        </w:rPr>
      </w:pPr>
    </w:p>
    <w:p w:rsidR="00702C66" w:rsidRDefault="00BD7039" w:rsidP="004736BE">
      <w:pPr>
        <w:pStyle w:val="ListParagraph"/>
        <w:numPr>
          <w:ilvl w:val="0"/>
          <w:numId w:val="5"/>
        </w:numPr>
        <w:rPr>
          <w:rFonts w:ascii="Times New Roman" w:hAnsi="Times New Roman"/>
          <w:sz w:val="24"/>
          <w:szCs w:val="24"/>
        </w:rPr>
      </w:pPr>
      <w:r w:rsidRPr="004465F4">
        <w:rPr>
          <w:rFonts w:ascii="Times New Roman" w:hAnsi="Times New Roman"/>
          <w:sz w:val="24"/>
          <w:szCs w:val="24"/>
        </w:rPr>
        <w:t>A 46 percent equity ratio is consistent with PSE’s financial forecasts.</w:t>
      </w:r>
      <w:r>
        <w:rPr>
          <w:rStyle w:val="FootnoteReference"/>
          <w:rFonts w:ascii="Times New Roman" w:hAnsi="Times New Roman"/>
          <w:sz w:val="24"/>
          <w:szCs w:val="24"/>
        </w:rPr>
        <w:footnoteReference w:id="19"/>
      </w:r>
      <w:r w:rsidRPr="004465F4">
        <w:rPr>
          <w:rFonts w:ascii="Times New Roman" w:hAnsi="Times New Roman"/>
          <w:sz w:val="24"/>
          <w:szCs w:val="24"/>
        </w:rPr>
        <w:t xml:space="preserve">  </w:t>
      </w:r>
    </w:p>
    <w:p w:rsidR="004465F4" w:rsidRPr="004465F4" w:rsidRDefault="004465F4" w:rsidP="004465F4">
      <w:pPr>
        <w:pStyle w:val="ListParagraph"/>
        <w:ind w:left="1440"/>
        <w:rPr>
          <w:rFonts w:ascii="Times New Roman" w:hAnsi="Times New Roman"/>
          <w:sz w:val="24"/>
          <w:szCs w:val="24"/>
        </w:rPr>
      </w:pPr>
    </w:p>
    <w:p w:rsidR="00063911" w:rsidRDefault="00D8058E" w:rsidP="004736BE">
      <w:pPr>
        <w:pStyle w:val="ListParagraph"/>
        <w:numPr>
          <w:ilvl w:val="0"/>
          <w:numId w:val="5"/>
        </w:numPr>
        <w:rPr>
          <w:rFonts w:ascii="Times New Roman" w:hAnsi="Times New Roman"/>
          <w:sz w:val="24"/>
          <w:szCs w:val="24"/>
        </w:rPr>
      </w:pPr>
      <w:r>
        <w:rPr>
          <w:rFonts w:ascii="Times New Roman" w:hAnsi="Times New Roman"/>
          <w:sz w:val="24"/>
          <w:szCs w:val="24"/>
        </w:rPr>
        <w:t>A 46 pe</w:t>
      </w:r>
      <w:r w:rsidR="00702C66">
        <w:rPr>
          <w:rFonts w:ascii="Times New Roman" w:hAnsi="Times New Roman"/>
          <w:sz w:val="24"/>
          <w:szCs w:val="24"/>
        </w:rPr>
        <w:t xml:space="preserve">rcent equity ratio is </w:t>
      </w:r>
      <w:r>
        <w:rPr>
          <w:rFonts w:ascii="Times New Roman" w:hAnsi="Times New Roman"/>
          <w:sz w:val="24"/>
          <w:szCs w:val="24"/>
        </w:rPr>
        <w:t xml:space="preserve">the </w:t>
      </w:r>
      <w:r w:rsidR="00702C66">
        <w:rPr>
          <w:rFonts w:ascii="Times New Roman" w:hAnsi="Times New Roman"/>
          <w:sz w:val="24"/>
          <w:szCs w:val="24"/>
        </w:rPr>
        <w:t xml:space="preserve">same ratio the Commission found </w:t>
      </w:r>
      <w:r w:rsidR="00DA7A05">
        <w:rPr>
          <w:rFonts w:ascii="Times New Roman" w:hAnsi="Times New Roman"/>
          <w:sz w:val="24"/>
          <w:szCs w:val="24"/>
        </w:rPr>
        <w:t>reasonable in PSE</w:t>
      </w:r>
      <w:r>
        <w:rPr>
          <w:rFonts w:ascii="Times New Roman" w:hAnsi="Times New Roman"/>
          <w:sz w:val="24"/>
          <w:szCs w:val="24"/>
        </w:rPr>
        <w:t>’s 2009</w:t>
      </w:r>
      <w:r w:rsidR="00076500">
        <w:rPr>
          <w:rFonts w:ascii="Times New Roman" w:hAnsi="Times New Roman"/>
          <w:sz w:val="24"/>
          <w:szCs w:val="24"/>
        </w:rPr>
        <w:t xml:space="preserve"> general rate case.  There</w:t>
      </w:r>
      <w:r>
        <w:rPr>
          <w:rFonts w:ascii="Times New Roman" w:hAnsi="Times New Roman"/>
          <w:sz w:val="24"/>
          <w:szCs w:val="24"/>
        </w:rPr>
        <w:t xml:space="preserve">, the Commission rejected a 48 percent equity ratio PSE advocated to account for the initial recapitalization </w:t>
      </w:r>
      <w:r w:rsidR="00DA7A05">
        <w:rPr>
          <w:rFonts w:ascii="Times New Roman" w:hAnsi="Times New Roman"/>
          <w:sz w:val="24"/>
          <w:szCs w:val="24"/>
        </w:rPr>
        <w:t xml:space="preserve">by its </w:t>
      </w:r>
      <w:r w:rsidR="00702C66">
        <w:rPr>
          <w:rFonts w:ascii="Times New Roman" w:hAnsi="Times New Roman"/>
          <w:sz w:val="24"/>
          <w:szCs w:val="24"/>
        </w:rPr>
        <w:t>new owners</w:t>
      </w:r>
      <w:r w:rsidR="006B1F80">
        <w:rPr>
          <w:rFonts w:ascii="Times New Roman" w:hAnsi="Times New Roman"/>
          <w:sz w:val="24"/>
          <w:szCs w:val="24"/>
        </w:rPr>
        <w:t xml:space="preserve"> </w:t>
      </w:r>
      <w:r w:rsidR="000D558B">
        <w:rPr>
          <w:rFonts w:ascii="Times New Roman" w:hAnsi="Times New Roman"/>
          <w:sz w:val="24"/>
          <w:szCs w:val="24"/>
        </w:rPr>
        <w:t>that brought PSE’s equity ratio up to 52.9 percent</w:t>
      </w:r>
      <w:r w:rsidR="00702C66">
        <w:rPr>
          <w:rFonts w:ascii="Times New Roman" w:hAnsi="Times New Roman"/>
          <w:sz w:val="24"/>
          <w:szCs w:val="24"/>
        </w:rPr>
        <w:t>.</w:t>
      </w:r>
      <w:r w:rsidR="00702C66">
        <w:rPr>
          <w:rStyle w:val="FootnoteReference"/>
          <w:rFonts w:ascii="Times New Roman" w:hAnsi="Times New Roman"/>
          <w:sz w:val="24"/>
          <w:szCs w:val="24"/>
        </w:rPr>
        <w:footnoteReference w:id="20"/>
      </w:r>
    </w:p>
    <w:p w:rsidR="002E0481" w:rsidRDefault="002E0481" w:rsidP="002E0481">
      <w:pPr>
        <w:pStyle w:val="ListParagraph"/>
        <w:ind w:left="1440"/>
        <w:rPr>
          <w:rFonts w:ascii="Times New Roman" w:hAnsi="Times New Roman"/>
          <w:sz w:val="24"/>
          <w:szCs w:val="24"/>
        </w:rPr>
      </w:pPr>
    </w:p>
    <w:p w:rsidR="00702C66" w:rsidRPr="00E67202" w:rsidRDefault="002E0481" w:rsidP="004736BE">
      <w:pPr>
        <w:pStyle w:val="ListParagraph"/>
        <w:numPr>
          <w:ilvl w:val="0"/>
          <w:numId w:val="5"/>
        </w:numPr>
        <w:rPr>
          <w:rFonts w:ascii="Times New Roman" w:hAnsi="Times New Roman"/>
          <w:sz w:val="24"/>
          <w:szCs w:val="24"/>
        </w:rPr>
      </w:pPr>
      <w:r w:rsidRPr="00E67202">
        <w:rPr>
          <w:rFonts w:ascii="Times New Roman" w:hAnsi="Times New Roman"/>
          <w:sz w:val="24"/>
          <w:szCs w:val="24"/>
        </w:rPr>
        <w:t xml:space="preserve">A 46 percent equity ratio, combined with Mr. Elgin’s </w:t>
      </w:r>
      <w:r w:rsidR="00FC4766">
        <w:rPr>
          <w:rFonts w:ascii="Times New Roman" w:hAnsi="Times New Roman"/>
          <w:sz w:val="24"/>
          <w:szCs w:val="24"/>
        </w:rPr>
        <w:t xml:space="preserve">recommended </w:t>
      </w:r>
      <w:r w:rsidR="00C12E72">
        <w:rPr>
          <w:rFonts w:ascii="Times New Roman" w:hAnsi="Times New Roman"/>
          <w:sz w:val="24"/>
          <w:szCs w:val="24"/>
        </w:rPr>
        <w:t xml:space="preserve">9.5 percent </w:t>
      </w:r>
      <w:r w:rsidRPr="00E67202">
        <w:rPr>
          <w:rFonts w:ascii="Times New Roman" w:hAnsi="Times New Roman"/>
          <w:sz w:val="24"/>
          <w:szCs w:val="24"/>
        </w:rPr>
        <w:t>cost of</w:t>
      </w:r>
      <w:r w:rsidR="00C12E72">
        <w:rPr>
          <w:rFonts w:ascii="Times New Roman" w:hAnsi="Times New Roman"/>
          <w:sz w:val="24"/>
          <w:szCs w:val="24"/>
        </w:rPr>
        <w:t xml:space="preserve"> equity, produces</w:t>
      </w:r>
      <w:r w:rsidRPr="00E67202">
        <w:rPr>
          <w:rFonts w:ascii="Times New Roman" w:hAnsi="Times New Roman"/>
          <w:sz w:val="24"/>
          <w:szCs w:val="24"/>
        </w:rPr>
        <w:t xml:space="preserve"> </w:t>
      </w:r>
      <w:r w:rsidR="00DA7A05">
        <w:rPr>
          <w:rFonts w:ascii="Times New Roman" w:hAnsi="Times New Roman"/>
          <w:sz w:val="24"/>
          <w:szCs w:val="24"/>
        </w:rPr>
        <w:t xml:space="preserve">a </w:t>
      </w:r>
      <w:r w:rsidRPr="00E67202">
        <w:rPr>
          <w:rFonts w:ascii="Times New Roman" w:hAnsi="Times New Roman"/>
          <w:sz w:val="24"/>
          <w:szCs w:val="24"/>
        </w:rPr>
        <w:t>reasonable pre-tax, unadjust</w:t>
      </w:r>
      <w:r w:rsidR="009F20F6">
        <w:rPr>
          <w:rFonts w:ascii="Times New Roman" w:hAnsi="Times New Roman"/>
          <w:sz w:val="24"/>
          <w:szCs w:val="24"/>
        </w:rPr>
        <w:t>ed interest coverage</w:t>
      </w:r>
      <w:r w:rsidRPr="00E67202">
        <w:rPr>
          <w:rFonts w:ascii="Times New Roman" w:hAnsi="Times New Roman"/>
          <w:sz w:val="24"/>
          <w:szCs w:val="24"/>
        </w:rPr>
        <w:t>.</w:t>
      </w:r>
      <w:r>
        <w:rPr>
          <w:rStyle w:val="FootnoteReference"/>
          <w:rFonts w:ascii="Times New Roman" w:hAnsi="Times New Roman"/>
          <w:sz w:val="24"/>
          <w:szCs w:val="24"/>
        </w:rPr>
        <w:footnoteReference w:id="21"/>
      </w:r>
    </w:p>
    <w:p w:rsidR="00CC0BE6" w:rsidRPr="00CC0BE6" w:rsidRDefault="00CC0BE6" w:rsidP="00076500">
      <w:pPr>
        <w:pStyle w:val="ListParagraph"/>
        <w:ind w:left="1440"/>
        <w:rPr>
          <w:rFonts w:ascii="Times New Roman" w:hAnsi="Times New Roman"/>
          <w:sz w:val="24"/>
          <w:szCs w:val="24"/>
        </w:rPr>
      </w:pPr>
    </w:p>
    <w:p w:rsidR="00DE73DD" w:rsidRDefault="00DE73DD" w:rsidP="00753F66">
      <w:pPr>
        <w:spacing w:after="0" w:line="240" w:lineRule="auto"/>
        <w:ind w:left="1440" w:hanging="720"/>
        <w:rPr>
          <w:rFonts w:ascii="Times New Roman" w:hAnsi="Times New Roman"/>
          <w:b/>
          <w:sz w:val="24"/>
          <w:szCs w:val="24"/>
        </w:rPr>
      </w:pPr>
      <w:r w:rsidRPr="00076500">
        <w:rPr>
          <w:rFonts w:ascii="Times New Roman" w:hAnsi="Times New Roman"/>
          <w:b/>
          <w:sz w:val="24"/>
          <w:szCs w:val="24"/>
        </w:rPr>
        <w:t>2.</w:t>
      </w:r>
      <w:r w:rsidR="00753F66">
        <w:rPr>
          <w:rFonts w:ascii="Times New Roman" w:hAnsi="Times New Roman"/>
          <w:b/>
          <w:sz w:val="24"/>
          <w:szCs w:val="24"/>
        </w:rPr>
        <w:tab/>
      </w:r>
      <w:r w:rsidR="00F709DC">
        <w:rPr>
          <w:rFonts w:ascii="Times New Roman" w:hAnsi="Times New Roman"/>
          <w:b/>
          <w:sz w:val="24"/>
          <w:szCs w:val="24"/>
        </w:rPr>
        <w:t>PSE</w:t>
      </w:r>
      <w:r w:rsidR="00076500">
        <w:rPr>
          <w:rFonts w:ascii="Times New Roman" w:hAnsi="Times New Roman"/>
          <w:b/>
          <w:sz w:val="24"/>
          <w:szCs w:val="24"/>
        </w:rPr>
        <w:t>’s Proposal t</w:t>
      </w:r>
      <w:r w:rsidR="00F709DC">
        <w:rPr>
          <w:rFonts w:ascii="Times New Roman" w:hAnsi="Times New Roman"/>
          <w:b/>
          <w:sz w:val="24"/>
          <w:szCs w:val="24"/>
        </w:rPr>
        <w:t xml:space="preserve">o Increase </w:t>
      </w:r>
      <w:r w:rsidR="004C6301">
        <w:rPr>
          <w:rFonts w:ascii="Times New Roman" w:hAnsi="Times New Roman"/>
          <w:b/>
          <w:sz w:val="24"/>
          <w:szCs w:val="24"/>
        </w:rPr>
        <w:t xml:space="preserve">Its </w:t>
      </w:r>
      <w:r w:rsidR="00076500">
        <w:rPr>
          <w:rFonts w:ascii="Times New Roman" w:hAnsi="Times New Roman"/>
          <w:b/>
          <w:sz w:val="24"/>
          <w:szCs w:val="24"/>
        </w:rPr>
        <w:t>Equity Rat</w:t>
      </w:r>
      <w:r w:rsidR="00F709DC">
        <w:rPr>
          <w:rFonts w:ascii="Times New Roman" w:hAnsi="Times New Roman"/>
          <w:b/>
          <w:sz w:val="24"/>
          <w:szCs w:val="24"/>
        </w:rPr>
        <w:t xml:space="preserve">io </w:t>
      </w:r>
      <w:r w:rsidR="008154AF">
        <w:rPr>
          <w:rFonts w:ascii="Times New Roman" w:hAnsi="Times New Roman"/>
          <w:b/>
          <w:sz w:val="24"/>
          <w:szCs w:val="24"/>
        </w:rPr>
        <w:t>to 48 Percent Violates</w:t>
      </w:r>
      <w:r w:rsidR="00E93B94">
        <w:rPr>
          <w:rFonts w:ascii="Times New Roman" w:hAnsi="Times New Roman"/>
          <w:b/>
          <w:sz w:val="24"/>
          <w:szCs w:val="24"/>
        </w:rPr>
        <w:t xml:space="preserve"> Commission Policy to the Advantage of Its Owners At the Expense of Ratepayers</w:t>
      </w:r>
    </w:p>
    <w:p w:rsidR="00E93B94" w:rsidRPr="00076500" w:rsidRDefault="00E93B94" w:rsidP="00076500">
      <w:pPr>
        <w:spacing w:after="0" w:line="240" w:lineRule="auto"/>
        <w:ind w:left="1080" w:hanging="360"/>
        <w:rPr>
          <w:rFonts w:ascii="Times New Roman" w:hAnsi="Times New Roman"/>
          <w:b/>
          <w:sz w:val="24"/>
          <w:szCs w:val="24"/>
        </w:rPr>
      </w:pPr>
    </w:p>
    <w:p w:rsidR="00CB0669" w:rsidRDefault="00271D1A" w:rsidP="00271D1A">
      <w:pPr>
        <w:pStyle w:val="Default"/>
        <w:numPr>
          <w:ilvl w:val="0"/>
          <w:numId w:val="1"/>
        </w:numPr>
        <w:spacing w:line="480" w:lineRule="auto"/>
      </w:pPr>
      <w:r>
        <w:tab/>
      </w:r>
      <w:r w:rsidR="00CB0669">
        <w:t xml:space="preserve">PSE claims that it is </w:t>
      </w:r>
      <w:r w:rsidR="004F3CF5">
        <w:t>“</w:t>
      </w:r>
      <w:r w:rsidR="00CA218A">
        <w:t xml:space="preserve">established </w:t>
      </w:r>
      <w:r w:rsidR="00DA7A05">
        <w:t>practice” for</w:t>
      </w:r>
      <w:r w:rsidR="004F3CF5">
        <w:t xml:space="preserve"> the Commission </w:t>
      </w:r>
      <w:r w:rsidR="00CB0669">
        <w:t xml:space="preserve">to accept a company’s actual capital structure </w:t>
      </w:r>
      <w:r w:rsidR="00CA218A">
        <w:t xml:space="preserve">in place on average during the test year, </w:t>
      </w:r>
      <w:r w:rsidR="00CB0669">
        <w:t>unless there is a “clear and compelling” reason to do otherwise.</w:t>
      </w:r>
      <w:r w:rsidR="00CB0669">
        <w:rPr>
          <w:rStyle w:val="FootnoteReference"/>
        </w:rPr>
        <w:footnoteReference w:id="22"/>
      </w:r>
      <w:r w:rsidR="004F3CF5">
        <w:t xml:space="preserve">  </w:t>
      </w:r>
      <w:r w:rsidR="007C422C">
        <w:t xml:space="preserve">Thus, it argues, </w:t>
      </w:r>
      <w:r w:rsidR="004F3CF5">
        <w:t>Mr. Elgin deviates from established practice by referring to PSE’s actual equit</w:t>
      </w:r>
      <w:r w:rsidR="00DA7A05">
        <w:t xml:space="preserve">y ratio at </w:t>
      </w:r>
      <w:r w:rsidR="004F3CF5">
        <w:t>one point in time, December 31, 2010, as 46.5 percent, and then inexplicably recommending 46</w:t>
      </w:r>
      <w:r w:rsidR="002E47E8">
        <w:t>.0</w:t>
      </w:r>
      <w:r w:rsidR="004F3CF5">
        <w:t xml:space="preserve"> percent.</w:t>
      </w:r>
      <w:r w:rsidR="004F3CF5">
        <w:rPr>
          <w:rStyle w:val="FootnoteReference"/>
        </w:rPr>
        <w:footnoteReference w:id="23"/>
      </w:r>
      <w:r w:rsidR="00DE73DD">
        <w:t xml:space="preserve"> </w:t>
      </w:r>
    </w:p>
    <w:p w:rsidR="00CB0669" w:rsidRPr="00F709DC" w:rsidRDefault="00271D1A" w:rsidP="00DA7A05">
      <w:pPr>
        <w:pStyle w:val="Default"/>
        <w:numPr>
          <w:ilvl w:val="0"/>
          <w:numId w:val="1"/>
        </w:numPr>
        <w:spacing w:line="480" w:lineRule="auto"/>
      </w:pPr>
      <w:r>
        <w:lastRenderedPageBreak/>
        <w:tab/>
      </w:r>
      <w:r w:rsidR="00CB0669" w:rsidRPr="00F709DC">
        <w:t>PSE</w:t>
      </w:r>
      <w:r w:rsidR="00DE73DD" w:rsidRPr="00F709DC">
        <w:t xml:space="preserve">’s </w:t>
      </w:r>
      <w:r w:rsidR="000F48CB" w:rsidRPr="00F709DC">
        <w:t xml:space="preserve">position </w:t>
      </w:r>
      <w:r w:rsidR="00DA7A05" w:rsidRPr="00F709DC">
        <w:t xml:space="preserve">has been rejected </w:t>
      </w:r>
      <w:r w:rsidR="00DE73DD" w:rsidRPr="00F709DC">
        <w:t>by the Commis</w:t>
      </w:r>
      <w:r w:rsidR="004E508F" w:rsidRPr="00F709DC">
        <w:t>sion</w:t>
      </w:r>
      <w:r w:rsidR="004C6301">
        <w:t xml:space="preserve">’s recent affirmation that </w:t>
      </w:r>
      <w:r w:rsidR="00DA7A05" w:rsidRPr="00F709DC">
        <w:t xml:space="preserve">its policy </w:t>
      </w:r>
      <w:r w:rsidR="004C6301">
        <w:t xml:space="preserve">is </w:t>
      </w:r>
      <w:r w:rsidR="00DE73DD" w:rsidRPr="00F709DC">
        <w:t xml:space="preserve">to </w:t>
      </w:r>
      <w:r w:rsidR="002E0481" w:rsidRPr="00F709DC">
        <w:t>balance</w:t>
      </w:r>
      <w:r w:rsidR="00E93B94" w:rsidRPr="00F709DC">
        <w:t xml:space="preserve"> </w:t>
      </w:r>
      <w:r w:rsidR="00DE73DD" w:rsidRPr="00F709DC">
        <w:t>safe</w:t>
      </w:r>
      <w:r w:rsidR="00E93B94" w:rsidRPr="00F709DC">
        <w:t>ty with economy</w:t>
      </w:r>
      <w:r w:rsidR="00CB0669" w:rsidRPr="00F709DC">
        <w:t xml:space="preserve">, whether </w:t>
      </w:r>
      <w:r w:rsidR="00E93B94" w:rsidRPr="00F709DC">
        <w:t xml:space="preserve">that occurs </w:t>
      </w:r>
      <w:r w:rsidR="00CB0669" w:rsidRPr="00F709DC">
        <w:t>through a capital structure that it is actual or hypothetical</w:t>
      </w:r>
      <w:r w:rsidR="00DE73DD" w:rsidRPr="00F709DC">
        <w:t>.</w:t>
      </w:r>
      <w:r w:rsidR="00DE73DD" w:rsidRPr="00F709DC">
        <w:rPr>
          <w:rStyle w:val="FootnoteReference"/>
        </w:rPr>
        <w:footnoteReference w:id="24"/>
      </w:r>
      <w:r w:rsidR="00DA7A05" w:rsidRPr="00F709DC">
        <w:t xml:space="preserve">  </w:t>
      </w:r>
      <w:r w:rsidR="002E47E8" w:rsidRPr="00F709DC">
        <w:t xml:space="preserve">Mr. Elgin recommends a 46 percent equity ratio </w:t>
      </w:r>
      <w:r w:rsidR="004E508F" w:rsidRPr="00F709DC">
        <w:t xml:space="preserve">specifically because it </w:t>
      </w:r>
      <w:r w:rsidR="00DA7A05" w:rsidRPr="00F709DC">
        <w:t>provides that balance</w:t>
      </w:r>
      <w:r w:rsidR="002E47E8" w:rsidRPr="00F709DC">
        <w:t xml:space="preserve"> and not becaus</w:t>
      </w:r>
      <w:r w:rsidR="004E508F" w:rsidRPr="00F709DC">
        <w:t xml:space="preserve">e </w:t>
      </w:r>
      <w:r w:rsidR="002E47E8" w:rsidRPr="00F709DC">
        <w:t xml:space="preserve">capital structure </w:t>
      </w:r>
      <w:r w:rsidR="004E508F" w:rsidRPr="00F709DC">
        <w:t>should be based on a utility</w:t>
      </w:r>
      <w:r w:rsidR="002E47E8" w:rsidRPr="00F709DC">
        <w:t xml:space="preserve">’s actual equity ratio at any particular time or over any particular </w:t>
      </w:r>
      <w:r w:rsidR="004E508F" w:rsidRPr="00F709DC">
        <w:t>period</w:t>
      </w:r>
      <w:r w:rsidR="002E47E8" w:rsidRPr="00F709DC">
        <w:t>.</w:t>
      </w:r>
      <w:r w:rsidR="002E47E8" w:rsidRPr="00F709DC">
        <w:rPr>
          <w:rStyle w:val="FootnoteReference"/>
        </w:rPr>
        <w:footnoteReference w:id="25"/>
      </w:r>
      <w:r w:rsidR="004E508F" w:rsidRPr="00F709DC">
        <w:t xml:space="preserve">  His approach is </w:t>
      </w:r>
      <w:r w:rsidR="00587F64" w:rsidRPr="00F709DC">
        <w:t xml:space="preserve">also </w:t>
      </w:r>
      <w:r w:rsidR="00E93B94" w:rsidRPr="00F709DC">
        <w:t xml:space="preserve">consistent </w:t>
      </w:r>
      <w:r w:rsidR="004E508F" w:rsidRPr="00F709DC">
        <w:t>with the St</w:t>
      </w:r>
      <w:r w:rsidR="008404B7" w:rsidRPr="00F709DC">
        <w:t xml:space="preserve">aff presentation </w:t>
      </w:r>
      <w:r w:rsidR="004E508F" w:rsidRPr="00F709DC">
        <w:t>in PSE’s 2009 rate case, contrary to PSE’s assertion.</w:t>
      </w:r>
      <w:r w:rsidR="004E508F" w:rsidRPr="00F709DC">
        <w:rPr>
          <w:rStyle w:val="FootnoteReference"/>
        </w:rPr>
        <w:footnoteReference w:id="26"/>
      </w:r>
    </w:p>
    <w:p w:rsidR="00CB0669" w:rsidRPr="00F709DC" w:rsidRDefault="00271D1A" w:rsidP="00271D1A">
      <w:pPr>
        <w:pStyle w:val="Default"/>
        <w:numPr>
          <w:ilvl w:val="0"/>
          <w:numId w:val="1"/>
        </w:numPr>
        <w:spacing w:line="480" w:lineRule="auto"/>
      </w:pPr>
      <w:r w:rsidRPr="00F709DC">
        <w:tab/>
      </w:r>
      <w:r w:rsidR="00910B99" w:rsidRPr="00F709DC">
        <w:t xml:space="preserve">PSE </w:t>
      </w:r>
      <w:r w:rsidR="00DF37E8" w:rsidRPr="00F709DC">
        <w:t>argues that a</w:t>
      </w:r>
      <w:r w:rsidR="00653549" w:rsidRPr="00F709DC">
        <w:t xml:space="preserve"> higher credit rating may result from a</w:t>
      </w:r>
      <w:r w:rsidR="00DF37E8" w:rsidRPr="00F709DC">
        <w:t xml:space="preserve">n increase in </w:t>
      </w:r>
      <w:r w:rsidR="00CB0669" w:rsidRPr="00F709DC">
        <w:t>e</w:t>
      </w:r>
      <w:r w:rsidR="00910B99" w:rsidRPr="00F709DC">
        <w:t xml:space="preserve">quity ratio </w:t>
      </w:r>
      <w:r w:rsidR="000F48CB" w:rsidRPr="00F709DC">
        <w:t>that creates</w:t>
      </w:r>
      <w:r w:rsidR="00CB0669" w:rsidRPr="00F709DC">
        <w:t xml:space="preserve"> </w:t>
      </w:r>
      <w:r w:rsidR="00653549" w:rsidRPr="00F709DC">
        <w:t xml:space="preserve">savings </w:t>
      </w:r>
      <w:r w:rsidR="00CB0669" w:rsidRPr="00F709DC">
        <w:t>greater than the</w:t>
      </w:r>
      <w:r w:rsidR="000F48CB" w:rsidRPr="00F709DC">
        <w:t xml:space="preserve"> cost</w:t>
      </w:r>
      <w:r w:rsidR="00FB4F83" w:rsidRPr="00F709DC">
        <w:t xml:space="preserve"> to achieve those savings</w:t>
      </w:r>
      <w:r w:rsidR="00CB0669" w:rsidRPr="00F709DC">
        <w:t>.</w:t>
      </w:r>
      <w:r w:rsidR="00FB4F83" w:rsidRPr="00F709DC">
        <w:rPr>
          <w:rStyle w:val="FootnoteReference"/>
        </w:rPr>
        <w:footnoteReference w:id="27"/>
      </w:r>
      <w:r w:rsidR="00FB4F83" w:rsidRPr="00F709DC">
        <w:t xml:space="preserve">  This argument should be rejected because </w:t>
      </w:r>
      <w:r w:rsidR="00E93B94" w:rsidRPr="00F709DC">
        <w:t>it assumes that a credit rating</w:t>
      </w:r>
      <w:r w:rsidR="00FB4F83" w:rsidRPr="00F709DC">
        <w:t xml:space="preserve"> increase is driven by one factor only:  equity ratio. </w:t>
      </w:r>
      <w:r w:rsidR="00E93B94" w:rsidRPr="00F709DC">
        <w:t xml:space="preserve"> No evidence </w:t>
      </w:r>
      <w:r w:rsidR="00FB4F83" w:rsidRPr="00F709DC">
        <w:t>was provided support</w:t>
      </w:r>
      <w:r w:rsidR="008404B7" w:rsidRPr="00F709DC">
        <w:t>ing</w:t>
      </w:r>
      <w:r w:rsidR="00FB4F83" w:rsidRPr="00F709DC">
        <w:t xml:space="preserve"> that assumption.</w:t>
      </w:r>
    </w:p>
    <w:p w:rsidR="00CC0BE6" w:rsidRPr="00F709DC" w:rsidRDefault="00271D1A" w:rsidP="00271D1A">
      <w:pPr>
        <w:pStyle w:val="Default"/>
        <w:numPr>
          <w:ilvl w:val="0"/>
          <w:numId w:val="1"/>
        </w:numPr>
        <w:spacing w:line="480" w:lineRule="auto"/>
      </w:pPr>
      <w:r w:rsidRPr="00F709DC">
        <w:tab/>
      </w:r>
      <w:r w:rsidR="00FB4F83" w:rsidRPr="00F709DC">
        <w:t>Moreover, the cost/benefit an</w:t>
      </w:r>
      <w:r w:rsidR="008404B7" w:rsidRPr="00F709DC">
        <w:t xml:space="preserve">alysis presented by PSE </w:t>
      </w:r>
      <w:r w:rsidR="00DF37E8" w:rsidRPr="00F709DC">
        <w:t xml:space="preserve">compares </w:t>
      </w:r>
      <w:r w:rsidR="000F48CB" w:rsidRPr="00F709DC">
        <w:t xml:space="preserve">estimated interest savings </w:t>
      </w:r>
      <w:r w:rsidR="00FB4F83" w:rsidRPr="00F709DC">
        <w:t>over the entire 30-year life of the outstanding securities</w:t>
      </w:r>
      <w:r w:rsidR="001D2626" w:rsidRPr="00F709DC">
        <w:t xml:space="preserve"> with a single year of costs to achieve those savings.  When the costs of increasing</w:t>
      </w:r>
      <w:r w:rsidR="001D2626">
        <w:rPr>
          <w:sz w:val="25"/>
          <w:szCs w:val="25"/>
        </w:rPr>
        <w:t xml:space="preserve"> t</w:t>
      </w:r>
      <w:r w:rsidR="00DF37E8">
        <w:rPr>
          <w:sz w:val="25"/>
          <w:szCs w:val="25"/>
        </w:rPr>
        <w:t xml:space="preserve">he </w:t>
      </w:r>
      <w:r w:rsidR="00DF37E8" w:rsidRPr="00F709DC">
        <w:t xml:space="preserve">equity ratio </w:t>
      </w:r>
      <w:r w:rsidR="008154AF" w:rsidRPr="00F709DC">
        <w:t xml:space="preserve">are compared to the estimated </w:t>
      </w:r>
      <w:r w:rsidR="001D2626" w:rsidRPr="00F709DC">
        <w:t>interest s</w:t>
      </w:r>
      <w:r w:rsidR="000F48CB" w:rsidRPr="00F709DC">
        <w:t>avings</w:t>
      </w:r>
      <w:r w:rsidR="00DA7A05" w:rsidRPr="00F709DC">
        <w:t xml:space="preserve"> over the same period</w:t>
      </w:r>
      <w:r w:rsidR="001D2626" w:rsidRPr="00F709DC">
        <w:t xml:space="preserve">, the </w:t>
      </w:r>
      <w:r w:rsidR="008154AF" w:rsidRPr="00F709DC">
        <w:t xml:space="preserve">present value of the </w:t>
      </w:r>
      <w:r w:rsidR="001D2626" w:rsidRPr="00F709DC">
        <w:t xml:space="preserve">costs exceed the </w:t>
      </w:r>
      <w:r w:rsidR="008154AF" w:rsidRPr="00F709DC">
        <w:t xml:space="preserve">present value of the </w:t>
      </w:r>
      <w:r w:rsidR="001D2626" w:rsidRPr="00F709DC">
        <w:t>benefits by a ratio of at least 4 to 1.</w:t>
      </w:r>
      <w:r w:rsidR="001D2626" w:rsidRPr="00F709DC">
        <w:rPr>
          <w:rStyle w:val="FootnoteReference"/>
        </w:rPr>
        <w:footnoteReference w:id="28"/>
      </w:r>
      <w:r w:rsidR="001D2626" w:rsidRPr="00F709DC">
        <w:t xml:space="preserve">  Thus, a</w:t>
      </w:r>
      <w:r w:rsidR="000D558B" w:rsidRPr="00F709DC">
        <w:t xml:space="preserve"> 48 percent equity ratio, </w:t>
      </w:r>
      <w:r w:rsidR="008154AF" w:rsidRPr="00F709DC">
        <w:t xml:space="preserve">even </w:t>
      </w:r>
      <w:r w:rsidR="000D558B" w:rsidRPr="00F709DC">
        <w:t>as a means to improve bond ratings, is too costly for ratepayers.</w:t>
      </w:r>
    </w:p>
    <w:p w:rsidR="00702C66" w:rsidRPr="00271D1A"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DA7A05">
        <w:rPr>
          <w:rFonts w:ascii="Times New Roman" w:hAnsi="Times New Roman"/>
          <w:sz w:val="24"/>
          <w:szCs w:val="24"/>
        </w:rPr>
        <w:t xml:space="preserve">PSE </w:t>
      </w:r>
      <w:r w:rsidR="0048302F" w:rsidRPr="00271D1A">
        <w:rPr>
          <w:rFonts w:ascii="Times New Roman" w:hAnsi="Times New Roman"/>
          <w:sz w:val="24"/>
          <w:szCs w:val="24"/>
        </w:rPr>
        <w:t>criticizes Mr. Elgin because he did not adjust the capital str</w:t>
      </w:r>
      <w:r w:rsidR="008404B7" w:rsidRPr="00271D1A">
        <w:rPr>
          <w:rFonts w:ascii="Times New Roman" w:hAnsi="Times New Roman"/>
          <w:sz w:val="24"/>
          <w:szCs w:val="24"/>
        </w:rPr>
        <w:t xml:space="preserve">uctures </w:t>
      </w:r>
      <w:r w:rsidR="0048302F" w:rsidRPr="00271D1A">
        <w:rPr>
          <w:rFonts w:ascii="Times New Roman" w:hAnsi="Times New Roman"/>
          <w:sz w:val="24"/>
          <w:szCs w:val="24"/>
        </w:rPr>
        <w:t>of his peer gro</w:t>
      </w:r>
      <w:r w:rsidR="00DA7A05">
        <w:rPr>
          <w:rFonts w:ascii="Times New Roman" w:hAnsi="Times New Roman"/>
          <w:sz w:val="24"/>
          <w:szCs w:val="24"/>
        </w:rPr>
        <w:t xml:space="preserve">up </w:t>
      </w:r>
      <w:r w:rsidR="0048302F" w:rsidRPr="00271D1A">
        <w:rPr>
          <w:rFonts w:ascii="Times New Roman" w:hAnsi="Times New Roman"/>
          <w:sz w:val="24"/>
          <w:szCs w:val="24"/>
        </w:rPr>
        <w:t>holding companies for non-utility operations, a</w:t>
      </w:r>
      <w:r w:rsidR="005A5390" w:rsidRPr="00271D1A">
        <w:rPr>
          <w:rFonts w:ascii="Times New Roman" w:hAnsi="Times New Roman"/>
          <w:sz w:val="24"/>
          <w:szCs w:val="24"/>
        </w:rPr>
        <w:t xml:space="preserve">rguing that such an adjustment </w:t>
      </w:r>
      <w:r w:rsidR="0048302F" w:rsidRPr="00271D1A">
        <w:rPr>
          <w:rFonts w:ascii="Times New Roman" w:hAnsi="Times New Roman"/>
          <w:sz w:val="24"/>
          <w:szCs w:val="24"/>
        </w:rPr>
        <w:t>results in an average equity ratio of 48.05 percent for the utility subsidiaries.</w:t>
      </w:r>
      <w:r w:rsidR="0048302F">
        <w:rPr>
          <w:rStyle w:val="FootnoteReference"/>
          <w:rFonts w:ascii="Times New Roman" w:hAnsi="Times New Roman"/>
          <w:sz w:val="24"/>
          <w:szCs w:val="24"/>
        </w:rPr>
        <w:footnoteReference w:id="29"/>
      </w:r>
      <w:r w:rsidR="00910B99" w:rsidRPr="00271D1A">
        <w:rPr>
          <w:rFonts w:ascii="Times New Roman" w:hAnsi="Times New Roman"/>
          <w:sz w:val="24"/>
          <w:szCs w:val="24"/>
        </w:rPr>
        <w:t xml:space="preserve">  H</w:t>
      </w:r>
      <w:r w:rsidR="005A5390" w:rsidRPr="00271D1A">
        <w:rPr>
          <w:rFonts w:ascii="Times New Roman" w:hAnsi="Times New Roman"/>
          <w:sz w:val="24"/>
          <w:szCs w:val="24"/>
        </w:rPr>
        <w:t xml:space="preserve">owever, </w:t>
      </w:r>
      <w:r w:rsidR="000B5B3F" w:rsidRPr="00271D1A">
        <w:rPr>
          <w:rFonts w:ascii="Times New Roman" w:hAnsi="Times New Roman"/>
          <w:sz w:val="24"/>
          <w:szCs w:val="24"/>
        </w:rPr>
        <w:t xml:space="preserve">the equity ratios </w:t>
      </w:r>
      <w:r w:rsidR="000B5B3F" w:rsidRPr="00271D1A">
        <w:rPr>
          <w:rFonts w:ascii="Times New Roman" w:hAnsi="Times New Roman"/>
          <w:sz w:val="24"/>
          <w:szCs w:val="24"/>
        </w:rPr>
        <w:lastRenderedPageBreak/>
        <w:t xml:space="preserve">claimed by PSE do not represent the actual equity ratios of the utilities in Mr. Elgin’s peer group holding companies.  </w:t>
      </w:r>
      <w:r w:rsidR="000B5B3F">
        <w:rPr>
          <w:rFonts w:ascii="Times New Roman" w:hAnsi="Times New Roman"/>
          <w:sz w:val="24"/>
          <w:szCs w:val="24"/>
        </w:rPr>
        <w:t>They are</w:t>
      </w:r>
      <w:r w:rsidR="00E93B94" w:rsidRPr="00271D1A">
        <w:rPr>
          <w:rFonts w:ascii="Times New Roman" w:hAnsi="Times New Roman"/>
          <w:sz w:val="24"/>
          <w:szCs w:val="24"/>
        </w:rPr>
        <w:t xml:space="preserve"> only </w:t>
      </w:r>
      <w:r w:rsidR="000B5B3F">
        <w:rPr>
          <w:rFonts w:ascii="Times New Roman" w:hAnsi="Times New Roman"/>
          <w:sz w:val="24"/>
          <w:szCs w:val="24"/>
        </w:rPr>
        <w:t xml:space="preserve">the </w:t>
      </w:r>
      <w:r w:rsidR="00E93B94" w:rsidRPr="00271D1A">
        <w:rPr>
          <w:rFonts w:ascii="Times New Roman" w:hAnsi="Times New Roman"/>
          <w:sz w:val="24"/>
          <w:szCs w:val="24"/>
        </w:rPr>
        <w:t xml:space="preserve">equity </w:t>
      </w:r>
      <w:r w:rsidR="0048302F" w:rsidRPr="00271D1A">
        <w:rPr>
          <w:rFonts w:ascii="Times New Roman" w:hAnsi="Times New Roman"/>
          <w:sz w:val="24"/>
          <w:szCs w:val="24"/>
        </w:rPr>
        <w:t xml:space="preserve">ratios authorized </w:t>
      </w:r>
      <w:r w:rsidR="000F48CB" w:rsidRPr="00271D1A">
        <w:rPr>
          <w:rFonts w:ascii="Times New Roman" w:hAnsi="Times New Roman"/>
          <w:sz w:val="24"/>
          <w:szCs w:val="24"/>
        </w:rPr>
        <w:t xml:space="preserve">by </w:t>
      </w:r>
      <w:r w:rsidR="000B5B3F">
        <w:rPr>
          <w:rFonts w:ascii="Times New Roman" w:hAnsi="Times New Roman"/>
          <w:sz w:val="24"/>
          <w:szCs w:val="24"/>
        </w:rPr>
        <w:t>regulatory commissions</w:t>
      </w:r>
      <w:r w:rsidR="0048302F" w:rsidRPr="00271D1A">
        <w:rPr>
          <w:rFonts w:ascii="Times New Roman" w:hAnsi="Times New Roman"/>
          <w:sz w:val="24"/>
          <w:szCs w:val="24"/>
        </w:rPr>
        <w:t>.</w:t>
      </w:r>
      <w:r w:rsidR="0048302F">
        <w:rPr>
          <w:rStyle w:val="FootnoteReference"/>
          <w:rFonts w:ascii="Times New Roman" w:hAnsi="Times New Roman"/>
          <w:sz w:val="24"/>
          <w:szCs w:val="24"/>
        </w:rPr>
        <w:footnoteReference w:id="30"/>
      </w:r>
      <w:r w:rsidR="000B5B3F">
        <w:rPr>
          <w:rFonts w:ascii="Times New Roman" w:hAnsi="Times New Roman"/>
          <w:sz w:val="24"/>
          <w:szCs w:val="24"/>
        </w:rPr>
        <w:t xml:space="preserve"> </w:t>
      </w:r>
      <w:r w:rsidR="00910B99" w:rsidRPr="00271D1A">
        <w:rPr>
          <w:rFonts w:ascii="Times New Roman" w:hAnsi="Times New Roman"/>
          <w:sz w:val="24"/>
          <w:szCs w:val="24"/>
        </w:rPr>
        <w:t>E</w:t>
      </w:r>
      <w:r w:rsidR="005A5390" w:rsidRPr="00271D1A">
        <w:rPr>
          <w:rFonts w:ascii="Times New Roman" w:hAnsi="Times New Roman"/>
          <w:sz w:val="24"/>
          <w:szCs w:val="24"/>
        </w:rPr>
        <w:t xml:space="preserve">ven if the equity ratios were adjusted for non-utility operations, the equity ratio supporting utility operations would </w:t>
      </w:r>
      <w:r w:rsidR="005A5390" w:rsidRPr="00271D1A">
        <w:rPr>
          <w:rFonts w:ascii="Times New Roman" w:hAnsi="Times New Roman"/>
          <w:i/>
          <w:sz w:val="24"/>
          <w:szCs w:val="24"/>
        </w:rPr>
        <w:t>decline</w:t>
      </w:r>
      <w:r w:rsidR="005A5390" w:rsidRPr="00271D1A">
        <w:rPr>
          <w:rFonts w:ascii="Times New Roman" w:hAnsi="Times New Roman"/>
          <w:sz w:val="24"/>
          <w:szCs w:val="24"/>
        </w:rPr>
        <w:t xml:space="preserve"> because non-utility operations are typically funded with shareholder equity.</w:t>
      </w:r>
      <w:r w:rsidR="004465F4">
        <w:rPr>
          <w:rStyle w:val="FootnoteReference"/>
          <w:rFonts w:ascii="Times New Roman" w:hAnsi="Times New Roman"/>
          <w:sz w:val="24"/>
          <w:szCs w:val="24"/>
        </w:rPr>
        <w:footnoteReference w:id="31"/>
      </w:r>
      <w:r w:rsidR="00DA7A05">
        <w:rPr>
          <w:rFonts w:ascii="Times New Roman" w:hAnsi="Times New Roman"/>
          <w:sz w:val="24"/>
          <w:szCs w:val="24"/>
        </w:rPr>
        <w:t xml:space="preserve">  </w:t>
      </w:r>
      <w:r w:rsidR="008404B7" w:rsidRPr="00271D1A">
        <w:rPr>
          <w:rFonts w:ascii="Times New Roman" w:hAnsi="Times New Roman"/>
          <w:sz w:val="24"/>
          <w:szCs w:val="24"/>
        </w:rPr>
        <w:t>PSE</w:t>
      </w:r>
      <w:r w:rsidR="005A5390" w:rsidRPr="00271D1A">
        <w:rPr>
          <w:rFonts w:ascii="Times New Roman" w:hAnsi="Times New Roman"/>
          <w:sz w:val="24"/>
          <w:szCs w:val="24"/>
        </w:rPr>
        <w:t xml:space="preserve">’s criticism is </w:t>
      </w:r>
      <w:r w:rsidR="00DA7A05">
        <w:rPr>
          <w:rFonts w:ascii="Times New Roman" w:hAnsi="Times New Roman"/>
          <w:sz w:val="24"/>
          <w:szCs w:val="24"/>
        </w:rPr>
        <w:t xml:space="preserve">also </w:t>
      </w:r>
      <w:r w:rsidR="000B5B3F">
        <w:rPr>
          <w:rFonts w:ascii="Times New Roman" w:hAnsi="Times New Roman"/>
          <w:sz w:val="24"/>
          <w:szCs w:val="24"/>
        </w:rPr>
        <w:t xml:space="preserve">misplaced </w:t>
      </w:r>
      <w:r w:rsidR="005A5390" w:rsidRPr="00271D1A">
        <w:rPr>
          <w:rFonts w:ascii="Times New Roman" w:hAnsi="Times New Roman"/>
          <w:sz w:val="24"/>
          <w:szCs w:val="24"/>
        </w:rPr>
        <w:t>because Mr. Elgin</w:t>
      </w:r>
      <w:r w:rsidR="00E93B94" w:rsidRPr="00271D1A">
        <w:rPr>
          <w:rFonts w:ascii="Times New Roman" w:hAnsi="Times New Roman"/>
          <w:sz w:val="24"/>
          <w:szCs w:val="24"/>
        </w:rPr>
        <w:t>’s</w:t>
      </w:r>
      <w:r w:rsidR="005A5390" w:rsidRPr="00271D1A">
        <w:rPr>
          <w:rFonts w:ascii="Times New Roman" w:hAnsi="Times New Roman"/>
          <w:sz w:val="24"/>
          <w:szCs w:val="24"/>
        </w:rPr>
        <w:t xml:space="preserve"> </w:t>
      </w:r>
      <w:r w:rsidR="004C6301">
        <w:rPr>
          <w:rFonts w:ascii="Times New Roman" w:hAnsi="Times New Roman"/>
          <w:sz w:val="24"/>
          <w:szCs w:val="24"/>
        </w:rPr>
        <w:t xml:space="preserve">proxy group </w:t>
      </w:r>
      <w:r w:rsidR="004465F4" w:rsidRPr="00271D1A">
        <w:rPr>
          <w:rFonts w:ascii="Times New Roman" w:hAnsi="Times New Roman"/>
          <w:sz w:val="24"/>
          <w:szCs w:val="24"/>
        </w:rPr>
        <w:t>screening criteria eliminated holding companies with significant non-utility operations.</w:t>
      </w:r>
      <w:r w:rsidR="004465F4">
        <w:rPr>
          <w:rStyle w:val="FootnoteReference"/>
          <w:rFonts w:ascii="Times New Roman" w:hAnsi="Times New Roman"/>
          <w:sz w:val="24"/>
          <w:szCs w:val="24"/>
        </w:rPr>
        <w:footnoteReference w:id="32"/>
      </w:r>
    </w:p>
    <w:p w:rsidR="00702C66" w:rsidRPr="00271D1A"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F48CB" w:rsidRPr="00271D1A">
        <w:rPr>
          <w:rFonts w:ascii="Times New Roman" w:hAnsi="Times New Roman"/>
          <w:sz w:val="24"/>
          <w:szCs w:val="24"/>
        </w:rPr>
        <w:t xml:space="preserve">Finally, PSE </w:t>
      </w:r>
      <w:r w:rsidR="004465F4" w:rsidRPr="00271D1A">
        <w:rPr>
          <w:rFonts w:ascii="Times New Roman" w:hAnsi="Times New Roman"/>
          <w:sz w:val="24"/>
          <w:szCs w:val="24"/>
        </w:rPr>
        <w:t>disput</w:t>
      </w:r>
      <w:r w:rsidR="001719E6" w:rsidRPr="00271D1A">
        <w:rPr>
          <w:rFonts w:ascii="Times New Roman" w:hAnsi="Times New Roman"/>
          <w:sz w:val="24"/>
          <w:szCs w:val="24"/>
        </w:rPr>
        <w:t>es Mr. Elgin’s concl</w:t>
      </w:r>
      <w:r w:rsidR="000B5B3F">
        <w:rPr>
          <w:rFonts w:ascii="Times New Roman" w:hAnsi="Times New Roman"/>
          <w:sz w:val="24"/>
          <w:szCs w:val="24"/>
        </w:rPr>
        <w:t>usion that a</w:t>
      </w:r>
      <w:r w:rsidR="004465F4" w:rsidRPr="00271D1A">
        <w:rPr>
          <w:rFonts w:ascii="Times New Roman" w:hAnsi="Times New Roman"/>
          <w:sz w:val="24"/>
          <w:szCs w:val="24"/>
        </w:rPr>
        <w:t xml:space="preserve"> 46 percent equity rati</w:t>
      </w:r>
      <w:r w:rsidR="000F48CB" w:rsidRPr="00271D1A">
        <w:rPr>
          <w:rFonts w:ascii="Times New Roman" w:hAnsi="Times New Roman"/>
          <w:sz w:val="24"/>
          <w:szCs w:val="24"/>
        </w:rPr>
        <w:t>o is consistent with PSE</w:t>
      </w:r>
      <w:r w:rsidR="004465F4" w:rsidRPr="00271D1A">
        <w:rPr>
          <w:rFonts w:ascii="Times New Roman" w:hAnsi="Times New Roman"/>
          <w:sz w:val="24"/>
          <w:szCs w:val="24"/>
        </w:rPr>
        <w:t>’s financial forecasts.</w:t>
      </w:r>
      <w:r w:rsidR="004465F4">
        <w:rPr>
          <w:rStyle w:val="FootnoteReference"/>
          <w:rFonts w:ascii="Times New Roman" w:hAnsi="Times New Roman"/>
          <w:sz w:val="24"/>
          <w:szCs w:val="24"/>
        </w:rPr>
        <w:footnoteReference w:id="33"/>
      </w:r>
      <w:r w:rsidR="004465F4" w:rsidRPr="00271D1A">
        <w:rPr>
          <w:rFonts w:ascii="Times New Roman" w:hAnsi="Times New Roman"/>
          <w:sz w:val="24"/>
          <w:szCs w:val="24"/>
        </w:rPr>
        <w:t xml:space="preserve">  </w:t>
      </w:r>
      <w:r w:rsidR="001719E6" w:rsidRPr="00271D1A">
        <w:rPr>
          <w:rFonts w:ascii="Times New Roman" w:hAnsi="Times New Roman"/>
          <w:sz w:val="24"/>
          <w:szCs w:val="24"/>
        </w:rPr>
        <w:t xml:space="preserve">In fact, </w:t>
      </w:r>
      <w:r w:rsidR="000F48CB" w:rsidRPr="00271D1A">
        <w:rPr>
          <w:rFonts w:ascii="Times New Roman" w:hAnsi="Times New Roman"/>
          <w:sz w:val="24"/>
          <w:szCs w:val="24"/>
        </w:rPr>
        <w:t xml:space="preserve">the </w:t>
      </w:r>
      <w:r w:rsidR="004465F4" w:rsidRPr="00271D1A">
        <w:rPr>
          <w:rFonts w:ascii="Times New Roman" w:hAnsi="Times New Roman"/>
          <w:sz w:val="24"/>
          <w:szCs w:val="24"/>
        </w:rPr>
        <w:t>most re</w:t>
      </w:r>
      <w:r w:rsidR="009F7922">
        <w:rPr>
          <w:rFonts w:ascii="Times New Roman" w:hAnsi="Times New Roman"/>
          <w:sz w:val="24"/>
          <w:szCs w:val="24"/>
        </w:rPr>
        <w:t>cent forecast undermines the Company’s own case</w:t>
      </w:r>
      <w:r w:rsidR="004465F4" w:rsidRPr="00271D1A">
        <w:rPr>
          <w:rFonts w:ascii="Times New Roman" w:hAnsi="Times New Roman"/>
          <w:sz w:val="24"/>
          <w:szCs w:val="24"/>
        </w:rPr>
        <w:t xml:space="preserve">.  It shows PSE is not expected to have </w:t>
      </w:r>
      <w:r w:rsidR="007164B9" w:rsidRPr="00271D1A">
        <w:rPr>
          <w:rFonts w:ascii="Times New Roman" w:hAnsi="Times New Roman"/>
          <w:sz w:val="24"/>
          <w:szCs w:val="24"/>
        </w:rPr>
        <w:t xml:space="preserve">sufficient </w:t>
      </w:r>
      <w:r w:rsidR="008154AF" w:rsidRPr="00271D1A">
        <w:rPr>
          <w:rFonts w:ascii="Times New Roman" w:hAnsi="Times New Roman"/>
          <w:sz w:val="24"/>
          <w:szCs w:val="24"/>
        </w:rPr>
        <w:t xml:space="preserve">equity to </w:t>
      </w:r>
      <w:r w:rsidR="009F7922">
        <w:rPr>
          <w:rFonts w:ascii="Times New Roman" w:hAnsi="Times New Roman"/>
          <w:sz w:val="24"/>
          <w:szCs w:val="24"/>
        </w:rPr>
        <w:t>support the Company’s capital structure proposal until 2016</w:t>
      </w:r>
      <w:r w:rsidR="004465F4" w:rsidRPr="00271D1A">
        <w:rPr>
          <w:rFonts w:ascii="Times New Roman" w:hAnsi="Times New Roman"/>
          <w:sz w:val="24"/>
          <w:szCs w:val="24"/>
        </w:rPr>
        <w:t>.</w:t>
      </w:r>
      <w:r w:rsidR="004465F4">
        <w:rPr>
          <w:rStyle w:val="FootnoteReference"/>
          <w:rFonts w:ascii="Times New Roman" w:hAnsi="Times New Roman"/>
          <w:sz w:val="24"/>
          <w:szCs w:val="24"/>
        </w:rPr>
        <w:footnoteReference w:id="34"/>
      </w:r>
    </w:p>
    <w:p w:rsidR="003E13C5" w:rsidRPr="00271D1A" w:rsidRDefault="00271D1A" w:rsidP="00271D1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3E13C5" w:rsidRPr="00271D1A">
        <w:rPr>
          <w:rFonts w:ascii="Times New Roman" w:hAnsi="Times New Roman"/>
          <w:sz w:val="24"/>
          <w:szCs w:val="24"/>
        </w:rPr>
        <w:t>In short, Mr. E</w:t>
      </w:r>
      <w:r w:rsidR="000B5B3F">
        <w:rPr>
          <w:rFonts w:ascii="Times New Roman" w:hAnsi="Times New Roman"/>
          <w:sz w:val="24"/>
          <w:szCs w:val="24"/>
        </w:rPr>
        <w:t xml:space="preserve">lgin’s </w:t>
      </w:r>
      <w:r w:rsidR="003E13C5" w:rsidRPr="00271D1A">
        <w:rPr>
          <w:rFonts w:ascii="Times New Roman" w:hAnsi="Times New Roman"/>
          <w:sz w:val="24"/>
          <w:szCs w:val="24"/>
        </w:rPr>
        <w:t xml:space="preserve">46 percent equity ratio </w:t>
      </w:r>
      <w:r w:rsidR="004C6301">
        <w:rPr>
          <w:rFonts w:ascii="Times New Roman" w:hAnsi="Times New Roman"/>
          <w:sz w:val="24"/>
          <w:szCs w:val="24"/>
        </w:rPr>
        <w:t xml:space="preserve">is supported fully by the record and it </w:t>
      </w:r>
      <w:r w:rsidR="003E13C5" w:rsidRPr="00271D1A">
        <w:rPr>
          <w:rFonts w:ascii="Times New Roman" w:hAnsi="Times New Roman"/>
          <w:sz w:val="24"/>
          <w:szCs w:val="24"/>
        </w:rPr>
        <w:t>meets the Commissio</w:t>
      </w:r>
      <w:r w:rsidR="000B5B3F">
        <w:rPr>
          <w:rFonts w:ascii="Times New Roman" w:hAnsi="Times New Roman"/>
          <w:sz w:val="24"/>
          <w:szCs w:val="24"/>
        </w:rPr>
        <w:t>n’s</w:t>
      </w:r>
      <w:r w:rsidR="00DC702B" w:rsidRPr="00271D1A">
        <w:rPr>
          <w:rFonts w:ascii="Times New Roman" w:hAnsi="Times New Roman"/>
          <w:sz w:val="24"/>
          <w:szCs w:val="24"/>
        </w:rPr>
        <w:t xml:space="preserve"> policy to </w:t>
      </w:r>
      <w:r w:rsidR="003E13C5" w:rsidRPr="00271D1A">
        <w:rPr>
          <w:rFonts w:ascii="Times New Roman" w:hAnsi="Times New Roman"/>
          <w:sz w:val="24"/>
          <w:szCs w:val="24"/>
        </w:rPr>
        <w:t>balance safety (the preservation of investment quality credit ratings and access to capital) against economy (the lowest overall cost to attract and main</w:t>
      </w:r>
      <w:r w:rsidR="000B5B3F">
        <w:rPr>
          <w:rFonts w:ascii="Times New Roman" w:hAnsi="Times New Roman"/>
          <w:sz w:val="24"/>
          <w:szCs w:val="24"/>
        </w:rPr>
        <w:t>tain capital).  PSE</w:t>
      </w:r>
      <w:r w:rsidR="003E13C5" w:rsidRPr="00271D1A">
        <w:rPr>
          <w:rFonts w:ascii="Times New Roman" w:hAnsi="Times New Roman"/>
          <w:sz w:val="24"/>
          <w:szCs w:val="24"/>
        </w:rPr>
        <w:t>’s proposal for a 48 percent equity ratio falls woefully short</w:t>
      </w:r>
      <w:r w:rsidR="004C6301">
        <w:rPr>
          <w:rFonts w:ascii="Times New Roman" w:hAnsi="Times New Roman"/>
          <w:sz w:val="24"/>
          <w:szCs w:val="24"/>
        </w:rPr>
        <w:t xml:space="preserve"> on both counts</w:t>
      </w:r>
      <w:r w:rsidR="003E13C5" w:rsidRPr="00271D1A">
        <w:rPr>
          <w:rFonts w:ascii="Times New Roman" w:hAnsi="Times New Roman"/>
          <w:sz w:val="24"/>
          <w:szCs w:val="24"/>
        </w:rPr>
        <w:t>.</w:t>
      </w:r>
    </w:p>
    <w:p w:rsidR="008E0D31" w:rsidRPr="00B74815" w:rsidRDefault="00A27DB7" w:rsidP="00271D1A">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B</w:t>
      </w:r>
      <w:r w:rsidR="008E0D31" w:rsidRPr="00B74815">
        <w:rPr>
          <w:rFonts w:ascii="Times New Roman" w:hAnsi="Times New Roman" w:cs="Times New Roman"/>
          <w:b/>
          <w:sz w:val="24"/>
          <w:szCs w:val="24"/>
        </w:rPr>
        <w:t xml:space="preserve">. </w:t>
      </w:r>
      <w:r w:rsidR="008E0D31" w:rsidRPr="00B74815">
        <w:rPr>
          <w:rFonts w:ascii="Times New Roman" w:hAnsi="Times New Roman" w:cs="Times New Roman"/>
          <w:b/>
          <w:sz w:val="24"/>
          <w:szCs w:val="24"/>
        </w:rPr>
        <w:tab/>
        <w:t>Cost of Common Equity</w:t>
      </w:r>
    </w:p>
    <w:p w:rsidR="00F83E49" w:rsidRPr="00271D1A" w:rsidRDefault="00271D1A" w:rsidP="00271D1A">
      <w:pPr>
        <w:pStyle w:val="ListParagraph"/>
        <w:numPr>
          <w:ilvl w:val="0"/>
          <w:numId w:val="1"/>
        </w:numPr>
        <w:spacing w:line="480" w:lineRule="auto"/>
        <w:rPr>
          <w:rFonts w:ascii="Times New Roman" w:hAnsi="Times New Roman"/>
          <w:bCs/>
          <w:sz w:val="24"/>
          <w:szCs w:val="24"/>
        </w:rPr>
      </w:pPr>
      <w:r>
        <w:rPr>
          <w:rFonts w:ascii="Times New Roman" w:hAnsi="Times New Roman"/>
          <w:bCs/>
          <w:sz w:val="24"/>
          <w:szCs w:val="24"/>
        </w:rPr>
        <w:tab/>
      </w:r>
      <w:r w:rsidR="009F20F6" w:rsidRPr="00271D1A">
        <w:rPr>
          <w:rFonts w:ascii="Times New Roman" w:hAnsi="Times New Roman"/>
          <w:bCs/>
          <w:sz w:val="24"/>
          <w:szCs w:val="24"/>
        </w:rPr>
        <w:t xml:space="preserve">In </w:t>
      </w:r>
      <w:r w:rsidR="00315E3C" w:rsidRPr="00271D1A">
        <w:rPr>
          <w:rFonts w:ascii="Times New Roman" w:hAnsi="Times New Roman"/>
          <w:bCs/>
          <w:sz w:val="24"/>
          <w:szCs w:val="24"/>
        </w:rPr>
        <w:t>PSE</w:t>
      </w:r>
      <w:r w:rsidR="00F83E49" w:rsidRPr="00271D1A">
        <w:rPr>
          <w:rFonts w:ascii="Times New Roman" w:hAnsi="Times New Roman"/>
          <w:bCs/>
          <w:sz w:val="24"/>
          <w:szCs w:val="24"/>
        </w:rPr>
        <w:t xml:space="preserve">’s </w:t>
      </w:r>
      <w:r w:rsidR="003A3DE9">
        <w:rPr>
          <w:rFonts w:ascii="Times New Roman" w:hAnsi="Times New Roman"/>
          <w:bCs/>
          <w:sz w:val="24"/>
          <w:szCs w:val="24"/>
        </w:rPr>
        <w:t xml:space="preserve">most recent </w:t>
      </w:r>
      <w:r w:rsidR="009F20F6" w:rsidRPr="00271D1A">
        <w:rPr>
          <w:rFonts w:ascii="Times New Roman" w:hAnsi="Times New Roman"/>
          <w:bCs/>
          <w:sz w:val="24"/>
          <w:szCs w:val="24"/>
        </w:rPr>
        <w:t xml:space="preserve">rate case </w:t>
      </w:r>
      <w:r w:rsidR="00910B99" w:rsidRPr="00271D1A">
        <w:rPr>
          <w:rFonts w:ascii="Times New Roman" w:hAnsi="Times New Roman"/>
          <w:bCs/>
          <w:sz w:val="24"/>
          <w:szCs w:val="24"/>
        </w:rPr>
        <w:t>t</w:t>
      </w:r>
      <w:r w:rsidR="009F20F6" w:rsidRPr="00271D1A">
        <w:rPr>
          <w:rFonts w:ascii="Times New Roman" w:hAnsi="Times New Roman"/>
          <w:bCs/>
          <w:sz w:val="24"/>
          <w:szCs w:val="24"/>
        </w:rPr>
        <w:t xml:space="preserve">he Commission determined that </w:t>
      </w:r>
      <w:r w:rsidR="00910B99" w:rsidRPr="00271D1A">
        <w:rPr>
          <w:rFonts w:ascii="Times New Roman" w:hAnsi="Times New Roman"/>
          <w:bCs/>
          <w:sz w:val="24"/>
          <w:szCs w:val="24"/>
        </w:rPr>
        <w:t xml:space="preserve">a </w:t>
      </w:r>
      <w:r w:rsidR="009F20F6" w:rsidRPr="00271D1A">
        <w:rPr>
          <w:rFonts w:ascii="Times New Roman" w:hAnsi="Times New Roman"/>
          <w:bCs/>
          <w:sz w:val="24"/>
          <w:szCs w:val="24"/>
        </w:rPr>
        <w:t>fair rate of return on equity was</w:t>
      </w:r>
      <w:r w:rsidR="00F83E49" w:rsidRPr="00271D1A">
        <w:rPr>
          <w:rFonts w:ascii="Times New Roman" w:hAnsi="Times New Roman"/>
          <w:bCs/>
          <w:sz w:val="24"/>
          <w:szCs w:val="24"/>
        </w:rPr>
        <w:t xml:space="preserve"> 10.1 percent.</w:t>
      </w:r>
      <w:r w:rsidR="00F83E49">
        <w:rPr>
          <w:rStyle w:val="FootnoteReference"/>
          <w:rFonts w:ascii="Times New Roman" w:hAnsi="Times New Roman"/>
          <w:bCs/>
          <w:sz w:val="24"/>
          <w:szCs w:val="24"/>
        </w:rPr>
        <w:footnoteReference w:id="35"/>
      </w:r>
      <w:r w:rsidR="008E78A5" w:rsidRPr="00271D1A">
        <w:rPr>
          <w:rFonts w:ascii="Times New Roman" w:hAnsi="Times New Roman"/>
          <w:bCs/>
          <w:sz w:val="24"/>
          <w:szCs w:val="24"/>
        </w:rPr>
        <w:t xml:space="preserve">  </w:t>
      </w:r>
      <w:r w:rsidR="00E95BEE" w:rsidRPr="00271D1A">
        <w:rPr>
          <w:rFonts w:ascii="Times New Roman" w:hAnsi="Times New Roman"/>
          <w:bCs/>
          <w:sz w:val="24"/>
          <w:szCs w:val="24"/>
        </w:rPr>
        <w:t xml:space="preserve">PSE </w:t>
      </w:r>
      <w:r w:rsidR="009F20F6" w:rsidRPr="00271D1A">
        <w:rPr>
          <w:rFonts w:ascii="Times New Roman" w:hAnsi="Times New Roman"/>
          <w:bCs/>
          <w:sz w:val="24"/>
          <w:szCs w:val="24"/>
        </w:rPr>
        <w:t xml:space="preserve">now </w:t>
      </w:r>
      <w:r w:rsidR="003A3DE9">
        <w:rPr>
          <w:rFonts w:ascii="Times New Roman" w:hAnsi="Times New Roman"/>
          <w:bCs/>
          <w:sz w:val="24"/>
          <w:szCs w:val="24"/>
        </w:rPr>
        <w:t xml:space="preserve">seeks an increase </w:t>
      </w:r>
      <w:r w:rsidR="00F83E49" w:rsidRPr="00271D1A">
        <w:rPr>
          <w:rFonts w:ascii="Times New Roman" w:hAnsi="Times New Roman"/>
          <w:bCs/>
          <w:sz w:val="24"/>
          <w:szCs w:val="24"/>
        </w:rPr>
        <w:t>to 10.75 percent</w:t>
      </w:r>
      <w:r w:rsidR="00D17843" w:rsidRPr="00271D1A">
        <w:rPr>
          <w:rFonts w:ascii="Times New Roman" w:hAnsi="Times New Roman"/>
          <w:bCs/>
          <w:sz w:val="24"/>
          <w:szCs w:val="24"/>
        </w:rPr>
        <w:t xml:space="preserve"> based on Dr. Olson’s cost of equity </w:t>
      </w:r>
      <w:r w:rsidR="000C1A6C" w:rsidRPr="00271D1A">
        <w:rPr>
          <w:rFonts w:ascii="Times New Roman" w:hAnsi="Times New Roman"/>
          <w:bCs/>
          <w:sz w:val="24"/>
          <w:szCs w:val="24"/>
        </w:rPr>
        <w:t xml:space="preserve">in the </w:t>
      </w:r>
      <w:r w:rsidR="00D17843" w:rsidRPr="00271D1A">
        <w:rPr>
          <w:rFonts w:ascii="Times New Roman" w:hAnsi="Times New Roman"/>
          <w:bCs/>
          <w:sz w:val="24"/>
          <w:szCs w:val="24"/>
        </w:rPr>
        <w:t>range of 11</w:t>
      </w:r>
      <w:r w:rsidR="00E95BEE" w:rsidRPr="00271D1A">
        <w:rPr>
          <w:rFonts w:ascii="Times New Roman" w:hAnsi="Times New Roman"/>
          <w:bCs/>
          <w:sz w:val="24"/>
          <w:szCs w:val="24"/>
        </w:rPr>
        <w:t xml:space="preserve"> </w:t>
      </w:r>
      <w:r w:rsidR="001B211A">
        <w:rPr>
          <w:rFonts w:ascii="Times New Roman" w:hAnsi="Times New Roman"/>
          <w:bCs/>
          <w:sz w:val="24"/>
          <w:szCs w:val="24"/>
        </w:rPr>
        <w:t xml:space="preserve">percent </w:t>
      </w:r>
      <w:r w:rsidR="00E95BEE" w:rsidRPr="00271D1A">
        <w:rPr>
          <w:rFonts w:ascii="Times New Roman" w:hAnsi="Times New Roman"/>
          <w:bCs/>
          <w:sz w:val="24"/>
          <w:szCs w:val="24"/>
        </w:rPr>
        <w:t xml:space="preserve">to </w:t>
      </w:r>
      <w:r w:rsidR="008E78A5" w:rsidRPr="00271D1A">
        <w:rPr>
          <w:rFonts w:ascii="Times New Roman" w:hAnsi="Times New Roman"/>
          <w:bCs/>
          <w:sz w:val="24"/>
          <w:szCs w:val="24"/>
        </w:rPr>
        <w:t xml:space="preserve">13 percent.  </w:t>
      </w:r>
      <w:r w:rsidR="00315E3C" w:rsidRPr="00271D1A">
        <w:rPr>
          <w:rFonts w:ascii="Times New Roman" w:hAnsi="Times New Roman"/>
          <w:bCs/>
          <w:sz w:val="24"/>
          <w:szCs w:val="24"/>
        </w:rPr>
        <w:t>Mr. Elgin</w:t>
      </w:r>
      <w:r w:rsidR="00BA4168" w:rsidRPr="00271D1A">
        <w:rPr>
          <w:rFonts w:ascii="Times New Roman" w:hAnsi="Times New Roman"/>
          <w:bCs/>
          <w:sz w:val="24"/>
          <w:szCs w:val="24"/>
        </w:rPr>
        <w:t xml:space="preserve"> recommends an </w:t>
      </w:r>
      <w:r w:rsidR="00D17843" w:rsidRPr="00271D1A">
        <w:rPr>
          <w:rFonts w:ascii="Times New Roman" w:hAnsi="Times New Roman"/>
          <w:bCs/>
          <w:sz w:val="24"/>
          <w:szCs w:val="24"/>
        </w:rPr>
        <w:t xml:space="preserve">equity </w:t>
      </w:r>
      <w:r w:rsidR="00BA4168" w:rsidRPr="00271D1A">
        <w:rPr>
          <w:rFonts w:ascii="Times New Roman" w:hAnsi="Times New Roman"/>
          <w:bCs/>
          <w:sz w:val="24"/>
          <w:szCs w:val="24"/>
        </w:rPr>
        <w:t xml:space="preserve">return </w:t>
      </w:r>
      <w:r w:rsidR="003A3DE9">
        <w:rPr>
          <w:rFonts w:ascii="Times New Roman" w:hAnsi="Times New Roman"/>
          <w:bCs/>
          <w:sz w:val="24"/>
          <w:szCs w:val="24"/>
        </w:rPr>
        <w:t xml:space="preserve">of 9.5 percent, </w:t>
      </w:r>
      <w:r w:rsidR="00315E3C" w:rsidRPr="00271D1A">
        <w:rPr>
          <w:rFonts w:ascii="Times New Roman" w:hAnsi="Times New Roman"/>
          <w:bCs/>
          <w:sz w:val="24"/>
          <w:szCs w:val="24"/>
        </w:rPr>
        <w:t xml:space="preserve">the high end of his </w:t>
      </w:r>
      <w:r w:rsidR="00E95BEE" w:rsidRPr="00271D1A">
        <w:rPr>
          <w:rFonts w:ascii="Times New Roman" w:hAnsi="Times New Roman"/>
          <w:bCs/>
          <w:sz w:val="24"/>
          <w:szCs w:val="24"/>
        </w:rPr>
        <w:t xml:space="preserve">range of 9 </w:t>
      </w:r>
      <w:r w:rsidR="001B211A">
        <w:rPr>
          <w:rFonts w:ascii="Times New Roman" w:hAnsi="Times New Roman"/>
          <w:bCs/>
          <w:sz w:val="24"/>
          <w:szCs w:val="24"/>
        </w:rPr>
        <w:t xml:space="preserve">percent </w:t>
      </w:r>
      <w:r w:rsidR="00E95BEE" w:rsidRPr="00271D1A">
        <w:rPr>
          <w:rFonts w:ascii="Times New Roman" w:hAnsi="Times New Roman"/>
          <w:bCs/>
          <w:sz w:val="24"/>
          <w:szCs w:val="24"/>
        </w:rPr>
        <w:t xml:space="preserve">to </w:t>
      </w:r>
      <w:r w:rsidR="00D17843" w:rsidRPr="00271D1A">
        <w:rPr>
          <w:rFonts w:ascii="Times New Roman" w:hAnsi="Times New Roman"/>
          <w:bCs/>
          <w:sz w:val="24"/>
          <w:szCs w:val="24"/>
        </w:rPr>
        <w:t>9.5 percent.</w:t>
      </w:r>
    </w:p>
    <w:p w:rsidR="00D17843" w:rsidRDefault="00271D1A" w:rsidP="00271D1A">
      <w:pPr>
        <w:pStyle w:val="ListParagraph"/>
        <w:numPr>
          <w:ilvl w:val="0"/>
          <w:numId w:val="1"/>
        </w:numPr>
        <w:spacing w:line="480" w:lineRule="auto"/>
        <w:rPr>
          <w:rFonts w:ascii="Times New Roman" w:hAnsi="Times New Roman"/>
          <w:bCs/>
          <w:sz w:val="24"/>
          <w:szCs w:val="24"/>
        </w:rPr>
      </w:pPr>
      <w:r>
        <w:rPr>
          <w:rFonts w:ascii="Times New Roman" w:hAnsi="Times New Roman"/>
          <w:bCs/>
          <w:sz w:val="24"/>
          <w:szCs w:val="24"/>
        </w:rPr>
        <w:lastRenderedPageBreak/>
        <w:tab/>
      </w:r>
      <w:r w:rsidR="00D17843">
        <w:rPr>
          <w:rFonts w:ascii="Times New Roman" w:hAnsi="Times New Roman"/>
          <w:bCs/>
          <w:sz w:val="24"/>
          <w:szCs w:val="24"/>
        </w:rPr>
        <w:t>Mr. Elgin</w:t>
      </w:r>
      <w:r w:rsidR="00910B99">
        <w:rPr>
          <w:rFonts w:ascii="Times New Roman" w:hAnsi="Times New Roman"/>
          <w:bCs/>
          <w:sz w:val="24"/>
          <w:szCs w:val="24"/>
        </w:rPr>
        <w:t xml:space="preserve">’s recommendation </w:t>
      </w:r>
      <w:r w:rsidR="00D31356">
        <w:rPr>
          <w:rFonts w:ascii="Times New Roman" w:hAnsi="Times New Roman"/>
          <w:bCs/>
          <w:sz w:val="24"/>
          <w:szCs w:val="24"/>
        </w:rPr>
        <w:t xml:space="preserve">is supported by </w:t>
      </w:r>
      <w:r w:rsidR="00D17843">
        <w:rPr>
          <w:rFonts w:ascii="Times New Roman" w:hAnsi="Times New Roman"/>
          <w:bCs/>
          <w:sz w:val="24"/>
          <w:szCs w:val="24"/>
        </w:rPr>
        <w:t>changes in the capital markets th</w:t>
      </w:r>
      <w:r w:rsidR="00D31356">
        <w:rPr>
          <w:rFonts w:ascii="Times New Roman" w:hAnsi="Times New Roman"/>
          <w:bCs/>
          <w:sz w:val="24"/>
          <w:szCs w:val="24"/>
        </w:rPr>
        <w:t xml:space="preserve">at have lowered the </w:t>
      </w:r>
      <w:r w:rsidR="00D17843">
        <w:rPr>
          <w:rFonts w:ascii="Times New Roman" w:hAnsi="Times New Roman"/>
          <w:bCs/>
          <w:sz w:val="24"/>
          <w:szCs w:val="24"/>
        </w:rPr>
        <w:t>cost of c</w:t>
      </w:r>
      <w:r w:rsidR="003A3DE9">
        <w:rPr>
          <w:rFonts w:ascii="Times New Roman" w:hAnsi="Times New Roman"/>
          <w:bCs/>
          <w:sz w:val="24"/>
          <w:szCs w:val="24"/>
        </w:rPr>
        <w:t>apital</w:t>
      </w:r>
      <w:r w:rsidR="00D17843">
        <w:rPr>
          <w:rFonts w:ascii="Times New Roman" w:hAnsi="Times New Roman"/>
          <w:bCs/>
          <w:sz w:val="24"/>
          <w:szCs w:val="24"/>
        </w:rPr>
        <w:t>.</w:t>
      </w:r>
      <w:r w:rsidR="00D17843">
        <w:rPr>
          <w:rStyle w:val="FootnoteReference"/>
          <w:rFonts w:ascii="Times New Roman" w:hAnsi="Times New Roman"/>
          <w:bCs/>
          <w:sz w:val="24"/>
          <w:szCs w:val="24"/>
        </w:rPr>
        <w:footnoteReference w:id="36"/>
      </w:r>
      <w:r w:rsidR="00D17843">
        <w:rPr>
          <w:rFonts w:ascii="Times New Roman" w:hAnsi="Times New Roman"/>
          <w:bCs/>
          <w:sz w:val="24"/>
          <w:szCs w:val="24"/>
        </w:rPr>
        <w:t xml:space="preserve">  A decrease in the authorized return of equity is also supported by the </w:t>
      </w:r>
      <w:r w:rsidR="009F20F6">
        <w:rPr>
          <w:rFonts w:ascii="Times New Roman" w:hAnsi="Times New Roman"/>
          <w:bCs/>
          <w:sz w:val="24"/>
          <w:szCs w:val="24"/>
        </w:rPr>
        <w:t>comprehensive analytical methods Mr. Elgin</w:t>
      </w:r>
      <w:r w:rsidR="00BA4168">
        <w:rPr>
          <w:rFonts w:ascii="Times New Roman" w:hAnsi="Times New Roman"/>
          <w:bCs/>
          <w:sz w:val="24"/>
          <w:szCs w:val="24"/>
        </w:rPr>
        <w:t xml:space="preserve"> </w:t>
      </w:r>
      <w:r w:rsidR="00D31356">
        <w:rPr>
          <w:rFonts w:ascii="Times New Roman" w:hAnsi="Times New Roman"/>
          <w:bCs/>
          <w:sz w:val="24"/>
          <w:szCs w:val="24"/>
        </w:rPr>
        <w:t>presented</w:t>
      </w:r>
      <w:r w:rsidR="00D17843">
        <w:rPr>
          <w:rFonts w:ascii="Times New Roman" w:hAnsi="Times New Roman"/>
          <w:bCs/>
          <w:sz w:val="24"/>
          <w:szCs w:val="24"/>
        </w:rPr>
        <w:t xml:space="preserve">. </w:t>
      </w:r>
    </w:p>
    <w:p w:rsidR="000C099A" w:rsidRPr="00753F66" w:rsidRDefault="000C099A" w:rsidP="00753F66">
      <w:pPr>
        <w:keepNext/>
        <w:spacing w:after="0"/>
        <w:ind w:left="1440" w:hanging="720"/>
        <w:rPr>
          <w:rFonts w:ascii="Times New Roman" w:hAnsi="Times New Roman"/>
          <w:b/>
          <w:bCs/>
          <w:sz w:val="24"/>
          <w:szCs w:val="24"/>
        </w:rPr>
      </w:pPr>
      <w:r w:rsidRPr="00753F66">
        <w:rPr>
          <w:rFonts w:ascii="Times New Roman" w:hAnsi="Times New Roman"/>
          <w:b/>
          <w:bCs/>
          <w:sz w:val="24"/>
          <w:szCs w:val="24"/>
        </w:rPr>
        <w:t>1.</w:t>
      </w:r>
      <w:r w:rsidRPr="00753F66">
        <w:rPr>
          <w:rFonts w:ascii="Times New Roman" w:hAnsi="Times New Roman"/>
          <w:b/>
          <w:bCs/>
          <w:sz w:val="24"/>
          <w:szCs w:val="24"/>
        </w:rPr>
        <w:tab/>
        <w:t>Changes in Capital Markets Support Staff’s Recommendation to Reduce the Company’s Cost of Equity</w:t>
      </w:r>
    </w:p>
    <w:p w:rsidR="000C099A" w:rsidRDefault="000C099A" w:rsidP="00753F66">
      <w:pPr>
        <w:pStyle w:val="ListParagraph"/>
        <w:keepNext/>
        <w:ind w:left="1440" w:hanging="720"/>
        <w:rPr>
          <w:rFonts w:ascii="Times New Roman" w:hAnsi="Times New Roman"/>
          <w:b/>
          <w:bCs/>
          <w:sz w:val="24"/>
          <w:szCs w:val="24"/>
        </w:rPr>
      </w:pPr>
    </w:p>
    <w:p w:rsidR="00844CF0" w:rsidRDefault="00271D1A" w:rsidP="00271D1A">
      <w:pPr>
        <w:pStyle w:val="TestimonyAnswer"/>
        <w:numPr>
          <w:ilvl w:val="0"/>
          <w:numId w:val="1"/>
        </w:numPr>
        <w:tabs>
          <w:tab w:val="left" w:pos="1440"/>
        </w:tabs>
        <w:spacing w:after="0" w:line="480" w:lineRule="auto"/>
        <w:jc w:val="left"/>
      </w:pPr>
      <w:r>
        <w:tab/>
      </w:r>
      <w:r w:rsidR="000C099A" w:rsidRPr="000C099A">
        <w:t>In the most recent case where cost of equity was contested, the Commission determined that 9.80</w:t>
      </w:r>
      <w:r w:rsidR="000C099A">
        <w:t xml:space="preserve"> percent was a fair return on equity</w:t>
      </w:r>
      <w:r w:rsidR="000C099A" w:rsidRPr="000C099A">
        <w:t>.</w:t>
      </w:r>
      <w:r w:rsidR="000C099A">
        <w:rPr>
          <w:rStyle w:val="FootnoteReference"/>
        </w:rPr>
        <w:footnoteReference w:id="37"/>
      </w:r>
      <w:r w:rsidR="00315E3C">
        <w:t xml:space="preserve">  Since then</w:t>
      </w:r>
      <w:r w:rsidR="000C099A" w:rsidRPr="000C099A">
        <w:t>, the market</w:t>
      </w:r>
      <w:r w:rsidR="003A3DE9">
        <w:t xml:space="preserve"> has</w:t>
      </w:r>
      <w:r w:rsidR="000C099A" w:rsidRPr="000C099A">
        <w:t xml:space="preserve"> assimilated the fact that the Federal Reserve will continue to keep short-term interest rates near zero</w:t>
      </w:r>
      <w:r w:rsidR="00315E3C">
        <w:t>.</w:t>
      </w:r>
      <w:r w:rsidR="00844CF0">
        <w:rPr>
          <w:rStyle w:val="FootnoteReference"/>
        </w:rPr>
        <w:footnoteReference w:id="38"/>
      </w:r>
      <w:r w:rsidR="000C099A" w:rsidRPr="000C099A">
        <w:t xml:space="preserve">  The market also has discounted the p</w:t>
      </w:r>
      <w:r w:rsidR="00BA4168">
        <w:t xml:space="preserve">rospect of inflation.  </w:t>
      </w:r>
      <w:r w:rsidR="00844CF0">
        <w:t xml:space="preserve">PSE has </w:t>
      </w:r>
      <w:r w:rsidR="000C099A" w:rsidRPr="000C099A">
        <w:t xml:space="preserve">sold </w:t>
      </w:r>
      <w:r w:rsidR="00844CF0">
        <w:t xml:space="preserve">long-term debt </w:t>
      </w:r>
      <w:r w:rsidR="00910B99">
        <w:t xml:space="preserve">well </w:t>
      </w:r>
      <w:r w:rsidR="003A3DE9">
        <w:t xml:space="preserve">below 5.0 percent.  </w:t>
      </w:r>
      <w:r w:rsidR="00844CF0" w:rsidRPr="00844CF0">
        <w:rPr>
          <w:i/>
        </w:rPr>
        <w:t>Value Line</w:t>
      </w:r>
      <w:r w:rsidR="00844CF0">
        <w:t xml:space="preserve"> report</w:t>
      </w:r>
      <w:r w:rsidR="00910B99">
        <w:t>s</w:t>
      </w:r>
      <w:r w:rsidR="00844CF0">
        <w:t xml:space="preserve"> that the electric indus</w:t>
      </w:r>
      <w:r w:rsidR="003A3DE9">
        <w:t xml:space="preserve">try </w:t>
      </w:r>
      <w:r w:rsidR="00315E3C">
        <w:t xml:space="preserve">has outperformed </w:t>
      </w:r>
      <w:r w:rsidR="00844CF0">
        <w:t>broader marke</w:t>
      </w:r>
      <w:r w:rsidR="003A3DE9">
        <w:t xml:space="preserve">t averages during recent </w:t>
      </w:r>
      <w:r w:rsidR="001B211A">
        <w:t xml:space="preserve">market </w:t>
      </w:r>
      <w:r w:rsidR="00844CF0">
        <w:t>volatility.</w:t>
      </w:r>
      <w:r w:rsidR="00844CF0">
        <w:rPr>
          <w:rStyle w:val="FootnoteReference"/>
        </w:rPr>
        <w:footnoteReference w:id="39"/>
      </w:r>
      <w:r w:rsidR="00844CF0">
        <w:t xml:space="preserve">  </w:t>
      </w:r>
    </w:p>
    <w:p w:rsidR="00D17843" w:rsidRPr="008E1E8A" w:rsidRDefault="008E1E8A" w:rsidP="008E1E8A">
      <w:pPr>
        <w:pStyle w:val="ListParagraph"/>
        <w:numPr>
          <w:ilvl w:val="0"/>
          <w:numId w:val="1"/>
        </w:numPr>
        <w:tabs>
          <w:tab w:val="left" w:pos="720"/>
          <w:tab w:val="left" w:pos="1440"/>
          <w:tab w:val="left" w:pos="9240"/>
        </w:tabs>
        <w:spacing w:line="480" w:lineRule="auto"/>
        <w:rPr>
          <w:rFonts w:ascii="Times New Roman" w:hAnsi="Times New Roman"/>
          <w:sz w:val="24"/>
          <w:szCs w:val="24"/>
        </w:rPr>
      </w:pPr>
      <w:r>
        <w:rPr>
          <w:rFonts w:ascii="Times New Roman" w:hAnsi="Times New Roman"/>
          <w:sz w:val="24"/>
          <w:szCs w:val="24"/>
        </w:rPr>
        <w:tab/>
      </w:r>
      <w:r w:rsidR="003A3DE9">
        <w:rPr>
          <w:rFonts w:ascii="Times New Roman" w:hAnsi="Times New Roman"/>
          <w:sz w:val="24"/>
          <w:szCs w:val="24"/>
        </w:rPr>
        <w:t xml:space="preserve">All of this is strong </w:t>
      </w:r>
      <w:r w:rsidR="00844CF0" w:rsidRPr="008E1E8A">
        <w:rPr>
          <w:rFonts w:ascii="Times New Roman" w:hAnsi="Times New Roman"/>
          <w:sz w:val="24"/>
          <w:szCs w:val="24"/>
        </w:rPr>
        <w:t xml:space="preserve">evidence of continued downward pressure on the cost of </w:t>
      </w:r>
      <w:r w:rsidR="00762032" w:rsidRPr="008E1E8A">
        <w:rPr>
          <w:rFonts w:ascii="Times New Roman" w:hAnsi="Times New Roman"/>
          <w:sz w:val="24"/>
          <w:szCs w:val="24"/>
        </w:rPr>
        <w:t>e</w:t>
      </w:r>
      <w:r w:rsidR="00844CF0" w:rsidRPr="008E1E8A">
        <w:rPr>
          <w:rFonts w:ascii="Times New Roman" w:hAnsi="Times New Roman"/>
          <w:sz w:val="24"/>
          <w:szCs w:val="24"/>
        </w:rPr>
        <w:t>quity capital.</w:t>
      </w:r>
      <w:r w:rsidR="00844CF0">
        <w:t xml:space="preserve">  </w:t>
      </w:r>
      <w:r w:rsidR="00844CF0" w:rsidRPr="008E1E8A">
        <w:rPr>
          <w:rFonts w:ascii="Times New Roman" w:hAnsi="Times New Roman"/>
          <w:sz w:val="24"/>
          <w:szCs w:val="24"/>
        </w:rPr>
        <w:t xml:space="preserve">Thus, the Commission would be </w:t>
      </w:r>
      <w:r w:rsidR="000C099A" w:rsidRPr="008E1E8A">
        <w:rPr>
          <w:rFonts w:ascii="Times New Roman" w:hAnsi="Times New Roman"/>
          <w:sz w:val="24"/>
          <w:szCs w:val="24"/>
        </w:rPr>
        <w:t>well within a “zo</w:t>
      </w:r>
      <w:r w:rsidR="00DB78E2" w:rsidRPr="008E1E8A">
        <w:rPr>
          <w:rFonts w:ascii="Times New Roman" w:hAnsi="Times New Roman"/>
          <w:sz w:val="24"/>
          <w:szCs w:val="24"/>
        </w:rPr>
        <w:t>ne of reasonableness”</w:t>
      </w:r>
      <w:r w:rsidR="000C099A" w:rsidRPr="008E1E8A">
        <w:rPr>
          <w:rFonts w:ascii="Times New Roman" w:hAnsi="Times New Roman"/>
          <w:sz w:val="24"/>
          <w:szCs w:val="24"/>
        </w:rPr>
        <w:t xml:space="preserve"> to provide PSE an opportunity to earn</w:t>
      </w:r>
      <w:r w:rsidR="00844CF0" w:rsidRPr="008E1E8A">
        <w:rPr>
          <w:rFonts w:ascii="Times New Roman" w:hAnsi="Times New Roman"/>
          <w:sz w:val="24"/>
          <w:szCs w:val="24"/>
        </w:rPr>
        <w:t xml:space="preserve"> in the low end of Mr. Elgin’s range</w:t>
      </w:r>
      <w:r w:rsidR="000C099A" w:rsidRPr="008E1E8A">
        <w:rPr>
          <w:rFonts w:ascii="Times New Roman" w:hAnsi="Times New Roman"/>
          <w:sz w:val="24"/>
          <w:szCs w:val="24"/>
        </w:rPr>
        <w:t>.</w:t>
      </w:r>
      <w:r w:rsidR="00090B92">
        <w:rPr>
          <w:rStyle w:val="FootnoteReference"/>
          <w:rFonts w:ascii="Times New Roman" w:hAnsi="Times New Roman"/>
          <w:sz w:val="24"/>
          <w:szCs w:val="24"/>
        </w:rPr>
        <w:footnoteReference w:id="40"/>
      </w:r>
      <w:r w:rsidR="000C099A" w:rsidRPr="008E1E8A">
        <w:rPr>
          <w:rFonts w:ascii="Times New Roman" w:hAnsi="Times New Roman"/>
          <w:sz w:val="24"/>
          <w:szCs w:val="24"/>
        </w:rPr>
        <w:t xml:space="preserve">  Anything above </w:t>
      </w:r>
      <w:r w:rsidR="00762032" w:rsidRPr="008E1E8A">
        <w:rPr>
          <w:rFonts w:ascii="Times New Roman" w:hAnsi="Times New Roman"/>
          <w:sz w:val="24"/>
          <w:szCs w:val="24"/>
        </w:rPr>
        <w:t xml:space="preserve">his </w:t>
      </w:r>
      <w:r w:rsidR="00DB78E2" w:rsidRPr="008E1E8A">
        <w:rPr>
          <w:rFonts w:ascii="Times New Roman" w:hAnsi="Times New Roman"/>
          <w:sz w:val="24"/>
          <w:szCs w:val="24"/>
        </w:rPr>
        <w:t>9.5</w:t>
      </w:r>
      <w:r w:rsidR="000C099A" w:rsidRPr="008E1E8A">
        <w:rPr>
          <w:rFonts w:ascii="Times New Roman" w:hAnsi="Times New Roman"/>
          <w:sz w:val="24"/>
          <w:szCs w:val="24"/>
        </w:rPr>
        <w:t xml:space="preserve"> perce</w:t>
      </w:r>
      <w:r w:rsidR="00762032" w:rsidRPr="008E1E8A">
        <w:rPr>
          <w:rFonts w:ascii="Times New Roman" w:hAnsi="Times New Roman"/>
          <w:sz w:val="24"/>
          <w:szCs w:val="24"/>
        </w:rPr>
        <w:t>nt</w:t>
      </w:r>
      <w:r w:rsidR="000C099A" w:rsidRPr="008E1E8A">
        <w:rPr>
          <w:rFonts w:ascii="Times New Roman" w:hAnsi="Times New Roman"/>
          <w:sz w:val="24"/>
          <w:szCs w:val="24"/>
        </w:rPr>
        <w:t xml:space="preserve"> provides excessive compensation to PSE’s owners</w:t>
      </w:r>
      <w:r w:rsidR="00844CF0" w:rsidRPr="008E1E8A">
        <w:rPr>
          <w:rFonts w:ascii="Times New Roman" w:hAnsi="Times New Roman"/>
          <w:sz w:val="24"/>
          <w:szCs w:val="24"/>
        </w:rPr>
        <w:t>, in violation of the requirement that ratepayer and investor interests must be balanced equally.</w:t>
      </w:r>
      <w:r w:rsidR="00762032">
        <w:rPr>
          <w:rStyle w:val="FootnoteReference"/>
          <w:rFonts w:ascii="Times New Roman" w:hAnsi="Times New Roman"/>
          <w:sz w:val="24"/>
          <w:szCs w:val="24"/>
        </w:rPr>
        <w:footnoteReference w:id="41"/>
      </w:r>
    </w:p>
    <w:p w:rsidR="00762032" w:rsidRPr="00753F66" w:rsidRDefault="00762032" w:rsidP="007C06F6">
      <w:pPr>
        <w:keepNext/>
        <w:spacing w:after="0" w:line="480" w:lineRule="auto"/>
        <w:ind w:left="1440" w:hanging="720"/>
        <w:rPr>
          <w:rFonts w:ascii="Times New Roman" w:hAnsi="Times New Roman"/>
          <w:b/>
          <w:bCs/>
          <w:sz w:val="24"/>
          <w:szCs w:val="24"/>
        </w:rPr>
      </w:pPr>
      <w:r w:rsidRPr="00753F66">
        <w:rPr>
          <w:rFonts w:ascii="Times New Roman" w:hAnsi="Times New Roman"/>
          <w:b/>
          <w:sz w:val="24"/>
          <w:szCs w:val="24"/>
        </w:rPr>
        <w:t>2.</w:t>
      </w:r>
      <w:r w:rsidRPr="00753F66">
        <w:rPr>
          <w:rFonts w:ascii="Times New Roman" w:hAnsi="Times New Roman"/>
          <w:b/>
          <w:sz w:val="24"/>
          <w:szCs w:val="24"/>
        </w:rPr>
        <w:tab/>
      </w:r>
      <w:r w:rsidR="003A3DE9">
        <w:rPr>
          <w:rFonts w:ascii="Times New Roman" w:hAnsi="Times New Roman"/>
          <w:b/>
          <w:sz w:val="24"/>
          <w:szCs w:val="24"/>
        </w:rPr>
        <w:t xml:space="preserve">Mr. Elgin’s </w:t>
      </w:r>
      <w:r w:rsidRPr="00753F66">
        <w:rPr>
          <w:rFonts w:ascii="Times New Roman" w:hAnsi="Times New Roman"/>
          <w:b/>
          <w:bCs/>
          <w:sz w:val="24"/>
          <w:szCs w:val="24"/>
        </w:rPr>
        <w:t>Analy</w:t>
      </w:r>
      <w:r w:rsidR="00DB78E2" w:rsidRPr="00753F66">
        <w:rPr>
          <w:rFonts w:ascii="Times New Roman" w:hAnsi="Times New Roman"/>
          <w:b/>
          <w:bCs/>
          <w:sz w:val="24"/>
          <w:szCs w:val="24"/>
        </w:rPr>
        <w:t xml:space="preserve">tical Methods </w:t>
      </w:r>
      <w:r w:rsidR="003A3DE9">
        <w:rPr>
          <w:rFonts w:ascii="Times New Roman" w:hAnsi="Times New Roman"/>
          <w:b/>
          <w:bCs/>
          <w:sz w:val="24"/>
          <w:szCs w:val="24"/>
        </w:rPr>
        <w:t>Support</w:t>
      </w:r>
      <w:r w:rsidRPr="00753F66">
        <w:rPr>
          <w:rFonts w:ascii="Times New Roman" w:hAnsi="Times New Roman"/>
          <w:b/>
          <w:bCs/>
          <w:sz w:val="24"/>
          <w:szCs w:val="24"/>
        </w:rPr>
        <w:t xml:space="preserve"> a Reduction in </w:t>
      </w:r>
      <w:r w:rsidR="003A3DE9">
        <w:rPr>
          <w:rFonts w:ascii="Times New Roman" w:hAnsi="Times New Roman"/>
          <w:b/>
          <w:bCs/>
          <w:sz w:val="24"/>
          <w:szCs w:val="24"/>
        </w:rPr>
        <w:t>PSE</w:t>
      </w:r>
      <w:r w:rsidRPr="00753F66">
        <w:rPr>
          <w:rFonts w:ascii="Times New Roman" w:hAnsi="Times New Roman"/>
          <w:b/>
          <w:bCs/>
          <w:sz w:val="24"/>
          <w:szCs w:val="24"/>
        </w:rPr>
        <w:t xml:space="preserve">’s </w:t>
      </w:r>
      <w:r w:rsidR="003A3DE9">
        <w:rPr>
          <w:rFonts w:ascii="Times New Roman" w:hAnsi="Times New Roman"/>
          <w:b/>
          <w:bCs/>
          <w:sz w:val="24"/>
          <w:szCs w:val="24"/>
        </w:rPr>
        <w:t xml:space="preserve">Equity Return </w:t>
      </w:r>
    </w:p>
    <w:p w:rsidR="00BA4168" w:rsidRPr="008E1E8A" w:rsidRDefault="008E1E8A" w:rsidP="006F6249">
      <w:pPr>
        <w:pStyle w:val="ListParagraph"/>
        <w:widowControl w:val="0"/>
        <w:numPr>
          <w:ilvl w:val="0"/>
          <w:numId w:val="1"/>
        </w:numPr>
        <w:spacing w:line="480" w:lineRule="auto"/>
        <w:rPr>
          <w:rFonts w:ascii="Times New Roman" w:hAnsi="Times New Roman"/>
          <w:sz w:val="24"/>
          <w:szCs w:val="24"/>
        </w:rPr>
      </w:pPr>
      <w:r>
        <w:rPr>
          <w:rFonts w:ascii="Times New Roman" w:hAnsi="Times New Roman"/>
          <w:sz w:val="24"/>
          <w:szCs w:val="24"/>
        </w:rPr>
        <w:tab/>
      </w:r>
      <w:r w:rsidR="006755D9" w:rsidRPr="008E1E8A">
        <w:rPr>
          <w:rFonts w:ascii="Times New Roman" w:hAnsi="Times New Roman"/>
          <w:sz w:val="24"/>
          <w:szCs w:val="24"/>
        </w:rPr>
        <w:t>It is evident t</w:t>
      </w:r>
      <w:r w:rsidR="009B21BB">
        <w:rPr>
          <w:rFonts w:ascii="Times New Roman" w:hAnsi="Times New Roman"/>
          <w:sz w:val="24"/>
          <w:szCs w:val="24"/>
        </w:rPr>
        <w:t xml:space="preserve">hat the 9.5 percent return on equity </w:t>
      </w:r>
      <w:r w:rsidR="006755D9" w:rsidRPr="008E1E8A">
        <w:rPr>
          <w:rFonts w:ascii="Times New Roman" w:hAnsi="Times New Roman"/>
          <w:sz w:val="24"/>
          <w:szCs w:val="24"/>
        </w:rPr>
        <w:t xml:space="preserve">proposed by Mr. Elgin properly reflects the current cost of equity for PSE.  First, Mr. Elgin places primary reliance on the Discounted </w:t>
      </w:r>
      <w:r w:rsidR="006755D9" w:rsidRPr="008E1E8A">
        <w:rPr>
          <w:rFonts w:ascii="Times New Roman" w:hAnsi="Times New Roman"/>
          <w:sz w:val="24"/>
          <w:szCs w:val="24"/>
        </w:rPr>
        <w:lastRenderedPageBreak/>
        <w:t>Cash Flow (“DCF”) model, which reflects Commission historical preference.</w:t>
      </w:r>
      <w:r w:rsidR="006755D9">
        <w:rPr>
          <w:rStyle w:val="FootnoteReference"/>
          <w:rFonts w:ascii="Times New Roman" w:hAnsi="Times New Roman"/>
          <w:sz w:val="24"/>
          <w:szCs w:val="24"/>
        </w:rPr>
        <w:footnoteReference w:id="42"/>
      </w:r>
      <w:r w:rsidR="006755D9" w:rsidRPr="008E1E8A">
        <w:rPr>
          <w:rFonts w:ascii="Times New Roman" w:hAnsi="Times New Roman"/>
          <w:sz w:val="24"/>
          <w:szCs w:val="24"/>
        </w:rPr>
        <w:t xml:space="preserve">  </w:t>
      </w:r>
    </w:p>
    <w:p w:rsidR="001F33E8" w:rsidRPr="008E1E8A" w:rsidRDefault="008E1E8A" w:rsidP="008E1E8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BE3E24" w:rsidRPr="008E1E8A">
        <w:rPr>
          <w:rFonts w:ascii="Times New Roman" w:hAnsi="Times New Roman"/>
          <w:sz w:val="24"/>
          <w:szCs w:val="24"/>
        </w:rPr>
        <w:t xml:space="preserve">Mr. Elgin’s DCF analysis employed the constant growth DCF model, which combines the current dividend yield for a </w:t>
      </w:r>
      <w:r w:rsidR="001F33E8" w:rsidRPr="008E1E8A">
        <w:rPr>
          <w:rFonts w:ascii="Times New Roman" w:hAnsi="Times New Roman"/>
          <w:sz w:val="24"/>
          <w:szCs w:val="24"/>
        </w:rPr>
        <w:t xml:space="preserve">group of proxy utilities </w:t>
      </w:r>
      <w:r w:rsidR="00BE3E24" w:rsidRPr="008E1E8A">
        <w:rPr>
          <w:rFonts w:ascii="Times New Roman" w:hAnsi="Times New Roman"/>
          <w:sz w:val="24"/>
          <w:szCs w:val="24"/>
        </w:rPr>
        <w:t xml:space="preserve">with several indicators of expected dividend growth.  </w:t>
      </w:r>
      <w:r w:rsidR="000D1EBF" w:rsidRPr="008E1E8A">
        <w:rPr>
          <w:rFonts w:ascii="Times New Roman" w:hAnsi="Times New Roman"/>
          <w:sz w:val="24"/>
          <w:szCs w:val="24"/>
        </w:rPr>
        <w:t xml:space="preserve">His </w:t>
      </w:r>
      <w:r w:rsidR="001F33E8" w:rsidRPr="008E1E8A">
        <w:rPr>
          <w:rFonts w:ascii="Times New Roman" w:hAnsi="Times New Roman"/>
          <w:sz w:val="24"/>
          <w:szCs w:val="24"/>
        </w:rPr>
        <w:t xml:space="preserve">group of proxy companies began with the same utilities selected by Dr. Olson, but </w:t>
      </w:r>
      <w:r w:rsidR="000D1EBF" w:rsidRPr="008E1E8A">
        <w:rPr>
          <w:rFonts w:ascii="Times New Roman" w:hAnsi="Times New Roman"/>
          <w:sz w:val="24"/>
          <w:szCs w:val="24"/>
        </w:rPr>
        <w:t xml:space="preserve">then removed companies with </w:t>
      </w:r>
      <w:r w:rsidR="001F33E8" w:rsidRPr="008E1E8A">
        <w:rPr>
          <w:rFonts w:ascii="Times New Roman" w:hAnsi="Times New Roman"/>
          <w:sz w:val="24"/>
          <w:szCs w:val="24"/>
        </w:rPr>
        <w:t xml:space="preserve">excessive </w:t>
      </w:r>
      <w:r w:rsidR="009F20F6" w:rsidRPr="008E1E8A">
        <w:rPr>
          <w:rFonts w:ascii="Times New Roman" w:hAnsi="Times New Roman"/>
          <w:sz w:val="24"/>
          <w:szCs w:val="24"/>
        </w:rPr>
        <w:t>financial</w:t>
      </w:r>
      <w:r w:rsidR="001F33E8" w:rsidRPr="008E1E8A">
        <w:rPr>
          <w:rFonts w:ascii="Times New Roman" w:hAnsi="Times New Roman"/>
          <w:sz w:val="24"/>
          <w:szCs w:val="24"/>
        </w:rPr>
        <w:t xml:space="preserve"> risk (NV Energy), excessive revenues from unr</w:t>
      </w:r>
      <w:r w:rsidR="00D31356">
        <w:rPr>
          <w:rFonts w:ascii="Times New Roman" w:hAnsi="Times New Roman"/>
          <w:sz w:val="24"/>
          <w:szCs w:val="24"/>
        </w:rPr>
        <w:t>egulated operation (OGE), or is</w:t>
      </w:r>
      <w:r w:rsidR="001F33E8" w:rsidRPr="008E1E8A">
        <w:rPr>
          <w:rFonts w:ascii="Times New Roman" w:hAnsi="Times New Roman"/>
          <w:sz w:val="24"/>
          <w:szCs w:val="24"/>
        </w:rPr>
        <w:t xml:space="preserve"> regulated on the basis of fair value (Pinnacle West).</w:t>
      </w:r>
      <w:r w:rsidR="001F33E8">
        <w:rPr>
          <w:rStyle w:val="FootnoteReference"/>
          <w:rFonts w:ascii="Times New Roman" w:hAnsi="Times New Roman"/>
          <w:sz w:val="24"/>
          <w:szCs w:val="24"/>
        </w:rPr>
        <w:footnoteReference w:id="43"/>
      </w:r>
      <w:r w:rsidR="008154AF" w:rsidRPr="008154AF">
        <w:t xml:space="preserve"> </w:t>
      </w:r>
      <w:r w:rsidR="008154AF">
        <w:t xml:space="preserve"> </w:t>
      </w:r>
      <w:r w:rsidR="008154AF" w:rsidRPr="008E1E8A">
        <w:rPr>
          <w:rFonts w:ascii="Times New Roman" w:hAnsi="Times New Roman"/>
          <w:sz w:val="24"/>
          <w:szCs w:val="24"/>
        </w:rPr>
        <w:t>Mr. Elgin added Avist</w:t>
      </w:r>
      <w:r w:rsidR="00D31356">
        <w:rPr>
          <w:rFonts w:ascii="Times New Roman" w:hAnsi="Times New Roman"/>
          <w:sz w:val="24"/>
          <w:szCs w:val="24"/>
        </w:rPr>
        <w:t xml:space="preserve">a Corporation </w:t>
      </w:r>
      <w:r w:rsidR="00910B99" w:rsidRPr="008E1E8A">
        <w:rPr>
          <w:rFonts w:ascii="Times New Roman" w:hAnsi="Times New Roman"/>
          <w:sz w:val="24"/>
          <w:szCs w:val="24"/>
        </w:rPr>
        <w:t xml:space="preserve">because it is </w:t>
      </w:r>
      <w:r w:rsidR="008154AF" w:rsidRPr="008E1E8A">
        <w:rPr>
          <w:rFonts w:ascii="Times New Roman" w:hAnsi="Times New Roman"/>
          <w:sz w:val="24"/>
          <w:szCs w:val="24"/>
        </w:rPr>
        <w:t>a combination utility similarly situated to PSE with respect to business risk and jurisdictional oversight, and Portland General Electric Company because it faces similar regional issues as PSE.</w:t>
      </w:r>
      <w:r w:rsidR="008154AF">
        <w:rPr>
          <w:rStyle w:val="FootnoteReference"/>
          <w:rFonts w:ascii="Times New Roman" w:hAnsi="Times New Roman"/>
          <w:sz w:val="24"/>
          <w:szCs w:val="24"/>
        </w:rPr>
        <w:footnoteReference w:id="44"/>
      </w:r>
      <w:r w:rsidR="008154AF" w:rsidRPr="008E1E8A">
        <w:rPr>
          <w:rFonts w:ascii="Times New Roman" w:hAnsi="Times New Roman"/>
          <w:sz w:val="24"/>
          <w:szCs w:val="24"/>
        </w:rPr>
        <w:t xml:space="preserve">  </w:t>
      </w:r>
    </w:p>
    <w:p w:rsidR="00BA4168" w:rsidRPr="008E1E8A" w:rsidRDefault="008E1E8A" w:rsidP="008E1E8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BE3E24" w:rsidRPr="008E1E8A">
        <w:rPr>
          <w:rFonts w:ascii="Times New Roman" w:hAnsi="Times New Roman"/>
          <w:sz w:val="24"/>
          <w:szCs w:val="24"/>
        </w:rPr>
        <w:t>For the dividend yield component</w:t>
      </w:r>
      <w:r w:rsidR="003E7C3F" w:rsidRPr="008E1E8A">
        <w:rPr>
          <w:rFonts w:ascii="Times New Roman" w:hAnsi="Times New Roman"/>
          <w:sz w:val="24"/>
          <w:szCs w:val="24"/>
        </w:rPr>
        <w:t xml:space="preserve"> of his DCF</w:t>
      </w:r>
      <w:r w:rsidR="00BE3E24" w:rsidRPr="008E1E8A">
        <w:rPr>
          <w:rFonts w:ascii="Times New Roman" w:hAnsi="Times New Roman"/>
          <w:sz w:val="24"/>
          <w:szCs w:val="24"/>
        </w:rPr>
        <w:t>, Mr. Elgin evaluated the actual dividend paid by each proxy firm and used a range of “expected” prices to calculate</w:t>
      </w:r>
      <w:r w:rsidR="000D1EBF" w:rsidRPr="008E1E8A">
        <w:rPr>
          <w:rFonts w:ascii="Times New Roman" w:hAnsi="Times New Roman"/>
          <w:sz w:val="24"/>
          <w:szCs w:val="24"/>
        </w:rPr>
        <w:t xml:space="preserve"> a dividend yield for that </w:t>
      </w:r>
      <w:r w:rsidR="00BE3E24" w:rsidRPr="008E1E8A">
        <w:rPr>
          <w:rFonts w:ascii="Times New Roman" w:hAnsi="Times New Roman"/>
          <w:sz w:val="24"/>
          <w:szCs w:val="24"/>
        </w:rPr>
        <w:t>group.  This process accounted for t</w:t>
      </w:r>
      <w:r w:rsidR="000D1EBF" w:rsidRPr="008E1E8A">
        <w:rPr>
          <w:rFonts w:ascii="Times New Roman" w:hAnsi="Times New Roman"/>
          <w:sz w:val="24"/>
          <w:szCs w:val="24"/>
        </w:rPr>
        <w:t xml:space="preserve">he diversity of </w:t>
      </w:r>
      <w:r w:rsidR="00BE3E24" w:rsidRPr="008E1E8A">
        <w:rPr>
          <w:rFonts w:ascii="Times New Roman" w:hAnsi="Times New Roman"/>
          <w:sz w:val="24"/>
          <w:szCs w:val="24"/>
        </w:rPr>
        <w:t>investor</w:t>
      </w:r>
      <w:r w:rsidR="000D1EBF" w:rsidRPr="008E1E8A">
        <w:rPr>
          <w:rFonts w:ascii="Times New Roman" w:hAnsi="Times New Roman"/>
          <w:sz w:val="24"/>
          <w:szCs w:val="24"/>
        </w:rPr>
        <w:t xml:space="preserve"> expectations for </w:t>
      </w:r>
      <w:r w:rsidR="00DB78E2" w:rsidRPr="008E1E8A">
        <w:rPr>
          <w:rFonts w:ascii="Times New Roman" w:hAnsi="Times New Roman"/>
          <w:sz w:val="24"/>
          <w:szCs w:val="24"/>
        </w:rPr>
        <w:t>future</w:t>
      </w:r>
      <w:r w:rsidR="00BA4168" w:rsidRPr="008E1E8A">
        <w:rPr>
          <w:rFonts w:ascii="Times New Roman" w:hAnsi="Times New Roman"/>
          <w:sz w:val="24"/>
          <w:szCs w:val="24"/>
        </w:rPr>
        <w:t xml:space="preserve"> dividends over time</w:t>
      </w:r>
      <w:r w:rsidR="00BE3E24" w:rsidRPr="008E1E8A">
        <w:rPr>
          <w:rFonts w:ascii="Times New Roman" w:hAnsi="Times New Roman"/>
          <w:sz w:val="24"/>
          <w:szCs w:val="24"/>
        </w:rPr>
        <w:t xml:space="preserve">.  </w:t>
      </w:r>
      <w:r w:rsidR="000C1A6C" w:rsidRPr="008E1E8A">
        <w:rPr>
          <w:rFonts w:ascii="Times New Roman" w:hAnsi="Times New Roman"/>
          <w:sz w:val="24"/>
          <w:szCs w:val="24"/>
        </w:rPr>
        <w:t xml:space="preserve">Finally, he compared his dividend yield </w:t>
      </w:r>
      <w:r w:rsidR="000D1EBF" w:rsidRPr="008E1E8A">
        <w:rPr>
          <w:rFonts w:ascii="Times New Roman" w:hAnsi="Times New Roman"/>
          <w:sz w:val="24"/>
          <w:szCs w:val="24"/>
        </w:rPr>
        <w:t xml:space="preserve">for </w:t>
      </w:r>
      <w:r w:rsidR="000C1A6C" w:rsidRPr="008E1E8A">
        <w:rPr>
          <w:rFonts w:ascii="Times New Roman" w:hAnsi="Times New Roman"/>
          <w:sz w:val="24"/>
          <w:szCs w:val="24"/>
        </w:rPr>
        <w:t>PSE and his proxy group to dividend yield projections by</w:t>
      </w:r>
      <w:r w:rsidR="000D1EBF" w:rsidRPr="008E1E8A">
        <w:rPr>
          <w:rFonts w:ascii="Times New Roman" w:hAnsi="Times New Roman"/>
          <w:sz w:val="24"/>
          <w:szCs w:val="24"/>
        </w:rPr>
        <w:t xml:space="preserve"> </w:t>
      </w:r>
      <w:r w:rsidR="000C1A6C" w:rsidRPr="008E1E8A">
        <w:rPr>
          <w:rFonts w:ascii="Times New Roman" w:hAnsi="Times New Roman"/>
          <w:i/>
          <w:sz w:val="24"/>
          <w:szCs w:val="24"/>
        </w:rPr>
        <w:t>Value Line</w:t>
      </w:r>
      <w:r w:rsidR="000C1A6C" w:rsidRPr="008E1E8A">
        <w:rPr>
          <w:rFonts w:ascii="Times New Roman" w:hAnsi="Times New Roman"/>
          <w:sz w:val="24"/>
          <w:szCs w:val="24"/>
        </w:rPr>
        <w:t xml:space="preserve"> and </w:t>
      </w:r>
      <w:r w:rsidR="000C1A6C" w:rsidRPr="008E1E8A">
        <w:rPr>
          <w:rFonts w:ascii="Times New Roman" w:hAnsi="Times New Roman"/>
          <w:i/>
          <w:sz w:val="24"/>
          <w:szCs w:val="24"/>
        </w:rPr>
        <w:t>Morningstar</w:t>
      </w:r>
      <w:r w:rsidR="00BE3E24" w:rsidRPr="008E1E8A">
        <w:rPr>
          <w:rFonts w:ascii="Times New Roman" w:hAnsi="Times New Roman"/>
          <w:sz w:val="24"/>
          <w:szCs w:val="24"/>
        </w:rPr>
        <w:t>.</w:t>
      </w:r>
      <w:r w:rsidR="00BE3E24" w:rsidRPr="00BE3E24">
        <w:rPr>
          <w:rStyle w:val="FootnoteReference"/>
          <w:rFonts w:ascii="Times New Roman" w:hAnsi="Times New Roman"/>
          <w:sz w:val="24"/>
          <w:szCs w:val="24"/>
        </w:rPr>
        <w:footnoteReference w:id="45"/>
      </w:r>
      <w:r w:rsidR="00BE3E24" w:rsidRPr="008E1E8A">
        <w:rPr>
          <w:rFonts w:ascii="Times New Roman" w:hAnsi="Times New Roman"/>
          <w:sz w:val="24"/>
          <w:szCs w:val="24"/>
        </w:rPr>
        <w:t xml:space="preserve">  He concluded that a reasonab</w:t>
      </w:r>
      <w:r w:rsidR="000E3A49" w:rsidRPr="008E1E8A">
        <w:rPr>
          <w:rFonts w:ascii="Times New Roman" w:hAnsi="Times New Roman"/>
          <w:sz w:val="24"/>
          <w:szCs w:val="24"/>
        </w:rPr>
        <w:t xml:space="preserve">le dividend yield is </w:t>
      </w:r>
      <w:r w:rsidR="008A319F" w:rsidRPr="008E1E8A">
        <w:rPr>
          <w:rFonts w:ascii="Times New Roman" w:hAnsi="Times New Roman"/>
          <w:sz w:val="24"/>
          <w:szCs w:val="24"/>
        </w:rPr>
        <w:t xml:space="preserve">in the range of 4.25 percent to </w:t>
      </w:r>
      <w:r w:rsidR="000E3A49" w:rsidRPr="008E1E8A">
        <w:rPr>
          <w:rFonts w:ascii="Times New Roman" w:hAnsi="Times New Roman"/>
          <w:sz w:val="24"/>
          <w:szCs w:val="24"/>
        </w:rPr>
        <w:t>4.5 percent.</w:t>
      </w:r>
    </w:p>
    <w:p w:rsidR="000E3A49" w:rsidRPr="008E1E8A" w:rsidRDefault="008E1E8A" w:rsidP="008E1E8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D1EBF" w:rsidRPr="008E1E8A">
        <w:rPr>
          <w:rFonts w:ascii="Times New Roman" w:hAnsi="Times New Roman"/>
          <w:sz w:val="24"/>
          <w:szCs w:val="24"/>
        </w:rPr>
        <w:t xml:space="preserve">For the dividend growth component of his DCF, </w:t>
      </w:r>
      <w:r w:rsidR="000E3A49" w:rsidRPr="008E1E8A">
        <w:rPr>
          <w:rFonts w:ascii="Times New Roman" w:hAnsi="Times New Roman"/>
          <w:sz w:val="24"/>
          <w:szCs w:val="24"/>
        </w:rPr>
        <w:t>Mr. Elgin provided a comprehensive analysis of four financial indices of investor expectations</w:t>
      </w:r>
      <w:r w:rsidR="000D1EBF" w:rsidRPr="008E1E8A">
        <w:rPr>
          <w:rFonts w:ascii="Times New Roman" w:hAnsi="Times New Roman"/>
          <w:sz w:val="24"/>
          <w:szCs w:val="24"/>
        </w:rPr>
        <w:t>,</w:t>
      </w:r>
      <w:r w:rsidR="000E3A49" w:rsidRPr="008E1E8A">
        <w:rPr>
          <w:rFonts w:ascii="Times New Roman" w:hAnsi="Times New Roman"/>
          <w:sz w:val="24"/>
          <w:szCs w:val="24"/>
        </w:rPr>
        <w:t xml:space="preserve"> as projected by </w:t>
      </w:r>
      <w:r w:rsidR="000E3A49" w:rsidRPr="008E1E8A">
        <w:rPr>
          <w:rFonts w:ascii="Times New Roman" w:hAnsi="Times New Roman"/>
          <w:i/>
          <w:sz w:val="24"/>
          <w:szCs w:val="24"/>
        </w:rPr>
        <w:t>Value Line</w:t>
      </w:r>
      <w:r w:rsidR="000E3A49" w:rsidRPr="008E1E8A">
        <w:rPr>
          <w:rFonts w:ascii="Times New Roman" w:hAnsi="Times New Roman"/>
          <w:sz w:val="24"/>
          <w:szCs w:val="24"/>
        </w:rPr>
        <w:t xml:space="preserve"> for each proxy company:</w:t>
      </w:r>
      <w:r w:rsidR="00C85571" w:rsidRPr="008E1E8A">
        <w:rPr>
          <w:rFonts w:ascii="Times New Roman" w:hAnsi="Times New Roman"/>
          <w:sz w:val="24"/>
          <w:szCs w:val="24"/>
        </w:rPr>
        <w:t xml:space="preserve">  1</w:t>
      </w:r>
      <w:r w:rsidR="000E3A49" w:rsidRPr="008E1E8A">
        <w:rPr>
          <w:rFonts w:ascii="Times New Roman" w:hAnsi="Times New Roman"/>
          <w:sz w:val="24"/>
          <w:szCs w:val="24"/>
        </w:rPr>
        <w:t>) book value; 2)</w:t>
      </w:r>
      <w:r w:rsidR="00C85571" w:rsidRPr="008E1E8A">
        <w:rPr>
          <w:rFonts w:ascii="Times New Roman" w:hAnsi="Times New Roman"/>
          <w:sz w:val="24"/>
          <w:szCs w:val="24"/>
        </w:rPr>
        <w:t xml:space="preserve"> </w:t>
      </w:r>
      <w:r w:rsidR="000E3A49" w:rsidRPr="008E1E8A">
        <w:rPr>
          <w:rFonts w:ascii="Times New Roman" w:hAnsi="Times New Roman"/>
          <w:sz w:val="24"/>
          <w:szCs w:val="24"/>
        </w:rPr>
        <w:t>internal growth; 3) dividends per share; and 4) earnings per share.</w:t>
      </w:r>
      <w:r w:rsidR="008A319F" w:rsidRPr="00995918">
        <w:rPr>
          <w:rStyle w:val="FootnoteReference"/>
          <w:rFonts w:ascii="Times New Roman" w:hAnsi="Times New Roman"/>
          <w:sz w:val="24"/>
          <w:szCs w:val="24"/>
        </w:rPr>
        <w:footnoteReference w:id="46"/>
      </w:r>
      <w:r w:rsidR="000E3A49" w:rsidRPr="008E1E8A">
        <w:rPr>
          <w:rFonts w:ascii="Times New Roman" w:hAnsi="Times New Roman"/>
          <w:sz w:val="24"/>
          <w:szCs w:val="24"/>
        </w:rPr>
        <w:t xml:space="preserve"> </w:t>
      </w:r>
      <w:r w:rsidR="00D31356">
        <w:rPr>
          <w:rFonts w:ascii="Times New Roman" w:hAnsi="Times New Roman"/>
          <w:sz w:val="24"/>
          <w:szCs w:val="24"/>
        </w:rPr>
        <w:t xml:space="preserve"> </w:t>
      </w:r>
      <w:r w:rsidR="00995918" w:rsidRPr="008E1E8A">
        <w:rPr>
          <w:rFonts w:ascii="Times New Roman" w:hAnsi="Times New Roman"/>
          <w:sz w:val="24"/>
          <w:szCs w:val="24"/>
        </w:rPr>
        <w:t>H</w:t>
      </w:r>
      <w:r w:rsidR="008A319F" w:rsidRPr="008E1E8A">
        <w:rPr>
          <w:rFonts w:ascii="Times New Roman" w:hAnsi="Times New Roman"/>
          <w:sz w:val="24"/>
          <w:szCs w:val="24"/>
        </w:rPr>
        <w:t xml:space="preserve">e concluded from this </w:t>
      </w:r>
      <w:r w:rsidR="00C85571" w:rsidRPr="008E1E8A">
        <w:rPr>
          <w:rFonts w:ascii="Times New Roman" w:hAnsi="Times New Roman"/>
          <w:sz w:val="24"/>
          <w:szCs w:val="24"/>
        </w:rPr>
        <w:t xml:space="preserve">analysis </w:t>
      </w:r>
      <w:r w:rsidR="008A319F" w:rsidRPr="008E1E8A">
        <w:rPr>
          <w:rFonts w:ascii="Times New Roman" w:hAnsi="Times New Roman"/>
          <w:sz w:val="24"/>
          <w:szCs w:val="24"/>
        </w:rPr>
        <w:t xml:space="preserve">that investors can reasonably expect a long-term dividend growth of 4.5 percent to 5.0 percent.  </w:t>
      </w:r>
      <w:r w:rsidR="00C85571" w:rsidRPr="008E1E8A">
        <w:rPr>
          <w:rFonts w:ascii="Times New Roman" w:hAnsi="Times New Roman"/>
          <w:sz w:val="24"/>
          <w:szCs w:val="24"/>
        </w:rPr>
        <w:t>Combined with his estimate</w:t>
      </w:r>
      <w:r w:rsidR="008A319F" w:rsidRPr="008E1E8A">
        <w:rPr>
          <w:rFonts w:ascii="Times New Roman" w:hAnsi="Times New Roman"/>
          <w:sz w:val="24"/>
          <w:szCs w:val="24"/>
        </w:rPr>
        <w:t xml:space="preserve"> of dividend yield, he </w:t>
      </w:r>
      <w:r w:rsidR="008A319F" w:rsidRPr="008E1E8A">
        <w:rPr>
          <w:rFonts w:ascii="Times New Roman" w:hAnsi="Times New Roman"/>
          <w:sz w:val="24"/>
          <w:szCs w:val="24"/>
        </w:rPr>
        <w:lastRenderedPageBreak/>
        <w:t xml:space="preserve">concluded that </w:t>
      </w:r>
      <w:r w:rsidR="00C85571" w:rsidRPr="008E1E8A">
        <w:rPr>
          <w:rFonts w:ascii="Times New Roman" w:hAnsi="Times New Roman"/>
          <w:sz w:val="24"/>
          <w:szCs w:val="24"/>
        </w:rPr>
        <w:t>a reasonable range for the cost of e</w:t>
      </w:r>
      <w:r w:rsidR="00D31356">
        <w:rPr>
          <w:rFonts w:ascii="Times New Roman" w:hAnsi="Times New Roman"/>
          <w:sz w:val="24"/>
          <w:szCs w:val="24"/>
        </w:rPr>
        <w:t xml:space="preserve">quity for PSE is 9.0 </w:t>
      </w:r>
      <w:r w:rsidR="009B21BB">
        <w:rPr>
          <w:rFonts w:ascii="Times New Roman" w:hAnsi="Times New Roman"/>
          <w:sz w:val="24"/>
          <w:szCs w:val="24"/>
        </w:rPr>
        <w:t xml:space="preserve">percent </w:t>
      </w:r>
      <w:r w:rsidR="00C85571" w:rsidRPr="008E1E8A">
        <w:rPr>
          <w:rFonts w:ascii="Times New Roman" w:hAnsi="Times New Roman"/>
          <w:sz w:val="24"/>
          <w:szCs w:val="24"/>
        </w:rPr>
        <w:t>to 9.5 percent.  He recommended a return on equity of 9.5 percent for ratemaking purposes.</w:t>
      </w:r>
      <w:r w:rsidR="00C85571">
        <w:rPr>
          <w:rStyle w:val="FootnoteReference"/>
          <w:rFonts w:ascii="Times New Roman" w:hAnsi="Times New Roman"/>
          <w:sz w:val="24"/>
          <w:szCs w:val="24"/>
        </w:rPr>
        <w:footnoteReference w:id="47"/>
      </w:r>
      <w:r w:rsidR="00C85571" w:rsidRPr="008E1E8A">
        <w:rPr>
          <w:rFonts w:ascii="Times New Roman" w:hAnsi="Times New Roman"/>
          <w:sz w:val="24"/>
          <w:szCs w:val="24"/>
        </w:rPr>
        <w:t xml:space="preserve">  </w:t>
      </w:r>
    </w:p>
    <w:p w:rsidR="00C85571" w:rsidRPr="008E1E8A" w:rsidRDefault="008E1E8A" w:rsidP="008E1E8A">
      <w:pPr>
        <w:pStyle w:val="ListParagraph"/>
        <w:keepNext/>
        <w:numPr>
          <w:ilvl w:val="0"/>
          <w:numId w:val="1"/>
        </w:numPr>
        <w:tabs>
          <w:tab w:val="left" w:pos="720"/>
          <w:tab w:val="left" w:pos="1440"/>
          <w:tab w:val="left" w:pos="2160"/>
          <w:tab w:val="left" w:pos="9240"/>
        </w:tabs>
        <w:spacing w:line="480" w:lineRule="auto"/>
        <w:rPr>
          <w:rFonts w:ascii="Times New Roman" w:hAnsi="Times New Roman"/>
          <w:sz w:val="24"/>
          <w:szCs w:val="24"/>
        </w:rPr>
      </w:pPr>
      <w:r>
        <w:rPr>
          <w:rFonts w:ascii="Times New Roman" w:hAnsi="Times New Roman"/>
          <w:sz w:val="24"/>
          <w:szCs w:val="24"/>
        </w:rPr>
        <w:tab/>
      </w:r>
      <w:r w:rsidR="00C85571" w:rsidRPr="008E1E8A">
        <w:rPr>
          <w:rFonts w:ascii="Times New Roman" w:hAnsi="Times New Roman"/>
          <w:sz w:val="24"/>
          <w:szCs w:val="24"/>
        </w:rPr>
        <w:t>Mr. Elgin’s conclusion was corroborated by his Capital Asset P</w:t>
      </w:r>
      <w:r w:rsidR="003811EC" w:rsidRPr="008E1E8A">
        <w:rPr>
          <w:rFonts w:ascii="Times New Roman" w:hAnsi="Times New Roman"/>
          <w:sz w:val="24"/>
          <w:szCs w:val="24"/>
        </w:rPr>
        <w:t>ricing Mod</w:t>
      </w:r>
      <w:r w:rsidR="00995918" w:rsidRPr="008E1E8A">
        <w:rPr>
          <w:rFonts w:ascii="Times New Roman" w:hAnsi="Times New Roman"/>
          <w:sz w:val="24"/>
          <w:szCs w:val="24"/>
        </w:rPr>
        <w:t>el study, which supported a return on equity</w:t>
      </w:r>
      <w:r w:rsidR="003811EC" w:rsidRPr="008E1E8A">
        <w:rPr>
          <w:rFonts w:ascii="Times New Roman" w:hAnsi="Times New Roman"/>
          <w:sz w:val="24"/>
          <w:szCs w:val="24"/>
        </w:rPr>
        <w:t xml:space="preserve"> in the </w:t>
      </w:r>
      <w:r w:rsidR="00DB78E2" w:rsidRPr="008E1E8A">
        <w:rPr>
          <w:rFonts w:ascii="Times New Roman" w:hAnsi="Times New Roman"/>
          <w:sz w:val="24"/>
          <w:szCs w:val="24"/>
        </w:rPr>
        <w:t xml:space="preserve">low </w:t>
      </w:r>
      <w:r w:rsidR="003811EC" w:rsidRPr="008E1E8A">
        <w:rPr>
          <w:rFonts w:ascii="Times New Roman" w:hAnsi="Times New Roman"/>
          <w:sz w:val="24"/>
          <w:szCs w:val="24"/>
        </w:rPr>
        <w:t>end of his DCF range, although he cautioned that the study should be interpreted only to mean that the cost of capital will remain low.</w:t>
      </w:r>
      <w:r w:rsidR="003811EC">
        <w:rPr>
          <w:rStyle w:val="FootnoteReference"/>
          <w:rFonts w:ascii="Times New Roman" w:hAnsi="Times New Roman"/>
          <w:sz w:val="24"/>
          <w:szCs w:val="24"/>
        </w:rPr>
        <w:footnoteReference w:id="48"/>
      </w:r>
      <w:r w:rsidR="003811EC" w:rsidRPr="008E1E8A">
        <w:rPr>
          <w:rFonts w:ascii="Times New Roman" w:hAnsi="Times New Roman"/>
          <w:sz w:val="24"/>
          <w:szCs w:val="24"/>
        </w:rPr>
        <w:t xml:space="preserve">  His equity risk premium of 375-450 basis points over PSE’s long-term debt cost </w:t>
      </w:r>
      <w:r w:rsidR="00DB78E2" w:rsidRPr="008E1E8A">
        <w:rPr>
          <w:rFonts w:ascii="Times New Roman" w:hAnsi="Times New Roman"/>
          <w:sz w:val="24"/>
          <w:szCs w:val="24"/>
        </w:rPr>
        <w:t xml:space="preserve">also </w:t>
      </w:r>
      <w:r w:rsidR="003811EC" w:rsidRPr="008E1E8A">
        <w:rPr>
          <w:rFonts w:ascii="Times New Roman" w:hAnsi="Times New Roman"/>
          <w:sz w:val="24"/>
          <w:szCs w:val="24"/>
        </w:rPr>
        <w:t>shows that his DCF return on equity of 9.5 percent provides adequate compensation for PSE’s owners.</w:t>
      </w:r>
      <w:r w:rsidR="003811EC">
        <w:rPr>
          <w:rStyle w:val="FootnoteReference"/>
          <w:rFonts w:ascii="Times New Roman" w:hAnsi="Times New Roman"/>
          <w:sz w:val="24"/>
          <w:szCs w:val="24"/>
        </w:rPr>
        <w:footnoteReference w:id="49"/>
      </w:r>
    </w:p>
    <w:p w:rsidR="00315E3C" w:rsidRPr="008E1E8A" w:rsidRDefault="008E1E8A" w:rsidP="008E1E8A">
      <w:pPr>
        <w:pStyle w:val="ListParagraph"/>
        <w:numPr>
          <w:ilvl w:val="0"/>
          <w:numId w:val="1"/>
        </w:numPr>
        <w:tabs>
          <w:tab w:val="left" w:pos="720"/>
          <w:tab w:val="left" w:pos="1440"/>
          <w:tab w:val="left" w:pos="9240"/>
        </w:tabs>
        <w:spacing w:line="480" w:lineRule="auto"/>
        <w:rPr>
          <w:rFonts w:ascii="Times New Roman" w:hAnsi="Times New Roman"/>
          <w:sz w:val="24"/>
          <w:szCs w:val="24"/>
        </w:rPr>
      </w:pPr>
      <w:r>
        <w:rPr>
          <w:rFonts w:ascii="Times New Roman" w:hAnsi="Times New Roman"/>
          <w:sz w:val="24"/>
          <w:szCs w:val="24"/>
        </w:rPr>
        <w:tab/>
      </w:r>
      <w:r w:rsidR="003811EC" w:rsidRPr="008E1E8A">
        <w:rPr>
          <w:rFonts w:ascii="Times New Roman" w:hAnsi="Times New Roman"/>
          <w:sz w:val="24"/>
          <w:szCs w:val="24"/>
        </w:rPr>
        <w:t>It is clear that Mr. Elgin’s DCF conclusions are more appropriate tha</w:t>
      </w:r>
      <w:r w:rsidR="009B21BB">
        <w:rPr>
          <w:rFonts w:ascii="Times New Roman" w:hAnsi="Times New Roman"/>
          <w:sz w:val="24"/>
          <w:szCs w:val="24"/>
        </w:rPr>
        <w:t xml:space="preserve">n Dr. Olson’s DCF results of 11 percent to </w:t>
      </w:r>
      <w:r w:rsidR="003811EC" w:rsidRPr="008E1E8A">
        <w:rPr>
          <w:rFonts w:ascii="Times New Roman" w:hAnsi="Times New Roman"/>
          <w:sz w:val="24"/>
          <w:szCs w:val="24"/>
        </w:rPr>
        <w:t xml:space="preserve">13 percent.  This is largely because Mr. Elgin </w:t>
      </w:r>
      <w:r w:rsidR="00BA4168" w:rsidRPr="008E1E8A">
        <w:rPr>
          <w:rFonts w:ascii="Times New Roman" w:hAnsi="Times New Roman"/>
          <w:sz w:val="24"/>
          <w:szCs w:val="24"/>
        </w:rPr>
        <w:t>considered</w:t>
      </w:r>
      <w:r w:rsidR="003811EC" w:rsidRPr="008E1E8A">
        <w:rPr>
          <w:rFonts w:ascii="Times New Roman" w:hAnsi="Times New Roman"/>
          <w:sz w:val="24"/>
          <w:szCs w:val="24"/>
        </w:rPr>
        <w:t xml:space="preserve"> multiple measures of </w:t>
      </w:r>
      <w:r w:rsidR="000C1A6C" w:rsidRPr="008E1E8A">
        <w:rPr>
          <w:rFonts w:ascii="Times New Roman" w:hAnsi="Times New Roman"/>
          <w:sz w:val="24"/>
          <w:szCs w:val="24"/>
        </w:rPr>
        <w:t xml:space="preserve">dividend </w:t>
      </w:r>
      <w:r w:rsidR="003811EC" w:rsidRPr="008E1E8A">
        <w:rPr>
          <w:rFonts w:ascii="Times New Roman" w:hAnsi="Times New Roman"/>
          <w:sz w:val="24"/>
          <w:szCs w:val="24"/>
        </w:rPr>
        <w:t xml:space="preserve">growth whereas Dr. Olson uses only one:  analysts’ earnings </w:t>
      </w:r>
      <w:r w:rsidR="000C1A6C" w:rsidRPr="008E1E8A">
        <w:rPr>
          <w:rFonts w:ascii="Times New Roman" w:hAnsi="Times New Roman"/>
          <w:sz w:val="24"/>
          <w:szCs w:val="24"/>
        </w:rPr>
        <w:t>estimates</w:t>
      </w:r>
      <w:r w:rsidR="003811EC" w:rsidRPr="008E1E8A">
        <w:rPr>
          <w:rFonts w:ascii="Times New Roman" w:hAnsi="Times New Roman"/>
          <w:sz w:val="24"/>
          <w:szCs w:val="24"/>
        </w:rPr>
        <w:t>.</w:t>
      </w:r>
      <w:r w:rsidR="00315E3C">
        <w:rPr>
          <w:rStyle w:val="FootnoteReference"/>
          <w:rFonts w:ascii="Times New Roman" w:hAnsi="Times New Roman"/>
          <w:sz w:val="24"/>
          <w:szCs w:val="24"/>
        </w:rPr>
        <w:footnoteReference w:id="50"/>
      </w:r>
      <w:r w:rsidR="003811EC" w:rsidRPr="008E1E8A">
        <w:rPr>
          <w:rFonts w:ascii="Times New Roman" w:hAnsi="Times New Roman"/>
          <w:sz w:val="24"/>
          <w:szCs w:val="24"/>
        </w:rPr>
        <w:t xml:space="preserve">  As Mr. Elgin indicated, it is not pr</w:t>
      </w:r>
      <w:r w:rsidR="00315E3C" w:rsidRPr="008E1E8A">
        <w:rPr>
          <w:rFonts w:ascii="Times New Roman" w:hAnsi="Times New Roman"/>
          <w:sz w:val="24"/>
          <w:szCs w:val="24"/>
        </w:rPr>
        <w:t>oper to rely exclusively on analysts’ earnings estimates</w:t>
      </w:r>
      <w:r w:rsidR="003811EC" w:rsidRPr="008E1E8A">
        <w:rPr>
          <w:rFonts w:ascii="Times New Roman" w:hAnsi="Times New Roman"/>
          <w:sz w:val="24"/>
          <w:szCs w:val="24"/>
        </w:rPr>
        <w:t xml:space="preserve"> since investors routinely consider other information, such as that provided by </w:t>
      </w:r>
      <w:r w:rsidR="003811EC" w:rsidRPr="008E1E8A">
        <w:rPr>
          <w:rFonts w:ascii="Times New Roman" w:hAnsi="Times New Roman"/>
          <w:i/>
          <w:sz w:val="24"/>
          <w:szCs w:val="24"/>
        </w:rPr>
        <w:t>Value Line</w:t>
      </w:r>
      <w:r w:rsidR="003811EC" w:rsidRPr="008E1E8A">
        <w:rPr>
          <w:rFonts w:ascii="Times New Roman" w:hAnsi="Times New Roman"/>
          <w:sz w:val="24"/>
          <w:szCs w:val="24"/>
        </w:rPr>
        <w:t xml:space="preserve">, regarding </w:t>
      </w:r>
      <w:r w:rsidR="00315E3C" w:rsidRPr="008E1E8A">
        <w:rPr>
          <w:rFonts w:ascii="Times New Roman" w:hAnsi="Times New Roman"/>
          <w:sz w:val="24"/>
          <w:szCs w:val="24"/>
        </w:rPr>
        <w:t xml:space="preserve">the </w:t>
      </w:r>
      <w:r w:rsidR="003811EC" w:rsidRPr="008E1E8A">
        <w:rPr>
          <w:rFonts w:ascii="Times New Roman" w:hAnsi="Times New Roman"/>
          <w:sz w:val="24"/>
          <w:szCs w:val="24"/>
        </w:rPr>
        <w:t>alternative measures of growth</w:t>
      </w:r>
      <w:r w:rsidR="00BA4168" w:rsidRPr="008E1E8A">
        <w:rPr>
          <w:rFonts w:ascii="Times New Roman" w:hAnsi="Times New Roman"/>
          <w:sz w:val="24"/>
          <w:szCs w:val="24"/>
        </w:rPr>
        <w:t xml:space="preserve"> that Mr. Elgin studied</w:t>
      </w:r>
      <w:r w:rsidR="003811EC" w:rsidRPr="008E1E8A">
        <w:rPr>
          <w:rFonts w:ascii="Times New Roman" w:hAnsi="Times New Roman"/>
          <w:sz w:val="24"/>
          <w:szCs w:val="24"/>
        </w:rPr>
        <w:t>.</w:t>
      </w:r>
      <w:r w:rsidR="003811EC">
        <w:rPr>
          <w:rStyle w:val="FootnoteReference"/>
          <w:rFonts w:ascii="Times New Roman" w:hAnsi="Times New Roman"/>
          <w:sz w:val="24"/>
          <w:szCs w:val="24"/>
        </w:rPr>
        <w:footnoteReference w:id="51"/>
      </w:r>
      <w:r w:rsidR="00315E3C" w:rsidRPr="008E1E8A">
        <w:rPr>
          <w:rFonts w:ascii="Times New Roman" w:hAnsi="Times New Roman"/>
          <w:sz w:val="24"/>
          <w:szCs w:val="24"/>
        </w:rPr>
        <w:t xml:space="preserve">  Analysts’ earnings estimates are also typically short-term and change over time for many different reasons, such as unusual weather or other extraordinary events.</w:t>
      </w:r>
      <w:r w:rsidR="000C1A6C">
        <w:rPr>
          <w:rStyle w:val="FootnoteReference"/>
          <w:rFonts w:ascii="Times New Roman" w:hAnsi="Times New Roman"/>
          <w:sz w:val="24"/>
          <w:szCs w:val="24"/>
        </w:rPr>
        <w:footnoteReference w:id="52"/>
      </w:r>
      <w:r w:rsidR="00315E3C" w:rsidRPr="008E1E8A">
        <w:rPr>
          <w:rFonts w:ascii="Times New Roman" w:hAnsi="Times New Roman"/>
          <w:sz w:val="24"/>
          <w:szCs w:val="24"/>
        </w:rPr>
        <w:t xml:space="preserve">  They also tend to overstate what investors can reasonably expect because they are provided by persons with an interest in selling securities.</w:t>
      </w:r>
      <w:r w:rsidR="00BA4168">
        <w:rPr>
          <w:rStyle w:val="FootnoteReference"/>
          <w:rFonts w:ascii="Times New Roman" w:hAnsi="Times New Roman"/>
          <w:sz w:val="24"/>
          <w:szCs w:val="24"/>
        </w:rPr>
        <w:footnoteReference w:id="53"/>
      </w:r>
      <w:r w:rsidR="00315E3C" w:rsidRPr="008E1E8A">
        <w:rPr>
          <w:rFonts w:ascii="Times New Roman" w:hAnsi="Times New Roman"/>
          <w:sz w:val="24"/>
          <w:szCs w:val="24"/>
        </w:rPr>
        <w:t xml:space="preserve">  </w:t>
      </w:r>
    </w:p>
    <w:p w:rsidR="003E7C3F" w:rsidRPr="008E1E8A" w:rsidRDefault="008E1E8A" w:rsidP="008E1E8A">
      <w:pPr>
        <w:pStyle w:val="ListParagraph"/>
        <w:numPr>
          <w:ilvl w:val="0"/>
          <w:numId w:val="1"/>
        </w:numPr>
        <w:tabs>
          <w:tab w:val="left" w:pos="720"/>
          <w:tab w:val="left" w:pos="1440"/>
          <w:tab w:val="left" w:pos="9240"/>
        </w:tabs>
        <w:spacing w:line="480" w:lineRule="auto"/>
        <w:rPr>
          <w:rFonts w:ascii="Times New Roman" w:hAnsi="Times New Roman"/>
          <w:sz w:val="24"/>
          <w:szCs w:val="24"/>
        </w:rPr>
      </w:pPr>
      <w:r>
        <w:rPr>
          <w:rFonts w:ascii="Times New Roman" w:hAnsi="Times New Roman"/>
          <w:sz w:val="24"/>
          <w:szCs w:val="24"/>
        </w:rPr>
        <w:lastRenderedPageBreak/>
        <w:tab/>
      </w:r>
      <w:r w:rsidR="003E7C3F" w:rsidRPr="008E1E8A">
        <w:rPr>
          <w:rFonts w:ascii="Times New Roman" w:hAnsi="Times New Roman"/>
          <w:sz w:val="24"/>
          <w:szCs w:val="24"/>
        </w:rPr>
        <w:t xml:space="preserve">Indeed, </w:t>
      </w:r>
      <w:r w:rsidR="003656B8" w:rsidRPr="008E1E8A">
        <w:rPr>
          <w:rFonts w:ascii="Times New Roman" w:hAnsi="Times New Roman"/>
          <w:sz w:val="24"/>
          <w:szCs w:val="24"/>
        </w:rPr>
        <w:t xml:space="preserve">Dr. Olson’s </w:t>
      </w:r>
      <w:r w:rsidR="00995918" w:rsidRPr="008E1E8A">
        <w:rPr>
          <w:rFonts w:ascii="Times New Roman" w:hAnsi="Times New Roman"/>
          <w:sz w:val="24"/>
          <w:szCs w:val="24"/>
        </w:rPr>
        <w:t xml:space="preserve">exclusive use of </w:t>
      </w:r>
      <w:r w:rsidR="003656B8" w:rsidRPr="008E1E8A">
        <w:rPr>
          <w:rFonts w:ascii="Times New Roman" w:hAnsi="Times New Roman"/>
          <w:sz w:val="24"/>
          <w:szCs w:val="24"/>
        </w:rPr>
        <w:t xml:space="preserve">analysts’ earnings estimates results in long-term dividend growth rates that </w:t>
      </w:r>
      <w:r w:rsidR="001D5285" w:rsidRPr="008E1E8A">
        <w:rPr>
          <w:rFonts w:ascii="Times New Roman" w:hAnsi="Times New Roman"/>
          <w:sz w:val="24"/>
          <w:szCs w:val="24"/>
        </w:rPr>
        <w:t xml:space="preserve">are </w:t>
      </w:r>
      <w:r w:rsidR="003656B8" w:rsidRPr="008E1E8A">
        <w:rPr>
          <w:rFonts w:ascii="Times New Roman" w:hAnsi="Times New Roman"/>
          <w:sz w:val="24"/>
          <w:szCs w:val="24"/>
        </w:rPr>
        <w:t>grossly overstated.</w:t>
      </w:r>
      <w:r w:rsidR="00C51C55">
        <w:rPr>
          <w:rStyle w:val="FootnoteReference"/>
          <w:rFonts w:ascii="Times New Roman" w:hAnsi="Times New Roman"/>
          <w:sz w:val="24"/>
          <w:szCs w:val="24"/>
        </w:rPr>
        <w:footnoteReference w:id="54"/>
      </w:r>
      <w:r w:rsidR="003656B8" w:rsidRPr="008E1E8A">
        <w:rPr>
          <w:rFonts w:ascii="Times New Roman" w:hAnsi="Times New Roman"/>
          <w:sz w:val="24"/>
          <w:szCs w:val="24"/>
        </w:rPr>
        <w:t xml:space="preserve">  For example, </w:t>
      </w:r>
      <w:r w:rsidR="001D5285" w:rsidRPr="008E1E8A">
        <w:rPr>
          <w:rFonts w:ascii="Times New Roman" w:hAnsi="Times New Roman"/>
          <w:sz w:val="24"/>
          <w:szCs w:val="24"/>
        </w:rPr>
        <w:t xml:space="preserve">his methodology results in </w:t>
      </w:r>
      <w:r w:rsidR="003656B8" w:rsidRPr="008E1E8A">
        <w:rPr>
          <w:rFonts w:ascii="Times New Roman" w:hAnsi="Times New Roman"/>
          <w:sz w:val="24"/>
          <w:szCs w:val="24"/>
        </w:rPr>
        <w:t>an 11.75 perc</w:t>
      </w:r>
      <w:r w:rsidR="001D5285" w:rsidRPr="008E1E8A">
        <w:rPr>
          <w:rFonts w:ascii="Times New Roman" w:hAnsi="Times New Roman"/>
          <w:sz w:val="24"/>
          <w:szCs w:val="24"/>
        </w:rPr>
        <w:t xml:space="preserve">ent </w:t>
      </w:r>
      <w:r w:rsidR="003656B8" w:rsidRPr="008E1E8A">
        <w:rPr>
          <w:rFonts w:ascii="Times New Roman" w:hAnsi="Times New Roman"/>
          <w:sz w:val="24"/>
          <w:szCs w:val="24"/>
        </w:rPr>
        <w:t>estimate of dividend growth for NV Energy</w:t>
      </w:r>
      <w:r w:rsidR="001D5285" w:rsidRPr="008E1E8A">
        <w:rPr>
          <w:rFonts w:ascii="Times New Roman" w:hAnsi="Times New Roman"/>
          <w:sz w:val="24"/>
          <w:szCs w:val="24"/>
        </w:rPr>
        <w:t>, meaning</w:t>
      </w:r>
      <w:r w:rsidR="003656B8" w:rsidRPr="008E1E8A">
        <w:rPr>
          <w:rFonts w:ascii="Times New Roman" w:hAnsi="Times New Roman"/>
          <w:sz w:val="24"/>
          <w:szCs w:val="24"/>
        </w:rPr>
        <w:t xml:space="preserve"> that the earned return on book would </w:t>
      </w:r>
      <w:r w:rsidR="001D5285" w:rsidRPr="008E1E8A">
        <w:rPr>
          <w:rFonts w:ascii="Times New Roman" w:hAnsi="Times New Roman"/>
          <w:sz w:val="24"/>
          <w:szCs w:val="24"/>
        </w:rPr>
        <w:t xml:space="preserve">have to rise above 22 percent </w:t>
      </w:r>
      <w:r w:rsidR="003656B8" w:rsidRPr="008E1E8A">
        <w:rPr>
          <w:rFonts w:ascii="Times New Roman" w:hAnsi="Times New Roman"/>
          <w:sz w:val="24"/>
          <w:szCs w:val="24"/>
        </w:rPr>
        <w:t xml:space="preserve">and </w:t>
      </w:r>
      <w:r w:rsidR="001D5285" w:rsidRPr="008E1E8A">
        <w:rPr>
          <w:rFonts w:ascii="Times New Roman" w:hAnsi="Times New Roman"/>
          <w:sz w:val="24"/>
          <w:szCs w:val="24"/>
        </w:rPr>
        <w:t xml:space="preserve">be sustained </w:t>
      </w:r>
      <w:r w:rsidR="003656B8" w:rsidRPr="008E1E8A">
        <w:rPr>
          <w:rFonts w:ascii="Times New Roman" w:hAnsi="Times New Roman"/>
          <w:sz w:val="24"/>
          <w:szCs w:val="24"/>
        </w:rPr>
        <w:t>over the long-term.</w:t>
      </w:r>
      <w:r w:rsidR="001D5285">
        <w:rPr>
          <w:rStyle w:val="FootnoteReference"/>
          <w:rFonts w:ascii="Times New Roman" w:hAnsi="Times New Roman"/>
          <w:sz w:val="24"/>
          <w:szCs w:val="24"/>
        </w:rPr>
        <w:footnoteReference w:id="55"/>
      </w:r>
      <w:r w:rsidR="003656B8" w:rsidRPr="008E1E8A">
        <w:rPr>
          <w:rFonts w:ascii="Times New Roman" w:hAnsi="Times New Roman"/>
          <w:sz w:val="24"/>
          <w:szCs w:val="24"/>
        </w:rPr>
        <w:t xml:space="preserve">  </w:t>
      </w:r>
      <w:r w:rsidR="001D5285" w:rsidRPr="008E1E8A">
        <w:rPr>
          <w:rFonts w:ascii="Times New Roman" w:hAnsi="Times New Roman"/>
          <w:sz w:val="24"/>
          <w:szCs w:val="24"/>
        </w:rPr>
        <w:t xml:space="preserve">Likewise, his data show dividend growth </w:t>
      </w:r>
      <w:r w:rsidR="009B21BB">
        <w:rPr>
          <w:rFonts w:ascii="Times New Roman" w:hAnsi="Times New Roman"/>
          <w:sz w:val="24"/>
          <w:szCs w:val="24"/>
        </w:rPr>
        <w:t xml:space="preserve">rates </w:t>
      </w:r>
      <w:r w:rsidR="001D5285" w:rsidRPr="008E1E8A">
        <w:rPr>
          <w:rFonts w:ascii="Times New Roman" w:hAnsi="Times New Roman"/>
          <w:sz w:val="24"/>
          <w:szCs w:val="24"/>
        </w:rPr>
        <w:t>for Alliant of 9.3 percent, Great Plains of 8.90 percent and Wisconsin of 8.5 percent.</w:t>
      </w:r>
      <w:r w:rsidR="001D5285" w:rsidRPr="001D5285">
        <w:rPr>
          <w:rStyle w:val="FootnoteReference"/>
          <w:rFonts w:ascii="Times New Roman" w:hAnsi="Times New Roman"/>
          <w:sz w:val="24"/>
          <w:szCs w:val="24"/>
        </w:rPr>
        <w:footnoteReference w:id="56"/>
      </w:r>
      <w:r w:rsidR="001D5285" w:rsidRPr="008E1E8A">
        <w:rPr>
          <w:rFonts w:ascii="Times New Roman" w:hAnsi="Times New Roman"/>
          <w:sz w:val="24"/>
          <w:szCs w:val="24"/>
        </w:rPr>
        <w:t xml:space="preserve"> </w:t>
      </w:r>
      <w:r w:rsidR="00995918" w:rsidRPr="008E1E8A">
        <w:rPr>
          <w:rFonts w:ascii="Times New Roman" w:hAnsi="Times New Roman"/>
          <w:sz w:val="24"/>
          <w:szCs w:val="24"/>
        </w:rPr>
        <w:t xml:space="preserve"> </w:t>
      </w:r>
      <w:r w:rsidR="001D5285" w:rsidRPr="008E1E8A">
        <w:rPr>
          <w:rFonts w:ascii="Times New Roman" w:hAnsi="Times New Roman"/>
          <w:sz w:val="24"/>
          <w:szCs w:val="24"/>
        </w:rPr>
        <w:t>These estimates clearly strain any notion of reasonableness.</w:t>
      </w:r>
    </w:p>
    <w:p w:rsidR="00762032" w:rsidRDefault="008E1E8A" w:rsidP="008E1E8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209DC">
        <w:rPr>
          <w:rFonts w:ascii="Times New Roman" w:hAnsi="Times New Roman"/>
          <w:sz w:val="24"/>
          <w:szCs w:val="24"/>
        </w:rPr>
        <w:t>In short, t</w:t>
      </w:r>
      <w:r w:rsidR="004209DC" w:rsidRPr="00DA20F8">
        <w:rPr>
          <w:rFonts w:ascii="Times New Roman" w:hAnsi="Times New Roman"/>
          <w:sz w:val="24"/>
          <w:szCs w:val="24"/>
        </w:rPr>
        <w:t>he issue for the Commission is to determine</w:t>
      </w:r>
      <w:r w:rsidR="00995918">
        <w:rPr>
          <w:rFonts w:ascii="Times New Roman" w:hAnsi="Times New Roman"/>
          <w:sz w:val="24"/>
          <w:szCs w:val="24"/>
        </w:rPr>
        <w:t>,</w:t>
      </w:r>
      <w:r w:rsidR="004209DC" w:rsidRPr="00DA20F8">
        <w:rPr>
          <w:rFonts w:ascii="Times New Roman" w:hAnsi="Times New Roman"/>
          <w:sz w:val="24"/>
          <w:szCs w:val="24"/>
        </w:rPr>
        <w:t xml:space="preserve"> in </w:t>
      </w:r>
      <w:r w:rsidR="004209DC">
        <w:rPr>
          <w:rFonts w:ascii="Times New Roman" w:hAnsi="Times New Roman"/>
          <w:sz w:val="24"/>
          <w:szCs w:val="24"/>
        </w:rPr>
        <w:t>an environment of low capital costs</w:t>
      </w:r>
      <w:r w:rsidR="00995918">
        <w:rPr>
          <w:rFonts w:ascii="Times New Roman" w:hAnsi="Times New Roman"/>
          <w:sz w:val="24"/>
          <w:szCs w:val="24"/>
        </w:rPr>
        <w:t>,</w:t>
      </w:r>
      <w:r w:rsidR="004209DC" w:rsidRPr="00DA20F8">
        <w:rPr>
          <w:rFonts w:ascii="Times New Roman" w:hAnsi="Times New Roman"/>
          <w:sz w:val="24"/>
          <w:szCs w:val="24"/>
        </w:rPr>
        <w:t xml:space="preserve"> the de</w:t>
      </w:r>
      <w:r w:rsidR="004209DC">
        <w:rPr>
          <w:rFonts w:ascii="Times New Roman" w:hAnsi="Times New Roman"/>
          <w:sz w:val="24"/>
          <w:szCs w:val="24"/>
        </w:rPr>
        <w:t xml:space="preserve">gree to which the Company’s </w:t>
      </w:r>
      <w:r w:rsidR="004209DC" w:rsidRPr="00DA20F8">
        <w:rPr>
          <w:rFonts w:ascii="Times New Roman" w:hAnsi="Times New Roman"/>
          <w:sz w:val="24"/>
          <w:szCs w:val="24"/>
        </w:rPr>
        <w:t>owners should be compensated for providing equity capital to PSE.  Staff submits that sufficient compe</w:t>
      </w:r>
      <w:r w:rsidR="00A76C58">
        <w:rPr>
          <w:rFonts w:ascii="Times New Roman" w:hAnsi="Times New Roman"/>
          <w:sz w:val="24"/>
          <w:szCs w:val="24"/>
        </w:rPr>
        <w:t xml:space="preserve">nsation will be paid to the </w:t>
      </w:r>
      <w:r w:rsidR="004209DC" w:rsidRPr="00DA20F8">
        <w:rPr>
          <w:rFonts w:ascii="Times New Roman" w:hAnsi="Times New Roman"/>
          <w:sz w:val="24"/>
          <w:szCs w:val="24"/>
        </w:rPr>
        <w:t xml:space="preserve">owners using </w:t>
      </w:r>
      <w:r w:rsidR="004209DC">
        <w:rPr>
          <w:rFonts w:ascii="Times New Roman" w:hAnsi="Times New Roman"/>
          <w:sz w:val="24"/>
          <w:szCs w:val="24"/>
        </w:rPr>
        <w:t>a 9.5</w:t>
      </w:r>
      <w:r w:rsidR="004209DC" w:rsidRPr="00DA20F8">
        <w:rPr>
          <w:rFonts w:ascii="Times New Roman" w:hAnsi="Times New Roman"/>
          <w:sz w:val="24"/>
          <w:szCs w:val="24"/>
        </w:rPr>
        <w:t xml:space="preserve"> percent return on equity.  The record clearly supports Staff’s conclusion.</w:t>
      </w:r>
    </w:p>
    <w:p w:rsidR="00A27DB7" w:rsidRPr="00753F66" w:rsidRDefault="00A27DB7" w:rsidP="00753F66">
      <w:pPr>
        <w:spacing w:after="0" w:line="480" w:lineRule="auto"/>
        <w:rPr>
          <w:rFonts w:ascii="Times New Roman" w:hAnsi="Times New Roman"/>
          <w:b/>
          <w:sz w:val="24"/>
          <w:szCs w:val="24"/>
        </w:rPr>
      </w:pPr>
      <w:r w:rsidRPr="00753F66">
        <w:rPr>
          <w:rFonts w:ascii="Times New Roman" w:hAnsi="Times New Roman"/>
          <w:b/>
          <w:sz w:val="24"/>
          <w:szCs w:val="24"/>
        </w:rPr>
        <w:t>C.</w:t>
      </w:r>
      <w:r w:rsidRPr="00753F66">
        <w:rPr>
          <w:rFonts w:ascii="Times New Roman" w:hAnsi="Times New Roman"/>
          <w:b/>
          <w:sz w:val="24"/>
          <w:szCs w:val="24"/>
        </w:rPr>
        <w:tab/>
        <w:t>The Company Has Failed to Carry Its Burden to Prove Attrition</w:t>
      </w:r>
    </w:p>
    <w:p w:rsidR="00A27DB7"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27DB7" w:rsidRPr="004215EA">
        <w:rPr>
          <w:rFonts w:ascii="Times New Roman" w:hAnsi="Times New Roman"/>
          <w:sz w:val="24"/>
          <w:szCs w:val="24"/>
        </w:rPr>
        <w:t>Th</w:t>
      </w:r>
      <w:r w:rsidR="00995918" w:rsidRPr="004215EA">
        <w:rPr>
          <w:rFonts w:ascii="Times New Roman" w:hAnsi="Times New Roman"/>
          <w:sz w:val="24"/>
          <w:szCs w:val="24"/>
        </w:rPr>
        <w:t>e Company proposes</w:t>
      </w:r>
      <w:r w:rsidR="00756C3A" w:rsidRPr="004215EA">
        <w:rPr>
          <w:rFonts w:ascii="Times New Roman" w:hAnsi="Times New Roman"/>
          <w:sz w:val="24"/>
          <w:szCs w:val="24"/>
        </w:rPr>
        <w:t xml:space="preserve"> to increase</w:t>
      </w:r>
      <w:r w:rsidR="00A27DB7" w:rsidRPr="004215EA">
        <w:rPr>
          <w:rFonts w:ascii="Times New Roman" w:hAnsi="Times New Roman"/>
          <w:sz w:val="24"/>
          <w:szCs w:val="24"/>
        </w:rPr>
        <w:t xml:space="preserve"> </w:t>
      </w:r>
      <w:r w:rsidR="00D3454A">
        <w:rPr>
          <w:rFonts w:ascii="Times New Roman" w:hAnsi="Times New Roman"/>
          <w:sz w:val="24"/>
          <w:szCs w:val="24"/>
        </w:rPr>
        <w:t xml:space="preserve">both </w:t>
      </w:r>
      <w:r w:rsidR="00A27DB7" w:rsidRPr="004215EA">
        <w:rPr>
          <w:rFonts w:ascii="Times New Roman" w:hAnsi="Times New Roman"/>
          <w:sz w:val="24"/>
          <w:szCs w:val="24"/>
        </w:rPr>
        <w:t xml:space="preserve">its return on common equity </w:t>
      </w:r>
      <w:r w:rsidR="00995918" w:rsidRPr="004215EA">
        <w:rPr>
          <w:rFonts w:ascii="Times New Roman" w:hAnsi="Times New Roman"/>
          <w:sz w:val="24"/>
          <w:szCs w:val="24"/>
        </w:rPr>
        <w:t xml:space="preserve">and </w:t>
      </w:r>
      <w:r w:rsidR="00A27DB7" w:rsidRPr="004215EA">
        <w:rPr>
          <w:rFonts w:ascii="Times New Roman" w:hAnsi="Times New Roman"/>
          <w:sz w:val="24"/>
          <w:szCs w:val="24"/>
        </w:rPr>
        <w:t>the equity component of its capital structu</w:t>
      </w:r>
      <w:r w:rsidR="00995918" w:rsidRPr="004215EA">
        <w:rPr>
          <w:rFonts w:ascii="Times New Roman" w:hAnsi="Times New Roman"/>
          <w:sz w:val="24"/>
          <w:szCs w:val="24"/>
        </w:rPr>
        <w:t xml:space="preserve">re </w:t>
      </w:r>
      <w:r w:rsidR="00D3454A">
        <w:rPr>
          <w:rFonts w:ascii="Times New Roman" w:hAnsi="Times New Roman"/>
          <w:sz w:val="24"/>
          <w:szCs w:val="24"/>
        </w:rPr>
        <w:t>as specific remedies for</w:t>
      </w:r>
      <w:r w:rsidR="00D23CFC">
        <w:rPr>
          <w:rFonts w:ascii="Times New Roman" w:hAnsi="Times New Roman"/>
          <w:sz w:val="24"/>
          <w:szCs w:val="24"/>
        </w:rPr>
        <w:t xml:space="preserve"> </w:t>
      </w:r>
      <w:r w:rsidR="00A27DB7" w:rsidRPr="004215EA">
        <w:rPr>
          <w:rFonts w:ascii="Times New Roman" w:hAnsi="Times New Roman"/>
          <w:sz w:val="24"/>
          <w:szCs w:val="24"/>
        </w:rPr>
        <w:t>historical test-year ratemaking</w:t>
      </w:r>
      <w:r w:rsidR="00756C3A" w:rsidRPr="004215EA">
        <w:rPr>
          <w:rFonts w:ascii="Times New Roman" w:hAnsi="Times New Roman"/>
          <w:sz w:val="24"/>
          <w:szCs w:val="24"/>
        </w:rPr>
        <w:t>, which it argues</w:t>
      </w:r>
      <w:r w:rsidR="00A27DB7" w:rsidRPr="004215EA">
        <w:rPr>
          <w:rFonts w:ascii="Times New Roman" w:hAnsi="Times New Roman"/>
          <w:sz w:val="24"/>
          <w:szCs w:val="24"/>
        </w:rPr>
        <w:t xml:space="preserve"> cau</w:t>
      </w:r>
      <w:r w:rsidR="00756C3A" w:rsidRPr="004215EA">
        <w:rPr>
          <w:rFonts w:ascii="Times New Roman" w:hAnsi="Times New Roman"/>
          <w:sz w:val="24"/>
          <w:szCs w:val="24"/>
        </w:rPr>
        <w:t xml:space="preserve">ses “attrition” because of </w:t>
      </w:r>
      <w:r w:rsidR="00A27DB7" w:rsidRPr="004215EA">
        <w:rPr>
          <w:rFonts w:ascii="Times New Roman" w:hAnsi="Times New Roman"/>
          <w:sz w:val="24"/>
          <w:szCs w:val="24"/>
        </w:rPr>
        <w:t>re</w:t>
      </w:r>
      <w:r w:rsidR="00DC702B" w:rsidRPr="004215EA">
        <w:rPr>
          <w:rFonts w:ascii="Times New Roman" w:hAnsi="Times New Roman"/>
          <w:sz w:val="24"/>
          <w:szCs w:val="24"/>
        </w:rPr>
        <w:t xml:space="preserve">gulatory lag </w:t>
      </w:r>
      <w:r w:rsidR="00A27DB7" w:rsidRPr="004215EA">
        <w:rPr>
          <w:rFonts w:ascii="Times New Roman" w:hAnsi="Times New Roman"/>
          <w:sz w:val="24"/>
          <w:szCs w:val="24"/>
        </w:rPr>
        <w:t>during periods of significant replacement of plant.</w:t>
      </w:r>
      <w:r w:rsidR="00A27DB7">
        <w:rPr>
          <w:rStyle w:val="FootnoteReference"/>
          <w:rFonts w:ascii="Times New Roman" w:hAnsi="Times New Roman"/>
          <w:sz w:val="24"/>
          <w:szCs w:val="24"/>
        </w:rPr>
        <w:footnoteReference w:id="57"/>
      </w:r>
      <w:r w:rsidR="00756C3A" w:rsidRPr="004215EA">
        <w:rPr>
          <w:rFonts w:ascii="Times New Roman" w:hAnsi="Times New Roman"/>
          <w:sz w:val="24"/>
          <w:szCs w:val="24"/>
        </w:rPr>
        <w:t xml:space="preserve">  </w:t>
      </w:r>
      <w:r w:rsidR="00DC702B" w:rsidRPr="004215EA">
        <w:rPr>
          <w:rFonts w:ascii="Times New Roman" w:hAnsi="Times New Roman"/>
          <w:sz w:val="24"/>
          <w:szCs w:val="24"/>
        </w:rPr>
        <w:t xml:space="preserve">PSE </w:t>
      </w:r>
      <w:r w:rsidR="00A27DB7" w:rsidRPr="004215EA">
        <w:rPr>
          <w:rFonts w:ascii="Times New Roman" w:hAnsi="Times New Roman"/>
          <w:sz w:val="24"/>
          <w:szCs w:val="24"/>
        </w:rPr>
        <w:t>provided no separate study to support its criticism of historical test-year ratemaking.</w:t>
      </w:r>
      <w:r w:rsidR="00A27DB7">
        <w:rPr>
          <w:rStyle w:val="FootnoteReference"/>
          <w:rFonts w:ascii="Times New Roman" w:hAnsi="Times New Roman"/>
          <w:sz w:val="24"/>
          <w:szCs w:val="24"/>
        </w:rPr>
        <w:footnoteReference w:id="58"/>
      </w:r>
      <w:r w:rsidR="00A27DB7" w:rsidRPr="004215EA">
        <w:rPr>
          <w:rFonts w:ascii="Times New Roman" w:hAnsi="Times New Roman"/>
          <w:sz w:val="24"/>
          <w:szCs w:val="24"/>
        </w:rPr>
        <w:t xml:space="preserve">  It draws its criticism only by implication from the frequency of rate cases.</w:t>
      </w:r>
      <w:r w:rsidR="00A27DB7">
        <w:rPr>
          <w:rStyle w:val="FootnoteReference"/>
          <w:rFonts w:ascii="Times New Roman" w:hAnsi="Times New Roman"/>
          <w:sz w:val="24"/>
          <w:szCs w:val="24"/>
        </w:rPr>
        <w:footnoteReference w:id="59"/>
      </w:r>
    </w:p>
    <w:p w:rsidR="00A27DB7"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27DB7" w:rsidRPr="004215EA">
        <w:rPr>
          <w:rFonts w:ascii="Times New Roman" w:hAnsi="Times New Roman"/>
          <w:sz w:val="24"/>
          <w:szCs w:val="24"/>
        </w:rPr>
        <w:t xml:space="preserve">Moreover, PSE’s evidence of attrition is inadequate and its proposed remedies </w:t>
      </w:r>
      <w:r w:rsidR="009E20C0">
        <w:rPr>
          <w:rFonts w:ascii="Times New Roman" w:hAnsi="Times New Roman"/>
          <w:sz w:val="24"/>
          <w:szCs w:val="24"/>
        </w:rPr>
        <w:t xml:space="preserve">are </w:t>
      </w:r>
      <w:r w:rsidR="00A27DB7" w:rsidRPr="004215EA">
        <w:rPr>
          <w:rFonts w:ascii="Times New Roman" w:hAnsi="Times New Roman"/>
          <w:sz w:val="24"/>
          <w:szCs w:val="24"/>
        </w:rPr>
        <w:t>unjustified under sound and well-established Commission policy.</w:t>
      </w:r>
    </w:p>
    <w:p w:rsidR="00A27DB7" w:rsidRDefault="00D31356" w:rsidP="00553850">
      <w:pPr>
        <w:keepNext/>
        <w:spacing w:after="0" w:line="480" w:lineRule="auto"/>
        <w:ind w:left="1440" w:hanging="720"/>
        <w:rPr>
          <w:rFonts w:ascii="Times New Roman" w:hAnsi="Times New Roman"/>
          <w:b/>
          <w:bCs/>
          <w:sz w:val="24"/>
          <w:szCs w:val="24"/>
        </w:rPr>
      </w:pPr>
      <w:r>
        <w:rPr>
          <w:rFonts w:ascii="Times New Roman" w:hAnsi="Times New Roman"/>
          <w:b/>
          <w:bCs/>
          <w:sz w:val="24"/>
          <w:szCs w:val="24"/>
        </w:rPr>
        <w:lastRenderedPageBreak/>
        <w:t>1.</w:t>
      </w:r>
      <w:r>
        <w:rPr>
          <w:rFonts w:ascii="Times New Roman" w:hAnsi="Times New Roman"/>
          <w:b/>
          <w:bCs/>
          <w:sz w:val="24"/>
          <w:szCs w:val="24"/>
        </w:rPr>
        <w:tab/>
        <w:t xml:space="preserve">PSE’s </w:t>
      </w:r>
      <w:r w:rsidR="00A27DB7" w:rsidRPr="00753F66">
        <w:rPr>
          <w:rFonts w:ascii="Times New Roman" w:hAnsi="Times New Roman"/>
          <w:b/>
          <w:bCs/>
          <w:sz w:val="24"/>
          <w:szCs w:val="24"/>
        </w:rPr>
        <w:t>Rem</w:t>
      </w:r>
      <w:r>
        <w:rPr>
          <w:rFonts w:ascii="Times New Roman" w:hAnsi="Times New Roman"/>
          <w:b/>
          <w:bCs/>
          <w:sz w:val="24"/>
          <w:szCs w:val="24"/>
        </w:rPr>
        <w:t xml:space="preserve">edies for Attrition Violate Commission </w:t>
      </w:r>
      <w:r w:rsidR="00A27DB7" w:rsidRPr="00753F66">
        <w:rPr>
          <w:rFonts w:ascii="Times New Roman" w:hAnsi="Times New Roman"/>
          <w:b/>
          <w:bCs/>
          <w:sz w:val="24"/>
          <w:szCs w:val="24"/>
        </w:rPr>
        <w:t>Polic</w:t>
      </w:r>
      <w:r>
        <w:rPr>
          <w:rFonts w:ascii="Times New Roman" w:hAnsi="Times New Roman"/>
          <w:b/>
          <w:bCs/>
          <w:sz w:val="24"/>
          <w:szCs w:val="24"/>
        </w:rPr>
        <w:t xml:space="preserve">y and Practice </w:t>
      </w:r>
    </w:p>
    <w:p w:rsidR="00A27DB7" w:rsidRDefault="004215EA" w:rsidP="004215EA">
      <w:pPr>
        <w:pStyle w:val="BodyTextIndent"/>
        <w:numPr>
          <w:ilvl w:val="0"/>
          <w:numId w:val="1"/>
        </w:numPr>
      </w:pPr>
      <w:r>
        <w:rPr>
          <w:bCs/>
        </w:rPr>
        <w:tab/>
      </w:r>
      <w:r w:rsidR="00A76C58">
        <w:rPr>
          <w:bCs/>
        </w:rPr>
        <w:t>Since the early 1980’s, the Commission has remedied</w:t>
      </w:r>
      <w:r w:rsidR="00A27DB7">
        <w:rPr>
          <w:bCs/>
        </w:rPr>
        <w:t xml:space="preserve"> claims of </w:t>
      </w:r>
      <w:r w:rsidR="00995918">
        <w:rPr>
          <w:bCs/>
        </w:rPr>
        <w:t xml:space="preserve">attrition </w:t>
      </w:r>
      <w:r w:rsidR="00A27DB7">
        <w:rPr>
          <w:bCs/>
        </w:rPr>
        <w:t xml:space="preserve">by </w:t>
      </w:r>
      <w:r w:rsidR="00A76C58">
        <w:rPr>
          <w:bCs/>
        </w:rPr>
        <w:t>authorizing</w:t>
      </w:r>
      <w:r w:rsidR="00A27DB7">
        <w:rPr>
          <w:bCs/>
        </w:rPr>
        <w:t xml:space="preserve"> additi</w:t>
      </w:r>
      <w:r w:rsidR="00A76C58">
        <w:rPr>
          <w:bCs/>
        </w:rPr>
        <w:t xml:space="preserve">onal revenue </w:t>
      </w:r>
      <w:r w:rsidR="00A27DB7">
        <w:rPr>
          <w:bCs/>
        </w:rPr>
        <w:t>when a utility</w:t>
      </w:r>
      <w:r w:rsidR="00A27DB7" w:rsidRPr="008D0C81">
        <w:rPr>
          <w:bCs/>
        </w:rPr>
        <w:t xml:space="preserve"> </w:t>
      </w:r>
      <w:r w:rsidR="00A27DB7">
        <w:t xml:space="preserve">makes </w:t>
      </w:r>
      <w:r w:rsidR="00A27DB7" w:rsidRPr="008D0C81">
        <w:t>a detailed showing that the test year relationship between revenues, expense</w:t>
      </w:r>
      <w:r w:rsidR="00A27DB7">
        <w:t>s and rate base will erode</w:t>
      </w:r>
      <w:r w:rsidR="00A27DB7" w:rsidRPr="008D0C81">
        <w:t xml:space="preserve"> in the rate year, and a calculation of the impact of that erosion on rate of return.</w:t>
      </w:r>
      <w:r w:rsidR="00A27DB7">
        <w:rPr>
          <w:rStyle w:val="FootnoteReference"/>
        </w:rPr>
        <w:footnoteReference w:id="60"/>
      </w:r>
      <w:r w:rsidR="00A27DB7" w:rsidRPr="008D0C81">
        <w:t xml:space="preserve">  </w:t>
      </w:r>
      <w:r w:rsidR="00A76C58">
        <w:t>This “attrition adjustment”</w:t>
      </w:r>
      <w:r w:rsidR="00E33773">
        <w:t xml:space="preserve"> </w:t>
      </w:r>
      <w:r w:rsidR="00A27DB7">
        <w:t>address</w:t>
      </w:r>
      <w:r w:rsidR="00E33773">
        <w:t>ed</w:t>
      </w:r>
      <w:r w:rsidR="00A27DB7">
        <w:t xml:space="preserve"> the same problems PSE claims today:  </w:t>
      </w:r>
      <w:r w:rsidR="00A27DB7">
        <w:rPr>
          <w:bCs/>
        </w:rPr>
        <w:t>growing infrastructure, rising costs and regulatory lag.  The intent was</w:t>
      </w:r>
      <w:r w:rsidR="00A76C58">
        <w:t xml:space="preserve"> to ensure a utility</w:t>
      </w:r>
      <w:r w:rsidR="00A27DB7">
        <w:t xml:space="preserve"> could finance construction </w:t>
      </w:r>
      <w:r w:rsidR="00A27DB7" w:rsidRPr="008D0C81">
        <w:t>and maintain financial integrity</w:t>
      </w:r>
      <w:r w:rsidR="00A27DB7">
        <w:t>, consistent with the Commission’s statutory obligation to set rates that are fair, just, reasonable and sufficient.</w:t>
      </w:r>
      <w:r w:rsidR="00A27DB7">
        <w:rPr>
          <w:rStyle w:val="FootnoteReference"/>
        </w:rPr>
        <w:footnoteReference w:id="61"/>
      </w:r>
    </w:p>
    <w:p w:rsidR="00A27DB7" w:rsidRDefault="004215EA" w:rsidP="004215EA">
      <w:pPr>
        <w:pStyle w:val="BodyTextIndent"/>
        <w:numPr>
          <w:ilvl w:val="0"/>
          <w:numId w:val="1"/>
        </w:numPr>
      </w:pPr>
      <w:r>
        <w:rPr>
          <w:bCs/>
        </w:rPr>
        <w:tab/>
      </w:r>
      <w:r w:rsidR="00DC702B">
        <w:rPr>
          <w:bCs/>
        </w:rPr>
        <w:t xml:space="preserve">PSE does not avail itself </w:t>
      </w:r>
      <w:r w:rsidR="009B21BB">
        <w:rPr>
          <w:bCs/>
        </w:rPr>
        <w:t xml:space="preserve">of </w:t>
      </w:r>
      <w:r w:rsidR="00A76C58">
        <w:rPr>
          <w:bCs/>
        </w:rPr>
        <w:t xml:space="preserve">this remedy despite its </w:t>
      </w:r>
      <w:r w:rsidR="009B21BB">
        <w:rPr>
          <w:bCs/>
        </w:rPr>
        <w:t xml:space="preserve">express </w:t>
      </w:r>
      <w:r w:rsidR="00A76C58">
        <w:rPr>
          <w:bCs/>
        </w:rPr>
        <w:t>claim of</w:t>
      </w:r>
      <w:r w:rsidR="00DC702B">
        <w:rPr>
          <w:bCs/>
        </w:rPr>
        <w:t xml:space="preserve"> attrition</w:t>
      </w:r>
      <w:r w:rsidR="00A27DB7">
        <w:rPr>
          <w:bCs/>
        </w:rPr>
        <w:t xml:space="preserve">.  Instead, </w:t>
      </w:r>
      <w:r w:rsidR="00E33773">
        <w:rPr>
          <w:bCs/>
        </w:rPr>
        <w:t>it turns on Staff by characterizing</w:t>
      </w:r>
      <w:r w:rsidR="00A27DB7">
        <w:rPr>
          <w:bCs/>
        </w:rPr>
        <w:t xml:space="preserve"> Staff’s des</w:t>
      </w:r>
      <w:r w:rsidR="00A76C58">
        <w:rPr>
          <w:bCs/>
        </w:rPr>
        <w:t>cription of Commission precedent</w:t>
      </w:r>
      <w:r w:rsidR="00A27DB7">
        <w:rPr>
          <w:bCs/>
        </w:rPr>
        <w:t xml:space="preserve"> as a “wondrous mosaic of confusion and bewilderment.”</w:t>
      </w:r>
      <w:r w:rsidR="00A27DB7">
        <w:rPr>
          <w:rStyle w:val="FootnoteReference"/>
          <w:bCs/>
        </w:rPr>
        <w:footnoteReference w:id="62"/>
      </w:r>
      <w:r w:rsidR="009E20C0">
        <w:rPr>
          <w:bCs/>
        </w:rPr>
        <w:t xml:space="preserve">  This </w:t>
      </w:r>
      <w:r w:rsidR="00A27DB7">
        <w:rPr>
          <w:bCs/>
        </w:rPr>
        <w:t>claim insults Commission practice and policy, especially in light of the Commission’s recent affirmation</w:t>
      </w:r>
      <w:r w:rsidR="00A27DB7" w:rsidRPr="00243AF0">
        <w:t xml:space="preserve"> </w:t>
      </w:r>
      <w:r w:rsidR="00D31356">
        <w:t>that an attrition adjustment</w:t>
      </w:r>
      <w:r w:rsidR="00A27DB7">
        <w:t xml:space="preserve"> </w:t>
      </w:r>
      <w:r w:rsidR="00995918">
        <w:t xml:space="preserve">is a proper response to proven </w:t>
      </w:r>
      <w:r w:rsidR="00C77F45">
        <w:t>earnings erosion, including that caused by th</w:t>
      </w:r>
      <w:r w:rsidR="009E20C0">
        <w:t>e impact of conservation</w:t>
      </w:r>
      <w:r w:rsidR="00A27DB7">
        <w:t>:</w:t>
      </w:r>
    </w:p>
    <w:p w:rsidR="00A27DB7" w:rsidRDefault="00A27DB7" w:rsidP="00A27DB7">
      <w:pPr>
        <w:spacing w:line="240" w:lineRule="auto"/>
        <w:ind w:left="720"/>
        <w:rPr>
          <w:rFonts w:ascii="Times New Roman" w:hAnsi="Times New Roman" w:cs="Times New Roman"/>
          <w:bCs/>
          <w:sz w:val="24"/>
          <w:szCs w:val="24"/>
        </w:rPr>
      </w:pPr>
      <w:r w:rsidRPr="00243AF0">
        <w:rPr>
          <w:rFonts w:ascii="Times New Roman" w:hAnsi="Times New Roman" w:cs="Times New Roman"/>
          <w:sz w:val="24"/>
          <w:szCs w:val="24"/>
        </w:rPr>
        <w:t>The guidance provided in this policy statement does not imply that the Commission would not consider other mechanisms in the context of a general rate case, including an appropriate attrition adjustment designed to protect the company from lost margin due to any reason.</w:t>
      </w:r>
      <w:r w:rsidRPr="00243AF0">
        <w:rPr>
          <w:rStyle w:val="FootnoteReference"/>
          <w:rFonts w:ascii="Times New Roman" w:hAnsi="Times New Roman"/>
          <w:sz w:val="24"/>
          <w:szCs w:val="24"/>
        </w:rPr>
        <w:footnoteReference w:id="63"/>
      </w:r>
      <w:r w:rsidRPr="00243AF0">
        <w:rPr>
          <w:rFonts w:ascii="Times New Roman" w:hAnsi="Times New Roman" w:cs="Times New Roman"/>
          <w:sz w:val="24"/>
          <w:szCs w:val="24"/>
        </w:rPr>
        <w:t xml:space="preserve">  </w:t>
      </w:r>
      <w:r w:rsidRPr="00243AF0">
        <w:rPr>
          <w:rFonts w:ascii="Times New Roman" w:hAnsi="Times New Roman" w:cs="Times New Roman"/>
          <w:bCs/>
          <w:sz w:val="24"/>
          <w:szCs w:val="24"/>
        </w:rPr>
        <w:t xml:space="preserve"> </w:t>
      </w:r>
    </w:p>
    <w:p w:rsidR="00A27DB7" w:rsidRDefault="00A27DB7" w:rsidP="00A27DB7">
      <w:pPr>
        <w:spacing w:after="0" w:line="480" w:lineRule="auto"/>
        <w:rPr>
          <w:rFonts w:ascii="Times New Roman" w:hAnsi="Times New Roman" w:cs="Times New Roman"/>
          <w:bCs/>
          <w:sz w:val="24"/>
          <w:szCs w:val="24"/>
        </w:rPr>
      </w:pPr>
      <w:r>
        <w:rPr>
          <w:rFonts w:ascii="Times New Roman" w:hAnsi="Times New Roman" w:cs="Times New Roman"/>
          <w:sz w:val="24"/>
          <w:szCs w:val="24"/>
        </w:rPr>
        <w:t>Thus, if PSE believes existing policies are insufficient, it</w:t>
      </w:r>
      <w:r w:rsidRPr="00243AF0">
        <w:rPr>
          <w:rFonts w:ascii="Times New Roman" w:hAnsi="Times New Roman" w:cs="Times New Roman"/>
          <w:sz w:val="24"/>
          <w:szCs w:val="24"/>
        </w:rPr>
        <w:t xml:space="preserve"> </w:t>
      </w:r>
      <w:r>
        <w:rPr>
          <w:rFonts w:ascii="Times New Roman" w:hAnsi="Times New Roman" w:cs="Times New Roman"/>
          <w:sz w:val="24"/>
          <w:szCs w:val="24"/>
        </w:rPr>
        <w:t>must show c</w:t>
      </w:r>
      <w:r w:rsidRPr="00243AF0">
        <w:rPr>
          <w:rFonts w:ascii="Times New Roman" w:hAnsi="Times New Roman" w:cs="Times New Roman"/>
          <w:sz w:val="24"/>
          <w:szCs w:val="24"/>
        </w:rPr>
        <w:t>ircum</w:t>
      </w:r>
      <w:r w:rsidR="009B5C9E">
        <w:rPr>
          <w:rFonts w:ascii="Times New Roman" w:hAnsi="Times New Roman" w:cs="Times New Roman"/>
          <w:sz w:val="24"/>
          <w:szCs w:val="24"/>
        </w:rPr>
        <w:t xml:space="preserve">stances </w:t>
      </w:r>
      <w:r>
        <w:rPr>
          <w:rFonts w:ascii="Times New Roman" w:hAnsi="Times New Roman" w:cs="Times New Roman"/>
          <w:sz w:val="24"/>
          <w:szCs w:val="24"/>
        </w:rPr>
        <w:t>warrant</w:t>
      </w:r>
      <w:r w:rsidR="009B5C9E">
        <w:rPr>
          <w:rFonts w:ascii="Times New Roman" w:hAnsi="Times New Roman" w:cs="Times New Roman"/>
          <w:sz w:val="24"/>
          <w:szCs w:val="24"/>
        </w:rPr>
        <w:t>ing a new approach that</w:t>
      </w:r>
      <w:r>
        <w:rPr>
          <w:rFonts w:ascii="Times New Roman" w:hAnsi="Times New Roman" w:cs="Times New Roman"/>
          <w:sz w:val="24"/>
          <w:szCs w:val="24"/>
        </w:rPr>
        <w:t xml:space="preserve"> meet</w:t>
      </w:r>
      <w:r w:rsidR="009B5C9E">
        <w:rPr>
          <w:rFonts w:ascii="Times New Roman" w:hAnsi="Times New Roman" w:cs="Times New Roman"/>
          <w:sz w:val="24"/>
          <w:szCs w:val="24"/>
        </w:rPr>
        <w:t>s</w:t>
      </w:r>
      <w:r w:rsidRPr="00243AF0">
        <w:rPr>
          <w:rFonts w:ascii="Times New Roman" w:hAnsi="Times New Roman" w:cs="Times New Roman"/>
          <w:sz w:val="24"/>
          <w:szCs w:val="24"/>
        </w:rPr>
        <w:t xml:space="preserve"> the statutory requirements for setting rates.  </w:t>
      </w:r>
      <w:r>
        <w:rPr>
          <w:rFonts w:ascii="Times New Roman" w:hAnsi="Times New Roman" w:cs="Times New Roman"/>
          <w:sz w:val="24"/>
          <w:szCs w:val="24"/>
        </w:rPr>
        <w:t>As discussed next</w:t>
      </w:r>
      <w:r w:rsidRPr="00243AF0">
        <w:rPr>
          <w:rFonts w:ascii="Times New Roman" w:hAnsi="Times New Roman" w:cs="Times New Roman"/>
          <w:sz w:val="24"/>
          <w:szCs w:val="24"/>
        </w:rPr>
        <w:t xml:space="preserve">, PSE’s simple showing that historical per book earnings are lower than </w:t>
      </w:r>
      <w:r>
        <w:rPr>
          <w:rFonts w:ascii="Times New Roman" w:hAnsi="Times New Roman" w:cs="Times New Roman"/>
          <w:sz w:val="24"/>
          <w:szCs w:val="24"/>
        </w:rPr>
        <w:t>authorized returns</w:t>
      </w:r>
      <w:r w:rsidRPr="00243AF0">
        <w:rPr>
          <w:rFonts w:ascii="Times New Roman" w:hAnsi="Times New Roman" w:cs="Times New Roman"/>
          <w:sz w:val="24"/>
          <w:szCs w:val="24"/>
        </w:rPr>
        <w:t xml:space="preserve"> is</w:t>
      </w:r>
      <w:r>
        <w:rPr>
          <w:rFonts w:ascii="Times New Roman" w:hAnsi="Times New Roman" w:cs="Times New Roman"/>
          <w:sz w:val="24"/>
          <w:szCs w:val="24"/>
        </w:rPr>
        <w:t xml:space="preserve"> insufficient</w:t>
      </w:r>
      <w:r w:rsidRPr="00243AF0">
        <w:rPr>
          <w:rFonts w:ascii="Times New Roman" w:hAnsi="Times New Roman" w:cs="Times New Roman"/>
          <w:sz w:val="24"/>
          <w:szCs w:val="24"/>
        </w:rPr>
        <w:t xml:space="preserve">.  </w:t>
      </w:r>
      <w:r w:rsidRPr="00243AF0">
        <w:rPr>
          <w:rFonts w:ascii="Times New Roman" w:hAnsi="Times New Roman" w:cs="Times New Roman"/>
          <w:bCs/>
          <w:sz w:val="24"/>
          <w:szCs w:val="24"/>
        </w:rPr>
        <w:t xml:space="preserve"> </w:t>
      </w:r>
    </w:p>
    <w:p w:rsidR="00A27DB7" w:rsidRDefault="00A27DB7" w:rsidP="005C1853">
      <w:pPr>
        <w:keepNext/>
        <w:spacing w:after="0" w:line="240" w:lineRule="auto"/>
        <w:ind w:left="1440" w:hanging="720"/>
        <w:rPr>
          <w:rFonts w:ascii="Times New Roman" w:hAnsi="Times New Roman" w:cs="Times New Roman"/>
          <w:b/>
          <w:bCs/>
          <w:sz w:val="24"/>
          <w:szCs w:val="24"/>
        </w:rPr>
      </w:pPr>
      <w:r w:rsidRPr="00352D83">
        <w:rPr>
          <w:rFonts w:ascii="Times New Roman" w:hAnsi="Times New Roman" w:cs="Times New Roman"/>
          <w:b/>
          <w:bCs/>
          <w:sz w:val="24"/>
          <w:szCs w:val="24"/>
        </w:rPr>
        <w:lastRenderedPageBreak/>
        <w:t>2.</w:t>
      </w:r>
      <w:r w:rsidRPr="00352D83">
        <w:rPr>
          <w:rFonts w:ascii="Times New Roman" w:hAnsi="Times New Roman" w:cs="Times New Roman"/>
          <w:b/>
          <w:bCs/>
          <w:sz w:val="24"/>
          <w:szCs w:val="24"/>
        </w:rPr>
        <w:tab/>
      </w:r>
      <w:r>
        <w:rPr>
          <w:rFonts w:ascii="Times New Roman" w:hAnsi="Times New Roman" w:cs="Times New Roman"/>
          <w:b/>
          <w:bCs/>
          <w:sz w:val="24"/>
          <w:szCs w:val="24"/>
        </w:rPr>
        <w:t>Per Books Earnings Lower Than</w:t>
      </w:r>
      <w:r w:rsidRPr="00352D83">
        <w:rPr>
          <w:rFonts w:ascii="Times New Roman" w:hAnsi="Times New Roman" w:cs="Times New Roman"/>
          <w:b/>
          <w:bCs/>
          <w:sz w:val="24"/>
          <w:szCs w:val="24"/>
        </w:rPr>
        <w:t xml:space="preserve"> Authorized Levels </w:t>
      </w:r>
      <w:r>
        <w:rPr>
          <w:rFonts w:ascii="Times New Roman" w:hAnsi="Times New Roman" w:cs="Times New Roman"/>
          <w:b/>
          <w:bCs/>
          <w:sz w:val="24"/>
          <w:szCs w:val="24"/>
        </w:rPr>
        <w:t>Is Insufficient Evidence of</w:t>
      </w:r>
      <w:r w:rsidRPr="00352D83">
        <w:rPr>
          <w:rFonts w:ascii="Times New Roman" w:hAnsi="Times New Roman" w:cs="Times New Roman"/>
          <w:b/>
          <w:bCs/>
          <w:sz w:val="24"/>
          <w:szCs w:val="24"/>
        </w:rPr>
        <w:t xml:space="preserve"> Attrition</w:t>
      </w:r>
    </w:p>
    <w:p w:rsidR="00A27DB7" w:rsidRDefault="00A27DB7" w:rsidP="005C1853">
      <w:pPr>
        <w:keepNext/>
        <w:spacing w:after="0" w:line="240" w:lineRule="auto"/>
        <w:ind w:left="1440" w:hanging="720"/>
        <w:rPr>
          <w:rFonts w:ascii="Times New Roman" w:hAnsi="Times New Roman" w:cs="Times New Roman"/>
          <w:b/>
          <w:bCs/>
          <w:sz w:val="24"/>
          <w:szCs w:val="24"/>
        </w:rPr>
      </w:pPr>
    </w:p>
    <w:p w:rsidR="00A27DB7"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bCs/>
          <w:sz w:val="24"/>
          <w:szCs w:val="24"/>
        </w:rPr>
        <w:tab/>
      </w:r>
      <w:r w:rsidR="009B5C9E">
        <w:rPr>
          <w:rFonts w:ascii="Times New Roman" w:hAnsi="Times New Roman"/>
          <w:bCs/>
          <w:sz w:val="24"/>
          <w:szCs w:val="24"/>
        </w:rPr>
        <w:t xml:space="preserve">PSE </w:t>
      </w:r>
      <w:r w:rsidR="00A27DB7" w:rsidRPr="004215EA">
        <w:rPr>
          <w:rFonts w:ascii="Times New Roman" w:hAnsi="Times New Roman"/>
          <w:bCs/>
          <w:sz w:val="24"/>
          <w:szCs w:val="24"/>
        </w:rPr>
        <w:t>did not present an attrition adjustment in this case.</w:t>
      </w:r>
      <w:r w:rsidR="00A27DB7" w:rsidRPr="00352D83">
        <w:rPr>
          <w:rStyle w:val="FootnoteReference"/>
          <w:rFonts w:ascii="Times New Roman" w:hAnsi="Times New Roman"/>
          <w:bCs/>
          <w:sz w:val="24"/>
          <w:szCs w:val="24"/>
        </w:rPr>
        <w:footnoteReference w:id="64"/>
      </w:r>
      <w:r w:rsidR="00A27DB7" w:rsidRPr="004215EA">
        <w:rPr>
          <w:rFonts w:ascii="Times New Roman" w:hAnsi="Times New Roman"/>
          <w:bCs/>
          <w:sz w:val="24"/>
          <w:szCs w:val="24"/>
        </w:rPr>
        <w:t xml:space="preserve">  Instead, </w:t>
      </w:r>
      <w:r w:rsidR="00A27DB7" w:rsidRPr="004215EA">
        <w:rPr>
          <w:rFonts w:ascii="Times New Roman" w:hAnsi="Times New Roman"/>
          <w:sz w:val="24"/>
          <w:szCs w:val="24"/>
        </w:rPr>
        <w:t>Mr. Gaines and Dr. Olson present comparisons of actual (per book</w:t>
      </w:r>
      <w:r w:rsidR="00E6593F">
        <w:rPr>
          <w:rFonts w:ascii="Times New Roman" w:hAnsi="Times New Roman"/>
          <w:sz w:val="24"/>
          <w:szCs w:val="24"/>
        </w:rPr>
        <w:t xml:space="preserve">s) returns on equity </w:t>
      </w:r>
      <w:r w:rsidR="009B5C9E">
        <w:rPr>
          <w:rFonts w:ascii="Times New Roman" w:hAnsi="Times New Roman"/>
          <w:sz w:val="24"/>
          <w:szCs w:val="24"/>
        </w:rPr>
        <w:t>with authorized</w:t>
      </w:r>
      <w:r w:rsidR="00A27DB7" w:rsidRPr="004215EA">
        <w:rPr>
          <w:rFonts w:ascii="Times New Roman" w:hAnsi="Times New Roman"/>
          <w:sz w:val="24"/>
          <w:szCs w:val="24"/>
        </w:rPr>
        <w:t xml:space="preserve"> returns on equity.  Mr. Gaines asserts PSE has under-earned the authorized </w:t>
      </w:r>
      <w:r w:rsidR="00E6593F">
        <w:rPr>
          <w:rFonts w:ascii="Times New Roman" w:hAnsi="Times New Roman"/>
          <w:sz w:val="24"/>
          <w:szCs w:val="24"/>
        </w:rPr>
        <w:t xml:space="preserve">return on equity </w:t>
      </w:r>
      <w:r w:rsidR="00A27DB7" w:rsidRPr="004215EA">
        <w:rPr>
          <w:rFonts w:ascii="Times New Roman" w:hAnsi="Times New Roman"/>
          <w:sz w:val="24"/>
          <w:szCs w:val="24"/>
        </w:rPr>
        <w:t>since 2007.</w:t>
      </w:r>
      <w:r w:rsidR="00A27DB7" w:rsidRPr="00352D83">
        <w:rPr>
          <w:rStyle w:val="FootnoteReference"/>
          <w:rFonts w:ascii="Times New Roman" w:hAnsi="Times New Roman"/>
          <w:sz w:val="24"/>
          <w:szCs w:val="24"/>
        </w:rPr>
        <w:footnoteReference w:id="65"/>
      </w:r>
      <w:r w:rsidR="00A27DB7" w:rsidRPr="004215EA">
        <w:rPr>
          <w:rFonts w:ascii="Times New Roman" w:hAnsi="Times New Roman"/>
          <w:sz w:val="24"/>
          <w:szCs w:val="24"/>
        </w:rPr>
        <w:t xml:space="preserve">  Dr. Olson alleges that t</w:t>
      </w:r>
      <w:r w:rsidR="009B5C9E">
        <w:rPr>
          <w:rFonts w:ascii="Times New Roman" w:hAnsi="Times New Roman"/>
          <w:sz w:val="24"/>
          <w:szCs w:val="24"/>
        </w:rPr>
        <w:t xml:space="preserve">his earnings short-fall </w:t>
      </w:r>
      <w:r w:rsidR="00A27DB7" w:rsidRPr="004215EA">
        <w:rPr>
          <w:rFonts w:ascii="Times New Roman" w:hAnsi="Times New Roman"/>
          <w:sz w:val="24"/>
          <w:szCs w:val="24"/>
        </w:rPr>
        <w:t>is attrition.</w:t>
      </w:r>
      <w:r w:rsidR="00A27DB7" w:rsidRPr="00352D83">
        <w:rPr>
          <w:rStyle w:val="FootnoteReference"/>
          <w:rFonts w:ascii="Times New Roman" w:hAnsi="Times New Roman"/>
          <w:sz w:val="24"/>
          <w:szCs w:val="24"/>
        </w:rPr>
        <w:footnoteReference w:id="66"/>
      </w:r>
    </w:p>
    <w:p w:rsidR="00A27DB7" w:rsidRPr="004215EA" w:rsidRDefault="004215EA" w:rsidP="004215EA">
      <w:pPr>
        <w:pStyle w:val="ListParagraph"/>
        <w:numPr>
          <w:ilvl w:val="0"/>
          <w:numId w:val="1"/>
        </w:numPr>
        <w:spacing w:line="480" w:lineRule="auto"/>
        <w:rPr>
          <w:rFonts w:ascii="Times New Roman" w:hAnsi="Times New Roman"/>
          <w:bCs/>
          <w:sz w:val="24"/>
          <w:szCs w:val="24"/>
        </w:rPr>
      </w:pPr>
      <w:r>
        <w:rPr>
          <w:rFonts w:ascii="Times New Roman" w:hAnsi="Times New Roman"/>
          <w:bCs/>
          <w:sz w:val="24"/>
          <w:szCs w:val="24"/>
        </w:rPr>
        <w:tab/>
      </w:r>
      <w:r w:rsidR="00A27DB7" w:rsidRPr="004215EA">
        <w:rPr>
          <w:rFonts w:ascii="Times New Roman" w:hAnsi="Times New Roman"/>
          <w:bCs/>
          <w:sz w:val="24"/>
          <w:szCs w:val="24"/>
        </w:rPr>
        <w:t>The Company’s presentation belies other evidence suggesting there is no attrition.  For the first 9 months of 2011, PSE financed all construction</w:t>
      </w:r>
      <w:r w:rsidR="00906A8F">
        <w:rPr>
          <w:rFonts w:ascii="Times New Roman" w:hAnsi="Times New Roman"/>
          <w:bCs/>
          <w:sz w:val="24"/>
          <w:szCs w:val="24"/>
        </w:rPr>
        <w:t xml:space="preserve"> ($784.6 million)</w:t>
      </w:r>
      <w:r w:rsidR="00A27DB7" w:rsidRPr="004215EA">
        <w:rPr>
          <w:rFonts w:ascii="Times New Roman" w:hAnsi="Times New Roman"/>
          <w:bCs/>
          <w:sz w:val="24"/>
          <w:szCs w:val="24"/>
        </w:rPr>
        <w:t xml:space="preserve"> with internally generated cash</w:t>
      </w:r>
      <w:r w:rsidR="00906A8F">
        <w:rPr>
          <w:rFonts w:ascii="Times New Roman" w:hAnsi="Times New Roman"/>
          <w:bCs/>
          <w:sz w:val="24"/>
          <w:szCs w:val="24"/>
        </w:rPr>
        <w:t xml:space="preserve"> ($795.2 million)</w:t>
      </w:r>
      <w:r w:rsidR="00A27DB7" w:rsidRPr="004215EA">
        <w:rPr>
          <w:rFonts w:ascii="Times New Roman" w:hAnsi="Times New Roman"/>
          <w:bCs/>
          <w:sz w:val="24"/>
          <w:szCs w:val="24"/>
        </w:rPr>
        <w:t>.</w:t>
      </w:r>
      <w:r w:rsidR="00A27DB7">
        <w:rPr>
          <w:rStyle w:val="FootnoteReference"/>
          <w:rFonts w:ascii="Times New Roman" w:hAnsi="Times New Roman"/>
          <w:bCs/>
          <w:sz w:val="24"/>
          <w:szCs w:val="24"/>
        </w:rPr>
        <w:footnoteReference w:id="67"/>
      </w:r>
      <w:r w:rsidR="00A27DB7" w:rsidRPr="004215EA">
        <w:rPr>
          <w:rFonts w:ascii="Times New Roman" w:hAnsi="Times New Roman"/>
          <w:bCs/>
          <w:sz w:val="24"/>
          <w:szCs w:val="24"/>
        </w:rPr>
        <w:t xml:space="preserve">  This could not occur if earnings were insufficient.</w:t>
      </w:r>
    </w:p>
    <w:p w:rsidR="00A27DB7" w:rsidRPr="004215EA" w:rsidRDefault="004215EA" w:rsidP="004215EA">
      <w:pPr>
        <w:pStyle w:val="ListParagraph"/>
        <w:numPr>
          <w:ilvl w:val="0"/>
          <w:numId w:val="1"/>
        </w:numPr>
        <w:tabs>
          <w:tab w:val="left" w:pos="720"/>
          <w:tab w:val="left" w:pos="1440"/>
          <w:tab w:val="left" w:pos="9240"/>
        </w:tabs>
        <w:spacing w:line="480" w:lineRule="auto"/>
        <w:rPr>
          <w:rFonts w:ascii="Times New Roman" w:hAnsi="Times New Roman"/>
          <w:sz w:val="24"/>
          <w:szCs w:val="24"/>
        </w:rPr>
      </w:pPr>
      <w:r>
        <w:rPr>
          <w:rFonts w:ascii="Times New Roman" w:hAnsi="Times New Roman"/>
          <w:bCs/>
          <w:sz w:val="24"/>
          <w:szCs w:val="24"/>
        </w:rPr>
        <w:tab/>
      </w:r>
      <w:r w:rsidR="00A27DB7" w:rsidRPr="004215EA">
        <w:rPr>
          <w:rFonts w:ascii="Times New Roman" w:hAnsi="Times New Roman"/>
          <w:bCs/>
          <w:sz w:val="24"/>
          <w:szCs w:val="24"/>
        </w:rPr>
        <w:t xml:space="preserve">PSE’s presentation should be rejected also because it </w:t>
      </w:r>
      <w:r w:rsidR="002F39B3" w:rsidRPr="004215EA">
        <w:rPr>
          <w:rFonts w:ascii="Times New Roman" w:hAnsi="Times New Roman"/>
          <w:sz w:val="24"/>
          <w:szCs w:val="24"/>
        </w:rPr>
        <w:t>as</w:t>
      </w:r>
      <w:r w:rsidR="00995918" w:rsidRPr="004215EA">
        <w:rPr>
          <w:rFonts w:ascii="Times New Roman" w:hAnsi="Times New Roman"/>
          <w:sz w:val="24"/>
          <w:szCs w:val="24"/>
        </w:rPr>
        <w:t>s</w:t>
      </w:r>
      <w:r w:rsidR="002F39B3" w:rsidRPr="004215EA">
        <w:rPr>
          <w:rFonts w:ascii="Times New Roman" w:hAnsi="Times New Roman"/>
          <w:sz w:val="24"/>
          <w:szCs w:val="24"/>
        </w:rPr>
        <w:t>umes</w:t>
      </w:r>
      <w:r w:rsidR="00A27DB7" w:rsidRPr="004215EA">
        <w:rPr>
          <w:rFonts w:ascii="Times New Roman" w:hAnsi="Times New Roman"/>
          <w:sz w:val="24"/>
          <w:szCs w:val="24"/>
        </w:rPr>
        <w:t xml:space="preserve"> that regulation guarantee</w:t>
      </w:r>
      <w:r w:rsidR="009B21BB">
        <w:rPr>
          <w:rFonts w:ascii="Times New Roman" w:hAnsi="Times New Roman"/>
          <w:sz w:val="24"/>
          <w:szCs w:val="24"/>
        </w:rPr>
        <w:t>s</w:t>
      </w:r>
      <w:r w:rsidR="00A27DB7" w:rsidRPr="004215EA">
        <w:rPr>
          <w:rFonts w:ascii="Times New Roman" w:hAnsi="Times New Roman"/>
          <w:sz w:val="24"/>
          <w:szCs w:val="24"/>
        </w:rPr>
        <w:t xml:space="preserve"> a specified </w:t>
      </w:r>
      <w:r w:rsidR="00A27DB7" w:rsidRPr="004215EA">
        <w:rPr>
          <w:rFonts w:ascii="Times New Roman" w:hAnsi="Times New Roman"/>
          <w:i/>
          <w:sz w:val="24"/>
          <w:szCs w:val="24"/>
        </w:rPr>
        <w:t>ex post</w:t>
      </w:r>
      <w:r w:rsidR="00E6593F">
        <w:rPr>
          <w:rFonts w:ascii="Times New Roman" w:hAnsi="Times New Roman"/>
          <w:sz w:val="24"/>
          <w:szCs w:val="24"/>
        </w:rPr>
        <w:t xml:space="preserve"> return.  No</w:t>
      </w:r>
      <w:r w:rsidR="005A6065">
        <w:rPr>
          <w:rFonts w:ascii="Times New Roman" w:hAnsi="Times New Roman"/>
          <w:sz w:val="24"/>
          <w:szCs w:val="24"/>
        </w:rPr>
        <w:t xml:space="preserve"> such guarantee exists</w:t>
      </w:r>
      <w:r w:rsidR="00A27DB7" w:rsidRPr="004215EA">
        <w:rPr>
          <w:rFonts w:ascii="Times New Roman" w:hAnsi="Times New Roman"/>
          <w:sz w:val="24"/>
          <w:szCs w:val="24"/>
        </w:rPr>
        <w:t xml:space="preserve">.  In fact, valid rate making may produce a lower than authorized return: </w:t>
      </w:r>
    </w:p>
    <w:p w:rsidR="00A27DB7" w:rsidRDefault="00A27DB7" w:rsidP="00A27DB7">
      <w:pPr>
        <w:tabs>
          <w:tab w:val="left" w:pos="9240"/>
        </w:tabs>
        <w:spacing w:after="0" w:line="240" w:lineRule="auto"/>
        <w:ind w:left="720"/>
        <w:rPr>
          <w:rFonts w:ascii="Times New Roman" w:hAnsi="Times New Roman" w:cs="Times New Roman"/>
          <w:sz w:val="24"/>
          <w:szCs w:val="24"/>
        </w:rPr>
      </w:pPr>
      <w:r w:rsidRPr="00DA15C0">
        <w:rPr>
          <w:rFonts w:ascii="Times New Roman" w:hAnsi="Times New Roman" w:cs="Times New Roman"/>
          <w:sz w:val="24"/>
          <w:szCs w:val="24"/>
        </w:rPr>
        <w:t>Rates which enable the company to operate successfully, to maintain its financial integrity, to attract capital, and to compensate its investors for the risks assumed certainly cannot be condemned as invalid, even though they might produce only a meager return on the so-called “fair value” rate base.</w:t>
      </w:r>
      <w:r w:rsidRPr="00DA15C0">
        <w:rPr>
          <w:rStyle w:val="FootnoteReference"/>
          <w:rFonts w:ascii="Times New Roman" w:hAnsi="Times New Roman"/>
          <w:sz w:val="24"/>
          <w:szCs w:val="24"/>
        </w:rPr>
        <w:footnoteReference w:id="68"/>
      </w:r>
      <w:r w:rsidRPr="00DA15C0">
        <w:rPr>
          <w:rFonts w:ascii="Times New Roman" w:hAnsi="Times New Roman" w:cs="Times New Roman"/>
          <w:sz w:val="24"/>
          <w:szCs w:val="24"/>
        </w:rPr>
        <w:t xml:space="preserve"> </w:t>
      </w:r>
    </w:p>
    <w:p w:rsidR="00A27DB7" w:rsidRDefault="00A27DB7" w:rsidP="00A27DB7">
      <w:pPr>
        <w:tabs>
          <w:tab w:val="left" w:pos="9240"/>
        </w:tabs>
        <w:spacing w:after="0" w:line="240" w:lineRule="auto"/>
        <w:ind w:left="1440"/>
        <w:rPr>
          <w:rFonts w:ascii="Times New Roman" w:hAnsi="Times New Roman" w:cs="Times New Roman"/>
          <w:sz w:val="24"/>
          <w:szCs w:val="24"/>
        </w:rPr>
      </w:pPr>
    </w:p>
    <w:p w:rsidR="00A27DB7"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27DB7" w:rsidRPr="004215EA">
        <w:rPr>
          <w:rFonts w:ascii="Times New Roman" w:hAnsi="Times New Roman"/>
          <w:sz w:val="24"/>
          <w:szCs w:val="24"/>
        </w:rPr>
        <w:t xml:space="preserve">Moreover, </w:t>
      </w:r>
      <w:r w:rsidR="00204D33" w:rsidRPr="004215EA">
        <w:rPr>
          <w:rFonts w:ascii="Times New Roman" w:hAnsi="Times New Roman"/>
          <w:sz w:val="24"/>
          <w:szCs w:val="24"/>
        </w:rPr>
        <w:t>actual returns on equity</w:t>
      </w:r>
      <w:r w:rsidR="00A27DB7" w:rsidRPr="004215EA">
        <w:rPr>
          <w:rFonts w:ascii="Times New Roman" w:hAnsi="Times New Roman"/>
          <w:sz w:val="24"/>
          <w:szCs w:val="24"/>
        </w:rPr>
        <w:t xml:space="preserve"> are impacted by too many factors to be an accurate gauge of financial performance.</w:t>
      </w:r>
      <w:r w:rsidR="00A27DB7">
        <w:rPr>
          <w:rStyle w:val="FootnoteReference"/>
          <w:rFonts w:ascii="Times New Roman" w:hAnsi="Times New Roman"/>
          <w:sz w:val="24"/>
          <w:szCs w:val="24"/>
        </w:rPr>
        <w:footnoteReference w:id="69"/>
      </w:r>
      <w:r w:rsidR="00791129" w:rsidRPr="004215EA">
        <w:rPr>
          <w:rFonts w:ascii="Times New Roman" w:hAnsi="Times New Roman"/>
          <w:sz w:val="24"/>
          <w:szCs w:val="24"/>
        </w:rPr>
        <w:t xml:space="preserve">  This </w:t>
      </w:r>
      <w:r w:rsidR="00A27DB7" w:rsidRPr="004215EA">
        <w:rPr>
          <w:rFonts w:ascii="Times New Roman" w:hAnsi="Times New Roman"/>
          <w:sz w:val="24"/>
          <w:szCs w:val="24"/>
        </w:rPr>
        <w:t>was confirmed by other Company testi</w:t>
      </w:r>
      <w:r w:rsidR="00E6593F">
        <w:rPr>
          <w:rFonts w:ascii="Times New Roman" w:hAnsi="Times New Roman"/>
          <w:sz w:val="24"/>
          <w:szCs w:val="24"/>
        </w:rPr>
        <w:t>mony on</w:t>
      </w:r>
      <w:r w:rsidR="00A27DB7" w:rsidRPr="004215EA">
        <w:rPr>
          <w:rFonts w:ascii="Times New Roman" w:hAnsi="Times New Roman"/>
          <w:sz w:val="24"/>
          <w:szCs w:val="24"/>
        </w:rPr>
        <w:t xml:space="preserve"> the volatile nature of actual results.</w:t>
      </w:r>
      <w:r w:rsidR="00A27DB7">
        <w:rPr>
          <w:rStyle w:val="FootnoteReference"/>
          <w:rFonts w:ascii="Times New Roman" w:hAnsi="Times New Roman"/>
          <w:sz w:val="24"/>
          <w:szCs w:val="24"/>
        </w:rPr>
        <w:footnoteReference w:id="70"/>
      </w:r>
      <w:r w:rsidR="00A27DB7" w:rsidRPr="004215EA">
        <w:rPr>
          <w:rFonts w:ascii="Times New Roman" w:hAnsi="Times New Roman"/>
          <w:sz w:val="24"/>
          <w:szCs w:val="24"/>
        </w:rPr>
        <w:t xml:space="preserve">  It was also confirmed in 1988 when the Commission amended its financial reporting rules to require normalized results rather than actual results.</w:t>
      </w:r>
      <w:r w:rsidR="00A27DB7">
        <w:rPr>
          <w:rStyle w:val="FootnoteReference"/>
          <w:rFonts w:ascii="Times New Roman" w:hAnsi="Times New Roman"/>
          <w:sz w:val="24"/>
          <w:szCs w:val="24"/>
        </w:rPr>
        <w:footnoteReference w:id="71"/>
      </w:r>
      <w:r w:rsidR="00A27DB7" w:rsidRPr="004215EA">
        <w:rPr>
          <w:rFonts w:ascii="Times New Roman" w:hAnsi="Times New Roman"/>
          <w:sz w:val="24"/>
          <w:szCs w:val="24"/>
        </w:rPr>
        <w:t xml:space="preserve">  Finally, the </w:t>
      </w:r>
      <w:r w:rsidR="00A27DB7" w:rsidRPr="004215EA">
        <w:rPr>
          <w:rFonts w:ascii="Times New Roman" w:hAnsi="Times New Roman"/>
          <w:sz w:val="24"/>
          <w:szCs w:val="24"/>
        </w:rPr>
        <w:lastRenderedPageBreak/>
        <w:t>data presented by Mr. Gaines is for combined gas and electric operations.</w:t>
      </w:r>
      <w:r w:rsidR="00A27DB7" w:rsidRPr="00353D86">
        <w:rPr>
          <w:rStyle w:val="FootnoteReference"/>
          <w:rFonts w:ascii="Times New Roman" w:hAnsi="Times New Roman"/>
          <w:sz w:val="24"/>
          <w:szCs w:val="24"/>
        </w:rPr>
        <w:footnoteReference w:id="72"/>
      </w:r>
      <w:r w:rsidR="00A27DB7" w:rsidRPr="004215EA">
        <w:rPr>
          <w:rFonts w:ascii="Times New Roman" w:hAnsi="Times New Roman"/>
          <w:sz w:val="24"/>
          <w:szCs w:val="24"/>
        </w:rPr>
        <w:t xml:space="preserve">  Thus, the Commission</w:t>
      </w:r>
      <w:r w:rsidR="005A6065">
        <w:rPr>
          <w:rFonts w:ascii="Times New Roman" w:hAnsi="Times New Roman"/>
          <w:sz w:val="24"/>
          <w:szCs w:val="24"/>
        </w:rPr>
        <w:t xml:space="preserve"> cannot determine the cause and </w:t>
      </w:r>
      <w:r w:rsidR="00A27DB7" w:rsidRPr="004215EA">
        <w:rPr>
          <w:rFonts w:ascii="Times New Roman" w:hAnsi="Times New Roman"/>
          <w:sz w:val="24"/>
          <w:szCs w:val="24"/>
        </w:rPr>
        <w:t>e</w:t>
      </w:r>
      <w:r w:rsidR="002F39B3" w:rsidRPr="004215EA">
        <w:rPr>
          <w:rFonts w:ascii="Times New Roman" w:hAnsi="Times New Roman"/>
          <w:sz w:val="24"/>
          <w:szCs w:val="24"/>
        </w:rPr>
        <w:t>xtent of attrition, if any</w:t>
      </w:r>
      <w:r w:rsidR="00A27DB7" w:rsidRPr="004215EA">
        <w:rPr>
          <w:rFonts w:ascii="Times New Roman" w:hAnsi="Times New Roman"/>
          <w:sz w:val="24"/>
          <w:szCs w:val="24"/>
        </w:rPr>
        <w:t>, and what</w:t>
      </w:r>
      <w:r w:rsidR="00791129" w:rsidRPr="004215EA">
        <w:rPr>
          <w:rFonts w:ascii="Times New Roman" w:hAnsi="Times New Roman"/>
          <w:sz w:val="24"/>
          <w:szCs w:val="24"/>
        </w:rPr>
        <w:t xml:space="preserve"> remedy, if any, </w:t>
      </w:r>
      <w:r w:rsidR="00A27DB7" w:rsidRPr="004215EA">
        <w:rPr>
          <w:rFonts w:ascii="Times New Roman" w:hAnsi="Times New Roman"/>
          <w:sz w:val="24"/>
          <w:szCs w:val="24"/>
        </w:rPr>
        <w:t xml:space="preserve">may be necessary and appropriate for each line of business.   </w:t>
      </w:r>
    </w:p>
    <w:p w:rsidR="00A27DB7" w:rsidRPr="00315E3C" w:rsidRDefault="004215EA" w:rsidP="004215EA">
      <w:pPr>
        <w:pStyle w:val="BodyTextIndent"/>
        <w:numPr>
          <w:ilvl w:val="0"/>
          <w:numId w:val="1"/>
        </w:numPr>
      </w:pPr>
      <w:r>
        <w:tab/>
      </w:r>
      <w:r w:rsidR="00A27DB7">
        <w:t>In short, PSE failed to present a proper analysis of attrition or explain why established Commission practice to address attrition is no longer valid.  Its claim of attrition is, therefore, unsubstantiated and should be rejected by the Commission.</w:t>
      </w:r>
      <w:r w:rsidR="00A27DB7">
        <w:rPr>
          <w:rStyle w:val="FootnoteReference"/>
        </w:rPr>
        <w:footnoteReference w:id="73"/>
      </w:r>
      <w:r w:rsidR="00081DCD">
        <w:t xml:space="preserve">  </w:t>
      </w:r>
    </w:p>
    <w:p w:rsidR="0085548C" w:rsidRDefault="0085548C" w:rsidP="00C179D6">
      <w:pPr>
        <w:keepNext/>
        <w:spacing w:after="0" w:line="480" w:lineRule="auto"/>
        <w:rPr>
          <w:rFonts w:ascii="Times New Roman" w:hAnsi="Times New Roman"/>
          <w:b/>
          <w:sz w:val="24"/>
          <w:szCs w:val="24"/>
        </w:rPr>
      </w:pPr>
      <w:r w:rsidRPr="00315E3C">
        <w:rPr>
          <w:rFonts w:ascii="Times New Roman" w:hAnsi="Times New Roman" w:cs="Times New Roman"/>
          <w:b/>
          <w:sz w:val="24"/>
          <w:szCs w:val="24"/>
        </w:rPr>
        <w:t>D.</w:t>
      </w:r>
      <w:r w:rsidRPr="00315E3C">
        <w:rPr>
          <w:rFonts w:ascii="Times New Roman" w:hAnsi="Times New Roman" w:cs="Times New Roman"/>
          <w:b/>
          <w:sz w:val="24"/>
          <w:szCs w:val="24"/>
        </w:rPr>
        <w:tab/>
      </w:r>
      <w:r w:rsidR="00894309" w:rsidRPr="00315E3C">
        <w:rPr>
          <w:rFonts w:ascii="Times New Roman" w:hAnsi="Times New Roman" w:cs="Times New Roman"/>
          <w:b/>
          <w:sz w:val="24"/>
          <w:szCs w:val="24"/>
        </w:rPr>
        <w:t>Staff’s Proposal for Expedited Rate Relief Will Address the</w:t>
      </w:r>
      <w:r w:rsidR="00894309">
        <w:rPr>
          <w:rFonts w:ascii="Times New Roman" w:hAnsi="Times New Roman"/>
          <w:b/>
          <w:sz w:val="24"/>
          <w:szCs w:val="24"/>
        </w:rPr>
        <w:t xml:space="preserve"> Issue of Regulatory Lag</w:t>
      </w:r>
    </w:p>
    <w:p w:rsidR="00BF6676" w:rsidRDefault="004215EA" w:rsidP="004215EA">
      <w:pPr>
        <w:pStyle w:val="BodyTextIndent"/>
        <w:numPr>
          <w:ilvl w:val="0"/>
          <w:numId w:val="1"/>
        </w:numPr>
      </w:pPr>
      <w:r>
        <w:tab/>
      </w:r>
      <w:r w:rsidR="00BF6676">
        <w:t>Despite PSE’s deficient presentation on attri</w:t>
      </w:r>
      <w:r w:rsidR="001F749E">
        <w:t>tion, the Company did present</w:t>
      </w:r>
      <w:r w:rsidR="00BF6676">
        <w:t xml:space="preserve"> tes</w:t>
      </w:r>
      <w:r w:rsidR="00DF37E8">
        <w:t xml:space="preserve">timony regarding ongoing costs for </w:t>
      </w:r>
      <w:r w:rsidR="00BF6676">
        <w:t>infrastructure additions, replacements and maintenance.</w:t>
      </w:r>
      <w:r w:rsidR="00BF6676">
        <w:rPr>
          <w:rStyle w:val="FootnoteReference"/>
        </w:rPr>
        <w:footnoteReference w:id="74"/>
      </w:r>
      <w:r w:rsidR="00BF6676">
        <w:t xml:space="preserve">  T</w:t>
      </w:r>
      <w:r w:rsidR="00204D33">
        <w:t>his testimony warranted</w:t>
      </w:r>
      <w:r w:rsidR="001F749E">
        <w:t xml:space="preserve"> a </w:t>
      </w:r>
      <w:r w:rsidR="00BF6676">
        <w:t>response</w:t>
      </w:r>
      <w:r w:rsidR="00204D33">
        <w:t xml:space="preserve">, but one </w:t>
      </w:r>
      <w:r w:rsidR="00BF6676">
        <w:t>that is consiste</w:t>
      </w:r>
      <w:r w:rsidR="00542749">
        <w:t xml:space="preserve">nt with </w:t>
      </w:r>
      <w:r w:rsidR="00BF6676">
        <w:t>historical test-year ratemaking.</w:t>
      </w:r>
    </w:p>
    <w:p w:rsidR="00BF6676" w:rsidRDefault="004215EA" w:rsidP="004215EA">
      <w:pPr>
        <w:pStyle w:val="BodyTextIndent"/>
        <w:numPr>
          <w:ilvl w:val="0"/>
          <w:numId w:val="1"/>
        </w:numPr>
      </w:pPr>
      <w:r>
        <w:tab/>
      </w:r>
      <w:r w:rsidR="00315310">
        <w:t>Staff proposed an expedited f</w:t>
      </w:r>
      <w:r w:rsidR="00F713B9">
        <w:t xml:space="preserve">orm of general rate relief using a simple and straight-forward process to update the test period </w:t>
      </w:r>
      <w:r w:rsidR="00E6593F">
        <w:t>relationships between rate base and net operating income</w:t>
      </w:r>
      <w:r w:rsidR="00F713B9">
        <w:t>.  The process would utilize</w:t>
      </w:r>
      <w:r w:rsidR="00315310">
        <w:t xml:space="preserve"> the type of financial information required by Commission basis reports.</w:t>
      </w:r>
      <w:r w:rsidR="00A6438F">
        <w:rPr>
          <w:rStyle w:val="FootnoteReference"/>
        </w:rPr>
        <w:footnoteReference w:id="75"/>
      </w:r>
      <w:r w:rsidR="00E6593F">
        <w:t xml:space="preserve">  It </w:t>
      </w:r>
      <w:r w:rsidR="00315310">
        <w:t xml:space="preserve">could be filed in </w:t>
      </w:r>
      <w:r w:rsidR="009F20F6">
        <w:t xml:space="preserve">early </w:t>
      </w:r>
      <w:r w:rsidR="00204D33">
        <w:t>March to allow a decision by September that</w:t>
      </w:r>
      <w:r w:rsidR="00315310">
        <w:t xml:space="preserve"> coincide</w:t>
      </w:r>
      <w:r w:rsidR="00204D33">
        <w:t>s</w:t>
      </w:r>
      <w:r w:rsidR="00315310">
        <w:t xml:space="preserve"> with the winter heating season when PSE generates 70 percent of its annual net operating income.</w:t>
      </w:r>
      <w:r w:rsidR="00315310">
        <w:rPr>
          <w:rStyle w:val="FootnoteReference"/>
        </w:rPr>
        <w:footnoteReference w:id="76"/>
      </w:r>
      <w:r w:rsidR="00315310">
        <w:t xml:space="preserve">  </w:t>
      </w:r>
      <w:r w:rsidR="002E67C1">
        <w:t>T</w:t>
      </w:r>
      <w:r w:rsidR="00BF6676">
        <w:t xml:space="preserve">he case would </w:t>
      </w:r>
      <w:r w:rsidR="005A6065">
        <w:t>contain</w:t>
      </w:r>
      <w:r w:rsidR="00F3628D">
        <w:t xml:space="preserve"> only restating adjus</w:t>
      </w:r>
      <w:r w:rsidR="00204D33">
        <w:t xml:space="preserve">tments, such </w:t>
      </w:r>
      <w:r w:rsidR="005A6065">
        <w:t xml:space="preserve">as </w:t>
      </w:r>
      <w:r w:rsidR="00F3628D">
        <w:t xml:space="preserve">temperature </w:t>
      </w:r>
      <w:r w:rsidR="002E67C1">
        <w:t>normalization</w:t>
      </w:r>
      <w:r w:rsidR="00F3628D">
        <w:t>.</w:t>
      </w:r>
      <w:r w:rsidR="00204D33">
        <w:t xml:space="preserve">  PSE </w:t>
      </w:r>
      <w:r w:rsidR="00BF6676">
        <w:t xml:space="preserve">could </w:t>
      </w:r>
      <w:r w:rsidR="00791129">
        <w:t xml:space="preserve">not request a change in </w:t>
      </w:r>
      <w:r w:rsidR="00BF6676">
        <w:t>rate of return, except to update debt c</w:t>
      </w:r>
      <w:r w:rsidR="005A6065">
        <w:t>osts</w:t>
      </w:r>
      <w:r w:rsidR="00F3628D">
        <w:t>.</w:t>
      </w:r>
      <w:r w:rsidR="00BA5191">
        <w:rPr>
          <w:rStyle w:val="FootnoteReference"/>
        </w:rPr>
        <w:footnoteReference w:id="77"/>
      </w:r>
    </w:p>
    <w:p w:rsidR="00F3628D" w:rsidRDefault="004215EA" w:rsidP="004215EA">
      <w:pPr>
        <w:pStyle w:val="BodyTextIndent"/>
        <w:numPr>
          <w:ilvl w:val="0"/>
          <w:numId w:val="1"/>
        </w:numPr>
      </w:pPr>
      <w:r>
        <w:tab/>
      </w:r>
      <w:r w:rsidR="00F3628D">
        <w:t>The advantages of the Staff proposal are numerable:</w:t>
      </w:r>
    </w:p>
    <w:p w:rsidR="00F3628D" w:rsidRDefault="00F3628D" w:rsidP="004736BE">
      <w:pPr>
        <w:pStyle w:val="BodyTextIndent"/>
        <w:numPr>
          <w:ilvl w:val="0"/>
          <w:numId w:val="4"/>
        </w:numPr>
        <w:spacing w:line="240" w:lineRule="auto"/>
      </w:pPr>
      <w:r>
        <w:t xml:space="preserve">Rates would be based upon known costs - not budgets; </w:t>
      </w:r>
    </w:p>
    <w:p w:rsidR="00BA5191" w:rsidRDefault="00BA5191" w:rsidP="00BA5191">
      <w:pPr>
        <w:pStyle w:val="BodyTextIndent"/>
        <w:spacing w:line="240" w:lineRule="auto"/>
        <w:ind w:left="1440" w:firstLine="0"/>
      </w:pPr>
    </w:p>
    <w:p w:rsidR="00F3628D" w:rsidRDefault="00F3628D" w:rsidP="004736BE">
      <w:pPr>
        <w:pStyle w:val="BodyTextIndent"/>
        <w:numPr>
          <w:ilvl w:val="0"/>
          <w:numId w:val="4"/>
        </w:numPr>
        <w:spacing w:line="240" w:lineRule="auto"/>
      </w:pPr>
      <w:r>
        <w:lastRenderedPageBreak/>
        <w:t>Rates would capture changes to test year customer growt</w:t>
      </w:r>
      <w:r w:rsidR="00334615">
        <w:t xml:space="preserve">h and load including </w:t>
      </w:r>
      <w:r w:rsidR="00CC3F83">
        <w:t xml:space="preserve">any changes that result </w:t>
      </w:r>
      <w:r>
        <w:t xml:space="preserve">from conservation; </w:t>
      </w:r>
    </w:p>
    <w:p w:rsidR="00BA5191" w:rsidRDefault="00BA5191" w:rsidP="00BA5191">
      <w:pPr>
        <w:pStyle w:val="BodyTextIndent"/>
        <w:spacing w:line="240" w:lineRule="auto"/>
        <w:ind w:left="1440" w:firstLine="0"/>
      </w:pPr>
    </w:p>
    <w:p w:rsidR="00ED3202" w:rsidRDefault="00F3628D" w:rsidP="004736BE">
      <w:pPr>
        <w:pStyle w:val="BodyTextIndent"/>
        <w:numPr>
          <w:ilvl w:val="0"/>
          <w:numId w:val="4"/>
        </w:numPr>
        <w:spacing w:line="240" w:lineRule="auto"/>
      </w:pPr>
      <w:r>
        <w:t xml:space="preserve">Rates changes </w:t>
      </w:r>
      <w:r w:rsidR="00ED3202">
        <w:t xml:space="preserve">would be implemented to </w:t>
      </w:r>
      <w:r>
        <w:t>maximize the impa</w:t>
      </w:r>
      <w:r w:rsidR="00ED3202">
        <w:t>ct on financial results; and</w:t>
      </w:r>
    </w:p>
    <w:p w:rsidR="00BA5191" w:rsidRDefault="00BA5191" w:rsidP="00BA5191">
      <w:pPr>
        <w:pStyle w:val="BodyTextIndent"/>
        <w:spacing w:line="240" w:lineRule="auto"/>
        <w:ind w:left="1440" w:firstLine="0"/>
      </w:pPr>
    </w:p>
    <w:p w:rsidR="00F3628D" w:rsidRPr="004C10EE" w:rsidRDefault="00ED3202" w:rsidP="004736BE">
      <w:pPr>
        <w:pStyle w:val="BodyTextIndent"/>
        <w:numPr>
          <w:ilvl w:val="0"/>
          <w:numId w:val="4"/>
        </w:numPr>
        <w:spacing w:line="240" w:lineRule="auto"/>
      </w:pPr>
      <w:r>
        <w:t xml:space="preserve">This process provides for </w:t>
      </w:r>
      <w:r w:rsidR="00F3628D">
        <w:t>more streamlined and les</w:t>
      </w:r>
      <w:r>
        <w:t>s contentious rate proceedings.</w:t>
      </w:r>
      <w:r w:rsidR="00BA5191">
        <w:rPr>
          <w:rStyle w:val="FootnoteReference"/>
        </w:rPr>
        <w:footnoteReference w:id="78"/>
      </w:r>
    </w:p>
    <w:p w:rsidR="00F3628D" w:rsidRDefault="00F3628D" w:rsidP="00BA5191">
      <w:pPr>
        <w:pStyle w:val="BodyTextIndent"/>
        <w:spacing w:line="240" w:lineRule="auto"/>
      </w:pPr>
    </w:p>
    <w:p w:rsidR="00F3628D" w:rsidRDefault="004215EA" w:rsidP="004215EA">
      <w:pPr>
        <w:pStyle w:val="BodyTextIndent"/>
        <w:numPr>
          <w:ilvl w:val="0"/>
          <w:numId w:val="1"/>
        </w:numPr>
      </w:pPr>
      <w:r>
        <w:tab/>
      </w:r>
      <w:r w:rsidR="00453062">
        <w:t>PSE</w:t>
      </w:r>
      <w:r w:rsidR="00894309">
        <w:t xml:space="preserve"> agrees that an expedited </w:t>
      </w:r>
      <w:r w:rsidR="00DF37E8">
        <w:t xml:space="preserve">rate case process will </w:t>
      </w:r>
      <w:r w:rsidR="00453062">
        <w:t>assist</w:t>
      </w:r>
      <w:r w:rsidR="00894309">
        <w:t xml:space="preserve"> in addressing attrition ca</w:t>
      </w:r>
      <w:r w:rsidR="00453062">
        <w:t>used by regulatory lag</w:t>
      </w:r>
      <w:r w:rsidR="00894309">
        <w:t>.</w:t>
      </w:r>
      <w:r w:rsidR="00894309">
        <w:rPr>
          <w:rStyle w:val="FootnoteReference"/>
        </w:rPr>
        <w:footnoteReference w:id="79"/>
      </w:r>
      <w:r w:rsidR="00204D33">
        <w:t xml:space="preserve">  Nevertheless, it</w:t>
      </w:r>
      <w:r w:rsidR="00270914">
        <w:t xml:space="preserve"> </w:t>
      </w:r>
      <w:r w:rsidR="00453062">
        <w:t xml:space="preserve">suggested </w:t>
      </w:r>
      <w:r w:rsidR="00C218DB">
        <w:t xml:space="preserve">the Commission </w:t>
      </w:r>
      <w:r w:rsidR="00FD3EEA">
        <w:t xml:space="preserve">instead </w:t>
      </w:r>
      <w:r w:rsidR="00270914">
        <w:t>adopt a future test period approach based on budgets and forecasts rather than audited, historical results.</w:t>
      </w:r>
      <w:r w:rsidR="00270914">
        <w:rPr>
          <w:rStyle w:val="FootnoteReference"/>
        </w:rPr>
        <w:footnoteReference w:id="80"/>
      </w:r>
      <w:r w:rsidR="00270914">
        <w:t xml:space="preserve">  </w:t>
      </w:r>
    </w:p>
    <w:p w:rsidR="00B90661" w:rsidRPr="00811B15" w:rsidRDefault="004215EA" w:rsidP="005A6065">
      <w:pPr>
        <w:pStyle w:val="BodyTextIndent"/>
        <w:numPr>
          <w:ilvl w:val="0"/>
          <w:numId w:val="1"/>
        </w:numPr>
      </w:pPr>
      <w:r>
        <w:tab/>
      </w:r>
      <w:r w:rsidR="00270914">
        <w:t>Th</w:t>
      </w:r>
      <w:r w:rsidR="00B90661">
        <w:t>e</w:t>
      </w:r>
      <w:r w:rsidR="00453062">
        <w:t xml:space="preserve"> Commission has </w:t>
      </w:r>
      <w:r w:rsidR="00C218DB">
        <w:t xml:space="preserve">rejected </w:t>
      </w:r>
      <w:r w:rsidR="00270914">
        <w:t>a future tes</w:t>
      </w:r>
      <w:r w:rsidR="00B90661">
        <w:t>t</w:t>
      </w:r>
      <w:r w:rsidR="00C218DB">
        <w:t xml:space="preserve"> year approach </w:t>
      </w:r>
      <w:r w:rsidR="00B90661">
        <w:t xml:space="preserve">because </w:t>
      </w:r>
      <w:r w:rsidR="00C218DB">
        <w:t>budgets and forecasts are</w:t>
      </w:r>
      <w:r w:rsidR="00B90661">
        <w:t xml:space="preserve"> subject to error</w:t>
      </w:r>
      <w:r w:rsidR="00C218DB">
        <w:t>, revision</w:t>
      </w:r>
      <w:r w:rsidR="005A6065">
        <w:t xml:space="preserve"> and unreliability</w:t>
      </w:r>
      <w:r w:rsidR="00B90661">
        <w:t>.</w:t>
      </w:r>
      <w:r w:rsidR="00B90661">
        <w:rPr>
          <w:rStyle w:val="FootnoteReference"/>
        </w:rPr>
        <w:footnoteReference w:id="81"/>
      </w:r>
      <w:r w:rsidR="005A6065">
        <w:t xml:space="preserve">  </w:t>
      </w:r>
      <w:r w:rsidR="00B90661">
        <w:t>Moreover, setting rates based on forecasted expenditures from a budget reduces a utility’s incentive to efficiently manage and control expenditures.</w:t>
      </w:r>
      <w:r w:rsidR="00B90661">
        <w:rPr>
          <w:rStyle w:val="FootnoteReference"/>
        </w:rPr>
        <w:footnoteReference w:id="82"/>
      </w:r>
      <w:r w:rsidR="00B90661">
        <w:t xml:space="preserve">  This is inconsiste</w:t>
      </w:r>
      <w:r w:rsidR="00E6593F">
        <w:t xml:space="preserve">nt with Commission policy </w:t>
      </w:r>
      <w:r w:rsidR="00B90661">
        <w:t xml:space="preserve">that regulation should always </w:t>
      </w:r>
      <w:r w:rsidR="00791129">
        <w:t>motivate</w:t>
      </w:r>
      <w:r w:rsidR="00B90661">
        <w:t xml:space="preserve"> a utility to </w:t>
      </w:r>
      <w:r w:rsidR="00791129">
        <w:t>efficiently manage costs</w:t>
      </w:r>
      <w:r w:rsidR="00B90661">
        <w:t>.</w:t>
      </w:r>
      <w:r w:rsidR="00B90661">
        <w:rPr>
          <w:rStyle w:val="FootnoteReference"/>
        </w:rPr>
        <w:footnoteReference w:id="83"/>
      </w:r>
      <w:r w:rsidR="00122F9F">
        <w:t xml:space="preserve">  A</w:t>
      </w:r>
      <w:r w:rsidR="00C218DB">
        <w:t xml:space="preserve"> future test year also introduces significant burden on the Commission and parties because it requires them to </w:t>
      </w:r>
      <w:r w:rsidR="00791129">
        <w:t xml:space="preserve">both </w:t>
      </w:r>
      <w:r w:rsidR="00315310">
        <w:t>evaluate a utility’s estimate</w:t>
      </w:r>
      <w:r w:rsidR="00122F9F">
        <w:t>s</w:t>
      </w:r>
      <w:r w:rsidR="00315310">
        <w:t xml:space="preserve"> o</w:t>
      </w:r>
      <w:r w:rsidR="00791129">
        <w:t xml:space="preserve">f future expenditures and </w:t>
      </w:r>
      <w:r w:rsidR="00315310">
        <w:t>audit past ex</w:t>
      </w:r>
      <w:r w:rsidR="00122F9F">
        <w:t>penses for consistency with thos</w:t>
      </w:r>
      <w:r w:rsidR="00315310">
        <w:t>e forecasts.</w:t>
      </w:r>
      <w:r w:rsidR="00315310">
        <w:rPr>
          <w:rStyle w:val="FootnoteReference"/>
        </w:rPr>
        <w:footnoteReference w:id="84"/>
      </w:r>
    </w:p>
    <w:p w:rsidR="00DF37E8" w:rsidRDefault="004215EA" w:rsidP="004215EA">
      <w:pPr>
        <w:pStyle w:val="BodyTextIndent"/>
        <w:numPr>
          <w:ilvl w:val="0"/>
          <w:numId w:val="1"/>
        </w:numPr>
      </w:pPr>
      <w:r>
        <w:tab/>
      </w:r>
      <w:r w:rsidR="00BA7BEE">
        <w:t xml:space="preserve">PSE claims that </w:t>
      </w:r>
      <w:r w:rsidR="00AB3FD8">
        <w:t>Staff</w:t>
      </w:r>
      <w:r w:rsidR="00617ACC">
        <w:t xml:space="preserve"> </w:t>
      </w:r>
      <w:r w:rsidR="00AB3FD8">
        <w:t>offers nothin</w:t>
      </w:r>
      <w:r w:rsidR="00BA7BEE">
        <w:t>g more</w:t>
      </w:r>
      <w:r w:rsidR="00791129">
        <w:t xml:space="preserve"> than </w:t>
      </w:r>
      <w:r w:rsidR="00AB3FD8">
        <w:t>already provided</w:t>
      </w:r>
      <w:r w:rsidR="00DF37E8">
        <w:t xml:space="preserve"> by rule</w:t>
      </w:r>
      <w:r w:rsidR="00BA7BEE">
        <w:t xml:space="preserve"> for </w:t>
      </w:r>
      <w:r w:rsidR="00AB3FD8">
        <w:t>rate requ</w:t>
      </w:r>
      <w:r w:rsidR="00791129">
        <w:t>ests of</w:t>
      </w:r>
      <w:r w:rsidR="00BA7BEE">
        <w:t xml:space="preserve"> less than 3 percent and, in fact, is </w:t>
      </w:r>
      <w:r w:rsidR="00791129">
        <w:t xml:space="preserve">more restrictive </w:t>
      </w:r>
      <w:r w:rsidR="00617ACC">
        <w:t xml:space="preserve">because Staff </w:t>
      </w:r>
      <w:r w:rsidR="00BA7BEE">
        <w:t>would exclude pro forma adjustments</w:t>
      </w:r>
      <w:r w:rsidR="00AB3FD8">
        <w:t>.</w:t>
      </w:r>
      <w:r w:rsidR="00AB3FD8">
        <w:rPr>
          <w:rStyle w:val="FootnoteReference"/>
        </w:rPr>
        <w:footnoteReference w:id="85"/>
      </w:r>
      <w:r w:rsidR="00BA7BEE">
        <w:t xml:space="preserve">  </w:t>
      </w:r>
      <w:r w:rsidR="00617ACC">
        <w:t>PSE misreads th</w:t>
      </w:r>
      <w:r w:rsidR="00A37153">
        <w:t>e rules.  T</w:t>
      </w:r>
      <w:r w:rsidR="00BA7BEE">
        <w:t xml:space="preserve">he </w:t>
      </w:r>
      <w:r w:rsidR="00A37153">
        <w:t xml:space="preserve">rules </w:t>
      </w:r>
      <w:r w:rsidR="00617ACC">
        <w:t xml:space="preserve">do not require expedited </w:t>
      </w:r>
      <w:r w:rsidR="00BA7BEE">
        <w:t xml:space="preserve">relief.  They only exclude from </w:t>
      </w:r>
      <w:r w:rsidR="00453062">
        <w:t xml:space="preserve">specific </w:t>
      </w:r>
      <w:r w:rsidR="00617ACC">
        <w:t>filing requirements</w:t>
      </w:r>
      <w:r w:rsidR="00BA7BEE">
        <w:t xml:space="preserve"> requests that are not “general rate cases” because they </w:t>
      </w:r>
      <w:r w:rsidR="00BA7BEE">
        <w:lastRenderedPageBreak/>
        <w:t>do not exceed 3 percent.</w:t>
      </w:r>
      <w:r w:rsidR="00A37153">
        <w:rPr>
          <w:rStyle w:val="FootnoteReference"/>
        </w:rPr>
        <w:footnoteReference w:id="86"/>
      </w:r>
      <w:r w:rsidR="00BA7BEE">
        <w:t xml:space="preserve">  </w:t>
      </w:r>
      <w:r w:rsidR="00617ACC">
        <w:t xml:space="preserve">Thus, a request below </w:t>
      </w:r>
      <w:r w:rsidR="00A37153">
        <w:t xml:space="preserve">3 percent </w:t>
      </w:r>
      <w:r w:rsidR="00204D33">
        <w:t>is stil</w:t>
      </w:r>
      <w:r w:rsidR="00E6593F">
        <w:t xml:space="preserve">l a request to revise rates that can </w:t>
      </w:r>
      <w:r w:rsidR="00A37153">
        <w:t>take the full 10 month suspension period.</w:t>
      </w:r>
      <w:r w:rsidR="00204D33">
        <w:rPr>
          <w:rStyle w:val="FootnoteReference"/>
        </w:rPr>
        <w:footnoteReference w:id="87"/>
      </w:r>
      <w:r w:rsidR="00A37153">
        <w:t xml:space="preserve">  </w:t>
      </w:r>
      <w:r w:rsidR="00DF37E8">
        <w:t>S</w:t>
      </w:r>
      <w:r w:rsidR="00617ACC">
        <w:t>taff offers a process for quicker resolution</w:t>
      </w:r>
      <w:r w:rsidR="00B46068">
        <w:t xml:space="preserve"> whether a request is more or less than 3 percent</w:t>
      </w:r>
      <w:r w:rsidR="00617ACC">
        <w:t>.</w:t>
      </w:r>
    </w:p>
    <w:p w:rsidR="00BF6676" w:rsidRDefault="004215EA" w:rsidP="004215EA">
      <w:pPr>
        <w:pStyle w:val="BodyTextIndent"/>
        <w:numPr>
          <w:ilvl w:val="0"/>
          <w:numId w:val="1"/>
        </w:numPr>
        <w:rPr>
          <w:b/>
        </w:rPr>
      </w:pPr>
      <w:r>
        <w:tab/>
      </w:r>
      <w:r w:rsidR="00A37153">
        <w:t>Finally, PSE claims</w:t>
      </w:r>
      <w:r w:rsidR="00C218DB">
        <w:t xml:space="preserve"> that Staf</w:t>
      </w:r>
      <w:r w:rsidR="00F713B9">
        <w:t xml:space="preserve">f’s expedited rate case </w:t>
      </w:r>
      <w:r w:rsidR="00A37153">
        <w:t>lacks</w:t>
      </w:r>
      <w:r w:rsidR="00C218DB">
        <w:t xml:space="preserve"> too many details to support</w:t>
      </w:r>
      <w:r w:rsidR="001B2ED1">
        <w:t xml:space="preserve"> at this time</w:t>
      </w:r>
      <w:r w:rsidR="00C218DB">
        <w:t>.</w:t>
      </w:r>
      <w:r w:rsidR="00C218DB">
        <w:rPr>
          <w:rStyle w:val="FootnoteReference"/>
        </w:rPr>
        <w:footnoteReference w:id="88"/>
      </w:r>
      <w:r w:rsidR="004F3D0B">
        <w:t xml:space="preserve">  However, Staff </w:t>
      </w:r>
      <w:r w:rsidR="001B2ED1">
        <w:t>described the process with s</w:t>
      </w:r>
      <w:r w:rsidR="00F713B9">
        <w:t xml:space="preserve">ufficient specificity as to </w:t>
      </w:r>
      <w:r w:rsidR="00453062">
        <w:t xml:space="preserve">timing, </w:t>
      </w:r>
      <w:r w:rsidR="00CC3F83">
        <w:t xml:space="preserve">supporting </w:t>
      </w:r>
      <w:r w:rsidR="001B2ED1">
        <w:t>dat</w:t>
      </w:r>
      <w:r w:rsidR="004F3D0B">
        <w:t>a and allowed adjustments</w:t>
      </w:r>
      <w:r w:rsidR="001B2ED1">
        <w:t>.</w:t>
      </w:r>
      <w:r w:rsidR="001B2ED1">
        <w:rPr>
          <w:rStyle w:val="FootnoteReference"/>
        </w:rPr>
        <w:footnoteReference w:id="89"/>
      </w:r>
      <w:r w:rsidR="004F3D0B">
        <w:t xml:space="preserve">  </w:t>
      </w:r>
      <w:r w:rsidR="00AB3FD8">
        <w:t xml:space="preserve">PSE controls the filing of </w:t>
      </w:r>
      <w:r w:rsidR="00453062">
        <w:t xml:space="preserve">its </w:t>
      </w:r>
      <w:r w:rsidR="00F713B9">
        <w:t>cases.  It</w:t>
      </w:r>
      <w:r w:rsidR="00122F9F">
        <w:t xml:space="preserve"> should </w:t>
      </w:r>
      <w:r w:rsidR="00ED0BEF">
        <w:t xml:space="preserve">take the initiative to </w:t>
      </w:r>
      <w:r w:rsidR="00122F9F">
        <w:t>imple</w:t>
      </w:r>
      <w:r w:rsidR="00E6593F">
        <w:t xml:space="preserve">ment Staff’s proposal </w:t>
      </w:r>
      <w:r w:rsidR="00122F9F">
        <w:t>as soon as this case is completed.</w:t>
      </w:r>
      <w:r w:rsidR="00122F9F">
        <w:rPr>
          <w:rStyle w:val="FootnoteReference"/>
        </w:rPr>
        <w:footnoteReference w:id="90"/>
      </w:r>
      <w:r w:rsidR="00F403E3" w:rsidRPr="00F403E3">
        <w:t xml:space="preserve"> </w:t>
      </w:r>
      <w:r w:rsidR="00F403E3">
        <w:t xml:space="preserve"> Staff is willing to meet with PSE to confirm mutual expectations of this filing if that will facilitate the process.</w:t>
      </w:r>
    </w:p>
    <w:p w:rsidR="00E3331E" w:rsidRDefault="00E3331E" w:rsidP="00927F2D">
      <w:pPr>
        <w:keepNext/>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RESOURCE ACQUISITION</w:t>
      </w:r>
    </w:p>
    <w:p w:rsidR="00E3331E" w:rsidRDefault="00E3331E" w:rsidP="00927F2D">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Klamath Winter Power Purchase Agreement</w:t>
      </w:r>
      <w:r w:rsidR="00ED0A39">
        <w:rPr>
          <w:rFonts w:ascii="Times New Roman" w:hAnsi="Times New Roman" w:cs="Times New Roman"/>
          <w:b/>
          <w:sz w:val="24"/>
          <w:szCs w:val="24"/>
        </w:rPr>
        <w:t xml:space="preserve"> </w:t>
      </w:r>
    </w:p>
    <w:p w:rsidR="00E3331E"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E3331E" w:rsidRPr="004215EA">
        <w:rPr>
          <w:rFonts w:ascii="Times New Roman" w:hAnsi="Times New Roman"/>
          <w:sz w:val="24"/>
          <w:szCs w:val="24"/>
        </w:rPr>
        <w:t>The Klamath Winter Power Purchase Agreement</w:t>
      </w:r>
      <w:r w:rsidR="001719E6" w:rsidRPr="004215EA">
        <w:rPr>
          <w:rFonts w:ascii="Times New Roman" w:hAnsi="Times New Roman"/>
          <w:sz w:val="24"/>
          <w:szCs w:val="24"/>
        </w:rPr>
        <w:t xml:space="preserve"> </w:t>
      </w:r>
      <w:r w:rsidR="00E3331E" w:rsidRPr="004215EA">
        <w:rPr>
          <w:rFonts w:ascii="Times New Roman" w:hAnsi="Times New Roman"/>
          <w:sz w:val="24"/>
          <w:szCs w:val="24"/>
        </w:rPr>
        <w:t xml:space="preserve">provides up to 100 </w:t>
      </w:r>
      <w:r w:rsidR="00C25326" w:rsidRPr="004215EA">
        <w:rPr>
          <w:rFonts w:ascii="Times New Roman" w:hAnsi="Times New Roman"/>
          <w:sz w:val="24"/>
          <w:szCs w:val="24"/>
        </w:rPr>
        <w:t>MW of winter peaking capacity</w:t>
      </w:r>
      <w:r w:rsidR="00E3331E" w:rsidRPr="004215EA">
        <w:rPr>
          <w:rFonts w:ascii="Times New Roman" w:hAnsi="Times New Roman"/>
          <w:sz w:val="24"/>
          <w:szCs w:val="24"/>
        </w:rPr>
        <w:t>.</w:t>
      </w:r>
      <w:r w:rsidR="00E3331E">
        <w:rPr>
          <w:rStyle w:val="FootnoteReference"/>
          <w:rFonts w:ascii="Times New Roman" w:hAnsi="Times New Roman"/>
          <w:sz w:val="24"/>
          <w:szCs w:val="24"/>
        </w:rPr>
        <w:footnoteReference w:id="91"/>
      </w:r>
      <w:r w:rsidR="00E3331E" w:rsidRPr="004215EA">
        <w:rPr>
          <w:rFonts w:ascii="Times New Roman" w:hAnsi="Times New Roman"/>
          <w:sz w:val="24"/>
          <w:szCs w:val="24"/>
        </w:rPr>
        <w:t xml:space="preserve"> </w:t>
      </w:r>
      <w:r w:rsidR="00A94786" w:rsidRPr="004215EA">
        <w:rPr>
          <w:rFonts w:ascii="Times New Roman" w:hAnsi="Times New Roman"/>
          <w:sz w:val="24"/>
          <w:szCs w:val="24"/>
        </w:rPr>
        <w:t xml:space="preserve"> </w:t>
      </w:r>
      <w:r w:rsidR="00E3331E" w:rsidRPr="004215EA">
        <w:rPr>
          <w:rFonts w:ascii="Times New Roman" w:hAnsi="Times New Roman"/>
          <w:sz w:val="24"/>
          <w:szCs w:val="24"/>
        </w:rPr>
        <w:t xml:space="preserve">The resource coincides with the 2009 </w:t>
      </w:r>
      <w:r w:rsidR="00C25326" w:rsidRPr="004215EA">
        <w:rPr>
          <w:rFonts w:ascii="Times New Roman" w:hAnsi="Times New Roman"/>
          <w:sz w:val="24"/>
          <w:szCs w:val="24"/>
        </w:rPr>
        <w:t>integrated resource plan (“</w:t>
      </w:r>
      <w:r w:rsidR="00E3331E" w:rsidRPr="004215EA">
        <w:rPr>
          <w:rFonts w:ascii="Times New Roman" w:hAnsi="Times New Roman"/>
          <w:sz w:val="24"/>
          <w:szCs w:val="24"/>
        </w:rPr>
        <w:t>IRP</w:t>
      </w:r>
      <w:r w:rsidR="00C25326" w:rsidRPr="004215EA">
        <w:rPr>
          <w:rFonts w:ascii="Times New Roman" w:hAnsi="Times New Roman"/>
          <w:sz w:val="24"/>
          <w:szCs w:val="24"/>
        </w:rPr>
        <w:t>”), which described</w:t>
      </w:r>
      <w:r w:rsidR="00E12AB4">
        <w:rPr>
          <w:rFonts w:ascii="Times New Roman" w:hAnsi="Times New Roman"/>
          <w:sz w:val="24"/>
          <w:szCs w:val="24"/>
        </w:rPr>
        <w:t xml:space="preserve"> a need for 160 MW of peak</w:t>
      </w:r>
      <w:r w:rsidR="00E3331E" w:rsidRPr="004215EA">
        <w:rPr>
          <w:rFonts w:ascii="Times New Roman" w:hAnsi="Times New Roman"/>
          <w:sz w:val="24"/>
          <w:szCs w:val="24"/>
        </w:rPr>
        <w:t xml:space="preserve"> capacity by 2012.</w:t>
      </w:r>
      <w:r w:rsidR="00E3331E">
        <w:rPr>
          <w:rStyle w:val="FootnoteReference"/>
          <w:rFonts w:ascii="Times New Roman" w:hAnsi="Times New Roman"/>
          <w:sz w:val="24"/>
          <w:szCs w:val="24"/>
        </w:rPr>
        <w:footnoteReference w:id="92"/>
      </w:r>
      <w:r w:rsidR="00E3331E" w:rsidRPr="004215EA">
        <w:rPr>
          <w:rFonts w:ascii="Times New Roman" w:hAnsi="Times New Roman"/>
          <w:sz w:val="24"/>
          <w:szCs w:val="24"/>
        </w:rPr>
        <w:t xml:space="preserve">  </w:t>
      </w:r>
      <w:r w:rsidR="00A94786" w:rsidRPr="004215EA">
        <w:rPr>
          <w:rFonts w:ascii="Times New Roman" w:hAnsi="Times New Roman"/>
          <w:sz w:val="24"/>
          <w:szCs w:val="24"/>
        </w:rPr>
        <w:t xml:space="preserve">It </w:t>
      </w:r>
      <w:r w:rsidR="00E3331E" w:rsidRPr="004215EA">
        <w:rPr>
          <w:rFonts w:ascii="Times New Roman" w:hAnsi="Times New Roman"/>
          <w:sz w:val="24"/>
          <w:szCs w:val="24"/>
        </w:rPr>
        <w:t>was selecte</w:t>
      </w:r>
      <w:r w:rsidR="00E12AB4">
        <w:rPr>
          <w:rFonts w:ascii="Times New Roman" w:hAnsi="Times New Roman"/>
          <w:sz w:val="24"/>
          <w:szCs w:val="24"/>
        </w:rPr>
        <w:t>d for acquisition in PSE</w:t>
      </w:r>
      <w:r w:rsidR="00E3331E" w:rsidRPr="004215EA">
        <w:rPr>
          <w:rFonts w:ascii="Times New Roman" w:hAnsi="Times New Roman"/>
          <w:sz w:val="24"/>
          <w:szCs w:val="24"/>
        </w:rPr>
        <w:t>’s 2010 Request for Prop</w:t>
      </w:r>
      <w:r w:rsidR="00E12AB4">
        <w:rPr>
          <w:rFonts w:ascii="Times New Roman" w:hAnsi="Times New Roman"/>
          <w:sz w:val="24"/>
          <w:szCs w:val="24"/>
        </w:rPr>
        <w:t xml:space="preserve">osal (“RFP”) </w:t>
      </w:r>
      <w:r w:rsidR="00E3331E" w:rsidRPr="004215EA">
        <w:rPr>
          <w:rFonts w:ascii="Times New Roman" w:hAnsi="Times New Roman"/>
          <w:sz w:val="24"/>
          <w:szCs w:val="24"/>
        </w:rPr>
        <w:t>and provided the highest Portfolio Benefit Ratio of all capacity proposals.</w:t>
      </w:r>
      <w:r w:rsidR="00E3331E">
        <w:rPr>
          <w:rStyle w:val="FootnoteReference"/>
          <w:rFonts w:ascii="Times New Roman" w:hAnsi="Times New Roman"/>
          <w:sz w:val="24"/>
          <w:szCs w:val="24"/>
        </w:rPr>
        <w:footnoteReference w:id="93"/>
      </w:r>
      <w:r w:rsidR="00A94786" w:rsidRPr="004215EA">
        <w:rPr>
          <w:rFonts w:ascii="Times New Roman" w:hAnsi="Times New Roman"/>
          <w:sz w:val="24"/>
          <w:szCs w:val="24"/>
        </w:rPr>
        <w:t xml:space="preserve">  Thus, </w:t>
      </w:r>
      <w:r w:rsidR="00E12AB4">
        <w:rPr>
          <w:rFonts w:ascii="Times New Roman" w:hAnsi="Times New Roman"/>
          <w:sz w:val="24"/>
          <w:szCs w:val="24"/>
        </w:rPr>
        <w:t>PSE</w:t>
      </w:r>
      <w:r w:rsidR="00E3331E" w:rsidRPr="004215EA">
        <w:rPr>
          <w:rFonts w:ascii="Times New Roman" w:hAnsi="Times New Roman"/>
          <w:sz w:val="24"/>
          <w:szCs w:val="24"/>
        </w:rPr>
        <w:t xml:space="preserve"> demonstrated both the n</w:t>
      </w:r>
      <w:r w:rsidR="00A94786" w:rsidRPr="004215EA">
        <w:rPr>
          <w:rFonts w:ascii="Times New Roman" w:hAnsi="Times New Roman"/>
          <w:sz w:val="24"/>
          <w:szCs w:val="24"/>
        </w:rPr>
        <w:t xml:space="preserve">eed for this resource </w:t>
      </w:r>
      <w:r w:rsidR="00E3331E" w:rsidRPr="004215EA">
        <w:rPr>
          <w:rFonts w:ascii="Times New Roman" w:hAnsi="Times New Roman"/>
          <w:sz w:val="24"/>
          <w:szCs w:val="24"/>
        </w:rPr>
        <w:t xml:space="preserve">and that </w:t>
      </w:r>
      <w:r w:rsidR="00425372" w:rsidRPr="004215EA">
        <w:rPr>
          <w:rFonts w:ascii="Times New Roman" w:hAnsi="Times New Roman"/>
          <w:sz w:val="24"/>
          <w:szCs w:val="24"/>
        </w:rPr>
        <w:t xml:space="preserve">it was </w:t>
      </w:r>
      <w:r w:rsidR="00DC702B" w:rsidRPr="004215EA">
        <w:rPr>
          <w:rFonts w:ascii="Times New Roman" w:hAnsi="Times New Roman"/>
          <w:sz w:val="24"/>
          <w:szCs w:val="24"/>
        </w:rPr>
        <w:t xml:space="preserve">a </w:t>
      </w:r>
      <w:r w:rsidR="00425372" w:rsidRPr="004215EA">
        <w:rPr>
          <w:rFonts w:ascii="Times New Roman" w:hAnsi="Times New Roman"/>
          <w:sz w:val="24"/>
          <w:szCs w:val="24"/>
        </w:rPr>
        <w:t xml:space="preserve">cost effective </w:t>
      </w:r>
      <w:r w:rsidR="00DC702B" w:rsidRPr="004215EA">
        <w:rPr>
          <w:rFonts w:ascii="Times New Roman" w:hAnsi="Times New Roman"/>
          <w:sz w:val="24"/>
          <w:szCs w:val="24"/>
        </w:rPr>
        <w:t xml:space="preserve">resource </w:t>
      </w:r>
      <w:r w:rsidR="00425372" w:rsidRPr="004215EA">
        <w:rPr>
          <w:rFonts w:ascii="Times New Roman" w:hAnsi="Times New Roman"/>
          <w:sz w:val="24"/>
          <w:szCs w:val="24"/>
        </w:rPr>
        <w:t xml:space="preserve">to acquire </w:t>
      </w:r>
      <w:r w:rsidR="00E3331E" w:rsidRPr="004215EA">
        <w:rPr>
          <w:rFonts w:ascii="Times New Roman" w:hAnsi="Times New Roman"/>
          <w:sz w:val="24"/>
          <w:szCs w:val="24"/>
        </w:rPr>
        <w:t>to meet that nee</w:t>
      </w:r>
      <w:r w:rsidR="00E12AB4">
        <w:rPr>
          <w:rFonts w:ascii="Times New Roman" w:hAnsi="Times New Roman"/>
          <w:sz w:val="24"/>
          <w:szCs w:val="24"/>
        </w:rPr>
        <w:t xml:space="preserve">d.  No party </w:t>
      </w:r>
      <w:r w:rsidR="00E3331E" w:rsidRPr="004215EA">
        <w:rPr>
          <w:rFonts w:ascii="Times New Roman" w:hAnsi="Times New Roman"/>
          <w:sz w:val="24"/>
          <w:szCs w:val="24"/>
        </w:rPr>
        <w:t xml:space="preserve">challenges </w:t>
      </w:r>
      <w:r w:rsidR="00CC3F83">
        <w:rPr>
          <w:rFonts w:ascii="Times New Roman" w:hAnsi="Times New Roman"/>
          <w:sz w:val="24"/>
          <w:szCs w:val="24"/>
        </w:rPr>
        <w:t>the prudence of this acquisition by the Company.</w:t>
      </w:r>
      <w:r w:rsidR="00E3331E" w:rsidRPr="004215EA">
        <w:rPr>
          <w:rFonts w:ascii="Times New Roman" w:hAnsi="Times New Roman"/>
          <w:sz w:val="24"/>
          <w:szCs w:val="24"/>
        </w:rPr>
        <w:t xml:space="preserve"> </w:t>
      </w:r>
    </w:p>
    <w:p w:rsidR="00E3331E" w:rsidRDefault="00E3331E" w:rsidP="006D60A2">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Lower Snake River Wind Project</w:t>
      </w:r>
    </w:p>
    <w:p w:rsidR="00E3331E" w:rsidRPr="00667F3F" w:rsidRDefault="00E3331E" w:rsidP="006D60A2">
      <w:pPr>
        <w:keepNext/>
        <w:spacing w:after="0" w:line="480" w:lineRule="auto"/>
        <w:ind w:firstLine="720"/>
        <w:rPr>
          <w:rFonts w:ascii="Times New Roman" w:hAnsi="Times New Roman"/>
          <w:b/>
          <w:sz w:val="24"/>
          <w:szCs w:val="24"/>
        </w:rPr>
      </w:pPr>
      <w:r w:rsidRPr="00667F3F">
        <w:rPr>
          <w:rFonts w:ascii="Times New Roman" w:hAnsi="Times New Roman"/>
          <w:b/>
          <w:sz w:val="24"/>
          <w:szCs w:val="24"/>
        </w:rPr>
        <w:t>1.</w:t>
      </w:r>
      <w:r w:rsidRPr="00667F3F">
        <w:rPr>
          <w:rFonts w:ascii="Times New Roman" w:hAnsi="Times New Roman"/>
          <w:b/>
          <w:sz w:val="24"/>
          <w:szCs w:val="24"/>
        </w:rPr>
        <w:tab/>
        <w:t>Background</w:t>
      </w:r>
    </w:p>
    <w:p w:rsidR="00E3331E" w:rsidRPr="004215EA" w:rsidRDefault="004215EA" w:rsidP="006F6249">
      <w:pPr>
        <w:pStyle w:val="ListParagraph"/>
        <w:widowControl w:val="0"/>
        <w:numPr>
          <w:ilvl w:val="0"/>
          <w:numId w:val="1"/>
        </w:numPr>
        <w:spacing w:line="480" w:lineRule="auto"/>
        <w:rPr>
          <w:rFonts w:ascii="Times New Roman" w:hAnsi="Times New Roman"/>
          <w:sz w:val="24"/>
          <w:szCs w:val="24"/>
        </w:rPr>
      </w:pPr>
      <w:r>
        <w:rPr>
          <w:rFonts w:ascii="Times New Roman" w:hAnsi="Times New Roman"/>
          <w:sz w:val="24"/>
          <w:szCs w:val="24"/>
        </w:rPr>
        <w:tab/>
      </w:r>
      <w:r w:rsidR="00E3331E" w:rsidRPr="004215EA">
        <w:rPr>
          <w:rFonts w:ascii="Times New Roman" w:hAnsi="Times New Roman"/>
          <w:sz w:val="24"/>
          <w:szCs w:val="24"/>
        </w:rPr>
        <w:t xml:space="preserve">The Lower Snake River Wind Project </w:t>
      </w:r>
      <w:r w:rsidR="00E6593F">
        <w:rPr>
          <w:rFonts w:ascii="Times New Roman" w:hAnsi="Times New Roman"/>
          <w:sz w:val="24"/>
          <w:szCs w:val="24"/>
        </w:rPr>
        <w:t xml:space="preserve">(“LSR”) </w:t>
      </w:r>
      <w:r w:rsidR="00E3331E" w:rsidRPr="004215EA">
        <w:rPr>
          <w:rFonts w:ascii="Times New Roman" w:hAnsi="Times New Roman"/>
          <w:sz w:val="24"/>
          <w:szCs w:val="24"/>
        </w:rPr>
        <w:t xml:space="preserve">adds 343 MW </w:t>
      </w:r>
      <w:r w:rsidR="00D7210B" w:rsidRPr="004215EA">
        <w:rPr>
          <w:rFonts w:ascii="Times New Roman" w:hAnsi="Times New Roman"/>
          <w:sz w:val="24"/>
          <w:szCs w:val="24"/>
        </w:rPr>
        <w:t xml:space="preserve">of </w:t>
      </w:r>
      <w:r w:rsidR="00E3331E" w:rsidRPr="004215EA">
        <w:rPr>
          <w:rFonts w:ascii="Times New Roman" w:hAnsi="Times New Roman"/>
          <w:sz w:val="24"/>
          <w:szCs w:val="24"/>
        </w:rPr>
        <w:t>nam</w:t>
      </w:r>
      <w:r w:rsidR="0099230C" w:rsidRPr="004215EA">
        <w:rPr>
          <w:rFonts w:ascii="Times New Roman" w:hAnsi="Times New Roman"/>
          <w:sz w:val="24"/>
          <w:szCs w:val="24"/>
        </w:rPr>
        <w:t xml:space="preserve">e plate capacity </w:t>
      </w:r>
      <w:r w:rsidR="00E3331E" w:rsidRPr="004215EA">
        <w:rPr>
          <w:rFonts w:ascii="Times New Roman" w:hAnsi="Times New Roman"/>
          <w:sz w:val="24"/>
          <w:szCs w:val="24"/>
        </w:rPr>
        <w:t xml:space="preserve">to </w:t>
      </w:r>
      <w:r w:rsidR="00E3331E" w:rsidRPr="004215EA">
        <w:rPr>
          <w:rFonts w:ascii="Times New Roman" w:hAnsi="Times New Roman"/>
          <w:sz w:val="24"/>
          <w:szCs w:val="24"/>
        </w:rPr>
        <w:lastRenderedPageBreak/>
        <w:t>PSE’s existing portfolio.</w:t>
      </w:r>
      <w:r w:rsidR="00E3331E">
        <w:rPr>
          <w:rStyle w:val="FootnoteReference"/>
          <w:rFonts w:ascii="Times New Roman" w:hAnsi="Times New Roman"/>
          <w:sz w:val="24"/>
          <w:szCs w:val="24"/>
        </w:rPr>
        <w:footnoteReference w:id="94"/>
      </w:r>
      <w:r w:rsidR="00E3331E" w:rsidRPr="004215EA">
        <w:rPr>
          <w:rFonts w:ascii="Times New Roman" w:hAnsi="Times New Roman"/>
          <w:sz w:val="24"/>
          <w:szCs w:val="24"/>
        </w:rPr>
        <w:t xml:space="preserve">  It is located </w:t>
      </w:r>
      <w:r w:rsidR="00D7210B" w:rsidRPr="004215EA">
        <w:rPr>
          <w:rFonts w:ascii="Times New Roman" w:hAnsi="Times New Roman"/>
          <w:sz w:val="24"/>
          <w:szCs w:val="24"/>
        </w:rPr>
        <w:t>in Garfield County and connects to PSE</w:t>
      </w:r>
      <w:r w:rsidR="0099230C" w:rsidRPr="004215EA">
        <w:rPr>
          <w:rFonts w:ascii="Times New Roman" w:hAnsi="Times New Roman"/>
          <w:sz w:val="24"/>
          <w:szCs w:val="24"/>
        </w:rPr>
        <w:t xml:space="preserve"> through the </w:t>
      </w:r>
      <w:r w:rsidR="00E3331E" w:rsidRPr="004215EA">
        <w:rPr>
          <w:rFonts w:ascii="Times New Roman" w:hAnsi="Times New Roman"/>
          <w:sz w:val="24"/>
          <w:szCs w:val="24"/>
        </w:rPr>
        <w:t>transmission syst</w:t>
      </w:r>
      <w:r w:rsidR="00D7210B" w:rsidRPr="004215EA">
        <w:rPr>
          <w:rFonts w:ascii="Times New Roman" w:hAnsi="Times New Roman"/>
          <w:sz w:val="24"/>
          <w:szCs w:val="24"/>
        </w:rPr>
        <w:t>em</w:t>
      </w:r>
      <w:r w:rsidR="0099230C" w:rsidRPr="004215EA">
        <w:rPr>
          <w:rFonts w:ascii="Times New Roman" w:hAnsi="Times New Roman"/>
          <w:sz w:val="24"/>
          <w:szCs w:val="24"/>
        </w:rPr>
        <w:t xml:space="preserve"> of the Bonneville Power Administration</w:t>
      </w:r>
      <w:r w:rsidR="002A2EB4">
        <w:rPr>
          <w:rFonts w:ascii="Times New Roman" w:hAnsi="Times New Roman"/>
          <w:sz w:val="24"/>
          <w:szCs w:val="24"/>
        </w:rPr>
        <w:t xml:space="preserve"> (“BPA”)</w:t>
      </w:r>
      <w:r w:rsidR="00D7210B" w:rsidRPr="004215EA">
        <w:rPr>
          <w:rFonts w:ascii="Times New Roman" w:hAnsi="Times New Roman"/>
          <w:sz w:val="24"/>
          <w:szCs w:val="24"/>
        </w:rPr>
        <w:t xml:space="preserve">.  </w:t>
      </w:r>
      <w:r w:rsidR="00A40FB9" w:rsidRPr="004215EA">
        <w:rPr>
          <w:rFonts w:ascii="Times New Roman" w:hAnsi="Times New Roman"/>
          <w:sz w:val="24"/>
          <w:szCs w:val="24"/>
        </w:rPr>
        <w:t>LSR became operational on February 29, 2012.</w:t>
      </w:r>
      <w:r w:rsidR="00A40FB9">
        <w:rPr>
          <w:rStyle w:val="FootnoteReference"/>
          <w:rFonts w:ascii="Times New Roman" w:hAnsi="Times New Roman"/>
          <w:sz w:val="24"/>
          <w:szCs w:val="24"/>
        </w:rPr>
        <w:footnoteReference w:id="95"/>
      </w:r>
      <w:r w:rsidR="00A40FB9" w:rsidRPr="004215EA">
        <w:rPr>
          <w:rFonts w:ascii="Times New Roman" w:hAnsi="Times New Roman"/>
          <w:sz w:val="24"/>
          <w:szCs w:val="24"/>
        </w:rPr>
        <w:t xml:space="preserve">  </w:t>
      </w:r>
      <w:r w:rsidR="0099230C" w:rsidRPr="004215EA">
        <w:rPr>
          <w:rFonts w:ascii="Times New Roman" w:hAnsi="Times New Roman"/>
          <w:sz w:val="24"/>
          <w:szCs w:val="24"/>
        </w:rPr>
        <w:t xml:space="preserve">Thus, LSR is </w:t>
      </w:r>
      <w:r w:rsidR="00CC3F83">
        <w:rPr>
          <w:rFonts w:ascii="Times New Roman" w:hAnsi="Times New Roman"/>
          <w:sz w:val="24"/>
          <w:szCs w:val="24"/>
        </w:rPr>
        <w:t xml:space="preserve">now </w:t>
      </w:r>
      <w:r w:rsidR="00A40FB9" w:rsidRPr="004215EA">
        <w:rPr>
          <w:rFonts w:ascii="Times New Roman" w:hAnsi="Times New Roman"/>
          <w:sz w:val="24"/>
          <w:szCs w:val="24"/>
        </w:rPr>
        <w:t>part of PSE’s resource portfolio serving customers.</w:t>
      </w:r>
      <w:r w:rsidR="00A40FB9" w:rsidRPr="004215EA">
        <w:rPr>
          <w:rFonts w:ascii="Times New Roman" w:hAnsi="Times New Roman"/>
          <w:sz w:val="24"/>
          <w:szCs w:val="24"/>
        </w:rPr>
        <w:tab/>
      </w:r>
    </w:p>
    <w:p w:rsidR="00A40FB9"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40FB9" w:rsidRPr="004215EA">
        <w:rPr>
          <w:rFonts w:ascii="Times New Roman" w:hAnsi="Times New Roman"/>
          <w:sz w:val="24"/>
          <w:szCs w:val="24"/>
        </w:rPr>
        <w:t xml:space="preserve">LSR results in PSE’s portfolio exceeding </w:t>
      </w:r>
      <w:r w:rsidR="00F403E3" w:rsidRPr="004215EA">
        <w:rPr>
          <w:rFonts w:ascii="Times New Roman" w:hAnsi="Times New Roman"/>
          <w:sz w:val="24"/>
          <w:szCs w:val="24"/>
        </w:rPr>
        <w:t xml:space="preserve">the </w:t>
      </w:r>
      <w:r w:rsidR="00A40FB9" w:rsidRPr="004215EA">
        <w:rPr>
          <w:rFonts w:ascii="Times New Roman" w:hAnsi="Times New Roman"/>
          <w:sz w:val="24"/>
          <w:szCs w:val="24"/>
        </w:rPr>
        <w:t xml:space="preserve">9 percent renewables </w:t>
      </w:r>
      <w:r w:rsidR="00F403E3" w:rsidRPr="004215EA">
        <w:rPr>
          <w:rFonts w:ascii="Times New Roman" w:hAnsi="Times New Roman"/>
          <w:sz w:val="24"/>
          <w:szCs w:val="24"/>
        </w:rPr>
        <w:t xml:space="preserve">requirement </w:t>
      </w:r>
      <w:r w:rsidR="00A40FB9" w:rsidRPr="004215EA">
        <w:rPr>
          <w:rFonts w:ascii="Times New Roman" w:hAnsi="Times New Roman"/>
          <w:sz w:val="24"/>
          <w:szCs w:val="24"/>
        </w:rPr>
        <w:t xml:space="preserve">before that level must be met by </w:t>
      </w:r>
      <w:r w:rsidR="00F403E3" w:rsidRPr="004215EA">
        <w:rPr>
          <w:rFonts w:ascii="Times New Roman" w:hAnsi="Times New Roman"/>
          <w:sz w:val="24"/>
          <w:szCs w:val="24"/>
        </w:rPr>
        <w:t xml:space="preserve">the </w:t>
      </w:r>
      <w:r w:rsidR="00A40FB9" w:rsidRPr="004215EA">
        <w:rPr>
          <w:rFonts w:ascii="Times New Roman" w:hAnsi="Times New Roman"/>
          <w:sz w:val="24"/>
          <w:szCs w:val="24"/>
        </w:rPr>
        <w:t xml:space="preserve">2016 </w:t>
      </w:r>
      <w:r w:rsidR="00F403E3" w:rsidRPr="004215EA">
        <w:rPr>
          <w:rFonts w:ascii="Times New Roman" w:hAnsi="Times New Roman"/>
          <w:sz w:val="24"/>
          <w:szCs w:val="24"/>
        </w:rPr>
        <w:t>deadline of</w:t>
      </w:r>
      <w:r w:rsidR="00A40FB9" w:rsidRPr="004215EA">
        <w:rPr>
          <w:rFonts w:ascii="Times New Roman" w:hAnsi="Times New Roman"/>
          <w:sz w:val="24"/>
          <w:szCs w:val="24"/>
        </w:rPr>
        <w:t xml:space="preserve"> the renewabl</w:t>
      </w:r>
      <w:r w:rsidR="00F403E3" w:rsidRPr="004215EA">
        <w:rPr>
          <w:rFonts w:ascii="Times New Roman" w:hAnsi="Times New Roman"/>
          <w:sz w:val="24"/>
          <w:szCs w:val="24"/>
        </w:rPr>
        <w:t>e portfolio standards (“RPS”) in</w:t>
      </w:r>
      <w:r w:rsidR="00A40FB9" w:rsidRPr="004215EA">
        <w:rPr>
          <w:rFonts w:ascii="Times New Roman" w:hAnsi="Times New Roman"/>
          <w:sz w:val="24"/>
          <w:szCs w:val="24"/>
        </w:rPr>
        <w:t xml:space="preserve"> </w:t>
      </w:r>
      <w:r w:rsidR="00173DDC" w:rsidRPr="004215EA">
        <w:rPr>
          <w:rFonts w:ascii="Times New Roman" w:hAnsi="Times New Roman"/>
          <w:sz w:val="24"/>
          <w:szCs w:val="24"/>
        </w:rPr>
        <w:t xml:space="preserve">the Energy Independence Act (“EIA”), codified at </w:t>
      </w:r>
      <w:r w:rsidR="00A40FB9" w:rsidRPr="004215EA">
        <w:rPr>
          <w:rFonts w:ascii="Times New Roman" w:hAnsi="Times New Roman"/>
          <w:sz w:val="24"/>
          <w:szCs w:val="24"/>
        </w:rPr>
        <w:t xml:space="preserve">RCW 19.285.  However, acquisition of LSR will </w:t>
      </w:r>
      <w:r w:rsidR="001719E6" w:rsidRPr="004215EA">
        <w:rPr>
          <w:rFonts w:ascii="Times New Roman" w:hAnsi="Times New Roman"/>
          <w:sz w:val="24"/>
          <w:szCs w:val="24"/>
        </w:rPr>
        <w:t>not allow</w:t>
      </w:r>
      <w:r w:rsidR="00A40FB9" w:rsidRPr="004215EA">
        <w:rPr>
          <w:rFonts w:ascii="Times New Roman" w:hAnsi="Times New Roman"/>
          <w:sz w:val="24"/>
          <w:szCs w:val="24"/>
        </w:rPr>
        <w:t xml:space="preserve"> </w:t>
      </w:r>
      <w:r w:rsidR="001719E6" w:rsidRPr="004215EA">
        <w:rPr>
          <w:rFonts w:ascii="Times New Roman" w:hAnsi="Times New Roman"/>
          <w:sz w:val="24"/>
          <w:szCs w:val="24"/>
        </w:rPr>
        <w:t xml:space="preserve">PSE to meet </w:t>
      </w:r>
      <w:r w:rsidR="00A40FB9" w:rsidRPr="004215EA">
        <w:rPr>
          <w:rFonts w:ascii="Times New Roman" w:hAnsi="Times New Roman"/>
          <w:sz w:val="24"/>
          <w:szCs w:val="24"/>
        </w:rPr>
        <w:t>the RPS of 15 percent from renewables by 2020.</w:t>
      </w:r>
      <w:r w:rsidR="00A40FB9">
        <w:rPr>
          <w:rStyle w:val="FootnoteReference"/>
          <w:rFonts w:ascii="Times New Roman" w:hAnsi="Times New Roman"/>
          <w:sz w:val="24"/>
          <w:szCs w:val="24"/>
        </w:rPr>
        <w:footnoteReference w:id="96"/>
      </w:r>
      <w:r w:rsidR="00E6593F">
        <w:rPr>
          <w:rFonts w:ascii="Times New Roman" w:hAnsi="Times New Roman"/>
          <w:sz w:val="24"/>
          <w:szCs w:val="24"/>
        </w:rPr>
        <w:t xml:space="preserve">  </w:t>
      </w:r>
    </w:p>
    <w:p w:rsidR="00557504" w:rsidRDefault="00E3331E" w:rsidP="00927F2D">
      <w:pPr>
        <w:keepNext/>
        <w:tabs>
          <w:tab w:val="left" w:pos="-1440"/>
        </w:tabs>
        <w:spacing w:after="0" w:line="480" w:lineRule="auto"/>
        <w:rPr>
          <w:rFonts w:ascii="Times New Roman" w:hAnsi="Times New Roman"/>
          <w:b/>
          <w:bCs/>
          <w:kern w:val="24"/>
          <w:sz w:val="24"/>
          <w:szCs w:val="24"/>
        </w:rPr>
      </w:pPr>
      <w:r>
        <w:rPr>
          <w:rFonts w:ascii="Times New Roman" w:hAnsi="Times New Roman"/>
          <w:bCs/>
          <w:kern w:val="24"/>
          <w:sz w:val="24"/>
          <w:szCs w:val="24"/>
        </w:rPr>
        <w:tab/>
      </w:r>
      <w:r w:rsidRPr="00667F3F">
        <w:rPr>
          <w:rFonts w:ascii="Times New Roman" w:hAnsi="Times New Roman"/>
          <w:b/>
          <w:bCs/>
          <w:kern w:val="24"/>
          <w:sz w:val="24"/>
          <w:szCs w:val="24"/>
        </w:rPr>
        <w:t>2.</w:t>
      </w:r>
      <w:r w:rsidRPr="00667F3F">
        <w:rPr>
          <w:rFonts w:ascii="Times New Roman" w:hAnsi="Times New Roman"/>
          <w:b/>
          <w:bCs/>
          <w:kern w:val="24"/>
          <w:sz w:val="24"/>
          <w:szCs w:val="24"/>
        </w:rPr>
        <w:tab/>
        <w:t>Legal Standards</w:t>
      </w:r>
    </w:p>
    <w:p w:rsidR="00557504"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bCs/>
          <w:kern w:val="24"/>
          <w:sz w:val="24"/>
          <w:szCs w:val="24"/>
        </w:rPr>
        <w:tab/>
      </w:r>
      <w:r w:rsidR="00557504" w:rsidRPr="004215EA">
        <w:rPr>
          <w:rFonts w:ascii="Times New Roman" w:hAnsi="Times New Roman"/>
          <w:bCs/>
          <w:kern w:val="24"/>
          <w:sz w:val="24"/>
          <w:szCs w:val="24"/>
        </w:rPr>
        <w:t>I</w:t>
      </w:r>
      <w:r w:rsidR="00557504" w:rsidRPr="004215EA">
        <w:rPr>
          <w:rFonts w:ascii="Times New Roman" w:hAnsi="Times New Roman"/>
          <w:sz w:val="24"/>
          <w:szCs w:val="24"/>
        </w:rPr>
        <w:t>n order for any resource to be included in rate base for ratemaking purposes, the resource must be “used and useful for service</w:t>
      </w:r>
      <w:r w:rsidR="00B46068">
        <w:rPr>
          <w:rFonts w:ascii="Times New Roman" w:hAnsi="Times New Roman"/>
          <w:sz w:val="24"/>
          <w:szCs w:val="24"/>
        </w:rPr>
        <w:t xml:space="preserve"> in this state.” </w:t>
      </w:r>
      <w:r w:rsidR="00557504" w:rsidRPr="00245FEE">
        <w:rPr>
          <w:rStyle w:val="FootnoteReference"/>
          <w:rFonts w:ascii="Times New Roman" w:hAnsi="Times New Roman"/>
          <w:sz w:val="24"/>
          <w:szCs w:val="24"/>
        </w:rPr>
        <w:footnoteReference w:id="97"/>
      </w:r>
      <w:r w:rsidR="00557504" w:rsidRPr="004215EA">
        <w:rPr>
          <w:rFonts w:ascii="Times New Roman" w:hAnsi="Times New Roman"/>
          <w:sz w:val="24"/>
          <w:szCs w:val="24"/>
        </w:rPr>
        <w:t xml:space="preserve">  The phrase “used and useful for service in this state” means “to benefit the ratepayers of Washington, either directly (</w:t>
      </w:r>
      <w:r w:rsidR="00557504" w:rsidRPr="004215EA">
        <w:rPr>
          <w:rFonts w:ascii="Times New Roman" w:hAnsi="Times New Roman"/>
          <w:i/>
          <w:sz w:val="24"/>
          <w:szCs w:val="24"/>
        </w:rPr>
        <w:t>e.g</w:t>
      </w:r>
      <w:r w:rsidR="00557504" w:rsidRPr="004215EA">
        <w:rPr>
          <w:rFonts w:ascii="Times New Roman" w:hAnsi="Times New Roman"/>
          <w:sz w:val="24"/>
          <w:szCs w:val="24"/>
        </w:rPr>
        <w:t>., flow of power from a resource to customers) and/or indirectly (</w:t>
      </w:r>
      <w:r w:rsidR="00557504" w:rsidRPr="004215EA">
        <w:rPr>
          <w:rFonts w:ascii="Times New Roman" w:hAnsi="Times New Roman"/>
          <w:i/>
          <w:sz w:val="24"/>
          <w:szCs w:val="24"/>
        </w:rPr>
        <w:t>e.g</w:t>
      </w:r>
      <w:r w:rsidR="00557504" w:rsidRPr="004215EA">
        <w:rPr>
          <w:rFonts w:ascii="Times New Roman" w:hAnsi="Times New Roman"/>
          <w:sz w:val="24"/>
          <w:szCs w:val="24"/>
        </w:rPr>
        <w:t>., reduction of cost to Washington customers through exchange contracts or other tangible or intangible benefits).”</w:t>
      </w:r>
      <w:r w:rsidR="00557504" w:rsidRPr="00245FEE">
        <w:rPr>
          <w:rStyle w:val="FootnoteReference"/>
          <w:rFonts w:ascii="Times New Roman" w:hAnsi="Times New Roman"/>
          <w:sz w:val="24"/>
          <w:szCs w:val="24"/>
        </w:rPr>
        <w:footnoteReference w:id="98"/>
      </w:r>
      <w:r w:rsidR="001719E6" w:rsidRPr="004215EA">
        <w:rPr>
          <w:rFonts w:ascii="Times New Roman" w:hAnsi="Times New Roman"/>
          <w:sz w:val="24"/>
          <w:szCs w:val="24"/>
        </w:rPr>
        <w:t xml:space="preserve">  </w:t>
      </w:r>
      <w:r w:rsidR="007164B9" w:rsidRPr="004215EA">
        <w:rPr>
          <w:rFonts w:ascii="Times New Roman" w:hAnsi="Times New Roman"/>
          <w:sz w:val="24"/>
          <w:szCs w:val="24"/>
        </w:rPr>
        <w:t>Th</w:t>
      </w:r>
      <w:r w:rsidR="005E5255" w:rsidRPr="004215EA">
        <w:rPr>
          <w:rFonts w:ascii="Times New Roman" w:hAnsi="Times New Roman"/>
          <w:sz w:val="24"/>
          <w:szCs w:val="24"/>
        </w:rPr>
        <w:t>e benefits must be</w:t>
      </w:r>
      <w:r w:rsidR="00557504" w:rsidRPr="004215EA">
        <w:rPr>
          <w:rFonts w:ascii="Times New Roman" w:hAnsi="Times New Roman"/>
          <w:sz w:val="24"/>
          <w:szCs w:val="24"/>
        </w:rPr>
        <w:t xml:space="preserve"> </w:t>
      </w:r>
      <w:r w:rsidR="005E5255" w:rsidRPr="004215EA">
        <w:rPr>
          <w:rFonts w:ascii="Times New Roman" w:hAnsi="Times New Roman"/>
          <w:sz w:val="24"/>
          <w:szCs w:val="24"/>
        </w:rPr>
        <w:t>“</w:t>
      </w:r>
      <w:r w:rsidR="00557504" w:rsidRPr="004215EA">
        <w:rPr>
          <w:rFonts w:ascii="Times New Roman" w:hAnsi="Times New Roman"/>
          <w:sz w:val="24"/>
          <w:szCs w:val="24"/>
        </w:rPr>
        <w:t>tangible and quantifiable</w:t>
      </w:r>
      <w:r w:rsidR="007164B9" w:rsidRPr="004215EA">
        <w:rPr>
          <w:rFonts w:ascii="Times New Roman" w:hAnsi="Times New Roman"/>
          <w:sz w:val="24"/>
          <w:szCs w:val="24"/>
        </w:rPr>
        <w:t xml:space="preserve">” before </w:t>
      </w:r>
      <w:r w:rsidR="00F403E3" w:rsidRPr="004215EA">
        <w:rPr>
          <w:rFonts w:ascii="Times New Roman" w:hAnsi="Times New Roman"/>
          <w:sz w:val="24"/>
          <w:szCs w:val="24"/>
        </w:rPr>
        <w:t>a resource</w:t>
      </w:r>
      <w:r w:rsidR="00557504" w:rsidRPr="004215EA">
        <w:rPr>
          <w:rFonts w:ascii="Times New Roman" w:hAnsi="Times New Roman"/>
          <w:sz w:val="24"/>
          <w:szCs w:val="24"/>
        </w:rPr>
        <w:t xml:space="preserve"> </w:t>
      </w:r>
      <w:r w:rsidR="007164B9" w:rsidRPr="004215EA">
        <w:rPr>
          <w:rFonts w:ascii="Times New Roman" w:hAnsi="Times New Roman"/>
          <w:sz w:val="24"/>
          <w:szCs w:val="24"/>
        </w:rPr>
        <w:t xml:space="preserve">will be included </w:t>
      </w:r>
      <w:r w:rsidR="00557504" w:rsidRPr="004215EA">
        <w:rPr>
          <w:rFonts w:ascii="Times New Roman" w:hAnsi="Times New Roman"/>
          <w:sz w:val="24"/>
          <w:szCs w:val="24"/>
        </w:rPr>
        <w:t>in rates.”</w:t>
      </w:r>
      <w:r w:rsidR="00557504" w:rsidRPr="00245FEE">
        <w:rPr>
          <w:rStyle w:val="FootnoteReference"/>
          <w:rFonts w:ascii="Times New Roman" w:hAnsi="Times New Roman"/>
          <w:sz w:val="24"/>
          <w:szCs w:val="24"/>
        </w:rPr>
        <w:footnoteReference w:id="99"/>
      </w:r>
      <w:r w:rsidR="00557504" w:rsidRPr="004215EA">
        <w:rPr>
          <w:rFonts w:ascii="Times New Roman" w:hAnsi="Times New Roman"/>
          <w:sz w:val="24"/>
          <w:szCs w:val="24"/>
        </w:rPr>
        <w:tab/>
      </w:r>
    </w:p>
    <w:p w:rsidR="00510839" w:rsidRPr="004215EA" w:rsidRDefault="004215EA" w:rsidP="004215EA">
      <w:pPr>
        <w:pStyle w:val="ListParagraph"/>
        <w:numPr>
          <w:ilvl w:val="0"/>
          <w:numId w:val="1"/>
        </w:numPr>
        <w:tabs>
          <w:tab w:val="left" w:pos="-1440"/>
        </w:tabs>
        <w:spacing w:line="480" w:lineRule="auto"/>
        <w:rPr>
          <w:rFonts w:ascii="Times New Roman" w:hAnsi="Times New Roman"/>
          <w:b/>
          <w:bCs/>
          <w:kern w:val="24"/>
          <w:sz w:val="24"/>
          <w:szCs w:val="24"/>
        </w:rPr>
      </w:pPr>
      <w:r>
        <w:rPr>
          <w:rFonts w:ascii="Times New Roman" w:hAnsi="Times New Roman"/>
          <w:sz w:val="24"/>
          <w:szCs w:val="24"/>
        </w:rPr>
        <w:tab/>
      </w:r>
      <w:r w:rsidR="009C0983" w:rsidRPr="004215EA">
        <w:rPr>
          <w:rFonts w:ascii="Times New Roman" w:hAnsi="Times New Roman"/>
          <w:sz w:val="24"/>
          <w:szCs w:val="24"/>
        </w:rPr>
        <w:t>T</w:t>
      </w:r>
      <w:r w:rsidR="00510839" w:rsidRPr="004215EA">
        <w:rPr>
          <w:rFonts w:ascii="Times New Roman" w:hAnsi="Times New Roman"/>
          <w:sz w:val="24"/>
          <w:szCs w:val="24"/>
        </w:rPr>
        <w:t xml:space="preserve">he Commission has stated that the “used and useful” statute does not prevent </w:t>
      </w:r>
      <w:r w:rsidR="00BF113E">
        <w:rPr>
          <w:rFonts w:ascii="Times New Roman" w:hAnsi="Times New Roman"/>
          <w:sz w:val="24"/>
          <w:szCs w:val="24"/>
        </w:rPr>
        <w:t xml:space="preserve">early </w:t>
      </w:r>
      <w:r w:rsidR="00510839" w:rsidRPr="004215EA">
        <w:rPr>
          <w:rFonts w:ascii="Times New Roman" w:hAnsi="Times New Roman"/>
          <w:sz w:val="24"/>
          <w:szCs w:val="24"/>
        </w:rPr>
        <w:t xml:space="preserve">acquisition of a renewable resource </w:t>
      </w:r>
      <w:r w:rsidR="00BF113E">
        <w:rPr>
          <w:rFonts w:ascii="Times New Roman" w:hAnsi="Times New Roman"/>
          <w:sz w:val="24"/>
          <w:szCs w:val="24"/>
        </w:rPr>
        <w:t>that will meet the RPS at some point in the future.</w:t>
      </w:r>
      <w:r w:rsidR="00510839">
        <w:rPr>
          <w:rStyle w:val="FootnoteReference"/>
          <w:rFonts w:ascii="Times New Roman" w:hAnsi="Times New Roman"/>
          <w:sz w:val="24"/>
          <w:szCs w:val="24"/>
        </w:rPr>
        <w:footnoteReference w:id="100"/>
      </w:r>
      <w:r w:rsidR="00510839" w:rsidRPr="004215EA">
        <w:rPr>
          <w:rFonts w:ascii="Times New Roman" w:hAnsi="Times New Roman"/>
          <w:sz w:val="24"/>
          <w:szCs w:val="24"/>
        </w:rPr>
        <w:t xml:space="preserve">  Therefore, “a resource acquired to comply with the EIA can be acquired in advance of need but must still be prudently acquired.”</w:t>
      </w:r>
      <w:r w:rsidR="00510839">
        <w:rPr>
          <w:rStyle w:val="FootnoteReference"/>
          <w:rFonts w:ascii="Times New Roman" w:hAnsi="Times New Roman"/>
          <w:sz w:val="24"/>
          <w:szCs w:val="24"/>
        </w:rPr>
        <w:footnoteReference w:id="101"/>
      </w:r>
      <w:r w:rsidR="00510839" w:rsidRPr="004215EA">
        <w:rPr>
          <w:rFonts w:ascii="Times New Roman" w:hAnsi="Times New Roman"/>
          <w:sz w:val="24"/>
          <w:szCs w:val="24"/>
        </w:rPr>
        <w:t xml:space="preserve">  </w:t>
      </w:r>
    </w:p>
    <w:p w:rsidR="00E3331E"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E3331E" w:rsidRPr="004215EA">
        <w:rPr>
          <w:rFonts w:ascii="Times New Roman" w:hAnsi="Times New Roman"/>
          <w:sz w:val="24"/>
          <w:szCs w:val="24"/>
        </w:rPr>
        <w:t xml:space="preserve">The </w:t>
      </w:r>
      <w:r w:rsidR="00510839" w:rsidRPr="004215EA">
        <w:rPr>
          <w:rFonts w:ascii="Times New Roman" w:hAnsi="Times New Roman"/>
          <w:sz w:val="24"/>
          <w:szCs w:val="24"/>
        </w:rPr>
        <w:t xml:space="preserve">general </w:t>
      </w:r>
      <w:r w:rsidR="00E3331E" w:rsidRPr="004215EA">
        <w:rPr>
          <w:rFonts w:ascii="Times New Roman" w:hAnsi="Times New Roman"/>
          <w:sz w:val="24"/>
          <w:szCs w:val="24"/>
        </w:rPr>
        <w:t>standard the Commission applies in a</w:t>
      </w:r>
      <w:r w:rsidR="009C0983" w:rsidRPr="004215EA">
        <w:rPr>
          <w:rFonts w:ascii="Times New Roman" w:hAnsi="Times New Roman"/>
          <w:sz w:val="24"/>
          <w:szCs w:val="24"/>
        </w:rPr>
        <w:t xml:space="preserve"> prudence review is the following</w:t>
      </w:r>
      <w:r w:rsidR="00E3331E" w:rsidRPr="004215EA">
        <w:rPr>
          <w:rFonts w:ascii="Times New Roman" w:hAnsi="Times New Roman"/>
          <w:sz w:val="24"/>
          <w:szCs w:val="24"/>
        </w:rPr>
        <w:t>:</w:t>
      </w:r>
    </w:p>
    <w:p w:rsidR="00E3331E" w:rsidRDefault="00E3331E" w:rsidP="00C25326">
      <w:pPr>
        <w:tabs>
          <w:tab w:val="left" w:pos="-1440"/>
        </w:tabs>
        <w:spacing w:after="0" w:line="240" w:lineRule="auto"/>
        <w:ind w:left="785" w:right="720" w:hangingChars="327" w:hanging="785"/>
        <w:rPr>
          <w:rFonts w:ascii="Times New Roman" w:hAnsi="Times New Roman"/>
          <w:sz w:val="24"/>
          <w:szCs w:val="24"/>
        </w:rPr>
      </w:pPr>
      <w:r w:rsidRPr="00CB20C9">
        <w:rPr>
          <w:rFonts w:ascii="Times New Roman" w:hAnsi="Times New Roman"/>
          <w:sz w:val="24"/>
          <w:szCs w:val="24"/>
        </w:rPr>
        <w:lastRenderedPageBreak/>
        <w:tab/>
        <w:t>The test the Commission applies to measure prud</w:t>
      </w:r>
      <w:r w:rsidR="00557504">
        <w:rPr>
          <w:rFonts w:ascii="Times New Roman" w:hAnsi="Times New Roman"/>
          <w:sz w:val="24"/>
          <w:szCs w:val="24"/>
        </w:rPr>
        <w:t xml:space="preserve">ence is what would a reasonable </w:t>
      </w:r>
      <w:r w:rsidRPr="00CB20C9">
        <w:rPr>
          <w:rFonts w:ascii="Times New Roman" w:hAnsi="Times New Roman"/>
          <w:sz w:val="24"/>
          <w:szCs w:val="24"/>
        </w:rPr>
        <w:t xml:space="preserve">board of directors and company management have decided given what they knew or reasonably </w:t>
      </w:r>
      <w:r>
        <w:rPr>
          <w:rFonts w:ascii="Times New Roman" w:hAnsi="Times New Roman"/>
          <w:sz w:val="24"/>
          <w:szCs w:val="24"/>
        </w:rPr>
        <w:t>s</w:t>
      </w:r>
      <w:r w:rsidRPr="00CB20C9">
        <w:rPr>
          <w:rFonts w:ascii="Times New Roman" w:hAnsi="Times New Roman"/>
          <w:sz w:val="24"/>
          <w:szCs w:val="24"/>
        </w:rPr>
        <w:t>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CB20C9">
        <w:rPr>
          <w:rStyle w:val="FootnoteReference"/>
          <w:rFonts w:ascii="Times New Roman" w:hAnsi="Times New Roman"/>
          <w:sz w:val="24"/>
          <w:szCs w:val="24"/>
        </w:rPr>
        <w:footnoteReference w:id="102"/>
      </w:r>
    </w:p>
    <w:p w:rsidR="00E3331E" w:rsidRPr="00CB20C9" w:rsidRDefault="00E3331E" w:rsidP="00C25326">
      <w:pPr>
        <w:tabs>
          <w:tab w:val="left" w:pos="-1440"/>
        </w:tabs>
        <w:spacing w:after="0" w:line="240" w:lineRule="auto"/>
        <w:ind w:left="788" w:right="720" w:hangingChars="327" w:hanging="788"/>
        <w:rPr>
          <w:rFonts w:ascii="Times New Roman" w:hAnsi="Times New Roman"/>
          <w:b/>
          <w:sz w:val="24"/>
          <w:szCs w:val="24"/>
        </w:rPr>
      </w:pPr>
    </w:p>
    <w:p w:rsidR="00A21394" w:rsidRDefault="00E3331E" w:rsidP="00C25326">
      <w:pPr>
        <w:tabs>
          <w:tab w:val="left" w:pos="-1440"/>
        </w:tabs>
        <w:spacing w:after="0" w:line="240" w:lineRule="auto"/>
        <w:ind w:left="785" w:hangingChars="327" w:hanging="785"/>
        <w:rPr>
          <w:rFonts w:ascii="Times New Roman" w:hAnsi="Times New Roman"/>
          <w:sz w:val="24"/>
          <w:szCs w:val="24"/>
        </w:rPr>
      </w:pPr>
      <w:r w:rsidRPr="00CB20C9">
        <w:rPr>
          <w:rFonts w:ascii="Times New Roman" w:hAnsi="Times New Roman"/>
          <w:sz w:val="24"/>
          <w:szCs w:val="24"/>
        </w:rPr>
        <w:t>The Commissi</w:t>
      </w:r>
      <w:r w:rsidR="00510839">
        <w:rPr>
          <w:rFonts w:ascii="Times New Roman" w:hAnsi="Times New Roman"/>
          <w:sz w:val="24"/>
          <w:szCs w:val="24"/>
        </w:rPr>
        <w:t>on has implemented this</w:t>
      </w:r>
      <w:r w:rsidR="00CA37D7">
        <w:rPr>
          <w:rFonts w:ascii="Times New Roman" w:hAnsi="Times New Roman"/>
          <w:sz w:val="24"/>
          <w:szCs w:val="24"/>
        </w:rPr>
        <w:t xml:space="preserve"> prudence </w:t>
      </w:r>
      <w:r w:rsidRPr="00CB20C9">
        <w:rPr>
          <w:rFonts w:ascii="Times New Roman" w:hAnsi="Times New Roman"/>
          <w:sz w:val="24"/>
          <w:szCs w:val="24"/>
        </w:rPr>
        <w:t>standard</w:t>
      </w:r>
      <w:r>
        <w:rPr>
          <w:rFonts w:ascii="Times New Roman" w:hAnsi="Times New Roman"/>
          <w:sz w:val="24"/>
          <w:szCs w:val="24"/>
        </w:rPr>
        <w:t xml:space="preserve"> by focusing on the following </w:t>
      </w:r>
      <w:r w:rsidRPr="00CB20C9">
        <w:rPr>
          <w:rFonts w:ascii="Times New Roman" w:hAnsi="Times New Roman"/>
          <w:sz w:val="24"/>
          <w:szCs w:val="24"/>
        </w:rPr>
        <w:t>factors:</w:t>
      </w:r>
    </w:p>
    <w:p w:rsidR="00C25326" w:rsidRPr="00A21394" w:rsidRDefault="00C25326" w:rsidP="00C25326">
      <w:pPr>
        <w:tabs>
          <w:tab w:val="left" w:pos="-1440"/>
        </w:tabs>
        <w:spacing w:after="0" w:line="240" w:lineRule="auto"/>
        <w:ind w:left="785" w:hangingChars="327" w:hanging="785"/>
        <w:rPr>
          <w:rFonts w:ascii="Times New Roman" w:hAnsi="Times New Roman" w:cs="Times New Roman"/>
          <w:color w:val="000000"/>
          <w:sz w:val="24"/>
          <w:szCs w:val="24"/>
        </w:rPr>
      </w:pPr>
    </w:p>
    <w:p w:rsidR="00A21394" w:rsidRPr="00557504" w:rsidRDefault="00A21394" w:rsidP="004736BE">
      <w:pPr>
        <w:pStyle w:val="ListParagraph"/>
        <w:numPr>
          <w:ilvl w:val="0"/>
          <w:numId w:val="6"/>
        </w:numPr>
        <w:autoSpaceDE w:val="0"/>
        <w:autoSpaceDN w:val="0"/>
        <w:adjustRightInd w:val="0"/>
        <w:spacing w:line="480" w:lineRule="auto"/>
        <w:rPr>
          <w:rFonts w:ascii="Times New Roman" w:hAnsi="Times New Roman"/>
          <w:color w:val="000000"/>
          <w:sz w:val="25"/>
          <w:szCs w:val="25"/>
        </w:rPr>
      </w:pPr>
      <w:r w:rsidRPr="00557504">
        <w:rPr>
          <w:rFonts w:ascii="Times New Roman" w:hAnsi="Times New Roman"/>
          <w:color w:val="000000"/>
          <w:sz w:val="25"/>
          <w:szCs w:val="25"/>
        </w:rPr>
        <w:t xml:space="preserve">The new resource is needed. </w:t>
      </w:r>
    </w:p>
    <w:p w:rsidR="00A21394" w:rsidRPr="00557504" w:rsidRDefault="00A21394" w:rsidP="004736BE">
      <w:pPr>
        <w:pStyle w:val="ListParagraph"/>
        <w:numPr>
          <w:ilvl w:val="0"/>
          <w:numId w:val="6"/>
        </w:numPr>
        <w:autoSpaceDE w:val="0"/>
        <w:autoSpaceDN w:val="0"/>
        <w:adjustRightInd w:val="0"/>
        <w:rPr>
          <w:rFonts w:ascii="Times New Roman" w:hAnsi="Times New Roman"/>
          <w:color w:val="000000"/>
          <w:sz w:val="25"/>
          <w:szCs w:val="25"/>
        </w:rPr>
      </w:pPr>
      <w:r w:rsidRPr="00557504">
        <w:rPr>
          <w:rFonts w:ascii="Times New Roman" w:hAnsi="Times New Roman"/>
          <w:color w:val="000000"/>
          <w:sz w:val="25"/>
          <w:szCs w:val="25"/>
        </w:rPr>
        <w:t>The new res</w:t>
      </w:r>
      <w:r w:rsidR="00364AB6" w:rsidRPr="00557504">
        <w:rPr>
          <w:rFonts w:ascii="Times New Roman" w:hAnsi="Times New Roman"/>
          <w:color w:val="000000"/>
          <w:sz w:val="25"/>
          <w:szCs w:val="25"/>
        </w:rPr>
        <w:t xml:space="preserve">ource fills the need </w:t>
      </w:r>
      <w:r w:rsidRPr="00557504">
        <w:rPr>
          <w:rFonts w:ascii="Times New Roman" w:hAnsi="Times New Roman"/>
          <w:color w:val="000000"/>
          <w:sz w:val="25"/>
          <w:szCs w:val="25"/>
        </w:rPr>
        <w:t xml:space="preserve">in a cost-effective manner, evaluating that resource </w:t>
      </w:r>
      <w:r w:rsidR="009C0983">
        <w:rPr>
          <w:rFonts w:ascii="Times New Roman" w:hAnsi="Times New Roman"/>
          <w:color w:val="000000"/>
          <w:sz w:val="25"/>
          <w:szCs w:val="25"/>
        </w:rPr>
        <w:t xml:space="preserve">with up to date </w:t>
      </w:r>
      <w:r w:rsidR="00364AB6" w:rsidRPr="00557504">
        <w:rPr>
          <w:rFonts w:ascii="Times New Roman" w:hAnsi="Times New Roman"/>
          <w:color w:val="000000"/>
          <w:sz w:val="25"/>
          <w:szCs w:val="25"/>
        </w:rPr>
        <w:t>infor</w:t>
      </w:r>
      <w:r w:rsidR="001719E6">
        <w:rPr>
          <w:rFonts w:ascii="Times New Roman" w:hAnsi="Times New Roman"/>
          <w:color w:val="000000"/>
          <w:sz w:val="25"/>
          <w:szCs w:val="25"/>
        </w:rPr>
        <w:t xml:space="preserve">mation against </w:t>
      </w:r>
      <w:r w:rsidRPr="00557504">
        <w:rPr>
          <w:rFonts w:ascii="Times New Roman" w:hAnsi="Times New Roman"/>
          <w:color w:val="000000"/>
          <w:sz w:val="25"/>
          <w:szCs w:val="25"/>
        </w:rPr>
        <w:t xml:space="preserve">other </w:t>
      </w:r>
      <w:r w:rsidR="00364AB6" w:rsidRPr="00557504">
        <w:rPr>
          <w:rFonts w:ascii="Times New Roman" w:hAnsi="Times New Roman"/>
          <w:color w:val="000000"/>
          <w:sz w:val="25"/>
          <w:szCs w:val="25"/>
        </w:rPr>
        <w:t>available purchases</w:t>
      </w:r>
      <w:r w:rsidR="001719E6">
        <w:rPr>
          <w:rFonts w:ascii="Times New Roman" w:hAnsi="Times New Roman"/>
          <w:color w:val="000000"/>
          <w:sz w:val="25"/>
          <w:szCs w:val="25"/>
        </w:rPr>
        <w:t xml:space="preserve"> and against </w:t>
      </w:r>
      <w:r w:rsidRPr="00557504">
        <w:rPr>
          <w:rFonts w:ascii="Times New Roman" w:hAnsi="Times New Roman"/>
          <w:color w:val="000000"/>
          <w:sz w:val="25"/>
          <w:szCs w:val="25"/>
        </w:rPr>
        <w:t xml:space="preserve">what it would cost </w:t>
      </w:r>
      <w:r w:rsidR="001719E6">
        <w:rPr>
          <w:rFonts w:ascii="Times New Roman" w:hAnsi="Times New Roman"/>
          <w:color w:val="000000"/>
          <w:sz w:val="25"/>
          <w:szCs w:val="25"/>
        </w:rPr>
        <w:t xml:space="preserve">the utility </w:t>
      </w:r>
      <w:r w:rsidRPr="00557504">
        <w:rPr>
          <w:rFonts w:ascii="Times New Roman" w:hAnsi="Times New Roman"/>
          <w:color w:val="000000"/>
          <w:sz w:val="25"/>
          <w:szCs w:val="25"/>
        </w:rPr>
        <w:t xml:space="preserve">to build the resource itself. </w:t>
      </w:r>
    </w:p>
    <w:p w:rsidR="00364AB6" w:rsidRPr="00364AB6" w:rsidRDefault="00364AB6" w:rsidP="00364AB6">
      <w:pPr>
        <w:pStyle w:val="ListParagraph"/>
        <w:autoSpaceDE w:val="0"/>
        <w:autoSpaceDN w:val="0"/>
        <w:adjustRightInd w:val="0"/>
        <w:rPr>
          <w:rFonts w:ascii="Times New Roman" w:hAnsi="Times New Roman"/>
          <w:color w:val="000000"/>
          <w:sz w:val="25"/>
          <w:szCs w:val="25"/>
        </w:rPr>
      </w:pPr>
    </w:p>
    <w:p w:rsidR="00A21394" w:rsidRPr="00557504" w:rsidRDefault="00A21394" w:rsidP="004736BE">
      <w:pPr>
        <w:pStyle w:val="ListParagraph"/>
        <w:numPr>
          <w:ilvl w:val="0"/>
          <w:numId w:val="6"/>
        </w:numPr>
        <w:autoSpaceDE w:val="0"/>
        <w:autoSpaceDN w:val="0"/>
        <w:adjustRightInd w:val="0"/>
        <w:spacing w:after="79"/>
        <w:rPr>
          <w:rFonts w:ascii="Times New Roman" w:hAnsi="Times New Roman"/>
          <w:color w:val="000000"/>
          <w:sz w:val="25"/>
          <w:szCs w:val="25"/>
        </w:rPr>
      </w:pPr>
      <w:r w:rsidRPr="00557504">
        <w:rPr>
          <w:rFonts w:ascii="Times New Roman" w:hAnsi="Times New Roman"/>
          <w:color w:val="000000"/>
          <w:sz w:val="25"/>
          <w:szCs w:val="25"/>
        </w:rPr>
        <w:t xml:space="preserve">Management kept its board of directors informed and involved the board in the decision process. </w:t>
      </w:r>
    </w:p>
    <w:p w:rsidR="00364AB6" w:rsidRPr="00364AB6" w:rsidRDefault="00364AB6" w:rsidP="00364AB6">
      <w:pPr>
        <w:pStyle w:val="ListParagraph"/>
        <w:autoSpaceDE w:val="0"/>
        <w:autoSpaceDN w:val="0"/>
        <w:adjustRightInd w:val="0"/>
        <w:spacing w:after="79"/>
        <w:rPr>
          <w:rFonts w:ascii="Times New Roman" w:hAnsi="Times New Roman"/>
          <w:color w:val="000000"/>
          <w:sz w:val="25"/>
          <w:szCs w:val="25"/>
        </w:rPr>
      </w:pPr>
    </w:p>
    <w:p w:rsidR="00A21394" w:rsidRPr="00557504" w:rsidRDefault="004D7AC7" w:rsidP="004736BE">
      <w:pPr>
        <w:pStyle w:val="ListParagraph"/>
        <w:numPr>
          <w:ilvl w:val="0"/>
          <w:numId w:val="6"/>
        </w:numPr>
        <w:autoSpaceDE w:val="0"/>
        <w:autoSpaceDN w:val="0"/>
        <w:adjustRightInd w:val="0"/>
        <w:rPr>
          <w:rFonts w:ascii="Times New Roman" w:hAnsi="Times New Roman"/>
          <w:color w:val="000000"/>
          <w:sz w:val="25"/>
          <w:szCs w:val="25"/>
        </w:rPr>
      </w:pPr>
      <w:r>
        <w:rPr>
          <w:rFonts w:ascii="Times New Roman" w:hAnsi="Times New Roman"/>
          <w:color w:val="000000"/>
          <w:sz w:val="25"/>
          <w:szCs w:val="25"/>
        </w:rPr>
        <w:t>The c</w:t>
      </w:r>
      <w:r w:rsidR="00A21394" w:rsidRPr="00557504">
        <w:rPr>
          <w:rFonts w:ascii="Times New Roman" w:hAnsi="Times New Roman"/>
          <w:color w:val="000000"/>
          <w:sz w:val="25"/>
          <w:szCs w:val="25"/>
        </w:rPr>
        <w:t>ompany has adequate contemporaneous records that will allow the Commission to evaluate its actions with respect to the decision process.</w:t>
      </w:r>
      <w:r w:rsidR="00364AB6">
        <w:rPr>
          <w:rStyle w:val="FootnoteReference"/>
          <w:rFonts w:ascii="Times New Roman" w:hAnsi="Times New Roman"/>
          <w:color w:val="000000"/>
          <w:sz w:val="25"/>
          <w:szCs w:val="25"/>
        </w:rPr>
        <w:footnoteReference w:id="103"/>
      </w:r>
      <w:r w:rsidR="00A21394" w:rsidRPr="00557504">
        <w:rPr>
          <w:rFonts w:ascii="Times New Roman" w:hAnsi="Times New Roman"/>
          <w:color w:val="000000"/>
          <w:sz w:val="25"/>
          <w:szCs w:val="25"/>
        </w:rPr>
        <w:t xml:space="preserve">  </w:t>
      </w:r>
    </w:p>
    <w:p w:rsidR="00A21394" w:rsidRDefault="00A21394" w:rsidP="00BD776A">
      <w:pPr>
        <w:tabs>
          <w:tab w:val="left" w:pos="-1440"/>
        </w:tabs>
        <w:spacing w:after="0" w:line="240" w:lineRule="auto"/>
        <w:ind w:left="785" w:hangingChars="327" w:hanging="785"/>
        <w:rPr>
          <w:rFonts w:ascii="Times New Roman" w:hAnsi="Times New Roman"/>
          <w:sz w:val="24"/>
          <w:szCs w:val="24"/>
        </w:rPr>
      </w:pPr>
    </w:p>
    <w:p w:rsidR="00BD776A"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BF113E">
        <w:rPr>
          <w:rFonts w:ascii="Times New Roman" w:hAnsi="Times New Roman"/>
          <w:sz w:val="24"/>
          <w:szCs w:val="24"/>
        </w:rPr>
        <w:t>W</w:t>
      </w:r>
      <w:r w:rsidR="00510839" w:rsidRPr="004215EA">
        <w:rPr>
          <w:rFonts w:ascii="Times New Roman" w:hAnsi="Times New Roman"/>
          <w:sz w:val="24"/>
          <w:szCs w:val="24"/>
        </w:rPr>
        <w:t xml:space="preserve">hen a utility </w:t>
      </w:r>
      <w:r w:rsidR="006C4D56">
        <w:rPr>
          <w:rFonts w:ascii="Times New Roman" w:hAnsi="Times New Roman"/>
          <w:sz w:val="24"/>
          <w:szCs w:val="24"/>
        </w:rPr>
        <w:t xml:space="preserve">acquires a renewable resource ahead of </w:t>
      </w:r>
      <w:r w:rsidR="00CC3F83">
        <w:rPr>
          <w:rFonts w:ascii="Times New Roman" w:hAnsi="Times New Roman"/>
          <w:sz w:val="24"/>
          <w:szCs w:val="24"/>
        </w:rPr>
        <w:t>an RPS, the utility</w:t>
      </w:r>
      <w:r w:rsidR="00F8603A" w:rsidRPr="004215EA">
        <w:rPr>
          <w:rFonts w:ascii="Times New Roman" w:hAnsi="Times New Roman"/>
          <w:sz w:val="24"/>
          <w:szCs w:val="24"/>
        </w:rPr>
        <w:t xml:space="preserve"> </w:t>
      </w:r>
      <w:r w:rsidR="00510839" w:rsidRPr="004215EA">
        <w:rPr>
          <w:rFonts w:ascii="Times New Roman" w:hAnsi="Times New Roman"/>
          <w:sz w:val="24"/>
          <w:szCs w:val="24"/>
        </w:rPr>
        <w:t xml:space="preserve">must </w:t>
      </w:r>
      <w:r w:rsidR="00BD776A" w:rsidRPr="004215EA">
        <w:rPr>
          <w:rFonts w:ascii="Times New Roman" w:hAnsi="Times New Roman"/>
          <w:sz w:val="24"/>
          <w:szCs w:val="24"/>
        </w:rPr>
        <w:t xml:space="preserve">show that the resource </w:t>
      </w:r>
      <w:r w:rsidR="0028773F" w:rsidRPr="004215EA">
        <w:rPr>
          <w:rFonts w:ascii="Times New Roman" w:hAnsi="Times New Roman"/>
          <w:sz w:val="24"/>
          <w:szCs w:val="24"/>
        </w:rPr>
        <w:t xml:space="preserve">produces benefits </w:t>
      </w:r>
      <w:r w:rsidR="00BD776A" w:rsidRPr="004215EA">
        <w:rPr>
          <w:rFonts w:ascii="Times New Roman" w:hAnsi="Times New Roman"/>
          <w:sz w:val="24"/>
          <w:szCs w:val="24"/>
        </w:rPr>
        <w:t>offset</w:t>
      </w:r>
      <w:r w:rsidR="0028773F" w:rsidRPr="004215EA">
        <w:rPr>
          <w:rFonts w:ascii="Times New Roman" w:hAnsi="Times New Roman"/>
          <w:sz w:val="24"/>
          <w:szCs w:val="24"/>
        </w:rPr>
        <w:t>ting</w:t>
      </w:r>
      <w:r w:rsidR="00BD776A" w:rsidRPr="004215EA">
        <w:rPr>
          <w:rFonts w:ascii="Times New Roman" w:hAnsi="Times New Roman"/>
          <w:sz w:val="24"/>
          <w:szCs w:val="24"/>
        </w:rPr>
        <w:t xml:space="preserve"> the c</w:t>
      </w:r>
      <w:r w:rsidR="00173DDC" w:rsidRPr="004215EA">
        <w:rPr>
          <w:rFonts w:ascii="Times New Roman" w:hAnsi="Times New Roman"/>
          <w:sz w:val="24"/>
          <w:szCs w:val="24"/>
        </w:rPr>
        <w:t>ost of early acquisition.  Such benefits can</w:t>
      </w:r>
      <w:r w:rsidR="00BD776A" w:rsidRPr="004215EA">
        <w:rPr>
          <w:rFonts w:ascii="Times New Roman" w:hAnsi="Times New Roman"/>
          <w:sz w:val="24"/>
          <w:szCs w:val="24"/>
        </w:rPr>
        <w:t xml:space="preserve"> include the sale of energy, sale of RECs</w:t>
      </w:r>
      <w:r w:rsidR="00CA37D7" w:rsidRPr="004215EA">
        <w:rPr>
          <w:rFonts w:ascii="Times New Roman" w:hAnsi="Times New Roman"/>
          <w:sz w:val="24"/>
          <w:szCs w:val="24"/>
        </w:rPr>
        <w:t>, or other value attributable to</w:t>
      </w:r>
      <w:r w:rsidR="00F8603A" w:rsidRPr="004215EA">
        <w:rPr>
          <w:rFonts w:ascii="Times New Roman" w:hAnsi="Times New Roman"/>
          <w:sz w:val="24"/>
          <w:szCs w:val="24"/>
        </w:rPr>
        <w:t xml:space="preserve"> the resource</w:t>
      </w:r>
      <w:r w:rsidR="00BD776A" w:rsidRPr="004215EA">
        <w:rPr>
          <w:rFonts w:ascii="Times New Roman" w:hAnsi="Times New Roman"/>
          <w:sz w:val="24"/>
          <w:szCs w:val="24"/>
        </w:rPr>
        <w:t>.</w:t>
      </w:r>
      <w:r w:rsidR="00BD776A">
        <w:rPr>
          <w:rStyle w:val="FootnoteReference"/>
          <w:rFonts w:ascii="Times New Roman" w:hAnsi="Times New Roman"/>
          <w:sz w:val="24"/>
          <w:szCs w:val="24"/>
        </w:rPr>
        <w:footnoteReference w:id="104"/>
      </w:r>
      <w:r w:rsidR="00173DDC" w:rsidRPr="004215EA">
        <w:rPr>
          <w:rFonts w:ascii="Times New Roman" w:hAnsi="Times New Roman"/>
          <w:sz w:val="24"/>
          <w:szCs w:val="24"/>
        </w:rPr>
        <w:t xml:space="preserve">  </w:t>
      </w:r>
      <w:r w:rsidR="00F8603A" w:rsidRPr="004215EA">
        <w:rPr>
          <w:rFonts w:ascii="Times New Roman" w:hAnsi="Times New Roman"/>
          <w:sz w:val="24"/>
          <w:szCs w:val="24"/>
        </w:rPr>
        <w:t>In this case,</w:t>
      </w:r>
      <w:r w:rsidR="0099230C" w:rsidRPr="004215EA">
        <w:rPr>
          <w:rFonts w:ascii="Times New Roman" w:hAnsi="Times New Roman"/>
          <w:sz w:val="24"/>
          <w:szCs w:val="24"/>
        </w:rPr>
        <w:t xml:space="preserve"> valuable attributes included significant federal and state tax incentives, and reduced turbine prices.</w:t>
      </w:r>
    </w:p>
    <w:p w:rsidR="00CA37D7" w:rsidRDefault="00964E00" w:rsidP="00553850">
      <w:pPr>
        <w:keepNext/>
        <w:tabs>
          <w:tab w:val="left" w:pos="720"/>
        </w:tabs>
        <w:spacing w:after="0" w:line="480" w:lineRule="auto"/>
        <w:ind w:left="1440" w:hanging="1440"/>
        <w:rPr>
          <w:rFonts w:ascii="Times New Roman" w:hAnsi="Times New Roman"/>
          <w:b/>
          <w:sz w:val="24"/>
          <w:szCs w:val="24"/>
        </w:rPr>
      </w:pPr>
      <w:r>
        <w:rPr>
          <w:rFonts w:ascii="Times New Roman" w:hAnsi="Times New Roman"/>
          <w:b/>
          <w:sz w:val="24"/>
          <w:szCs w:val="24"/>
        </w:rPr>
        <w:tab/>
      </w:r>
      <w:r w:rsidR="00CA37D7">
        <w:rPr>
          <w:rFonts w:ascii="Times New Roman" w:hAnsi="Times New Roman"/>
          <w:b/>
          <w:sz w:val="24"/>
          <w:szCs w:val="24"/>
        </w:rPr>
        <w:t>3.</w:t>
      </w:r>
      <w:r w:rsidR="00CA37D7">
        <w:rPr>
          <w:rFonts w:ascii="Times New Roman" w:hAnsi="Times New Roman"/>
          <w:b/>
          <w:sz w:val="24"/>
          <w:szCs w:val="24"/>
        </w:rPr>
        <w:tab/>
      </w:r>
      <w:r w:rsidR="00CA37D7" w:rsidRPr="00CA37D7">
        <w:rPr>
          <w:rFonts w:ascii="Times New Roman" w:hAnsi="Times New Roman"/>
          <w:b/>
          <w:sz w:val="24"/>
          <w:szCs w:val="24"/>
        </w:rPr>
        <w:t xml:space="preserve">The Company’s Acquisition </w:t>
      </w:r>
      <w:r w:rsidR="00A25167">
        <w:rPr>
          <w:rFonts w:ascii="Times New Roman" w:hAnsi="Times New Roman"/>
          <w:b/>
          <w:sz w:val="24"/>
          <w:szCs w:val="24"/>
        </w:rPr>
        <w:t xml:space="preserve">of LSR </w:t>
      </w:r>
      <w:r w:rsidR="00CA37D7" w:rsidRPr="00CA37D7">
        <w:rPr>
          <w:rFonts w:ascii="Times New Roman" w:hAnsi="Times New Roman"/>
          <w:b/>
          <w:sz w:val="24"/>
          <w:szCs w:val="24"/>
        </w:rPr>
        <w:t>Satisfied All Applicable Legal S</w:t>
      </w:r>
      <w:r w:rsidR="00B46068">
        <w:rPr>
          <w:rFonts w:ascii="Times New Roman" w:hAnsi="Times New Roman"/>
          <w:b/>
          <w:sz w:val="24"/>
          <w:szCs w:val="24"/>
        </w:rPr>
        <w:t xml:space="preserve">tandards </w:t>
      </w:r>
    </w:p>
    <w:p w:rsidR="00CA37D7" w:rsidRPr="004215EA" w:rsidRDefault="004215EA" w:rsidP="004215EA">
      <w:pPr>
        <w:pStyle w:val="ListParagraph"/>
        <w:numPr>
          <w:ilvl w:val="0"/>
          <w:numId w:val="1"/>
        </w:numPr>
        <w:tabs>
          <w:tab w:val="left" w:pos="-1440"/>
        </w:tabs>
        <w:spacing w:line="480" w:lineRule="auto"/>
        <w:rPr>
          <w:rFonts w:ascii="Times New Roman" w:hAnsi="Times New Roman"/>
          <w:bCs/>
          <w:kern w:val="24"/>
          <w:sz w:val="24"/>
          <w:szCs w:val="24"/>
        </w:rPr>
      </w:pPr>
      <w:r>
        <w:rPr>
          <w:rFonts w:ascii="Times New Roman" w:hAnsi="Times New Roman"/>
          <w:bCs/>
          <w:kern w:val="24"/>
          <w:sz w:val="24"/>
          <w:szCs w:val="24"/>
        </w:rPr>
        <w:tab/>
      </w:r>
      <w:r w:rsidR="00CA37D7" w:rsidRPr="004215EA">
        <w:rPr>
          <w:rFonts w:ascii="Times New Roman" w:hAnsi="Times New Roman"/>
          <w:bCs/>
          <w:kern w:val="24"/>
          <w:sz w:val="24"/>
          <w:szCs w:val="24"/>
        </w:rPr>
        <w:t xml:space="preserve">Staff witness </w:t>
      </w:r>
      <w:r w:rsidR="0028551A" w:rsidRPr="004215EA">
        <w:rPr>
          <w:rFonts w:ascii="Times New Roman" w:hAnsi="Times New Roman"/>
          <w:bCs/>
          <w:kern w:val="24"/>
          <w:sz w:val="24"/>
          <w:szCs w:val="24"/>
        </w:rPr>
        <w:t xml:space="preserve">Mr. </w:t>
      </w:r>
      <w:r w:rsidR="00CA37D7" w:rsidRPr="004215EA">
        <w:rPr>
          <w:rFonts w:ascii="Times New Roman" w:hAnsi="Times New Roman"/>
          <w:bCs/>
          <w:kern w:val="24"/>
          <w:sz w:val="24"/>
          <w:szCs w:val="24"/>
        </w:rPr>
        <w:t>David Nightingale conducted a full and independent review of all tes</w:t>
      </w:r>
      <w:r w:rsidR="00EB6CA4">
        <w:rPr>
          <w:rFonts w:ascii="Times New Roman" w:hAnsi="Times New Roman"/>
          <w:bCs/>
          <w:kern w:val="24"/>
          <w:sz w:val="24"/>
          <w:szCs w:val="24"/>
        </w:rPr>
        <w:t xml:space="preserve">timony and exhibits addressing </w:t>
      </w:r>
      <w:r w:rsidR="00222F18" w:rsidRPr="004215EA">
        <w:rPr>
          <w:rFonts w:ascii="Times New Roman" w:hAnsi="Times New Roman"/>
          <w:bCs/>
          <w:kern w:val="24"/>
          <w:sz w:val="24"/>
          <w:szCs w:val="24"/>
        </w:rPr>
        <w:t xml:space="preserve">LSR.  He </w:t>
      </w:r>
      <w:r w:rsidR="00CA37D7" w:rsidRPr="004215EA">
        <w:rPr>
          <w:rFonts w:ascii="Times New Roman" w:hAnsi="Times New Roman"/>
          <w:bCs/>
          <w:kern w:val="24"/>
          <w:sz w:val="24"/>
          <w:szCs w:val="24"/>
        </w:rPr>
        <w:t xml:space="preserve">reviewed </w:t>
      </w:r>
      <w:r w:rsidR="00CA37D7" w:rsidRPr="004215EA">
        <w:rPr>
          <w:rFonts w:ascii="Times New Roman" w:hAnsi="Times New Roman"/>
          <w:sz w:val="24"/>
          <w:szCs w:val="24"/>
        </w:rPr>
        <w:t>responses to hundreds of data requests</w:t>
      </w:r>
      <w:r w:rsidR="00222F18" w:rsidRPr="004215EA">
        <w:rPr>
          <w:rFonts w:ascii="Times New Roman" w:hAnsi="Times New Roman"/>
          <w:sz w:val="24"/>
          <w:szCs w:val="24"/>
        </w:rPr>
        <w:t>.</w:t>
      </w:r>
      <w:r w:rsidR="00510839">
        <w:rPr>
          <w:rStyle w:val="FootnoteReference"/>
          <w:rFonts w:ascii="Times New Roman" w:hAnsi="Times New Roman"/>
          <w:sz w:val="24"/>
          <w:szCs w:val="24"/>
        </w:rPr>
        <w:footnoteReference w:id="105"/>
      </w:r>
      <w:r w:rsidR="00D7210B" w:rsidRPr="004215EA">
        <w:rPr>
          <w:rFonts w:ascii="Times New Roman" w:hAnsi="Times New Roman"/>
          <w:sz w:val="24"/>
          <w:szCs w:val="24"/>
        </w:rPr>
        <w:t xml:space="preserve">  H</w:t>
      </w:r>
      <w:r w:rsidR="00EB6CA4">
        <w:rPr>
          <w:rFonts w:ascii="Times New Roman" w:hAnsi="Times New Roman"/>
          <w:sz w:val="24"/>
          <w:szCs w:val="24"/>
        </w:rPr>
        <w:t>e reviewed PSE</w:t>
      </w:r>
      <w:r w:rsidR="00CA37D7" w:rsidRPr="004215EA">
        <w:rPr>
          <w:rFonts w:ascii="Times New Roman" w:hAnsi="Times New Roman"/>
          <w:sz w:val="24"/>
          <w:szCs w:val="24"/>
        </w:rPr>
        <w:t xml:space="preserve">’s 2009 </w:t>
      </w:r>
      <w:r w:rsidR="00D7210B" w:rsidRPr="004215EA">
        <w:rPr>
          <w:rFonts w:ascii="Times New Roman" w:hAnsi="Times New Roman"/>
          <w:sz w:val="24"/>
          <w:szCs w:val="24"/>
        </w:rPr>
        <w:t xml:space="preserve">Integrated Resource Plan (“IRP”) </w:t>
      </w:r>
      <w:r w:rsidR="00CA37D7" w:rsidRPr="004215EA">
        <w:rPr>
          <w:rFonts w:ascii="Times New Roman" w:hAnsi="Times New Roman"/>
          <w:sz w:val="24"/>
          <w:szCs w:val="24"/>
        </w:rPr>
        <w:t xml:space="preserve">and </w:t>
      </w:r>
      <w:r w:rsidR="00222F18" w:rsidRPr="004215EA">
        <w:rPr>
          <w:rFonts w:ascii="Times New Roman" w:hAnsi="Times New Roman"/>
          <w:sz w:val="24"/>
          <w:szCs w:val="24"/>
        </w:rPr>
        <w:t>IRP Up</w:t>
      </w:r>
      <w:r w:rsidR="00CA37D7" w:rsidRPr="004215EA">
        <w:rPr>
          <w:rFonts w:ascii="Times New Roman" w:hAnsi="Times New Roman"/>
          <w:sz w:val="24"/>
          <w:szCs w:val="24"/>
        </w:rPr>
        <w:t xml:space="preserve">date, its 2010 </w:t>
      </w:r>
      <w:r w:rsidR="00222F18" w:rsidRPr="004215EA">
        <w:rPr>
          <w:rFonts w:ascii="Times New Roman" w:hAnsi="Times New Roman"/>
          <w:sz w:val="24"/>
          <w:szCs w:val="24"/>
        </w:rPr>
        <w:t xml:space="preserve">Request for </w:t>
      </w:r>
      <w:r w:rsidR="00222F18" w:rsidRPr="004215EA">
        <w:rPr>
          <w:rFonts w:ascii="Times New Roman" w:hAnsi="Times New Roman"/>
          <w:sz w:val="24"/>
          <w:szCs w:val="24"/>
        </w:rPr>
        <w:lastRenderedPageBreak/>
        <w:t>Proposal (“RFP”)</w:t>
      </w:r>
      <w:r w:rsidR="00FA55BE" w:rsidRPr="004215EA">
        <w:rPr>
          <w:rFonts w:ascii="Times New Roman" w:hAnsi="Times New Roman"/>
          <w:sz w:val="24"/>
          <w:szCs w:val="24"/>
        </w:rPr>
        <w:t xml:space="preserve"> and related modeling </w:t>
      </w:r>
      <w:r w:rsidR="00CA37D7" w:rsidRPr="004215EA">
        <w:rPr>
          <w:rFonts w:ascii="Times New Roman" w:hAnsi="Times New Roman"/>
          <w:sz w:val="24"/>
          <w:szCs w:val="24"/>
        </w:rPr>
        <w:t xml:space="preserve">analyses, the transaction documents, Board of Director’s </w:t>
      </w:r>
      <w:r w:rsidR="004D7AC7" w:rsidRPr="004215EA">
        <w:rPr>
          <w:rFonts w:ascii="Times New Roman" w:hAnsi="Times New Roman"/>
          <w:sz w:val="24"/>
          <w:szCs w:val="24"/>
        </w:rPr>
        <w:t xml:space="preserve">presentations and </w:t>
      </w:r>
      <w:r w:rsidR="00CA37D7" w:rsidRPr="004215EA">
        <w:rPr>
          <w:rFonts w:ascii="Times New Roman" w:hAnsi="Times New Roman"/>
          <w:sz w:val="24"/>
          <w:szCs w:val="24"/>
        </w:rPr>
        <w:t xml:space="preserve">meeting minutes, and </w:t>
      </w:r>
      <w:r w:rsidR="00964E00" w:rsidRPr="004215EA">
        <w:rPr>
          <w:rFonts w:ascii="Times New Roman" w:hAnsi="Times New Roman"/>
          <w:sz w:val="24"/>
          <w:szCs w:val="24"/>
        </w:rPr>
        <w:t>other related documents.  M</w:t>
      </w:r>
      <w:r w:rsidR="00CA37D7" w:rsidRPr="004215EA">
        <w:rPr>
          <w:rFonts w:ascii="Times New Roman" w:hAnsi="Times New Roman"/>
          <w:bCs/>
          <w:kern w:val="24"/>
          <w:sz w:val="24"/>
          <w:szCs w:val="24"/>
        </w:rPr>
        <w:t>r. Nigh</w:t>
      </w:r>
      <w:r w:rsidR="00EB6CA4">
        <w:rPr>
          <w:rFonts w:ascii="Times New Roman" w:hAnsi="Times New Roman"/>
          <w:bCs/>
          <w:kern w:val="24"/>
          <w:sz w:val="24"/>
          <w:szCs w:val="24"/>
        </w:rPr>
        <w:t xml:space="preserve">tingale </w:t>
      </w:r>
      <w:r w:rsidR="00CA37D7" w:rsidRPr="004215EA">
        <w:rPr>
          <w:rFonts w:ascii="Times New Roman" w:hAnsi="Times New Roman"/>
          <w:bCs/>
          <w:kern w:val="24"/>
          <w:sz w:val="24"/>
          <w:szCs w:val="24"/>
        </w:rPr>
        <w:t>conclude</w:t>
      </w:r>
      <w:r w:rsidR="00EB6CA4">
        <w:rPr>
          <w:rFonts w:ascii="Times New Roman" w:hAnsi="Times New Roman"/>
          <w:bCs/>
          <w:kern w:val="24"/>
          <w:sz w:val="24"/>
          <w:szCs w:val="24"/>
        </w:rPr>
        <w:t>d</w:t>
      </w:r>
      <w:r w:rsidR="00E51E0E">
        <w:rPr>
          <w:rFonts w:ascii="Times New Roman" w:hAnsi="Times New Roman"/>
          <w:bCs/>
          <w:kern w:val="24"/>
          <w:sz w:val="24"/>
          <w:szCs w:val="24"/>
        </w:rPr>
        <w:t xml:space="preserve"> that PSE </w:t>
      </w:r>
      <w:r w:rsidR="00CA37D7" w:rsidRPr="004215EA">
        <w:rPr>
          <w:rFonts w:ascii="Times New Roman" w:hAnsi="Times New Roman"/>
          <w:bCs/>
          <w:kern w:val="24"/>
          <w:sz w:val="24"/>
          <w:szCs w:val="24"/>
        </w:rPr>
        <w:t>performed and documented all appropriate analyses and decision-making to support a finding that the acquisition of LSR was prudent under all applicable legal standards.</w:t>
      </w:r>
      <w:r w:rsidR="004D7AC7">
        <w:rPr>
          <w:rStyle w:val="FootnoteReference"/>
          <w:rFonts w:ascii="Times New Roman" w:hAnsi="Times New Roman"/>
          <w:bCs/>
          <w:kern w:val="24"/>
          <w:sz w:val="24"/>
          <w:szCs w:val="24"/>
        </w:rPr>
        <w:footnoteReference w:id="106"/>
      </w:r>
    </w:p>
    <w:p w:rsidR="00964E00"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F8603A" w:rsidRPr="004215EA">
        <w:rPr>
          <w:rFonts w:ascii="Times New Roman" w:hAnsi="Times New Roman"/>
          <w:sz w:val="24"/>
          <w:szCs w:val="24"/>
        </w:rPr>
        <w:t>First, in PSE</w:t>
      </w:r>
      <w:r w:rsidR="00273D1C" w:rsidRPr="004215EA">
        <w:rPr>
          <w:rFonts w:ascii="Times New Roman" w:hAnsi="Times New Roman"/>
          <w:sz w:val="24"/>
          <w:szCs w:val="24"/>
        </w:rPr>
        <w:t xml:space="preserve">’s 2009 IRP and </w:t>
      </w:r>
      <w:r w:rsidR="009C0983" w:rsidRPr="004215EA">
        <w:rPr>
          <w:rFonts w:ascii="Times New Roman" w:hAnsi="Times New Roman"/>
          <w:sz w:val="24"/>
          <w:szCs w:val="24"/>
        </w:rPr>
        <w:t xml:space="preserve">IRP </w:t>
      </w:r>
      <w:r w:rsidR="00273D1C" w:rsidRPr="004215EA">
        <w:rPr>
          <w:rFonts w:ascii="Times New Roman" w:hAnsi="Times New Roman"/>
          <w:sz w:val="24"/>
          <w:szCs w:val="24"/>
        </w:rPr>
        <w:t>Update, various future sc</w:t>
      </w:r>
      <w:r w:rsidR="00510839" w:rsidRPr="004215EA">
        <w:rPr>
          <w:rFonts w:ascii="Times New Roman" w:hAnsi="Times New Roman"/>
          <w:sz w:val="24"/>
          <w:szCs w:val="24"/>
        </w:rPr>
        <w:t>enarios were modeled to determine</w:t>
      </w:r>
      <w:r w:rsidR="00273D1C" w:rsidRPr="004215EA">
        <w:rPr>
          <w:rFonts w:ascii="Times New Roman" w:hAnsi="Times New Roman"/>
          <w:sz w:val="24"/>
          <w:szCs w:val="24"/>
        </w:rPr>
        <w:t xml:space="preserve"> the likely timing of resource needs, including renewable resources, for the next 20 years.</w:t>
      </w:r>
      <w:r w:rsidR="00273D1C" w:rsidRPr="00964E00">
        <w:rPr>
          <w:rStyle w:val="FootnoteReference"/>
          <w:rFonts w:ascii="Times New Roman" w:hAnsi="Times New Roman"/>
          <w:sz w:val="24"/>
          <w:szCs w:val="24"/>
        </w:rPr>
        <w:footnoteReference w:id="107"/>
      </w:r>
      <w:r w:rsidR="00273D1C" w:rsidRPr="004215EA">
        <w:rPr>
          <w:rFonts w:ascii="Times New Roman" w:hAnsi="Times New Roman"/>
          <w:sz w:val="24"/>
          <w:szCs w:val="24"/>
        </w:rPr>
        <w:t xml:space="preserve">  The analysis showed that PSE did not have sufficient renewable</w:t>
      </w:r>
      <w:r w:rsidR="00F8603A" w:rsidRPr="004215EA">
        <w:rPr>
          <w:rFonts w:ascii="Times New Roman" w:hAnsi="Times New Roman"/>
          <w:sz w:val="24"/>
          <w:szCs w:val="24"/>
        </w:rPr>
        <w:t>s</w:t>
      </w:r>
      <w:r w:rsidR="00A25167">
        <w:rPr>
          <w:rFonts w:ascii="Times New Roman" w:hAnsi="Times New Roman"/>
          <w:sz w:val="24"/>
          <w:szCs w:val="24"/>
        </w:rPr>
        <w:t xml:space="preserve"> or contracts for renewable energy credits (“RECS”)</w:t>
      </w:r>
      <w:r w:rsidR="00E51E0E">
        <w:rPr>
          <w:rFonts w:ascii="Times New Roman" w:hAnsi="Times New Roman"/>
          <w:sz w:val="24"/>
          <w:szCs w:val="24"/>
        </w:rPr>
        <w:t xml:space="preserve"> to satisfy the RPS </w:t>
      </w:r>
      <w:r w:rsidR="00273D1C" w:rsidRPr="004215EA">
        <w:rPr>
          <w:rFonts w:ascii="Times New Roman" w:hAnsi="Times New Roman"/>
          <w:sz w:val="24"/>
          <w:szCs w:val="24"/>
        </w:rPr>
        <w:t>through 2020.  This included estimated needs for nameplate capaci</w:t>
      </w:r>
      <w:r w:rsidR="00510839" w:rsidRPr="004215EA">
        <w:rPr>
          <w:rFonts w:ascii="Times New Roman" w:hAnsi="Times New Roman"/>
          <w:sz w:val="24"/>
          <w:szCs w:val="24"/>
        </w:rPr>
        <w:t xml:space="preserve">ty of additional </w:t>
      </w:r>
      <w:r w:rsidR="0099230C" w:rsidRPr="004215EA">
        <w:rPr>
          <w:rFonts w:ascii="Times New Roman" w:hAnsi="Times New Roman"/>
          <w:sz w:val="24"/>
          <w:szCs w:val="24"/>
        </w:rPr>
        <w:t xml:space="preserve">wind resources of </w:t>
      </w:r>
      <w:r w:rsidR="00273D1C" w:rsidRPr="004215EA">
        <w:rPr>
          <w:rFonts w:ascii="Times New Roman" w:hAnsi="Times New Roman"/>
          <w:sz w:val="24"/>
          <w:szCs w:val="24"/>
        </w:rPr>
        <w:t>300 MW by 2012, 600 MW by 2016, and 1,000 MW by 2020.</w:t>
      </w:r>
      <w:r w:rsidR="00273D1C">
        <w:rPr>
          <w:rStyle w:val="FootnoteReference"/>
          <w:rFonts w:ascii="Times New Roman" w:hAnsi="Times New Roman"/>
          <w:sz w:val="24"/>
          <w:szCs w:val="24"/>
        </w:rPr>
        <w:footnoteReference w:id="108"/>
      </w:r>
      <w:r w:rsidR="00273D1C" w:rsidRPr="004215EA">
        <w:rPr>
          <w:rFonts w:ascii="Times New Roman" w:hAnsi="Times New Roman"/>
          <w:sz w:val="24"/>
          <w:szCs w:val="24"/>
        </w:rPr>
        <w:t xml:space="preserve">  </w:t>
      </w:r>
    </w:p>
    <w:p w:rsidR="008552A3"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E51E0E">
        <w:rPr>
          <w:rFonts w:ascii="Times New Roman" w:hAnsi="Times New Roman"/>
          <w:sz w:val="24"/>
          <w:szCs w:val="24"/>
        </w:rPr>
        <w:t>To satisfy this need</w:t>
      </w:r>
      <w:r w:rsidR="008552A3" w:rsidRPr="004215EA">
        <w:rPr>
          <w:rFonts w:ascii="Times New Roman" w:hAnsi="Times New Roman"/>
          <w:sz w:val="24"/>
          <w:szCs w:val="24"/>
        </w:rPr>
        <w:t xml:space="preserve">, the </w:t>
      </w:r>
      <w:r w:rsidR="00222F18" w:rsidRPr="004215EA">
        <w:rPr>
          <w:rFonts w:ascii="Times New Roman" w:hAnsi="Times New Roman"/>
          <w:sz w:val="24"/>
          <w:szCs w:val="24"/>
        </w:rPr>
        <w:t>Company issued an “All Sources” RFP</w:t>
      </w:r>
      <w:r w:rsidR="00CB3E68" w:rsidRPr="004215EA">
        <w:rPr>
          <w:rFonts w:ascii="Times New Roman" w:hAnsi="Times New Roman"/>
          <w:sz w:val="24"/>
          <w:szCs w:val="24"/>
        </w:rPr>
        <w:t xml:space="preserve"> </w:t>
      </w:r>
      <w:r w:rsidR="008552A3" w:rsidRPr="004215EA">
        <w:rPr>
          <w:rFonts w:ascii="Times New Roman" w:hAnsi="Times New Roman"/>
          <w:sz w:val="24"/>
          <w:szCs w:val="24"/>
        </w:rPr>
        <w:t xml:space="preserve">in </w:t>
      </w:r>
      <w:r w:rsidR="00CB3E68" w:rsidRPr="004215EA">
        <w:rPr>
          <w:rFonts w:ascii="Times New Roman" w:hAnsi="Times New Roman"/>
          <w:sz w:val="24"/>
          <w:szCs w:val="24"/>
        </w:rPr>
        <w:t>January 2010</w:t>
      </w:r>
      <w:r w:rsidR="008552A3" w:rsidRPr="004215EA">
        <w:rPr>
          <w:rFonts w:ascii="Times New Roman" w:hAnsi="Times New Roman"/>
          <w:sz w:val="24"/>
          <w:szCs w:val="24"/>
        </w:rPr>
        <w:t>.</w:t>
      </w:r>
      <w:r w:rsidR="008552A3">
        <w:rPr>
          <w:rStyle w:val="FootnoteReference"/>
          <w:rFonts w:ascii="Times New Roman" w:hAnsi="Times New Roman"/>
          <w:sz w:val="24"/>
          <w:szCs w:val="24"/>
        </w:rPr>
        <w:footnoteReference w:id="109"/>
      </w:r>
      <w:r w:rsidR="00273D1C" w:rsidRPr="004215EA">
        <w:rPr>
          <w:rFonts w:ascii="Times New Roman" w:hAnsi="Times New Roman"/>
          <w:sz w:val="24"/>
          <w:szCs w:val="24"/>
        </w:rPr>
        <w:t xml:space="preserve">  </w:t>
      </w:r>
      <w:r w:rsidR="008552A3" w:rsidRPr="004215EA">
        <w:rPr>
          <w:rFonts w:ascii="Times New Roman" w:hAnsi="Times New Roman"/>
          <w:sz w:val="24"/>
          <w:szCs w:val="24"/>
        </w:rPr>
        <w:t>64 proposals from</w:t>
      </w:r>
      <w:r w:rsidR="00CB3E68" w:rsidRPr="004215EA">
        <w:rPr>
          <w:rFonts w:ascii="Times New Roman" w:hAnsi="Times New Roman"/>
          <w:sz w:val="24"/>
          <w:szCs w:val="24"/>
        </w:rPr>
        <w:t xml:space="preserve"> 55 respondents were submitted.  </w:t>
      </w:r>
      <w:r w:rsidR="008552A3" w:rsidRPr="004215EA">
        <w:rPr>
          <w:rFonts w:ascii="Times New Roman" w:hAnsi="Times New Roman"/>
          <w:sz w:val="24"/>
          <w:szCs w:val="24"/>
        </w:rPr>
        <w:t xml:space="preserve">31 of these </w:t>
      </w:r>
      <w:r w:rsidR="00213595" w:rsidRPr="004215EA">
        <w:rPr>
          <w:rFonts w:ascii="Times New Roman" w:hAnsi="Times New Roman"/>
          <w:sz w:val="24"/>
          <w:szCs w:val="24"/>
        </w:rPr>
        <w:t xml:space="preserve">responses </w:t>
      </w:r>
      <w:r w:rsidR="008552A3" w:rsidRPr="004215EA">
        <w:rPr>
          <w:rFonts w:ascii="Times New Roman" w:hAnsi="Times New Roman"/>
          <w:sz w:val="24"/>
          <w:szCs w:val="24"/>
        </w:rPr>
        <w:t>were for renewable</w:t>
      </w:r>
      <w:r w:rsidR="00213595" w:rsidRPr="004215EA">
        <w:rPr>
          <w:rFonts w:ascii="Times New Roman" w:hAnsi="Times New Roman"/>
          <w:sz w:val="24"/>
          <w:szCs w:val="24"/>
        </w:rPr>
        <w:t xml:space="preserve"> resources</w:t>
      </w:r>
      <w:r w:rsidR="008552A3" w:rsidRPr="004215EA">
        <w:rPr>
          <w:rFonts w:ascii="Times New Roman" w:hAnsi="Times New Roman"/>
          <w:sz w:val="24"/>
          <w:szCs w:val="24"/>
        </w:rPr>
        <w:t xml:space="preserve"> and 21 of the </w:t>
      </w:r>
      <w:r w:rsidR="00E51E0E">
        <w:rPr>
          <w:rFonts w:ascii="Times New Roman" w:hAnsi="Times New Roman"/>
          <w:sz w:val="24"/>
          <w:szCs w:val="24"/>
        </w:rPr>
        <w:t>31 were for wind</w:t>
      </w:r>
      <w:r w:rsidR="008552A3" w:rsidRPr="004215EA">
        <w:rPr>
          <w:rFonts w:ascii="Times New Roman" w:hAnsi="Times New Roman"/>
          <w:sz w:val="24"/>
          <w:szCs w:val="24"/>
        </w:rPr>
        <w:t>.</w:t>
      </w:r>
      <w:r w:rsidR="008552A3">
        <w:rPr>
          <w:rStyle w:val="FootnoteReference"/>
          <w:rFonts w:ascii="Times New Roman" w:hAnsi="Times New Roman"/>
          <w:sz w:val="24"/>
          <w:szCs w:val="24"/>
        </w:rPr>
        <w:footnoteReference w:id="110"/>
      </w:r>
    </w:p>
    <w:p w:rsidR="00364AB6"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CB3E68" w:rsidRPr="004215EA">
        <w:rPr>
          <w:rFonts w:ascii="Times New Roman" w:hAnsi="Times New Roman"/>
          <w:sz w:val="24"/>
          <w:szCs w:val="24"/>
        </w:rPr>
        <w:t xml:space="preserve">PSE evaluated all proposals using a “fatal flaw” </w:t>
      </w:r>
      <w:r w:rsidR="009C0983" w:rsidRPr="004215EA">
        <w:rPr>
          <w:rFonts w:ascii="Times New Roman" w:hAnsi="Times New Roman"/>
          <w:sz w:val="24"/>
          <w:szCs w:val="24"/>
        </w:rPr>
        <w:t>array</w:t>
      </w:r>
      <w:r w:rsidR="00CB3E68" w:rsidRPr="004215EA">
        <w:rPr>
          <w:rFonts w:ascii="Times New Roman" w:hAnsi="Times New Roman"/>
          <w:sz w:val="24"/>
          <w:szCs w:val="24"/>
        </w:rPr>
        <w:t xml:space="preserve"> of qualitative and quantitative analyses to screen out the </w:t>
      </w:r>
      <w:r w:rsidR="00E51E0E">
        <w:rPr>
          <w:rFonts w:ascii="Times New Roman" w:hAnsi="Times New Roman"/>
          <w:sz w:val="24"/>
          <w:szCs w:val="24"/>
        </w:rPr>
        <w:t xml:space="preserve">least competitive </w:t>
      </w:r>
      <w:r w:rsidR="00CB3E68" w:rsidRPr="004215EA">
        <w:rPr>
          <w:rFonts w:ascii="Times New Roman" w:hAnsi="Times New Roman"/>
          <w:sz w:val="24"/>
          <w:szCs w:val="24"/>
        </w:rPr>
        <w:t>offers.  The re</w:t>
      </w:r>
      <w:r w:rsidR="00E51E0E">
        <w:rPr>
          <w:rFonts w:ascii="Times New Roman" w:hAnsi="Times New Roman"/>
          <w:sz w:val="24"/>
          <w:szCs w:val="24"/>
        </w:rPr>
        <w:t xml:space="preserve">maining short-list </w:t>
      </w:r>
      <w:r w:rsidR="00BF113E">
        <w:rPr>
          <w:rFonts w:ascii="Times New Roman" w:hAnsi="Times New Roman"/>
          <w:sz w:val="24"/>
          <w:szCs w:val="24"/>
        </w:rPr>
        <w:t xml:space="preserve">of proposals </w:t>
      </w:r>
      <w:r w:rsidR="00CB3E68" w:rsidRPr="004215EA">
        <w:rPr>
          <w:rFonts w:ascii="Times New Roman" w:hAnsi="Times New Roman"/>
          <w:sz w:val="24"/>
          <w:szCs w:val="24"/>
        </w:rPr>
        <w:t>was subjected to further due diligence using a dynamic simulation of the PSE system within the Western United States.</w:t>
      </w:r>
      <w:r w:rsidR="00CB3E68" w:rsidRPr="00CB3E68">
        <w:rPr>
          <w:rStyle w:val="FootnoteReference"/>
          <w:rFonts w:ascii="Times New Roman" w:hAnsi="Times New Roman"/>
          <w:sz w:val="24"/>
          <w:szCs w:val="24"/>
        </w:rPr>
        <w:footnoteReference w:id="111"/>
      </w:r>
      <w:r w:rsidR="00CB3E68" w:rsidRPr="004215EA">
        <w:rPr>
          <w:rFonts w:ascii="Times New Roman" w:hAnsi="Times New Roman"/>
          <w:sz w:val="24"/>
          <w:szCs w:val="24"/>
        </w:rPr>
        <w:t xml:space="preserve">  </w:t>
      </w:r>
      <w:r w:rsidR="006475E5" w:rsidRPr="004215EA">
        <w:rPr>
          <w:rFonts w:ascii="Times New Roman" w:hAnsi="Times New Roman"/>
          <w:sz w:val="24"/>
          <w:szCs w:val="24"/>
        </w:rPr>
        <w:t xml:space="preserve">The model selected </w:t>
      </w:r>
      <w:r w:rsidR="00CB3E68" w:rsidRPr="004215EA">
        <w:rPr>
          <w:rFonts w:ascii="Times New Roman" w:hAnsi="Times New Roman"/>
          <w:sz w:val="24"/>
          <w:szCs w:val="24"/>
        </w:rPr>
        <w:t>various combinations of available ad</w:t>
      </w:r>
      <w:r w:rsidR="006475E5" w:rsidRPr="004215EA">
        <w:rPr>
          <w:rFonts w:ascii="Times New Roman" w:hAnsi="Times New Roman"/>
          <w:sz w:val="24"/>
          <w:szCs w:val="24"/>
        </w:rPr>
        <w:t xml:space="preserve">ditional resources </w:t>
      </w:r>
      <w:r w:rsidR="00213595" w:rsidRPr="004215EA">
        <w:rPr>
          <w:rFonts w:ascii="Times New Roman" w:hAnsi="Times New Roman"/>
          <w:sz w:val="24"/>
          <w:szCs w:val="24"/>
        </w:rPr>
        <w:t xml:space="preserve">under several scenarios </w:t>
      </w:r>
      <w:r w:rsidR="006475E5" w:rsidRPr="004215EA">
        <w:rPr>
          <w:rFonts w:ascii="Times New Roman" w:hAnsi="Times New Roman"/>
          <w:sz w:val="24"/>
          <w:szCs w:val="24"/>
        </w:rPr>
        <w:t>and simulated</w:t>
      </w:r>
      <w:r w:rsidR="00CB3E68" w:rsidRPr="004215EA">
        <w:rPr>
          <w:rFonts w:ascii="Times New Roman" w:hAnsi="Times New Roman"/>
          <w:sz w:val="24"/>
          <w:szCs w:val="24"/>
        </w:rPr>
        <w:t xml:space="preserve"> 20 years of operation to find the lowest revenue </w:t>
      </w:r>
      <w:r w:rsidR="00CB3E68" w:rsidRPr="004215EA">
        <w:rPr>
          <w:rFonts w:ascii="Times New Roman" w:hAnsi="Times New Roman"/>
          <w:sz w:val="24"/>
          <w:szCs w:val="24"/>
        </w:rPr>
        <w:lastRenderedPageBreak/>
        <w:t xml:space="preserve">requirement that satisfies the RPS and capacity </w:t>
      </w:r>
      <w:r w:rsidR="0099230C" w:rsidRPr="004215EA">
        <w:rPr>
          <w:rFonts w:ascii="Times New Roman" w:hAnsi="Times New Roman"/>
          <w:sz w:val="24"/>
          <w:szCs w:val="24"/>
        </w:rPr>
        <w:t>needs of PSE</w:t>
      </w:r>
      <w:r w:rsidR="00CB3E68" w:rsidRPr="004215EA">
        <w:rPr>
          <w:rFonts w:ascii="Times New Roman" w:hAnsi="Times New Roman"/>
          <w:sz w:val="24"/>
          <w:szCs w:val="24"/>
        </w:rPr>
        <w:t>.</w:t>
      </w:r>
      <w:r w:rsidR="00CB3E68" w:rsidRPr="00CB3E68">
        <w:rPr>
          <w:rStyle w:val="FootnoteReference"/>
          <w:rFonts w:ascii="Times New Roman" w:hAnsi="Times New Roman"/>
          <w:sz w:val="24"/>
          <w:szCs w:val="24"/>
        </w:rPr>
        <w:footnoteReference w:id="112"/>
      </w:r>
      <w:r w:rsidR="00CB3E68" w:rsidRPr="004215EA">
        <w:rPr>
          <w:rFonts w:ascii="Times New Roman" w:hAnsi="Times New Roman"/>
          <w:sz w:val="24"/>
          <w:szCs w:val="24"/>
        </w:rPr>
        <w:t xml:space="preserve">  </w:t>
      </w:r>
      <w:r w:rsidR="00213595" w:rsidRPr="004215EA">
        <w:rPr>
          <w:rFonts w:ascii="Times New Roman" w:hAnsi="Times New Roman"/>
          <w:sz w:val="24"/>
          <w:szCs w:val="24"/>
        </w:rPr>
        <w:t>In particular, t</w:t>
      </w:r>
      <w:r w:rsidR="00CB3E68" w:rsidRPr="004215EA">
        <w:rPr>
          <w:rFonts w:ascii="Times New Roman" w:hAnsi="Times New Roman"/>
          <w:sz w:val="24"/>
          <w:szCs w:val="24"/>
        </w:rPr>
        <w:t>he modeling</w:t>
      </w:r>
      <w:r w:rsidR="00213595" w:rsidRPr="004215EA">
        <w:rPr>
          <w:rFonts w:ascii="Times New Roman" w:hAnsi="Times New Roman"/>
          <w:sz w:val="24"/>
          <w:szCs w:val="24"/>
        </w:rPr>
        <w:t xml:space="preserve"> examined the impact of </w:t>
      </w:r>
      <w:r w:rsidR="00EA2E43">
        <w:rPr>
          <w:rFonts w:ascii="Times New Roman" w:hAnsi="Times New Roman"/>
          <w:sz w:val="24"/>
          <w:szCs w:val="24"/>
        </w:rPr>
        <w:t xml:space="preserve">Section 1603 </w:t>
      </w:r>
      <w:r w:rsidR="00CB3E68" w:rsidRPr="004215EA">
        <w:rPr>
          <w:rFonts w:ascii="Times New Roman" w:hAnsi="Times New Roman"/>
          <w:sz w:val="24"/>
          <w:szCs w:val="24"/>
        </w:rPr>
        <w:t xml:space="preserve">Treasury grant and state sales tax incentives, and </w:t>
      </w:r>
      <w:r w:rsidR="00A40FB9" w:rsidRPr="004215EA">
        <w:rPr>
          <w:rFonts w:ascii="Times New Roman" w:hAnsi="Times New Roman"/>
          <w:sz w:val="24"/>
          <w:szCs w:val="24"/>
        </w:rPr>
        <w:t xml:space="preserve">falling </w:t>
      </w:r>
      <w:r w:rsidR="00C673D2" w:rsidRPr="004215EA">
        <w:rPr>
          <w:rFonts w:ascii="Times New Roman" w:hAnsi="Times New Roman"/>
          <w:sz w:val="24"/>
          <w:szCs w:val="24"/>
        </w:rPr>
        <w:t>prices for wind turbines</w:t>
      </w:r>
      <w:r w:rsidR="00A40FB9" w:rsidRPr="004215EA">
        <w:rPr>
          <w:rFonts w:ascii="Times New Roman" w:hAnsi="Times New Roman"/>
          <w:sz w:val="24"/>
          <w:szCs w:val="24"/>
        </w:rPr>
        <w:t xml:space="preserve"> (15 percent below 2008 prices)</w:t>
      </w:r>
      <w:r w:rsidR="00C673D2" w:rsidRPr="004215EA">
        <w:rPr>
          <w:rFonts w:ascii="Times New Roman" w:hAnsi="Times New Roman"/>
          <w:sz w:val="24"/>
          <w:szCs w:val="24"/>
        </w:rPr>
        <w:t>.</w:t>
      </w:r>
      <w:r w:rsidR="007A798E">
        <w:rPr>
          <w:rStyle w:val="FootnoteReference"/>
          <w:rFonts w:ascii="Times New Roman" w:hAnsi="Times New Roman"/>
          <w:sz w:val="24"/>
          <w:szCs w:val="24"/>
        </w:rPr>
        <w:footnoteReference w:id="113"/>
      </w:r>
      <w:r w:rsidR="00C673D2" w:rsidRPr="004215EA">
        <w:rPr>
          <w:rFonts w:ascii="Times New Roman" w:hAnsi="Times New Roman"/>
          <w:sz w:val="24"/>
          <w:szCs w:val="24"/>
        </w:rPr>
        <w:t xml:space="preserve">  The</w:t>
      </w:r>
      <w:r w:rsidR="00213595" w:rsidRPr="004215EA">
        <w:rPr>
          <w:rFonts w:ascii="Times New Roman" w:hAnsi="Times New Roman"/>
          <w:sz w:val="24"/>
          <w:szCs w:val="24"/>
        </w:rPr>
        <w:t>se</w:t>
      </w:r>
      <w:r w:rsidR="00C673D2" w:rsidRPr="004215EA">
        <w:rPr>
          <w:rFonts w:ascii="Times New Roman" w:hAnsi="Times New Roman"/>
          <w:sz w:val="24"/>
          <w:szCs w:val="24"/>
        </w:rPr>
        <w:t xml:space="preserve"> exercises </w:t>
      </w:r>
      <w:r w:rsidR="00213595" w:rsidRPr="004215EA">
        <w:rPr>
          <w:rFonts w:ascii="Times New Roman" w:hAnsi="Times New Roman"/>
          <w:sz w:val="24"/>
          <w:szCs w:val="24"/>
        </w:rPr>
        <w:t xml:space="preserve">determined </w:t>
      </w:r>
      <w:r w:rsidR="00CB3E68" w:rsidRPr="004215EA">
        <w:rPr>
          <w:rFonts w:ascii="Times New Roman" w:hAnsi="Times New Roman"/>
          <w:sz w:val="24"/>
          <w:szCs w:val="24"/>
        </w:rPr>
        <w:t xml:space="preserve">there were significant </w:t>
      </w:r>
      <w:r w:rsidR="0095314C" w:rsidRPr="004215EA">
        <w:rPr>
          <w:rFonts w:ascii="Times New Roman" w:hAnsi="Times New Roman"/>
          <w:sz w:val="24"/>
          <w:szCs w:val="24"/>
        </w:rPr>
        <w:t xml:space="preserve">cost </w:t>
      </w:r>
      <w:r w:rsidR="00CB3E68" w:rsidRPr="004215EA">
        <w:rPr>
          <w:rFonts w:ascii="Times New Roman" w:hAnsi="Times New Roman"/>
          <w:sz w:val="24"/>
          <w:szCs w:val="24"/>
        </w:rPr>
        <w:t>b</w:t>
      </w:r>
      <w:r w:rsidR="0028773F" w:rsidRPr="004215EA">
        <w:rPr>
          <w:rFonts w:ascii="Times New Roman" w:hAnsi="Times New Roman"/>
          <w:sz w:val="24"/>
          <w:szCs w:val="24"/>
        </w:rPr>
        <w:t xml:space="preserve">enefits to acquiring wind </w:t>
      </w:r>
      <w:r w:rsidR="00213595" w:rsidRPr="004215EA">
        <w:rPr>
          <w:rFonts w:ascii="Times New Roman" w:hAnsi="Times New Roman"/>
          <w:sz w:val="24"/>
          <w:szCs w:val="24"/>
        </w:rPr>
        <w:t xml:space="preserve">in advance of </w:t>
      </w:r>
      <w:r w:rsidR="00CB3E68" w:rsidRPr="004215EA">
        <w:rPr>
          <w:rFonts w:ascii="Times New Roman" w:hAnsi="Times New Roman"/>
          <w:sz w:val="24"/>
          <w:szCs w:val="24"/>
        </w:rPr>
        <w:t>the RPS</w:t>
      </w:r>
      <w:r w:rsidR="0028773F" w:rsidRPr="004215EA">
        <w:rPr>
          <w:rFonts w:ascii="Times New Roman" w:hAnsi="Times New Roman"/>
          <w:sz w:val="24"/>
          <w:szCs w:val="24"/>
        </w:rPr>
        <w:t>, including energy production and REC sales revenues</w:t>
      </w:r>
      <w:r w:rsidR="006F348F" w:rsidRPr="004215EA">
        <w:rPr>
          <w:rFonts w:ascii="Times New Roman" w:hAnsi="Times New Roman"/>
          <w:sz w:val="24"/>
          <w:szCs w:val="24"/>
        </w:rPr>
        <w:t>.</w:t>
      </w:r>
      <w:r w:rsidR="0028773F" w:rsidRPr="0028773F">
        <w:rPr>
          <w:rStyle w:val="FootnoteReference"/>
          <w:rFonts w:ascii="Times New Roman" w:hAnsi="Times New Roman"/>
          <w:sz w:val="24"/>
          <w:szCs w:val="24"/>
        </w:rPr>
        <w:footnoteReference w:id="114"/>
      </w:r>
      <w:r w:rsidR="0028773F" w:rsidRPr="004215EA">
        <w:rPr>
          <w:color w:val="002060"/>
          <w:sz w:val="24"/>
          <w:szCs w:val="24"/>
        </w:rPr>
        <w:t xml:space="preserve"> </w:t>
      </w:r>
      <w:r w:rsidR="006F348F" w:rsidRPr="004215EA">
        <w:rPr>
          <w:color w:val="002060"/>
          <w:sz w:val="24"/>
          <w:szCs w:val="24"/>
        </w:rPr>
        <w:t xml:space="preserve"> </w:t>
      </w:r>
      <w:r w:rsidR="009C0983" w:rsidRPr="004215EA">
        <w:rPr>
          <w:rFonts w:ascii="Times New Roman" w:hAnsi="Times New Roman"/>
          <w:sz w:val="24"/>
          <w:szCs w:val="24"/>
        </w:rPr>
        <w:t>They</w:t>
      </w:r>
      <w:r w:rsidR="006F348F" w:rsidRPr="004215EA">
        <w:rPr>
          <w:color w:val="002060"/>
          <w:sz w:val="24"/>
          <w:szCs w:val="24"/>
        </w:rPr>
        <w:t xml:space="preserve"> </w:t>
      </w:r>
      <w:r w:rsidR="006F348F" w:rsidRPr="004215EA">
        <w:rPr>
          <w:rFonts w:ascii="Times New Roman" w:hAnsi="Times New Roman"/>
          <w:sz w:val="24"/>
          <w:szCs w:val="24"/>
        </w:rPr>
        <w:t xml:space="preserve">also found that LSR was among the lowest cost alternatives and presented the lowest overall risk of construction and </w:t>
      </w:r>
      <w:r w:rsidR="00E51E0E">
        <w:rPr>
          <w:rFonts w:ascii="Times New Roman" w:hAnsi="Times New Roman"/>
          <w:sz w:val="24"/>
          <w:szCs w:val="24"/>
        </w:rPr>
        <w:t>ability to secure</w:t>
      </w:r>
      <w:r w:rsidR="0099230C" w:rsidRPr="004215EA">
        <w:rPr>
          <w:rFonts w:ascii="Times New Roman" w:hAnsi="Times New Roman"/>
          <w:sz w:val="24"/>
          <w:szCs w:val="24"/>
        </w:rPr>
        <w:t xml:space="preserve"> the federal </w:t>
      </w:r>
      <w:r w:rsidR="006F348F" w:rsidRPr="004215EA">
        <w:rPr>
          <w:rFonts w:ascii="Times New Roman" w:hAnsi="Times New Roman"/>
          <w:sz w:val="24"/>
          <w:szCs w:val="24"/>
        </w:rPr>
        <w:t>and state tax incentives.</w:t>
      </w:r>
      <w:r w:rsidR="006F348F">
        <w:rPr>
          <w:rStyle w:val="FootnoteReference"/>
          <w:rFonts w:ascii="Times New Roman" w:hAnsi="Times New Roman"/>
          <w:sz w:val="24"/>
          <w:szCs w:val="24"/>
        </w:rPr>
        <w:footnoteReference w:id="115"/>
      </w:r>
      <w:r w:rsidR="006F348F" w:rsidRPr="004215EA">
        <w:rPr>
          <w:rFonts w:ascii="Times New Roman" w:hAnsi="Times New Roman"/>
          <w:sz w:val="24"/>
          <w:szCs w:val="24"/>
        </w:rPr>
        <w:t xml:space="preserve"> </w:t>
      </w:r>
      <w:r w:rsidR="009C0983" w:rsidRPr="004215EA">
        <w:rPr>
          <w:rFonts w:ascii="Times New Roman" w:hAnsi="Times New Roman"/>
          <w:sz w:val="24"/>
          <w:szCs w:val="24"/>
        </w:rPr>
        <w:t xml:space="preserve"> </w:t>
      </w:r>
      <w:r w:rsidR="00922915" w:rsidRPr="004215EA">
        <w:rPr>
          <w:rFonts w:ascii="Times New Roman" w:hAnsi="Times New Roman"/>
          <w:sz w:val="24"/>
          <w:szCs w:val="24"/>
        </w:rPr>
        <w:t xml:space="preserve">Accordingly, it was prudent </w:t>
      </w:r>
      <w:r w:rsidR="0099230C" w:rsidRPr="004215EA">
        <w:rPr>
          <w:rFonts w:ascii="Times New Roman" w:hAnsi="Times New Roman"/>
          <w:sz w:val="24"/>
          <w:szCs w:val="24"/>
        </w:rPr>
        <w:t xml:space="preserve">for the </w:t>
      </w:r>
      <w:r w:rsidR="00C673D2" w:rsidRPr="004215EA">
        <w:rPr>
          <w:rFonts w:ascii="Times New Roman" w:hAnsi="Times New Roman"/>
          <w:sz w:val="24"/>
          <w:szCs w:val="24"/>
        </w:rPr>
        <w:t xml:space="preserve">Board of Directors </w:t>
      </w:r>
      <w:r w:rsidR="000240FF" w:rsidRPr="004215EA">
        <w:rPr>
          <w:rFonts w:ascii="Times New Roman" w:hAnsi="Times New Roman"/>
          <w:sz w:val="24"/>
          <w:szCs w:val="24"/>
        </w:rPr>
        <w:t xml:space="preserve">to </w:t>
      </w:r>
      <w:r w:rsidR="00C673D2" w:rsidRPr="004215EA">
        <w:rPr>
          <w:rFonts w:ascii="Times New Roman" w:hAnsi="Times New Roman"/>
          <w:sz w:val="24"/>
          <w:szCs w:val="24"/>
        </w:rPr>
        <w:t>decide</w:t>
      </w:r>
      <w:r w:rsidR="00EA2E43">
        <w:rPr>
          <w:rFonts w:ascii="Times New Roman" w:hAnsi="Times New Roman"/>
          <w:sz w:val="24"/>
          <w:szCs w:val="24"/>
        </w:rPr>
        <w:t xml:space="preserve"> </w:t>
      </w:r>
      <w:r w:rsidR="00C673D2" w:rsidRPr="004215EA">
        <w:rPr>
          <w:rFonts w:ascii="Times New Roman" w:hAnsi="Times New Roman"/>
          <w:sz w:val="24"/>
          <w:szCs w:val="24"/>
        </w:rPr>
        <w:t>to acquire LSR</w:t>
      </w:r>
      <w:r w:rsidR="000240FF" w:rsidRPr="004215EA">
        <w:rPr>
          <w:rFonts w:ascii="Times New Roman" w:hAnsi="Times New Roman"/>
          <w:sz w:val="24"/>
          <w:szCs w:val="24"/>
        </w:rPr>
        <w:t xml:space="preserve"> upon the recommen</w:t>
      </w:r>
      <w:r w:rsidR="00EA2E43">
        <w:rPr>
          <w:rFonts w:ascii="Times New Roman" w:hAnsi="Times New Roman"/>
          <w:sz w:val="24"/>
          <w:szCs w:val="24"/>
        </w:rPr>
        <w:t>dation of</w:t>
      </w:r>
      <w:r w:rsidR="000240FF" w:rsidRPr="004215EA">
        <w:rPr>
          <w:rFonts w:ascii="Times New Roman" w:hAnsi="Times New Roman"/>
          <w:sz w:val="24"/>
          <w:szCs w:val="24"/>
        </w:rPr>
        <w:t xml:space="preserve"> </w:t>
      </w:r>
      <w:r w:rsidR="00EA2E43">
        <w:rPr>
          <w:rFonts w:ascii="Times New Roman" w:hAnsi="Times New Roman"/>
          <w:sz w:val="24"/>
          <w:szCs w:val="24"/>
        </w:rPr>
        <w:t xml:space="preserve">senior </w:t>
      </w:r>
      <w:r w:rsidR="000240FF" w:rsidRPr="004215EA">
        <w:rPr>
          <w:rFonts w:ascii="Times New Roman" w:hAnsi="Times New Roman"/>
          <w:sz w:val="24"/>
          <w:szCs w:val="24"/>
        </w:rPr>
        <w:t>management.</w:t>
      </w:r>
      <w:r w:rsidR="0099230C" w:rsidRPr="004215EA">
        <w:rPr>
          <w:rFonts w:ascii="Times New Roman" w:hAnsi="Times New Roman"/>
          <w:sz w:val="24"/>
          <w:szCs w:val="24"/>
        </w:rPr>
        <w:t xml:space="preserve">  That decision and all </w:t>
      </w:r>
      <w:r w:rsidR="00922915" w:rsidRPr="004215EA">
        <w:rPr>
          <w:rFonts w:ascii="Times New Roman" w:hAnsi="Times New Roman"/>
          <w:sz w:val="24"/>
          <w:szCs w:val="24"/>
        </w:rPr>
        <w:t>supporting evaluation processes and analyses were</w:t>
      </w:r>
      <w:r w:rsidR="0099230C" w:rsidRPr="004215EA">
        <w:rPr>
          <w:rFonts w:ascii="Times New Roman" w:hAnsi="Times New Roman"/>
          <w:sz w:val="24"/>
          <w:szCs w:val="24"/>
        </w:rPr>
        <w:t xml:space="preserve"> fully documented</w:t>
      </w:r>
      <w:r w:rsidR="00922915" w:rsidRPr="004215EA">
        <w:rPr>
          <w:rFonts w:ascii="Times New Roman" w:hAnsi="Times New Roman"/>
          <w:sz w:val="24"/>
          <w:szCs w:val="24"/>
        </w:rPr>
        <w:t>.</w:t>
      </w:r>
    </w:p>
    <w:p w:rsidR="00173DDC" w:rsidRDefault="0077760E" w:rsidP="0077760E">
      <w:pPr>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Public Counsel’s and ICNU’s Criticisms of </w:t>
      </w:r>
      <w:r w:rsidR="00173DDC" w:rsidRPr="00173DDC">
        <w:rPr>
          <w:rFonts w:ascii="Times New Roman" w:hAnsi="Times New Roman" w:cs="Times New Roman"/>
          <w:b/>
          <w:sz w:val="24"/>
          <w:szCs w:val="24"/>
        </w:rPr>
        <w:t>the Acquisition of LSR</w:t>
      </w:r>
      <w:r>
        <w:rPr>
          <w:rFonts w:ascii="Times New Roman" w:hAnsi="Times New Roman" w:cs="Times New Roman"/>
          <w:b/>
          <w:sz w:val="24"/>
          <w:szCs w:val="24"/>
        </w:rPr>
        <w:t xml:space="preserve"> are Unsu</w:t>
      </w:r>
      <w:r w:rsidR="00A6075B">
        <w:rPr>
          <w:rFonts w:ascii="Times New Roman" w:hAnsi="Times New Roman" w:cs="Times New Roman"/>
          <w:b/>
          <w:sz w:val="24"/>
          <w:szCs w:val="24"/>
        </w:rPr>
        <w:t>pported and Should Be Rejected b</w:t>
      </w:r>
      <w:r>
        <w:rPr>
          <w:rFonts w:ascii="Times New Roman" w:hAnsi="Times New Roman" w:cs="Times New Roman"/>
          <w:b/>
          <w:sz w:val="24"/>
          <w:szCs w:val="24"/>
        </w:rPr>
        <w:t>y the Commission</w:t>
      </w:r>
    </w:p>
    <w:p w:rsidR="0077760E" w:rsidRDefault="0077760E" w:rsidP="0077760E">
      <w:pPr>
        <w:spacing w:after="0" w:line="240" w:lineRule="auto"/>
        <w:ind w:left="1440" w:hanging="720"/>
        <w:rPr>
          <w:rFonts w:ascii="Times New Roman" w:hAnsi="Times New Roman" w:cs="Times New Roman"/>
          <w:b/>
          <w:sz w:val="24"/>
          <w:szCs w:val="24"/>
        </w:rPr>
      </w:pPr>
    </w:p>
    <w:p w:rsidR="00173DDC" w:rsidRPr="004215EA" w:rsidRDefault="004215EA" w:rsidP="004215EA">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ab/>
      </w:r>
      <w:r w:rsidR="0077760E" w:rsidRPr="004215EA">
        <w:rPr>
          <w:rFonts w:ascii="Times New Roman" w:hAnsi="Times New Roman"/>
          <w:sz w:val="24"/>
          <w:szCs w:val="24"/>
        </w:rPr>
        <w:t>Pu</w:t>
      </w:r>
      <w:r w:rsidR="00E51E0E">
        <w:rPr>
          <w:rFonts w:ascii="Times New Roman" w:hAnsi="Times New Roman"/>
          <w:sz w:val="24"/>
          <w:szCs w:val="24"/>
        </w:rPr>
        <w:t>blic Counsel and ICNU</w:t>
      </w:r>
      <w:r w:rsidR="0077760E" w:rsidRPr="004215EA">
        <w:rPr>
          <w:rFonts w:ascii="Times New Roman" w:hAnsi="Times New Roman"/>
          <w:sz w:val="24"/>
          <w:szCs w:val="24"/>
        </w:rPr>
        <w:t>, through the testimony of Mr. Scott Norwood, challenge the a</w:t>
      </w:r>
      <w:r w:rsidR="007C447C" w:rsidRPr="004215EA">
        <w:rPr>
          <w:rFonts w:ascii="Times New Roman" w:hAnsi="Times New Roman"/>
          <w:sz w:val="24"/>
          <w:szCs w:val="24"/>
        </w:rPr>
        <w:t xml:space="preserve">cquisition of LSR </w:t>
      </w:r>
      <w:r w:rsidR="009C0983" w:rsidRPr="004215EA">
        <w:rPr>
          <w:rFonts w:ascii="Times New Roman" w:hAnsi="Times New Roman"/>
          <w:sz w:val="24"/>
          <w:szCs w:val="24"/>
        </w:rPr>
        <w:t xml:space="preserve">for two general reasons.  First, Mr. Norwood states that </w:t>
      </w:r>
      <w:r w:rsidR="0077760E" w:rsidRPr="004215EA">
        <w:rPr>
          <w:rFonts w:ascii="Times New Roman" w:hAnsi="Times New Roman"/>
          <w:sz w:val="24"/>
          <w:szCs w:val="24"/>
        </w:rPr>
        <w:t xml:space="preserve">LSR is not needed to satisfy an </w:t>
      </w:r>
      <w:r w:rsidR="00173DDC" w:rsidRPr="004215EA">
        <w:rPr>
          <w:rFonts w:ascii="Times New Roman" w:hAnsi="Times New Roman"/>
          <w:sz w:val="24"/>
          <w:szCs w:val="24"/>
        </w:rPr>
        <w:t>RPS</w:t>
      </w:r>
      <w:r w:rsidR="0077760E" w:rsidRPr="004215EA">
        <w:rPr>
          <w:rFonts w:ascii="Times New Roman" w:hAnsi="Times New Roman"/>
          <w:sz w:val="24"/>
          <w:szCs w:val="24"/>
        </w:rPr>
        <w:t xml:space="preserve"> </w:t>
      </w:r>
      <w:r w:rsidR="00285E3C" w:rsidRPr="004215EA">
        <w:rPr>
          <w:rFonts w:ascii="Times New Roman" w:hAnsi="Times New Roman"/>
          <w:sz w:val="24"/>
          <w:szCs w:val="24"/>
        </w:rPr>
        <w:t xml:space="preserve">deadline </w:t>
      </w:r>
      <w:r w:rsidR="00173DDC" w:rsidRPr="004215EA">
        <w:rPr>
          <w:rFonts w:ascii="Times New Roman" w:hAnsi="Times New Roman"/>
          <w:sz w:val="24"/>
          <w:szCs w:val="24"/>
        </w:rPr>
        <w:t>until 2018 or later.</w:t>
      </w:r>
      <w:r w:rsidR="001D6453">
        <w:rPr>
          <w:rStyle w:val="FootnoteReference"/>
          <w:rFonts w:ascii="Times New Roman" w:hAnsi="Times New Roman"/>
          <w:sz w:val="24"/>
          <w:szCs w:val="24"/>
        </w:rPr>
        <w:footnoteReference w:id="116"/>
      </w:r>
      <w:r w:rsidR="001D6453" w:rsidRPr="004215EA">
        <w:rPr>
          <w:rFonts w:ascii="Times New Roman" w:hAnsi="Times New Roman"/>
          <w:sz w:val="24"/>
          <w:szCs w:val="24"/>
        </w:rPr>
        <w:t xml:space="preserve">  However, this assertion </w:t>
      </w:r>
      <w:r w:rsidR="00750605" w:rsidRPr="004215EA">
        <w:rPr>
          <w:rFonts w:ascii="Times New Roman" w:hAnsi="Times New Roman"/>
          <w:sz w:val="24"/>
          <w:szCs w:val="24"/>
        </w:rPr>
        <w:t xml:space="preserve">by itself </w:t>
      </w:r>
      <w:r w:rsidR="001D6453" w:rsidRPr="004215EA">
        <w:rPr>
          <w:rFonts w:ascii="Times New Roman" w:hAnsi="Times New Roman"/>
          <w:sz w:val="24"/>
          <w:szCs w:val="24"/>
        </w:rPr>
        <w:t>is mo</w:t>
      </w:r>
      <w:r w:rsidR="00E51E0E">
        <w:rPr>
          <w:rFonts w:ascii="Times New Roman" w:hAnsi="Times New Roman"/>
          <w:sz w:val="24"/>
          <w:szCs w:val="24"/>
        </w:rPr>
        <w:t xml:space="preserve">ot given the Commission’s </w:t>
      </w:r>
      <w:r w:rsidR="001D6453" w:rsidRPr="004215EA">
        <w:rPr>
          <w:rFonts w:ascii="Times New Roman" w:hAnsi="Times New Roman"/>
          <w:sz w:val="24"/>
          <w:szCs w:val="24"/>
        </w:rPr>
        <w:t xml:space="preserve">holding that a </w:t>
      </w:r>
      <w:r w:rsidR="00EB6CA4">
        <w:rPr>
          <w:rFonts w:ascii="Times New Roman" w:hAnsi="Times New Roman"/>
          <w:sz w:val="24"/>
          <w:szCs w:val="24"/>
        </w:rPr>
        <w:t xml:space="preserve">renewable </w:t>
      </w:r>
      <w:r w:rsidR="001D6453" w:rsidRPr="004215EA">
        <w:rPr>
          <w:rFonts w:ascii="Times New Roman" w:hAnsi="Times New Roman"/>
          <w:sz w:val="24"/>
          <w:szCs w:val="24"/>
        </w:rPr>
        <w:t>resource can</w:t>
      </w:r>
      <w:r w:rsidR="00204CE5" w:rsidRPr="004215EA">
        <w:rPr>
          <w:rFonts w:ascii="Times New Roman" w:hAnsi="Times New Roman"/>
          <w:sz w:val="24"/>
          <w:szCs w:val="24"/>
        </w:rPr>
        <w:t xml:space="preserve"> be acquired in advance of an RPS deadline </w:t>
      </w:r>
      <w:r w:rsidR="001D6453" w:rsidRPr="004215EA">
        <w:rPr>
          <w:rFonts w:ascii="Times New Roman" w:hAnsi="Times New Roman"/>
          <w:sz w:val="24"/>
          <w:szCs w:val="24"/>
        </w:rPr>
        <w:t>without violating the “used and useful” statute.</w:t>
      </w:r>
      <w:r w:rsidR="001D6453">
        <w:rPr>
          <w:rStyle w:val="FootnoteReference"/>
          <w:rFonts w:ascii="Times New Roman" w:hAnsi="Times New Roman"/>
          <w:sz w:val="24"/>
          <w:szCs w:val="24"/>
        </w:rPr>
        <w:footnoteReference w:id="117"/>
      </w:r>
    </w:p>
    <w:p w:rsidR="006E26F0" w:rsidRPr="004215EA" w:rsidRDefault="004215EA" w:rsidP="006F6249">
      <w:pPr>
        <w:pStyle w:val="ListParagraph"/>
        <w:widowControl w:val="0"/>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1D6453" w:rsidRPr="004215EA">
        <w:rPr>
          <w:rFonts w:ascii="Times New Roman" w:hAnsi="Times New Roman"/>
          <w:sz w:val="24"/>
          <w:szCs w:val="24"/>
        </w:rPr>
        <w:t xml:space="preserve">Mr. Norwood next argues that </w:t>
      </w:r>
      <w:r w:rsidR="003D49B0" w:rsidRPr="004215EA">
        <w:rPr>
          <w:rFonts w:ascii="Times New Roman" w:hAnsi="Times New Roman"/>
          <w:sz w:val="24"/>
          <w:szCs w:val="24"/>
        </w:rPr>
        <w:t xml:space="preserve">the </w:t>
      </w:r>
      <w:r w:rsidR="00173DDC" w:rsidRPr="004215EA">
        <w:rPr>
          <w:rFonts w:ascii="Times New Roman" w:hAnsi="Times New Roman"/>
          <w:sz w:val="24"/>
          <w:szCs w:val="24"/>
        </w:rPr>
        <w:t>price paid for</w:t>
      </w:r>
      <w:r w:rsidR="0077760E" w:rsidRPr="004215EA">
        <w:rPr>
          <w:rFonts w:ascii="Times New Roman" w:hAnsi="Times New Roman"/>
          <w:sz w:val="24"/>
          <w:szCs w:val="24"/>
        </w:rPr>
        <w:t xml:space="preserve"> LSR </w:t>
      </w:r>
      <w:r w:rsidR="00173DDC" w:rsidRPr="004215EA">
        <w:rPr>
          <w:rFonts w:ascii="Times New Roman" w:hAnsi="Times New Roman"/>
          <w:sz w:val="24"/>
          <w:szCs w:val="24"/>
        </w:rPr>
        <w:t xml:space="preserve">is too high because it exceeds the expected </w:t>
      </w:r>
      <w:r w:rsidR="0010355B" w:rsidRPr="004215EA">
        <w:rPr>
          <w:rFonts w:ascii="Times New Roman" w:hAnsi="Times New Roman"/>
          <w:sz w:val="24"/>
          <w:szCs w:val="24"/>
        </w:rPr>
        <w:t>rate year price for market energy purchases</w:t>
      </w:r>
      <w:r w:rsidR="00173DDC" w:rsidRPr="004215EA">
        <w:rPr>
          <w:rFonts w:ascii="Times New Roman" w:hAnsi="Times New Roman"/>
          <w:sz w:val="24"/>
          <w:szCs w:val="24"/>
        </w:rPr>
        <w:t>.</w:t>
      </w:r>
      <w:r w:rsidR="00173DDC">
        <w:rPr>
          <w:rStyle w:val="FootnoteReference"/>
          <w:rFonts w:ascii="Times New Roman" w:hAnsi="Times New Roman"/>
          <w:sz w:val="24"/>
          <w:szCs w:val="24"/>
        </w:rPr>
        <w:footnoteReference w:id="118"/>
      </w:r>
      <w:r w:rsidR="0010355B" w:rsidRPr="004215EA">
        <w:rPr>
          <w:rFonts w:ascii="Times New Roman" w:hAnsi="Times New Roman"/>
          <w:sz w:val="24"/>
          <w:szCs w:val="24"/>
        </w:rPr>
        <w:t xml:space="preserve">  He </w:t>
      </w:r>
      <w:r w:rsidR="00285E3C" w:rsidRPr="004215EA">
        <w:rPr>
          <w:rFonts w:ascii="Times New Roman" w:hAnsi="Times New Roman"/>
          <w:sz w:val="24"/>
          <w:szCs w:val="24"/>
        </w:rPr>
        <w:t xml:space="preserve">supports this conclusion </w:t>
      </w:r>
      <w:r w:rsidR="006E26F0" w:rsidRPr="004215EA">
        <w:rPr>
          <w:rFonts w:ascii="Times New Roman" w:hAnsi="Times New Roman"/>
          <w:sz w:val="24"/>
          <w:szCs w:val="24"/>
        </w:rPr>
        <w:t>by alleging</w:t>
      </w:r>
      <w:r w:rsidR="005F2735" w:rsidRPr="004215EA">
        <w:rPr>
          <w:rFonts w:ascii="Times New Roman" w:hAnsi="Times New Roman"/>
          <w:sz w:val="24"/>
          <w:szCs w:val="24"/>
        </w:rPr>
        <w:t xml:space="preserve"> </w:t>
      </w:r>
      <w:r w:rsidR="0010355B" w:rsidRPr="004215EA">
        <w:rPr>
          <w:rFonts w:ascii="Times New Roman" w:hAnsi="Times New Roman"/>
          <w:sz w:val="24"/>
          <w:szCs w:val="24"/>
        </w:rPr>
        <w:lastRenderedPageBreak/>
        <w:t>flaws</w:t>
      </w:r>
      <w:r w:rsidR="00E9500F" w:rsidRPr="004215EA">
        <w:rPr>
          <w:rFonts w:ascii="Times New Roman" w:hAnsi="Times New Roman"/>
          <w:sz w:val="24"/>
          <w:szCs w:val="24"/>
        </w:rPr>
        <w:t xml:space="preserve"> in PSE’s ana</w:t>
      </w:r>
      <w:r w:rsidR="0010355B" w:rsidRPr="004215EA">
        <w:rPr>
          <w:rFonts w:ascii="Times New Roman" w:hAnsi="Times New Roman"/>
          <w:sz w:val="24"/>
          <w:szCs w:val="24"/>
        </w:rPr>
        <w:t xml:space="preserve">lysis that </w:t>
      </w:r>
      <w:r w:rsidR="00285E3C" w:rsidRPr="004215EA">
        <w:rPr>
          <w:rFonts w:ascii="Times New Roman" w:hAnsi="Times New Roman"/>
          <w:sz w:val="24"/>
          <w:szCs w:val="24"/>
        </w:rPr>
        <w:t xml:space="preserve">caused </w:t>
      </w:r>
      <w:r w:rsidR="003D49B0" w:rsidRPr="004215EA">
        <w:rPr>
          <w:rFonts w:ascii="Times New Roman" w:hAnsi="Times New Roman"/>
          <w:sz w:val="24"/>
          <w:szCs w:val="24"/>
        </w:rPr>
        <w:t xml:space="preserve">PSE </w:t>
      </w:r>
      <w:r w:rsidR="00285E3C" w:rsidRPr="004215EA">
        <w:rPr>
          <w:rFonts w:ascii="Times New Roman" w:hAnsi="Times New Roman"/>
          <w:sz w:val="24"/>
          <w:szCs w:val="24"/>
        </w:rPr>
        <w:t>to overstate</w:t>
      </w:r>
      <w:r w:rsidR="0010355B" w:rsidRPr="004215EA">
        <w:rPr>
          <w:rFonts w:ascii="Times New Roman" w:hAnsi="Times New Roman"/>
          <w:sz w:val="24"/>
          <w:szCs w:val="24"/>
        </w:rPr>
        <w:t xml:space="preserve"> the benefits of acquiring early wind</w:t>
      </w:r>
      <w:r w:rsidR="00E9500F" w:rsidRPr="004215EA">
        <w:rPr>
          <w:rFonts w:ascii="Times New Roman" w:hAnsi="Times New Roman"/>
          <w:sz w:val="24"/>
          <w:szCs w:val="24"/>
        </w:rPr>
        <w:t>.</w:t>
      </w:r>
      <w:r w:rsidR="00B45482">
        <w:rPr>
          <w:rStyle w:val="FootnoteReference"/>
          <w:rFonts w:ascii="Times New Roman" w:hAnsi="Times New Roman"/>
          <w:sz w:val="24"/>
          <w:szCs w:val="24"/>
        </w:rPr>
        <w:footnoteReference w:id="119"/>
      </w:r>
      <w:r w:rsidR="00285E3C" w:rsidRPr="004215EA">
        <w:rPr>
          <w:rFonts w:ascii="Times New Roman" w:hAnsi="Times New Roman"/>
          <w:sz w:val="24"/>
          <w:szCs w:val="24"/>
        </w:rPr>
        <w:t xml:space="preserve">   </w:t>
      </w:r>
    </w:p>
    <w:p w:rsidR="0077760E"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6E26F0" w:rsidRPr="004215EA">
        <w:rPr>
          <w:rFonts w:ascii="Times New Roman" w:hAnsi="Times New Roman"/>
          <w:sz w:val="24"/>
          <w:szCs w:val="24"/>
        </w:rPr>
        <w:t xml:space="preserve">However, Mr. Norwood selectively picks narrow sets of calculations based on </w:t>
      </w:r>
      <w:r w:rsidR="007C447C" w:rsidRPr="004215EA">
        <w:rPr>
          <w:rFonts w:ascii="Times New Roman" w:hAnsi="Times New Roman"/>
          <w:sz w:val="24"/>
          <w:szCs w:val="24"/>
        </w:rPr>
        <w:t>out</w:t>
      </w:r>
      <w:r w:rsidR="006E26F0" w:rsidRPr="004215EA">
        <w:rPr>
          <w:rFonts w:ascii="Times New Roman" w:hAnsi="Times New Roman"/>
          <w:sz w:val="24"/>
          <w:szCs w:val="24"/>
        </w:rPr>
        <w:t>date</w:t>
      </w:r>
      <w:r w:rsidR="005F2735" w:rsidRPr="004215EA">
        <w:rPr>
          <w:rFonts w:ascii="Times New Roman" w:hAnsi="Times New Roman"/>
          <w:sz w:val="24"/>
          <w:szCs w:val="24"/>
        </w:rPr>
        <w:t>d</w:t>
      </w:r>
      <w:r w:rsidR="006E26F0" w:rsidRPr="004215EA">
        <w:rPr>
          <w:rFonts w:ascii="Times New Roman" w:hAnsi="Times New Roman"/>
          <w:sz w:val="24"/>
          <w:szCs w:val="24"/>
        </w:rPr>
        <w:t xml:space="preserve"> </w:t>
      </w:r>
      <w:r w:rsidR="003D49B0" w:rsidRPr="004215EA">
        <w:rPr>
          <w:rFonts w:ascii="Times New Roman" w:hAnsi="Times New Roman"/>
          <w:sz w:val="24"/>
          <w:szCs w:val="24"/>
        </w:rPr>
        <w:t>information</w:t>
      </w:r>
      <w:r w:rsidR="007C447C" w:rsidRPr="004215EA">
        <w:rPr>
          <w:rFonts w:ascii="Times New Roman" w:hAnsi="Times New Roman"/>
          <w:sz w:val="24"/>
          <w:szCs w:val="24"/>
        </w:rPr>
        <w:t>,</w:t>
      </w:r>
      <w:r w:rsidR="003D49B0" w:rsidRPr="004215EA">
        <w:rPr>
          <w:rFonts w:ascii="Times New Roman" w:hAnsi="Times New Roman"/>
          <w:sz w:val="24"/>
          <w:szCs w:val="24"/>
        </w:rPr>
        <w:t xml:space="preserve"> </w:t>
      </w:r>
      <w:r w:rsidR="007C447C" w:rsidRPr="004215EA">
        <w:rPr>
          <w:rFonts w:ascii="Times New Roman" w:hAnsi="Times New Roman"/>
          <w:sz w:val="24"/>
          <w:szCs w:val="24"/>
        </w:rPr>
        <w:t>ignoring</w:t>
      </w:r>
      <w:r w:rsidR="006E26F0" w:rsidRPr="004215EA">
        <w:rPr>
          <w:rFonts w:ascii="Times New Roman" w:hAnsi="Times New Roman"/>
          <w:sz w:val="24"/>
          <w:szCs w:val="24"/>
        </w:rPr>
        <w:t xml:space="preserve"> the more comprehensive </w:t>
      </w:r>
      <w:r w:rsidR="006C4D56">
        <w:rPr>
          <w:rFonts w:ascii="Times New Roman" w:hAnsi="Times New Roman"/>
          <w:sz w:val="24"/>
          <w:szCs w:val="24"/>
        </w:rPr>
        <w:t xml:space="preserve">and contemporaneous </w:t>
      </w:r>
      <w:r w:rsidR="006E26F0" w:rsidRPr="004215EA">
        <w:rPr>
          <w:rFonts w:ascii="Times New Roman" w:hAnsi="Times New Roman"/>
          <w:sz w:val="24"/>
          <w:szCs w:val="24"/>
        </w:rPr>
        <w:t>analysis the Company used</w:t>
      </w:r>
      <w:r w:rsidR="003D49B0" w:rsidRPr="004215EA">
        <w:rPr>
          <w:rFonts w:ascii="Times New Roman" w:hAnsi="Times New Roman"/>
          <w:sz w:val="24"/>
          <w:szCs w:val="24"/>
        </w:rPr>
        <w:t xml:space="preserve"> to evaluate resource options.  I</w:t>
      </w:r>
      <w:r w:rsidR="006E26F0" w:rsidRPr="004215EA">
        <w:rPr>
          <w:rFonts w:ascii="Times New Roman" w:hAnsi="Times New Roman"/>
          <w:sz w:val="24"/>
          <w:szCs w:val="24"/>
        </w:rPr>
        <w:t>n doing so, he fail</w:t>
      </w:r>
      <w:r w:rsidR="003D49B0" w:rsidRPr="004215EA">
        <w:rPr>
          <w:rFonts w:ascii="Times New Roman" w:hAnsi="Times New Roman"/>
          <w:sz w:val="24"/>
          <w:szCs w:val="24"/>
        </w:rPr>
        <w:t>s to demonstrate that there was</w:t>
      </w:r>
      <w:r w:rsidR="006E26F0" w:rsidRPr="004215EA">
        <w:rPr>
          <w:rFonts w:ascii="Times New Roman" w:hAnsi="Times New Roman"/>
          <w:sz w:val="24"/>
          <w:szCs w:val="24"/>
        </w:rPr>
        <w:t xml:space="preserve"> no </w:t>
      </w:r>
      <w:r w:rsidR="003D49B0" w:rsidRPr="004215EA">
        <w:rPr>
          <w:rFonts w:ascii="Times New Roman" w:hAnsi="Times New Roman"/>
          <w:sz w:val="24"/>
          <w:szCs w:val="24"/>
        </w:rPr>
        <w:t xml:space="preserve">other </w:t>
      </w:r>
      <w:r w:rsidR="006E26F0" w:rsidRPr="004215EA">
        <w:rPr>
          <w:rFonts w:ascii="Times New Roman" w:hAnsi="Times New Roman"/>
          <w:sz w:val="24"/>
          <w:szCs w:val="24"/>
        </w:rPr>
        <w:t>more cost-effective</w:t>
      </w:r>
      <w:r w:rsidR="003D49B0" w:rsidRPr="004215EA">
        <w:rPr>
          <w:rFonts w:ascii="Times New Roman" w:hAnsi="Times New Roman"/>
          <w:sz w:val="24"/>
          <w:szCs w:val="24"/>
        </w:rPr>
        <w:t xml:space="preserve"> and less risky </w:t>
      </w:r>
      <w:r w:rsidR="006C4D56">
        <w:rPr>
          <w:rFonts w:ascii="Times New Roman" w:hAnsi="Times New Roman"/>
          <w:sz w:val="24"/>
          <w:szCs w:val="24"/>
        </w:rPr>
        <w:t>option</w:t>
      </w:r>
      <w:r w:rsidR="007C447C" w:rsidRPr="004215EA">
        <w:rPr>
          <w:rFonts w:ascii="Times New Roman" w:hAnsi="Times New Roman"/>
          <w:sz w:val="24"/>
          <w:szCs w:val="24"/>
        </w:rPr>
        <w:t xml:space="preserve"> </w:t>
      </w:r>
      <w:r w:rsidR="005F2735" w:rsidRPr="004215EA">
        <w:rPr>
          <w:rFonts w:ascii="Times New Roman" w:hAnsi="Times New Roman"/>
          <w:sz w:val="24"/>
          <w:szCs w:val="24"/>
        </w:rPr>
        <w:t>than LSR.</w:t>
      </w:r>
      <w:r w:rsidR="006E26F0" w:rsidRPr="004215EA">
        <w:rPr>
          <w:rFonts w:ascii="Times New Roman" w:hAnsi="Times New Roman"/>
          <w:sz w:val="24"/>
          <w:szCs w:val="24"/>
        </w:rPr>
        <w:t xml:space="preserve">  </w:t>
      </w:r>
      <w:r w:rsidR="003D49B0" w:rsidRPr="004215EA">
        <w:rPr>
          <w:rFonts w:ascii="Times New Roman" w:hAnsi="Times New Roman"/>
          <w:sz w:val="24"/>
          <w:szCs w:val="24"/>
        </w:rPr>
        <w:t>Each of his claims, therefore, is without merit and should be rejected</w:t>
      </w:r>
      <w:r w:rsidR="005F2735" w:rsidRPr="004215EA">
        <w:rPr>
          <w:rFonts w:ascii="Times New Roman" w:hAnsi="Times New Roman"/>
          <w:sz w:val="24"/>
          <w:szCs w:val="24"/>
        </w:rPr>
        <w:t>.</w:t>
      </w:r>
    </w:p>
    <w:p w:rsidR="006D50AD" w:rsidRDefault="00E51E0E" w:rsidP="0010715F">
      <w:pPr>
        <w:pStyle w:val="ListParagraph"/>
        <w:keepNext/>
        <w:numPr>
          <w:ilvl w:val="0"/>
          <w:numId w:val="7"/>
        </w:numPr>
        <w:tabs>
          <w:tab w:val="left" w:pos="-1440"/>
        </w:tabs>
        <w:ind w:left="2160" w:hanging="720"/>
        <w:rPr>
          <w:rFonts w:ascii="Times New Roman" w:hAnsi="Times New Roman"/>
          <w:b/>
          <w:sz w:val="24"/>
          <w:szCs w:val="24"/>
        </w:rPr>
      </w:pPr>
      <w:r>
        <w:rPr>
          <w:rFonts w:ascii="Times New Roman" w:hAnsi="Times New Roman"/>
          <w:b/>
          <w:sz w:val="24"/>
          <w:szCs w:val="24"/>
        </w:rPr>
        <w:t xml:space="preserve">PSE </w:t>
      </w:r>
      <w:r w:rsidR="002E7FAC">
        <w:rPr>
          <w:rFonts w:ascii="Times New Roman" w:hAnsi="Times New Roman"/>
          <w:b/>
          <w:sz w:val="24"/>
          <w:szCs w:val="24"/>
        </w:rPr>
        <w:t xml:space="preserve">Properly </w:t>
      </w:r>
      <w:r>
        <w:rPr>
          <w:rFonts w:ascii="Times New Roman" w:hAnsi="Times New Roman"/>
          <w:b/>
          <w:sz w:val="24"/>
          <w:szCs w:val="24"/>
        </w:rPr>
        <w:t xml:space="preserve">Evaluated </w:t>
      </w:r>
      <w:r w:rsidR="00A6075B">
        <w:rPr>
          <w:rFonts w:ascii="Times New Roman" w:hAnsi="Times New Roman"/>
          <w:b/>
          <w:sz w:val="24"/>
          <w:szCs w:val="24"/>
        </w:rPr>
        <w:t xml:space="preserve">LSR Against Other Available </w:t>
      </w:r>
      <w:r w:rsidR="004A4BA5">
        <w:rPr>
          <w:rFonts w:ascii="Times New Roman" w:hAnsi="Times New Roman"/>
          <w:b/>
          <w:sz w:val="24"/>
          <w:szCs w:val="24"/>
        </w:rPr>
        <w:t>Renewable Resources</w:t>
      </w:r>
    </w:p>
    <w:p w:rsidR="004A4BA5" w:rsidRPr="0010355B" w:rsidRDefault="004A4BA5" w:rsidP="004215EA">
      <w:pPr>
        <w:pStyle w:val="ListParagraph"/>
        <w:keepNext/>
        <w:tabs>
          <w:tab w:val="left" w:pos="-1440"/>
        </w:tabs>
        <w:ind w:left="1800"/>
        <w:rPr>
          <w:rFonts w:ascii="Times New Roman" w:hAnsi="Times New Roman"/>
          <w:b/>
          <w:sz w:val="24"/>
          <w:szCs w:val="24"/>
        </w:rPr>
      </w:pPr>
    </w:p>
    <w:p w:rsidR="00001F94" w:rsidRPr="004215EA" w:rsidRDefault="004215EA" w:rsidP="004215E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E9500F" w:rsidRPr="004215EA">
        <w:rPr>
          <w:rFonts w:ascii="Times New Roman" w:hAnsi="Times New Roman"/>
          <w:sz w:val="24"/>
          <w:szCs w:val="24"/>
        </w:rPr>
        <w:t xml:space="preserve">Mr. Norwood </w:t>
      </w:r>
      <w:r w:rsidR="005F2735" w:rsidRPr="004215EA">
        <w:rPr>
          <w:rFonts w:ascii="Times New Roman" w:hAnsi="Times New Roman"/>
          <w:sz w:val="24"/>
          <w:szCs w:val="24"/>
        </w:rPr>
        <w:t xml:space="preserve">accuses PSE of </w:t>
      </w:r>
      <w:r w:rsidR="0010355B" w:rsidRPr="004215EA">
        <w:rPr>
          <w:rFonts w:ascii="Times New Roman" w:hAnsi="Times New Roman"/>
          <w:sz w:val="24"/>
          <w:szCs w:val="24"/>
        </w:rPr>
        <w:t xml:space="preserve">using </w:t>
      </w:r>
      <w:r w:rsidR="00E9500F" w:rsidRPr="004215EA">
        <w:rPr>
          <w:rFonts w:ascii="Times New Roman" w:hAnsi="Times New Roman"/>
          <w:sz w:val="24"/>
          <w:szCs w:val="24"/>
        </w:rPr>
        <w:t>incorrect market energy price forecast inputs.</w:t>
      </w:r>
      <w:r w:rsidR="00001F94" w:rsidRPr="004215EA">
        <w:rPr>
          <w:rFonts w:ascii="Times New Roman" w:hAnsi="Times New Roman"/>
          <w:sz w:val="24"/>
          <w:szCs w:val="24"/>
        </w:rPr>
        <w:t xml:space="preserve">  However, </w:t>
      </w:r>
      <w:r w:rsidR="006E1094" w:rsidRPr="004215EA">
        <w:rPr>
          <w:rFonts w:ascii="Times New Roman" w:hAnsi="Times New Roman"/>
          <w:sz w:val="24"/>
          <w:szCs w:val="24"/>
        </w:rPr>
        <w:t xml:space="preserve">with regard to renewable resources, </w:t>
      </w:r>
      <w:r w:rsidR="00001F94" w:rsidRPr="004215EA">
        <w:rPr>
          <w:rFonts w:ascii="Times New Roman" w:hAnsi="Times New Roman"/>
          <w:sz w:val="24"/>
          <w:szCs w:val="24"/>
        </w:rPr>
        <w:t>the Commission has stated:</w:t>
      </w:r>
    </w:p>
    <w:p w:rsidR="00001F94" w:rsidRDefault="00001F94" w:rsidP="001F1EBB">
      <w:pPr>
        <w:spacing w:after="0" w:line="240" w:lineRule="auto"/>
        <w:ind w:left="720"/>
        <w:rPr>
          <w:rFonts w:ascii="Times New Roman" w:hAnsi="Times New Roman"/>
          <w:sz w:val="24"/>
          <w:szCs w:val="24"/>
        </w:rPr>
      </w:pPr>
      <w:r w:rsidRPr="000F2AA4">
        <w:rPr>
          <w:rFonts w:ascii="Times New Roman" w:hAnsi="Times New Roman"/>
          <w:sz w:val="24"/>
          <w:szCs w:val="24"/>
        </w:rPr>
        <w:t xml:space="preserve">When evaluating alternatives, the question for the utility, and for the Commission, is not whether the utility made the appropriate decision by comparing the cost of renewables with the cost of conventional resources.  Rather, the question for the utility, and for the Commission, is whether the utility made a prudent decision </w:t>
      </w:r>
      <w:r w:rsidRPr="006E1094">
        <w:rPr>
          <w:rFonts w:ascii="Times New Roman" w:hAnsi="Times New Roman"/>
          <w:i/>
          <w:sz w:val="24"/>
          <w:szCs w:val="24"/>
        </w:rPr>
        <w:t>in choosing among available renewable options.</w:t>
      </w:r>
      <w:r w:rsidRPr="000F2AA4">
        <w:rPr>
          <w:rFonts w:ascii="Times New Roman" w:hAnsi="Times New Roman"/>
          <w:sz w:val="24"/>
          <w:szCs w:val="24"/>
        </w:rPr>
        <w:t xml:space="preserve">  Therefore, we will not expect a utility to present evidence comparing a renewable generator with a non-renewable alternative.</w:t>
      </w:r>
      <w:r w:rsidRPr="002774A5">
        <w:rPr>
          <w:rStyle w:val="FootnoteReference"/>
          <w:rFonts w:ascii="Times New Roman" w:hAnsi="Times New Roman"/>
          <w:sz w:val="24"/>
          <w:szCs w:val="24"/>
        </w:rPr>
        <w:footnoteReference w:id="120"/>
      </w:r>
      <w:r w:rsidRPr="002774A5">
        <w:rPr>
          <w:rFonts w:ascii="Times New Roman" w:hAnsi="Times New Roman"/>
          <w:sz w:val="24"/>
          <w:szCs w:val="24"/>
        </w:rPr>
        <w:t xml:space="preserve">   </w:t>
      </w:r>
    </w:p>
    <w:p w:rsidR="001F1EBB" w:rsidRDefault="001F1EBB" w:rsidP="001F1EBB">
      <w:pPr>
        <w:spacing w:after="0" w:line="240" w:lineRule="auto"/>
        <w:ind w:left="720"/>
        <w:rPr>
          <w:rFonts w:ascii="Times New Roman" w:hAnsi="Times New Roman"/>
          <w:sz w:val="25"/>
          <w:szCs w:val="25"/>
        </w:rPr>
      </w:pPr>
    </w:p>
    <w:p w:rsidR="006E1094" w:rsidRPr="000F2AA4" w:rsidRDefault="006E1094" w:rsidP="006D3291">
      <w:pPr>
        <w:spacing w:after="0" w:line="480" w:lineRule="auto"/>
        <w:rPr>
          <w:rFonts w:ascii="Times New Roman" w:hAnsi="Times New Roman"/>
          <w:sz w:val="25"/>
          <w:szCs w:val="25"/>
        </w:rPr>
      </w:pPr>
      <w:r w:rsidRPr="002774A5">
        <w:rPr>
          <w:rFonts w:ascii="Times New Roman" w:hAnsi="Times New Roman"/>
          <w:sz w:val="24"/>
          <w:szCs w:val="24"/>
        </w:rPr>
        <w:t xml:space="preserve">Within that </w:t>
      </w:r>
      <w:r w:rsidR="00931701">
        <w:rPr>
          <w:rFonts w:ascii="Times New Roman" w:hAnsi="Times New Roman"/>
          <w:sz w:val="24"/>
          <w:szCs w:val="24"/>
        </w:rPr>
        <w:t xml:space="preserve">specific </w:t>
      </w:r>
      <w:r w:rsidRPr="002774A5">
        <w:rPr>
          <w:rFonts w:ascii="Times New Roman" w:hAnsi="Times New Roman"/>
          <w:sz w:val="24"/>
          <w:szCs w:val="24"/>
        </w:rPr>
        <w:t>context</w:t>
      </w:r>
      <w:r w:rsidR="00285E3C" w:rsidRPr="00285E3C">
        <w:rPr>
          <w:rFonts w:ascii="Times New Roman" w:hAnsi="Times New Roman"/>
          <w:i/>
          <w:sz w:val="24"/>
          <w:szCs w:val="24"/>
        </w:rPr>
        <w:t xml:space="preserve"> </w:t>
      </w:r>
      <w:r w:rsidR="00285E3C">
        <w:rPr>
          <w:rFonts w:ascii="Times New Roman" w:hAnsi="Times New Roman"/>
          <w:sz w:val="24"/>
          <w:szCs w:val="24"/>
        </w:rPr>
        <w:t xml:space="preserve">of </w:t>
      </w:r>
      <w:r w:rsidR="005F2735">
        <w:rPr>
          <w:rFonts w:ascii="Times New Roman" w:hAnsi="Times New Roman"/>
          <w:sz w:val="24"/>
          <w:szCs w:val="24"/>
        </w:rPr>
        <w:t>“</w:t>
      </w:r>
      <w:r w:rsidR="00285E3C" w:rsidRPr="00285E3C">
        <w:rPr>
          <w:rFonts w:ascii="Times New Roman" w:hAnsi="Times New Roman"/>
          <w:sz w:val="24"/>
          <w:szCs w:val="24"/>
        </w:rPr>
        <w:t>choosing among available renewable options</w:t>
      </w:r>
      <w:r w:rsidRPr="002774A5">
        <w:rPr>
          <w:rFonts w:ascii="Times New Roman" w:hAnsi="Times New Roman"/>
          <w:sz w:val="24"/>
          <w:szCs w:val="24"/>
        </w:rPr>
        <w:t>,</w:t>
      </w:r>
      <w:r w:rsidR="005F2735">
        <w:rPr>
          <w:rFonts w:ascii="Times New Roman" w:hAnsi="Times New Roman"/>
          <w:sz w:val="24"/>
          <w:szCs w:val="24"/>
        </w:rPr>
        <w:t>”</w:t>
      </w:r>
      <w:r w:rsidRPr="002774A5">
        <w:rPr>
          <w:rFonts w:ascii="Times New Roman" w:hAnsi="Times New Roman"/>
          <w:sz w:val="24"/>
          <w:szCs w:val="24"/>
        </w:rPr>
        <w:t xml:space="preserve"> the Commission “would support the acquisition of renewable resources in advance of RPS deadlines if the early acquisition can be cost-justified.”</w:t>
      </w:r>
      <w:r>
        <w:rPr>
          <w:rStyle w:val="FootnoteReference"/>
          <w:rFonts w:ascii="Times New Roman" w:hAnsi="Times New Roman"/>
          <w:sz w:val="24"/>
          <w:szCs w:val="24"/>
        </w:rPr>
        <w:footnoteReference w:id="121"/>
      </w:r>
      <w:r w:rsidRPr="002774A5">
        <w:rPr>
          <w:rFonts w:ascii="Times New Roman" w:hAnsi="Times New Roman"/>
          <w:sz w:val="24"/>
          <w:szCs w:val="24"/>
        </w:rPr>
        <w:t xml:space="preserve">  </w:t>
      </w:r>
    </w:p>
    <w:p w:rsidR="0010355B"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E1094" w:rsidRPr="004215EA">
        <w:rPr>
          <w:rFonts w:ascii="Times New Roman" w:hAnsi="Times New Roman"/>
          <w:sz w:val="24"/>
          <w:szCs w:val="24"/>
        </w:rPr>
        <w:t>Thus, Mr.</w:t>
      </w:r>
      <w:r w:rsidR="00285E3C" w:rsidRPr="004215EA">
        <w:rPr>
          <w:rFonts w:ascii="Times New Roman" w:hAnsi="Times New Roman"/>
          <w:sz w:val="24"/>
          <w:szCs w:val="24"/>
        </w:rPr>
        <w:t xml:space="preserve"> Norwood’s comparison of LSR to</w:t>
      </w:r>
      <w:r w:rsidR="006E1094" w:rsidRPr="004215EA">
        <w:rPr>
          <w:rFonts w:ascii="Times New Roman" w:hAnsi="Times New Roman"/>
          <w:sz w:val="24"/>
          <w:szCs w:val="24"/>
        </w:rPr>
        <w:t xml:space="preserve"> forecasted energy market prices should be give</w:t>
      </w:r>
      <w:r w:rsidR="005F2735" w:rsidRPr="004215EA">
        <w:rPr>
          <w:rFonts w:ascii="Times New Roman" w:hAnsi="Times New Roman"/>
          <w:sz w:val="24"/>
          <w:szCs w:val="24"/>
        </w:rPr>
        <w:t xml:space="preserve">n no weight </w:t>
      </w:r>
      <w:r w:rsidR="00285E3C" w:rsidRPr="004215EA">
        <w:rPr>
          <w:rFonts w:ascii="Times New Roman" w:hAnsi="Times New Roman"/>
          <w:sz w:val="24"/>
          <w:szCs w:val="24"/>
        </w:rPr>
        <w:t>because f</w:t>
      </w:r>
      <w:r w:rsidR="006E1094" w:rsidRPr="004215EA">
        <w:rPr>
          <w:rFonts w:ascii="Times New Roman" w:hAnsi="Times New Roman"/>
          <w:sz w:val="24"/>
          <w:szCs w:val="24"/>
        </w:rPr>
        <w:t>orecasted ene</w:t>
      </w:r>
      <w:r w:rsidR="00285E3C" w:rsidRPr="004215EA">
        <w:rPr>
          <w:rFonts w:ascii="Times New Roman" w:hAnsi="Times New Roman"/>
          <w:sz w:val="24"/>
          <w:szCs w:val="24"/>
        </w:rPr>
        <w:t xml:space="preserve">rgy market prices are </w:t>
      </w:r>
      <w:r w:rsidR="006E1094" w:rsidRPr="004215EA">
        <w:rPr>
          <w:rFonts w:ascii="Times New Roman" w:hAnsi="Times New Roman"/>
          <w:sz w:val="24"/>
          <w:szCs w:val="24"/>
        </w:rPr>
        <w:t>based on a combination of hydroelectric and combustion fueled generators in the region.</w:t>
      </w:r>
      <w:r w:rsidR="00931701">
        <w:rPr>
          <w:rStyle w:val="FootnoteReference"/>
          <w:rFonts w:ascii="Times New Roman" w:hAnsi="Times New Roman"/>
          <w:sz w:val="24"/>
          <w:szCs w:val="24"/>
        </w:rPr>
        <w:footnoteReference w:id="122"/>
      </w:r>
      <w:r w:rsidR="006E1094" w:rsidRPr="004215EA">
        <w:rPr>
          <w:rFonts w:ascii="Times New Roman" w:hAnsi="Times New Roman"/>
          <w:sz w:val="24"/>
          <w:szCs w:val="24"/>
        </w:rPr>
        <w:t xml:space="preserve">  Mr. Norwood presents no comparison between the price of </w:t>
      </w:r>
      <w:r w:rsidR="00931701" w:rsidRPr="004215EA">
        <w:rPr>
          <w:rFonts w:ascii="Times New Roman" w:hAnsi="Times New Roman"/>
          <w:sz w:val="24"/>
          <w:szCs w:val="24"/>
        </w:rPr>
        <w:t xml:space="preserve">LSR </w:t>
      </w:r>
      <w:r w:rsidR="006E1094" w:rsidRPr="004215EA">
        <w:rPr>
          <w:rFonts w:ascii="Times New Roman" w:hAnsi="Times New Roman"/>
          <w:sz w:val="24"/>
          <w:szCs w:val="24"/>
        </w:rPr>
        <w:t xml:space="preserve">and other </w:t>
      </w:r>
      <w:r w:rsidR="00285E3C" w:rsidRPr="004215EA">
        <w:rPr>
          <w:rFonts w:ascii="Times New Roman" w:hAnsi="Times New Roman"/>
          <w:sz w:val="24"/>
          <w:szCs w:val="24"/>
        </w:rPr>
        <w:t xml:space="preserve">available </w:t>
      </w:r>
      <w:r w:rsidR="006E1094" w:rsidRPr="004215EA">
        <w:rPr>
          <w:rFonts w:ascii="Times New Roman" w:hAnsi="Times New Roman"/>
          <w:sz w:val="24"/>
          <w:szCs w:val="24"/>
        </w:rPr>
        <w:t>renewable options.</w:t>
      </w:r>
      <w:r>
        <w:rPr>
          <w:rFonts w:ascii="Times New Roman" w:hAnsi="Times New Roman"/>
          <w:sz w:val="24"/>
          <w:szCs w:val="24"/>
        </w:rPr>
        <w:t xml:space="preserve">  </w:t>
      </w:r>
    </w:p>
    <w:p w:rsidR="004215EA" w:rsidRPr="004215EA" w:rsidRDefault="004215EA" w:rsidP="006F6249">
      <w:pPr>
        <w:pStyle w:val="ListParagraph"/>
        <w:keepNext/>
        <w:tabs>
          <w:tab w:val="left" w:pos="-1440"/>
        </w:tabs>
        <w:spacing w:line="480" w:lineRule="auto"/>
        <w:ind w:left="0"/>
        <w:rPr>
          <w:rFonts w:ascii="Times New Roman" w:hAnsi="Times New Roman"/>
          <w:b/>
          <w:sz w:val="24"/>
          <w:szCs w:val="24"/>
        </w:rPr>
      </w:pPr>
      <w:r w:rsidRPr="004215EA">
        <w:rPr>
          <w:rFonts w:ascii="Times New Roman" w:hAnsi="Times New Roman"/>
          <w:b/>
          <w:sz w:val="24"/>
          <w:szCs w:val="24"/>
        </w:rPr>
        <w:lastRenderedPageBreak/>
        <w:tab/>
      </w:r>
      <w:r w:rsidRPr="004215EA">
        <w:rPr>
          <w:rFonts w:ascii="Times New Roman" w:hAnsi="Times New Roman"/>
          <w:b/>
          <w:sz w:val="24"/>
          <w:szCs w:val="24"/>
        </w:rPr>
        <w:tab/>
        <w:t>b.</w:t>
      </w:r>
      <w:r w:rsidR="00E51E0E">
        <w:rPr>
          <w:rFonts w:ascii="Times New Roman" w:hAnsi="Times New Roman"/>
          <w:b/>
          <w:sz w:val="24"/>
          <w:szCs w:val="24"/>
        </w:rPr>
        <w:tab/>
        <w:t xml:space="preserve">The Company </w:t>
      </w:r>
      <w:r w:rsidR="002E7FAC">
        <w:rPr>
          <w:rFonts w:ascii="Times New Roman" w:hAnsi="Times New Roman"/>
          <w:b/>
          <w:sz w:val="24"/>
          <w:szCs w:val="24"/>
        </w:rPr>
        <w:t xml:space="preserve">Properly </w:t>
      </w:r>
      <w:r w:rsidR="00E51E0E">
        <w:rPr>
          <w:rFonts w:ascii="Times New Roman" w:hAnsi="Times New Roman"/>
          <w:b/>
          <w:sz w:val="24"/>
          <w:szCs w:val="24"/>
        </w:rPr>
        <w:t xml:space="preserve">Evaluated </w:t>
      </w:r>
      <w:r w:rsidRPr="004215EA">
        <w:rPr>
          <w:rFonts w:ascii="Times New Roman" w:hAnsi="Times New Roman"/>
          <w:b/>
          <w:sz w:val="24"/>
          <w:szCs w:val="24"/>
        </w:rPr>
        <w:t xml:space="preserve">the Impact of REC Banking </w:t>
      </w:r>
    </w:p>
    <w:p w:rsidR="0010355B"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7C447C" w:rsidRPr="004215EA">
        <w:rPr>
          <w:rFonts w:ascii="Times New Roman" w:hAnsi="Times New Roman"/>
          <w:sz w:val="24"/>
          <w:szCs w:val="24"/>
        </w:rPr>
        <w:t>Mr. Norwood alleges PSE failed</w:t>
      </w:r>
      <w:r w:rsidR="0010355B" w:rsidRPr="004215EA">
        <w:rPr>
          <w:rFonts w:ascii="Times New Roman" w:hAnsi="Times New Roman"/>
          <w:sz w:val="24"/>
          <w:szCs w:val="24"/>
        </w:rPr>
        <w:t xml:space="preserve"> to consider the REC banking provision</w:t>
      </w:r>
      <w:r w:rsidR="00BA2E1C" w:rsidRPr="004215EA">
        <w:rPr>
          <w:rFonts w:ascii="Times New Roman" w:hAnsi="Times New Roman"/>
          <w:sz w:val="24"/>
          <w:szCs w:val="24"/>
        </w:rPr>
        <w:t>s</w:t>
      </w:r>
      <w:r w:rsidR="0010355B" w:rsidRPr="004215EA">
        <w:rPr>
          <w:rFonts w:ascii="Times New Roman" w:hAnsi="Times New Roman"/>
          <w:sz w:val="24"/>
          <w:szCs w:val="24"/>
        </w:rPr>
        <w:t xml:space="preserve"> of the EIA in its analysis of early wind additions.</w:t>
      </w:r>
      <w:r w:rsidR="0010355B">
        <w:rPr>
          <w:rStyle w:val="FootnoteReference"/>
          <w:rFonts w:ascii="Times New Roman" w:hAnsi="Times New Roman"/>
          <w:sz w:val="24"/>
          <w:szCs w:val="24"/>
        </w:rPr>
        <w:footnoteReference w:id="123"/>
      </w:r>
      <w:r w:rsidR="005F2735" w:rsidRPr="004215EA">
        <w:rPr>
          <w:rFonts w:ascii="Times New Roman" w:hAnsi="Times New Roman"/>
          <w:sz w:val="24"/>
          <w:szCs w:val="24"/>
        </w:rPr>
        <w:t xml:space="preserve">  </w:t>
      </w:r>
      <w:r w:rsidR="00542A98" w:rsidRPr="004215EA">
        <w:rPr>
          <w:rFonts w:ascii="Times New Roman" w:hAnsi="Times New Roman"/>
          <w:sz w:val="24"/>
          <w:szCs w:val="24"/>
        </w:rPr>
        <w:t>However</w:t>
      </w:r>
      <w:r w:rsidR="0010355B" w:rsidRPr="004215EA">
        <w:rPr>
          <w:rFonts w:ascii="Times New Roman" w:hAnsi="Times New Roman"/>
          <w:sz w:val="24"/>
          <w:szCs w:val="24"/>
        </w:rPr>
        <w:t xml:space="preserve">, </w:t>
      </w:r>
      <w:r w:rsidR="00BA2E1C" w:rsidRPr="004215EA">
        <w:rPr>
          <w:rFonts w:ascii="Times New Roman" w:hAnsi="Times New Roman"/>
          <w:sz w:val="24"/>
          <w:szCs w:val="24"/>
        </w:rPr>
        <w:t xml:space="preserve">at the time the decision was made to acquire LSR, </w:t>
      </w:r>
      <w:r w:rsidR="0010355B" w:rsidRPr="004215EA">
        <w:rPr>
          <w:rFonts w:ascii="Times New Roman" w:hAnsi="Times New Roman"/>
          <w:sz w:val="24"/>
          <w:szCs w:val="24"/>
        </w:rPr>
        <w:t>most excess RECs available through 2016 were already committed to other utilities and</w:t>
      </w:r>
      <w:r w:rsidR="007C447C" w:rsidRPr="004215EA">
        <w:rPr>
          <w:rFonts w:ascii="Times New Roman" w:hAnsi="Times New Roman"/>
          <w:sz w:val="24"/>
          <w:szCs w:val="24"/>
        </w:rPr>
        <w:t>, thus,</w:t>
      </w:r>
      <w:r w:rsidR="0010355B" w:rsidRPr="004215EA">
        <w:rPr>
          <w:rFonts w:ascii="Times New Roman" w:hAnsi="Times New Roman"/>
          <w:sz w:val="24"/>
          <w:szCs w:val="24"/>
        </w:rPr>
        <w:t xml:space="preserve"> </w:t>
      </w:r>
      <w:r w:rsidR="005F2735" w:rsidRPr="004215EA">
        <w:rPr>
          <w:rFonts w:ascii="Times New Roman" w:hAnsi="Times New Roman"/>
          <w:sz w:val="24"/>
          <w:szCs w:val="24"/>
        </w:rPr>
        <w:t>were not</w:t>
      </w:r>
      <w:r w:rsidR="0010355B" w:rsidRPr="004215EA">
        <w:rPr>
          <w:rFonts w:ascii="Times New Roman" w:hAnsi="Times New Roman"/>
          <w:sz w:val="24"/>
          <w:szCs w:val="24"/>
        </w:rPr>
        <w:t xml:space="preserve"> available for banking.</w:t>
      </w:r>
      <w:r w:rsidR="0010355B">
        <w:rPr>
          <w:rStyle w:val="FootnoteReference"/>
          <w:rFonts w:ascii="Times New Roman" w:hAnsi="Times New Roman"/>
          <w:sz w:val="24"/>
          <w:szCs w:val="24"/>
        </w:rPr>
        <w:footnoteReference w:id="124"/>
      </w:r>
      <w:r w:rsidR="00542A98" w:rsidRPr="004215EA">
        <w:rPr>
          <w:rFonts w:ascii="Times New Roman" w:hAnsi="Times New Roman"/>
          <w:sz w:val="24"/>
          <w:szCs w:val="24"/>
        </w:rPr>
        <w:t xml:space="preserve"> </w:t>
      </w:r>
    </w:p>
    <w:p w:rsidR="00E9500F" w:rsidRPr="004215EA" w:rsidRDefault="004215EA" w:rsidP="004215E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542A98" w:rsidRPr="004215EA">
        <w:rPr>
          <w:rFonts w:ascii="Times New Roman" w:hAnsi="Times New Roman"/>
          <w:sz w:val="24"/>
          <w:szCs w:val="24"/>
        </w:rPr>
        <w:t>It is true that this commitment</w:t>
      </w:r>
      <w:r w:rsidR="00542A98" w:rsidRPr="00542A98">
        <w:t xml:space="preserve"> </w:t>
      </w:r>
      <w:r w:rsidR="00542A98" w:rsidRPr="004215EA">
        <w:rPr>
          <w:rFonts w:ascii="Times New Roman" w:hAnsi="Times New Roman"/>
          <w:sz w:val="24"/>
          <w:szCs w:val="24"/>
        </w:rPr>
        <w:t xml:space="preserve">was </w:t>
      </w:r>
      <w:r w:rsidR="00BA2E1C" w:rsidRPr="004215EA">
        <w:rPr>
          <w:rFonts w:ascii="Times New Roman" w:hAnsi="Times New Roman"/>
          <w:sz w:val="24"/>
          <w:szCs w:val="24"/>
        </w:rPr>
        <w:t xml:space="preserve">later invalidated </w:t>
      </w:r>
      <w:r w:rsidR="00542A98" w:rsidRPr="004215EA">
        <w:rPr>
          <w:rFonts w:ascii="Times New Roman" w:hAnsi="Times New Roman"/>
          <w:sz w:val="24"/>
          <w:szCs w:val="24"/>
        </w:rPr>
        <w:t>by California regulators, but that was not known at t</w:t>
      </w:r>
      <w:r w:rsidR="007C447C" w:rsidRPr="004215EA">
        <w:rPr>
          <w:rFonts w:ascii="Times New Roman" w:hAnsi="Times New Roman"/>
          <w:sz w:val="24"/>
          <w:szCs w:val="24"/>
        </w:rPr>
        <w:t xml:space="preserve">he time of the 2010 RFP </w:t>
      </w:r>
      <w:r w:rsidR="00214F5B" w:rsidRPr="004215EA">
        <w:rPr>
          <w:rFonts w:ascii="Times New Roman" w:hAnsi="Times New Roman"/>
          <w:sz w:val="24"/>
          <w:szCs w:val="24"/>
        </w:rPr>
        <w:t xml:space="preserve">and decision-making </w:t>
      </w:r>
      <w:r w:rsidR="007C447C" w:rsidRPr="004215EA">
        <w:rPr>
          <w:rFonts w:ascii="Times New Roman" w:hAnsi="Times New Roman"/>
          <w:sz w:val="24"/>
          <w:szCs w:val="24"/>
        </w:rPr>
        <w:t xml:space="preserve">processes </w:t>
      </w:r>
      <w:r w:rsidR="00542A98" w:rsidRPr="004215EA">
        <w:rPr>
          <w:rFonts w:ascii="Times New Roman" w:hAnsi="Times New Roman"/>
          <w:sz w:val="24"/>
          <w:szCs w:val="24"/>
        </w:rPr>
        <w:t>le</w:t>
      </w:r>
      <w:r w:rsidR="00E51E0E">
        <w:rPr>
          <w:rFonts w:ascii="Times New Roman" w:hAnsi="Times New Roman"/>
          <w:sz w:val="24"/>
          <w:szCs w:val="24"/>
        </w:rPr>
        <w:t>a</w:t>
      </w:r>
      <w:r w:rsidR="00542A98" w:rsidRPr="004215EA">
        <w:rPr>
          <w:rFonts w:ascii="Times New Roman" w:hAnsi="Times New Roman"/>
          <w:sz w:val="24"/>
          <w:szCs w:val="24"/>
        </w:rPr>
        <w:t>d</w:t>
      </w:r>
      <w:r w:rsidR="00E51E0E">
        <w:rPr>
          <w:rFonts w:ascii="Times New Roman" w:hAnsi="Times New Roman"/>
          <w:sz w:val="24"/>
          <w:szCs w:val="24"/>
        </w:rPr>
        <w:t>ing</w:t>
      </w:r>
      <w:r w:rsidR="00542A98" w:rsidRPr="004215EA">
        <w:rPr>
          <w:rFonts w:ascii="Times New Roman" w:hAnsi="Times New Roman"/>
          <w:sz w:val="24"/>
          <w:szCs w:val="24"/>
        </w:rPr>
        <w:t xml:space="preserve"> to LSR.</w:t>
      </w:r>
      <w:r w:rsidR="00542A98">
        <w:rPr>
          <w:rStyle w:val="FootnoteReference"/>
          <w:rFonts w:ascii="Times New Roman" w:hAnsi="Times New Roman"/>
          <w:sz w:val="24"/>
          <w:szCs w:val="24"/>
        </w:rPr>
        <w:footnoteReference w:id="125"/>
      </w:r>
      <w:r w:rsidR="00542A98" w:rsidRPr="004215EA">
        <w:rPr>
          <w:rFonts w:ascii="Times New Roman" w:hAnsi="Times New Roman"/>
          <w:sz w:val="24"/>
          <w:szCs w:val="24"/>
        </w:rPr>
        <w:t xml:space="preserve">  </w:t>
      </w:r>
      <w:r w:rsidR="00214F5B" w:rsidRPr="004215EA">
        <w:rPr>
          <w:rFonts w:ascii="Times New Roman" w:hAnsi="Times New Roman"/>
          <w:sz w:val="24"/>
          <w:szCs w:val="24"/>
        </w:rPr>
        <w:t xml:space="preserve">Moreover, California regulators had approved contracts for the sale of RECs on three prior occasions.  Therefore, it was reasonable for the Company to assume </w:t>
      </w:r>
      <w:r w:rsidR="006C4D56">
        <w:rPr>
          <w:rFonts w:ascii="Times New Roman" w:hAnsi="Times New Roman"/>
          <w:sz w:val="24"/>
          <w:szCs w:val="24"/>
        </w:rPr>
        <w:t xml:space="preserve">that the sale of RECs would not be disapproved </w:t>
      </w:r>
      <w:r w:rsidR="00214F5B" w:rsidRPr="004215EA">
        <w:rPr>
          <w:rFonts w:ascii="Times New Roman" w:hAnsi="Times New Roman"/>
          <w:sz w:val="24"/>
          <w:szCs w:val="24"/>
        </w:rPr>
        <w:t>at the time the decision was made to construct LSR.</w:t>
      </w:r>
      <w:r w:rsidR="00542A98">
        <w:rPr>
          <w:rStyle w:val="FootnoteReference"/>
          <w:rFonts w:ascii="Times New Roman" w:hAnsi="Times New Roman"/>
          <w:sz w:val="24"/>
          <w:szCs w:val="24"/>
        </w:rPr>
        <w:footnoteReference w:id="126"/>
      </w:r>
    </w:p>
    <w:p w:rsidR="006D50AD" w:rsidRDefault="006D50AD" w:rsidP="00A6075B">
      <w:pPr>
        <w:keepNext/>
        <w:tabs>
          <w:tab w:val="left" w:pos="-1440"/>
        </w:tabs>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E638E5">
        <w:rPr>
          <w:rFonts w:ascii="Times New Roman" w:hAnsi="Times New Roman"/>
          <w:b/>
          <w:sz w:val="24"/>
          <w:szCs w:val="24"/>
        </w:rPr>
        <w:t>c</w:t>
      </w:r>
      <w:r w:rsidRPr="00C3357A">
        <w:rPr>
          <w:rFonts w:ascii="Times New Roman" w:hAnsi="Times New Roman"/>
          <w:b/>
          <w:sz w:val="24"/>
          <w:szCs w:val="24"/>
        </w:rPr>
        <w:t>.</w:t>
      </w:r>
      <w:r w:rsidR="00C11C49">
        <w:rPr>
          <w:rFonts w:ascii="Times New Roman" w:hAnsi="Times New Roman"/>
          <w:b/>
          <w:sz w:val="24"/>
          <w:szCs w:val="24"/>
        </w:rPr>
        <w:tab/>
      </w:r>
      <w:r w:rsidR="00E51E0E">
        <w:rPr>
          <w:rFonts w:ascii="Times New Roman" w:hAnsi="Times New Roman"/>
          <w:b/>
          <w:sz w:val="24"/>
          <w:szCs w:val="24"/>
        </w:rPr>
        <w:t xml:space="preserve">The Company </w:t>
      </w:r>
      <w:r w:rsidR="002E7FAC">
        <w:rPr>
          <w:rFonts w:ascii="Times New Roman" w:hAnsi="Times New Roman"/>
          <w:b/>
          <w:sz w:val="24"/>
          <w:szCs w:val="24"/>
        </w:rPr>
        <w:t xml:space="preserve">Properly </w:t>
      </w:r>
      <w:r w:rsidR="00E51E0E">
        <w:rPr>
          <w:rFonts w:ascii="Times New Roman" w:hAnsi="Times New Roman"/>
          <w:b/>
          <w:sz w:val="24"/>
          <w:szCs w:val="24"/>
        </w:rPr>
        <w:t xml:space="preserve">Calculated </w:t>
      </w:r>
      <w:r w:rsidR="00C11C49">
        <w:rPr>
          <w:rFonts w:ascii="Times New Roman" w:hAnsi="Times New Roman"/>
          <w:b/>
          <w:sz w:val="24"/>
          <w:szCs w:val="24"/>
        </w:rPr>
        <w:t>the End-Effects of Early Wind</w:t>
      </w:r>
    </w:p>
    <w:p w:rsidR="00C3357A" w:rsidRPr="005F36A7" w:rsidRDefault="005F36A7" w:rsidP="005F36A7">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E638E5" w:rsidRPr="005F36A7">
        <w:rPr>
          <w:rFonts w:ascii="Times New Roman" w:hAnsi="Times New Roman"/>
          <w:sz w:val="24"/>
          <w:szCs w:val="24"/>
        </w:rPr>
        <w:t xml:space="preserve">Mr. Norwood claims that PSE’s end-effects analysis unfairly </w:t>
      </w:r>
      <w:r w:rsidR="005F2735" w:rsidRPr="005F36A7">
        <w:rPr>
          <w:rFonts w:ascii="Times New Roman" w:hAnsi="Times New Roman"/>
          <w:sz w:val="24"/>
          <w:szCs w:val="24"/>
        </w:rPr>
        <w:t xml:space="preserve">gave preference to </w:t>
      </w:r>
      <w:r w:rsidR="00E638E5" w:rsidRPr="005F36A7">
        <w:rPr>
          <w:rFonts w:ascii="Times New Roman" w:hAnsi="Times New Roman"/>
          <w:sz w:val="24"/>
          <w:szCs w:val="24"/>
        </w:rPr>
        <w:t xml:space="preserve">scenarios that assumed PSE would acquire wind in </w:t>
      </w:r>
      <w:r w:rsidR="005F2735" w:rsidRPr="005F36A7">
        <w:rPr>
          <w:rFonts w:ascii="Times New Roman" w:hAnsi="Times New Roman"/>
          <w:sz w:val="24"/>
          <w:szCs w:val="24"/>
        </w:rPr>
        <w:t>advance of an RPS</w:t>
      </w:r>
      <w:r w:rsidR="00E638E5" w:rsidRPr="005F36A7">
        <w:rPr>
          <w:rFonts w:ascii="Times New Roman" w:hAnsi="Times New Roman"/>
          <w:sz w:val="24"/>
          <w:szCs w:val="24"/>
        </w:rPr>
        <w:t xml:space="preserve">.  He suggests, instead, </w:t>
      </w:r>
      <w:r w:rsidR="006C4D56">
        <w:rPr>
          <w:rFonts w:ascii="Times New Roman" w:hAnsi="Times New Roman"/>
          <w:sz w:val="24"/>
          <w:szCs w:val="24"/>
        </w:rPr>
        <w:t>applying the average of all end-</w:t>
      </w:r>
      <w:r w:rsidR="00E638E5" w:rsidRPr="005F36A7">
        <w:rPr>
          <w:rFonts w:ascii="Times New Roman" w:hAnsi="Times New Roman"/>
          <w:sz w:val="24"/>
          <w:szCs w:val="24"/>
        </w:rPr>
        <w:t xml:space="preserve">effects from all scenarios to all results, which would eliminate any </w:t>
      </w:r>
      <w:r w:rsidR="0049450E">
        <w:rPr>
          <w:rFonts w:ascii="Times New Roman" w:hAnsi="Times New Roman"/>
          <w:sz w:val="24"/>
          <w:szCs w:val="24"/>
        </w:rPr>
        <w:t xml:space="preserve">end-effect </w:t>
      </w:r>
      <w:r w:rsidR="00E638E5" w:rsidRPr="005F36A7">
        <w:rPr>
          <w:rFonts w:ascii="Times New Roman" w:hAnsi="Times New Roman"/>
          <w:sz w:val="24"/>
          <w:szCs w:val="24"/>
        </w:rPr>
        <w:t>differences between IRP-derived build-out scenario assumptions.</w:t>
      </w:r>
      <w:r w:rsidR="00E638E5">
        <w:rPr>
          <w:rStyle w:val="FootnoteReference"/>
          <w:rFonts w:ascii="Times New Roman" w:hAnsi="Times New Roman"/>
          <w:sz w:val="24"/>
          <w:szCs w:val="24"/>
        </w:rPr>
        <w:footnoteReference w:id="127"/>
      </w:r>
      <w:r w:rsidR="00E638E5" w:rsidRPr="005F36A7">
        <w:rPr>
          <w:rFonts w:ascii="Times New Roman" w:hAnsi="Times New Roman"/>
          <w:sz w:val="24"/>
          <w:szCs w:val="24"/>
        </w:rPr>
        <w:t xml:space="preserve">  </w:t>
      </w:r>
    </w:p>
    <w:p w:rsidR="00C3357A" w:rsidRPr="002E7FAC" w:rsidRDefault="005F36A7" w:rsidP="002E7FA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E638E5" w:rsidRPr="005F36A7">
        <w:rPr>
          <w:rFonts w:ascii="Times New Roman" w:hAnsi="Times New Roman"/>
          <w:sz w:val="24"/>
          <w:szCs w:val="24"/>
        </w:rPr>
        <w:t>His analysis is based on d</w:t>
      </w:r>
      <w:r w:rsidR="00E51E0E">
        <w:rPr>
          <w:rFonts w:ascii="Times New Roman" w:hAnsi="Times New Roman"/>
          <w:sz w:val="24"/>
          <w:szCs w:val="24"/>
        </w:rPr>
        <w:t xml:space="preserve">ata from the 2009 IRP, not </w:t>
      </w:r>
      <w:r w:rsidR="00E638E5" w:rsidRPr="005F36A7">
        <w:rPr>
          <w:rFonts w:ascii="Times New Roman" w:hAnsi="Times New Roman"/>
          <w:sz w:val="24"/>
          <w:szCs w:val="24"/>
        </w:rPr>
        <w:t>modeling contemporaneous with the decision to build LSR from the 2010 RFP.</w:t>
      </w:r>
      <w:r w:rsidR="00E638E5">
        <w:rPr>
          <w:rStyle w:val="FootnoteReference"/>
          <w:rFonts w:ascii="Times New Roman" w:hAnsi="Times New Roman"/>
          <w:sz w:val="24"/>
          <w:szCs w:val="24"/>
        </w:rPr>
        <w:footnoteReference w:id="128"/>
      </w:r>
      <w:r w:rsidR="002E7FAC">
        <w:rPr>
          <w:rFonts w:ascii="Times New Roman" w:hAnsi="Times New Roman"/>
          <w:sz w:val="24"/>
          <w:szCs w:val="24"/>
        </w:rPr>
        <w:t xml:space="preserve">  </w:t>
      </w:r>
      <w:r w:rsidR="00E638E5" w:rsidRPr="002E7FAC">
        <w:rPr>
          <w:rFonts w:ascii="Times New Roman" w:hAnsi="Times New Roman"/>
          <w:sz w:val="24"/>
          <w:szCs w:val="24"/>
        </w:rPr>
        <w:t xml:space="preserve">Furthermore, the requirement to analyze resource </w:t>
      </w:r>
      <w:r w:rsidR="006C4D56">
        <w:rPr>
          <w:rFonts w:ascii="Times New Roman" w:hAnsi="Times New Roman"/>
          <w:sz w:val="24"/>
          <w:szCs w:val="24"/>
        </w:rPr>
        <w:t>options using end-</w:t>
      </w:r>
      <w:r w:rsidR="00E638E5" w:rsidRPr="002E7FAC">
        <w:rPr>
          <w:rFonts w:ascii="Times New Roman" w:hAnsi="Times New Roman"/>
          <w:sz w:val="24"/>
          <w:szCs w:val="24"/>
        </w:rPr>
        <w:t>effects is needed to fairly judge resourc</w:t>
      </w:r>
      <w:r w:rsidR="005F2735" w:rsidRPr="002E7FAC">
        <w:rPr>
          <w:rFonts w:ascii="Times New Roman" w:hAnsi="Times New Roman"/>
          <w:sz w:val="24"/>
          <w:szCs w:val="24"/>
        </w:rPr>
        <w:t xml:space="preserve">es with </w:t>
      </w:r>
      <w:r w:rsidR="00E638E5" w:rsidRPr="002E7FAC">
        <w:rPr>
          <w:rFonts w:ascii="Times New Roman" w:hAnsi="Times New Roman"/>
          <w:sz w:val="24"/>
          <w:szCs w:val="24"/>
        </w:rPr>
        <w:t xml:space="preserve">useful lives beyond the 20-year planning timeframe. </w:t>
      </w:r>
      <w:r w:rsidR="005F2735" w:rsidRPr="002E7FAC">
        <w:rPr>
          <w:rFonts w:ascii="Times New Roman" w:hAnsi="Times New Roman"/>
          <w:sz w:val="24"/>
          <w:szCs w:val="24"/>
        </w:rPr>
        <w:t xml:space="preserve"> </w:t>
      </w:r>
      <w:r w:rsidR="00E638E5" w:rsidRPr="002E7FAC">
        <w:rPr>
          <w:rFonts w:ascii="Times New Roman" w:hAnsi="Times New Roman"/>
          <w:sz w:val="24"/>
          <w:szCs w:val="24"/>
        </w:rPr>
        <w:t>Thus, Mr. Norwood’s use of the average of all end effects applied to a</w:t>
      </w:r>
      <w:r w:rsidR="007C447C" w:rsidRPr="002E7FAC">
        <w:rPr>
          <w:rFonts w:ascii="Times New Roman" w:hAnsi="Times New Roman"/>
          <w:sz w:val="24"/>
          <w:szCs w:val="24"/>
        </w:rPr>
        <w:t xml:space="preserve">ll </w:t>
      </w:r>
      <w:r w:rsidR="007C447C" w:rsidRPr="002E7FAC">
        <w:rPr>
          <w:rFonts w:ascii="Times New Roman" w:hAnsi="Times New Roman"/>
          <w:sz w:val="24"/>
          <w:szCs w:val="24"/>
        </w:rPr>
        <w:lastRenderedPageBreak/>
        <w:t>scenarios is inappropriate</w:t>
      </w:r>
      <w:r w:rsidR="006C4D56">
        <w:rPr>
          <w:rFonts w:ascii="Times New Roman" w:hAnsi="Times New Roman"/>
          <w:sz w:val="24"/>
          <w:szCs w:val="24"/>
        </w:rPr>
        <w:t xml:space="preserve"> for determining end-</w:t>
      </w:r>
      <w:r w:rsidR="00E638E5" w:rsidRPr="002E7FAC">
        <w:rPr>
          <w:rFonts w:ascii="Times New Roman" w:hAnsi="Times New Roman"/>
          <w:sz w:val="24"/>
          <w:szCs w:val="24"/>
        </w:rPr>
        <w:t>effects for differently timed resources.</w:t>
      </w:r>
      <w:r w:rsidR="00E638E5">
        <w:rPr>
          <w:rStyle w:val="FootnoteReference"/>
          <w:rFonts w:ascii="Times New Roman" w:hAnsi="Times New Roman"/>
          <w:sz w:val="24"/>
          <w:szCs w:val="24"/>
        </w:rPr>
        <w:footnoteReference w:id="129"/>
      </w:r>
      <w:r w:rsidR="002E7FAC">
        <w:rPr>
          <w:rFonts w:ascii="Times New Roman" w:hAnsi="Times New Roman"/>
          <w:sz w:val="24"/>
          <w:szCs w:val="24"/>
        </w:rPr>
        <w:t xml:space="preserve">  </w:t>
      </w:r>
      <w:r w:rsidR="00E638E5" w:rsidRPr="002E7FAC">
        <w:rPr>
          <w:rFonts w:ascii="Times New Roman" w:hAnsi="Times New Roman"/>
          <w:sz w:val="24"/>
          <w:szCs w:val="24"/>
        </w:rPr>
        <w:t>Finally, Mr. Nightingale</w:t>
      </w:r>
      <w:r w:rsidR="00F8603A" w:rsidRPr="002E7FAC">
        <w:rPr>
          <w:rFonts w:ascii="Times New Roman" w:hAnsi="Times New Roman"/>
          <w:sz w:val="24"/>
          <w:szCs w:val="24"/>
        </w:rPr>
        <w:t xml:space="preserve"> examined PSE</w:t>
      </w:r>
      <w:r w:rsidR="006C4D56">
        <w:rPr>
          <w:rFonts w:ascii="Times New Roman" w:hAnsi="Times New Roman"/>
          <w:sz w:val="24"/>
          <w:szCs w:val="24"/>
        </w:rPr>
        <w:t>’s end-</w:t>
      </w:r>
      <w:r w:rsidR="00A41120" w:rsidRPr="002E7FAC">
        <w:rPr>
          <w:rFonts w:ascii="Times New Roman" w:hAnsi="Times New Roman"/>
          <w:sz w:val="24"/>
          <w:szCs w:val="24"/>
        </w:rPr>
        <w:t xml:space="preserve">effects analyses </w:t>
      </w:r>
      <w:r w:rsidR="004A4BA5" w:rsidRPr="002E7FAC">
        <w:rPr>
          <w:rFonts w:ascii="Times New Roman" w:hAnsi="Times New Roman"/>
          <w:sz w:val="24"/>
          <w:szCs w:val="24"/>
        </w:rPr>
        <w:t>and found them reasonable.</w:t>
      </w:r>
      <w:r w:rsidR="004A4BA5">
        <w:rPr>
          <w:rStyle w:val="FootnoteReference"/>
          <w:rFonts w:ascii="Times New Roman" w:hAnsi="Times New Roman"/>
          <w:sz w:val="24"/>
          <w:szCs w:val="24"/>
        </w:rPr>
        <w:footnoteReference w:id="130"/>
      </w:r>
    </w:p>
    <w:p w:rsidR="006D50AD" w:rsidRDefault="00E638E5" w:rsidP="005F36A7">
      <w:pPr>
        <w:keepNext/>
        <w:tabs>
          <w:tab w:val="left" w:pos="-1440"/>
        </w:tabs>
        <w:spacing w:after="0" w:line="240" w:lineRule="auto"/>
        <w:ind w:left="2160" w:hanging="720"/>
        <w:rPr>
          <w:rFonts w:ascii="Times New Roman" w:hAnsi="Times New Roman"/>
          <w:b/>
          <w:sz w:val="24"/>
          <w:szCs w:val="24"/>
        </w:rPr>
      </w:pPr>
      <w:r>
        <w:rPr>
          <w:rFonts w:ascii="Times New Roman" w:hAnsi="Times New Roman"/>
          <w:b/>
          <w:sz w:val="24"/>
          <w:szCs w:val="24"/>
        </w:rPr>
        <w:t>d</w:t>
      </w:r>
      <w:r w:rsidR="006D50AD" w:rsidRPr="00C3357A">
        <w:rPr>
          <w:rFonts w:ascii="Times New Roman" w:hAnsi="Times New Roman"/>
          <w:b/>
          <w:sz w:val="24"/>
          <w:szCs w:val="24"/>
        </w:rPr>
        <w:t>.</w:t>
      </w:r>
      <w:r w:rsidR="00461B7B" w:rsidRPr="00C3357A">
        <w:rPr>
          <w:rFonts w:ascii="Times New Roman" w:hAnsi="Times New Roman"/>
          <w:b/>
          <w:sz w:val="24"/>
          <w:szCs w:val="24"/>
        </w:rPr>
        <w:tab/>
      </w:r>
      <w:r w:rsidR="00C3357A">
        <w:rPr>
          <w:rFonts w:ascii="Times New Roman" w:hAnsi="Times New Roman"/>
          <w:b/>
          <w:sz w:val="24"/>
          <w:szCs w:val="24"/>
        </w:rPr>
        <w:t>The Company Was Prudent to Assume that Federal Tax Incentives Would Not Be Extended</w:t>
      </w:r>
    </w:p>
    <w:p w:rsidR="00C3357A" w:rsidRPr="00C3357A" w:rsidRDefault="00C3357A" w:rsidP="005F36A7">
      <w:pPr>
        <w:keepNext/>
        <w:tabs>
          <w:tab w:val="left" w:pos="-1440"/>
        </w:tabs>
        <w:spacing w:after="0" w:line="240" w:lineRule="auto"/>
        <w:ind w:left="2160" w:hanging="720"/>
        <w:rPr>
          <w:rFonts w:ascii="Times New Roman" w:hAnsi="Times New Roman"/>
          <w:b/>
          <w:sz w:val="24"/>
          <w:szCs w:val="24"/>
        </w:rPr>
      </w:pPr>
    </w:p>
    <w:p w:rsidR="00461B7B" w:rsidRPr="005F36A7" w:rsidRDefault="005F36A7" w:rsidP="005F36A7">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461B7B" w:rsidRPr="005F36A7">
        <w:rPr>
          <w:rFonts w:ascii="Times New Roman" w:hAnsi="Times New Roman"/>
          <w:sz w:val="24"/>
          <w:szCs w:val="24"/>
        </w:rPr>
        <w:t xml:space="preserve">Mr. Norwood argues that </w:t>
      </w:r>
      <w:r w:rsidR="00E12AB4">
        <w:rPr>
          <w:rFonts w:ascii="Times New Roman" w:hAnsi="Times New Roman"/>
          <w:sz w:val="24"/>
          <w:szCs w:val="24"/>
        </w:rPr>
        <w:t>PSE assumed</w:t>
      </w:r>
      <w:r w:rsidR="00E9500F" w:rsidRPr="005F36A7">
        <w:rPr>
          <w:rFonts w:ascii="Times New Roman" w:hAnsi="Times New Roman"/>
          <w:sz w:val="24"/>
          <w:szCs w:val="24"/>
        </w:rPr>
        <w:t xml:space="preserve"> unreasonably that the time limit to use federal tax incentives </w:t>
      </w:r>
      <w:r w:rsidR="00542A98" w:rsidRPr="005F36A7">
        <w:rPr>
          <w:rFonts w:ascii="Times New Roman" w:hAnsi="Times New Roman"/>
          <w:sz w:val="24"/>
          <w:szCs w:val="24"/>
        </w:rPr>
        <w:t xml:space="preserve">to </w:t>
      </w:r>
      <w:r w:rsidR="00E9500F" w:rsidRPr="005F36A7">
        <w:rPr>
          <w:rFonts w:ascii="Times New Roman" w:hAnsi="Times New Roman"/>
          <w:sz w:val="24"/>
          <w:szCs w:val="24"/>
        </w:rPr>
        <w:t>acquire a wind resource would not be extended by Congress</w:t>
      </w:r>
      <w:r w:rsidR="00461B7B" w:rsidRPr="005F36A7">
        <w:rPr>
          <w:rFonts w:ascii="Times New Roman" w:hAnsi="Times New Roman"/>
          <w:sz w:val="24"/>
          <w:szCs w:val="24"/>
        </w:rPr>
        <w:t>.</w:t>
      </w:r>
      <w:r w:rsidR="00461B7B">
        <w:rPr>
          <w:rStyle w:val="FootnoteReference"/>
          <w:rFonts w:ascii="Times New Roman" w:hAnsi="Times New Roman"/>
          <w:sz w:val="24"/>
          <w:szCs w:val="24"/>
        </w:rPr>
        <w:footnoteReference w:id="131"/>
      </w:r>
      <w:r w:rsidR="002A1603" w:rsidRPr="005F36A7">
        <w:rPr>
          <w:rFonts w:ascii="Times New Roman" w:hAnsi="Times New Roman"/>
          <w:sz w:val="24"/>
          <w:szCs w:val="24"/>
        </w:rPr>
        <w:t xml:space="preserve">  </w:t>
      </w:r>
      <w:r w:rsidR="00D228D3">
        <w:rPr>
          <w:rFonts w:ascii="Times New Roman" w:hAnsi="Times New Roman"/>
          <w:sz w:val="24"/>
          <w:szCs w:val="24"/>
        </w:rPr>
        <w:t>However, it is speculative to base</w:t>
      </w:r>
      <w:r w:rsidR="002A1603" w:rsidRPr="005F36A7">
        <w:rPr>
          <w:rFonts w:ascii="Times New Roman" w:hAnsi="Times New Roman"/>
          <w:sz w:val="24"/>
          <w:szCs w:val="24"/>
        </w:rPr>
        <w:t xml:space="preserve"> significant capital investment decisions on what may be anticipated for future tax trea</w:t>
      </w:r>
      <w:r w:rsidR="00D228D3">
        <w:rPr>
          <w:rFonts w:ascii="Times New Roman" w:hAnsi="Times New Roman"/>
          <w:sz w:val="24"/>
          <w:szCs w:val="24"/>
        </w:rPr>
        <w:t>tment</w:t>
      </w:r>
      <w:r w:rsidR="002A1603" w:rsidRPr="005F36A7">
        <w:rPr>
          <w:rFonts w:ascii="Times New Roman" w:hAnsi="Times New Roman"/>
          <w:sz w:val="24"/>
          <w:szCs w:val="24"/>
        </w:rPr>
        <w:t>.</w:t>
      </w:r>
      <w:r w:rsidR="004633E9" w:rsidRPr="005F36A7">
        <w:rPr>
          <w:rFonts w:ascii="Times New Roman" w:hAnsi="Times New Roman"/>
          <w:sz w:val="24"/>
          <w:szCs w:val="24"/>
        </w:rPr>
        <w:t xml:space="preserve">  If anything, PSE was correct to act on existing law at the time the decision was made t</w:t>
      </w:r>
      <w:r w:rsidR="00542A98" w:rsidRPr="005F36A7">
        <w:rPr>
          <w:rFonts w:ascii="Times New Roman" w:hAnsi="Times New Roman"/>
          <w:sz w:val="24"/>
          <w:szCs w:val="24"/>
        </w:rPr>
        <w:t xml:space="preserve">o acquire LSR, given the </w:t>
      </w:r>
      <w:r w:rsidR="004633E9" w:rsidRPr="005F36A7">
        <w:rPr>
          <w:rFonts w:ascii="Times New Roman" w:hAnsi="Times New Roman"/>
          <w:sz w:val="24"/>
          <w:szCs w:val="24"/>
        </w:rPr>
        <w:t xml:space="preserve">history of </w:t>
      </w:r>
      <w:r w:rsidR="00F07DB7" w:rsidRPr="005F36A7">
        <w:rPr>
          <w:rFonts w:ascii="Times New Roman" w:hAnsi="Times New Roman"/>
          <w:sz w:val="24"/>
          <w:szCs w:val="24"/>
        </w:rPr>
        <w:t xml:space="preserve">federal </w:t>
      </w:r>
      <w:r w:rsidR="004633E9" w:rsidRPr="005F36A7">
        <w:rPr>
          <w:rFonts w:ascii="Times New Roman" w:hAnsi="Times New Roman"/>
          <w:sz w:val="24"/>
          <w:szCs w:val="24"/>
        </w:rPr>
        <w:t>p</w:t>
      </w:r>
      <w:r w:rsidR="00F07DB7" w:rsidRPr="005F36A7">
        <w:rPr>
          <w:rFonts w:ascii="Times New Roman" w:hAnsi="Times New Roman"/>
          <w:sz w:val="24"/>
          <w:szCs w:val="24"/>
        </w:rPr>
        <w:t xml:space="preserve">roduction tax credits that </w:t>
      </w:r>
      <w:r w:rsidR="00BA2E1C" w:rsidRPr="005F36A7">
        <w:rPr>
          <w:rFonts w:ascii="Times New Roman" w:hAnsi="Times New Roman"/>
          <w:sz w:val="24"/>
          <w:szCs w:val="24"/>
        </w:rPr>
        <w:t xml:space="preserve">had </w:t>
      </w:r>
      <w:r w:rsidR="003E0C01">
        <w:rPr>
          <w:rFonts w:ascii="Times New Roman" w:hAnsi="Times New Roman"/>
          <w:sz w:val="24"/>
          <w:szCs w:val="24"/>
        </w:rPr>
        <w:t xml:space="preserve">expired previously on three </w:t>
      </w:r>
      <w:r w:rsidR="004633E9" w:rsidRPr="005F36A7">
        <w:rPr>
          <w:rFonts w:ascii="Times New Roman" w:hAnsi="Times New Roman"/>
          <w:sz w:val="24"/>
          <w:szCs w:val="24"/>
        </w:rPr>
        <w:t>occasions (1999, 2001 and 2003).</w:t>
      </w:r>
      <w:r w:rsidR="004633E9">
        <w:rPr>
          <w:rStyle w:val="FootnoteReference"/>
          <w:rFonts w:ascii="Times New Roman" w:hAnsi="Times New Roman"/>
          <w:sz w:val="24"/>
          <w:szCs w:val="24"/>
        </w:rPr>
        <w:footnoteReference w:id="132"/>
      </w:r>
    </w:p>
    <w:p w:rsidR="006D50AD" w:rsidRPr="00C3357A" w:rsidRDefault="006D50AD" w:rsidP="0028551A">
      <w:pPr>
        <w:tabs>
          <w:tab w:val="left" w:pos="-1440"/>
        </w:tabs>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E638E5">
        <w:rPr>
          <w:rFonts w:ascii="Times New Roman" w:hAnsi="Times New Roman"/>
          <w:b/>
          <w:sz w:val="24"/>
          <w:szCs w:val="24"/>
        </w:rPr>
        <w:t>e</w:t>
      </w:r>
      <w:r w:rsidRPr="00C3357A">
        <w:rPr>
          <w:rFonts w:ascii="Times New Roman" w:hAnsi="Times New Roman"/>
          <w:b/>
          <w:sz w:val="24"/>
          <w:szCs w:val="24"/>
        </w:rPr>
        <w:t>.</w:t>
      </w:r>
      <w:r w:rsidR="00E9500F" w:rsidRPr="00C3357A">
        <w:rPr>
          <w:rFonts w:ascii="Times New Roman" w:hAnsi="Times New Roman"/>
          <w:b/>
          <w:sz w:val="24"/>
          <w:szCs w:val="24"/>
        </w:rPr>
        <w:tab/>
      </w:r>
      <w:r w:rsidR="00B45482">
        <w:rPr>
          <w:rFonts w:ascii="Times New Roman" w:hAnsi="Times New Roman"/>
          <w:b/>
          <w:sz w:val="24"/>
          <w:szCs w:val="24"/>
        </w:rPr>
        <w:t>The Company Properly Modeled Carbon Price Forecasts</w:t>
      </w:r>
    </w:p>
    <w:p w:rsidR="00B45482" w:rsidRPr="005F36A7" w:rsidRDefault="005F36A7" w:rsidP="005F36A7">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E9500F" w:rsidRPr="005F36A7">
        <w:rPr>
          <w:rFonts w:ascii="Times New Roman" w:hAnsi="Times New Roman"/>
          <w:sz w:val="24"/>
          <w:szCs w:val="24"/>
        </w:rPr>
        <w:t>Mr. Norwood alleges that PSE used outdated and high carbon price f</w:t>
      </w:r>
      <w:r w:rsidR="00E12AB4">
        <w:rPr>
          <w:rFonts w:ascii="Times New Roman" w:hAnsi="Times New Roman"/>
          <w:sz w:val="24"/>
          <w:szCs w:val="24"/>
        </w:rPr>
        <w:t>orecasts</w:t>
      </w:r>
      <w:r w:rsidR="00E9500F" w:rsidRPr="005F36A7">
        <w:rPr>
          <w:rFonts w:ascii="Times New Roman" w:hAnsi="Times New Roman"/>
          <w:sz w:val="24"/>
          <w:szCs w:val="24"/>
        </w:rPr>
        <w:t>.</w:t>
      </w:r>
      <w:r w:rsidR="00B45482">
        <w:rPr>
          <w:rStyle w:val="FootnoteReference"/>
          <w:rFonts w:ascii="Times New Roman" w:hAnsi="Times New Roman"/>
          <w:sz w:val="24"/>
          <w:szCs w:val="24"/>
        </w:rPr>
        <w:footnoteReference w:id="133"/>
      </w:r>
      <w:r w:rsidR="00C3357A" w:rsidRPr="005F36A7">
        <w:rPr>
          <w:rFonts w:ascii="Times New Roman" w:hAnsi="Times New Roman"/>
          <w:sz w:val="24"/>
          <w:szCs w:val="24"/>
        </w:rPr>
        <w:t xml:space="preserve">  He bases this assertion on high future carbon prices</w:t>
      </w:r>
      <w:r w:rsidR="00BA2E1C" w:rsidRPr="005F36A7">
        <w:rPr>
          <w:rFonts w:ascii="Times New Roman" w:hAnsi="Times New Roman"/>
          <w:sz w:val="24"/>
          <w:szCs w:val="24"/>
        </w:rPr>
        <w:t xml:space="preserve"> </w:t>
      </w:r>
      <w:r w:rsidR="00B45482" w:rsidRPr="005F36A7">
        <w:rPr>
          <w:rFonts w:ascii="Times New Roman" w:hAnsi="Times New Roman"/>
          <w:sz w:val="24"/>
          <w:szCs w:val="24"/>
        </w:rPr>
        <w:t xml:space="preserve">contained in the </w:t>
      </w:r>
      <w:r w:rsidR="00FB528C" w:rsidRPr="005F36A7">
        <w:rPr>
          <w:rFonts w:ascii="Times New Roman" w:hAnsi="Times New Roman"/>
          <w:sz w:val="24"/>
          <w:szCs w:val="24"/>
        </w:rPr>
        <w:t>2009 IRP Update</w:t>
      </w:r>
      <w:r w:rsidR="00B45482" w:rsidRPr="005F36A7">
        <w:rPr>
          <w:rFonts w:ascii="Times New Roman" w:hAnsi="Times New Roman"/>
          <w:sz w:val="24"/>
          <w:szCs w:val="24"/>
        </w:rPr>
        <w:t xml:space="preserve">.  </w:t>
      </w:r>
    </w:p>
    <w:p w:rsidR="00E9500F" w:rsidRPr="005F36A7" w:rsidRDefault="005F36A7" w:rsidP="005F36A7">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B45482" w:rsidRPr="005F36A7">
        <w:rPr>
          <w:rFonts w:ascii="Times New Roman" w:hAnsi="Times New Roman"/>
          <w:sz w:val="24"/>
          <w:szCs w:val="24"/>
        </w:rPr>
        <w:t>However, those</w:t>
      </w:r>
      <w:r w:rsidR="00C3357A" w:rsidRPr="005F36A7">
        <w:rPr>
          <w:rFonts w:ascii="Times New Roman" w:hAnsi="Times New Roman"/>
          <w:sz w:val="24"/>
          <w:szCs w:val="24"/>
        </w:rPr>
        <w:t xml:space="preserve"> </w:t>
      </w:r>
      <w:r w:rsidR="00BA2E1C" w:rsidRPr="005F36A7">
        <w:rPr>
          <w:rFonts w:ascii="Times New Roman" w:hAnsi="Times New Roman"/>
          <w:sz w:val="24"/>
          <w:szCs w:val="24"/>
        </w:rPr>
        <w:t xml:space="preserve">high </w:t>
      </w:r>
      <w:r w:rsidR="00B45482" w:rsidRPr="005F36A7">
        <w:rPr>
          <w:rFonts w:ascii="Times New Roman" w:hAnsi="Times New Roman"/>
          <w:sz w:val="24"/>
          <w:szCs w:val="24"/>
        </w:rPr>
        <w:t xml:space="preserve">carbon </w:t>
      </w:r>
      <w:r w:rsidR="00C3357A" w:rsidRPr="005F36A7">
        <w:rPr>
          <w:rFonts w:ascii="Times New Roman" w:hAnsi="Times New Roman"/>
          <w:sz w:val="24"/>
          <w:szCs w:val="24"/>
        </w:rPr>
        <w:t xml:space="preserve">prices were not used during the </w:t>
      </w:r>
      <w:r w:rsidR="00BA2E1C" w:rsidRPr="005F36A7">
        <w:rPr>
          <w:rFonts w:ascii="Times New Roman" w:hAnsi="Times New Roman"/>
          <w:sz w:val="24"/>
          <w:szCs w:val="24"/>
        </w:rPr>
        <w:t>2010 RFP</w:t>
      </w:r>
      <w:r w:rsidR="0030614F" w:rsidRPr="005F36A7">
        <w:rPr>
          <w:rFonts w:ascii="Times New Roman" w:hAnsi="Times New Roman"/>
          <w:sz w:val="24"/>
          <w:szCs w:val="24"/>
        </w:rPr>
        <w:t xml:space="preserve"> proces</w:t>
      </w:r>
      <w:r w:rsidR="003E0C01">
        <w:rPr>
          <w:rFonts w:ascii="Times New Roman" w:hAnsi="Times New Roman"/>
          <w:sz w:val="24"/>
          <w:szCs w:val="24"/>
        </w:rPr>
        <w:t>s when it</w:t>
      </w:r>
      <w:r w:rsidR="0030614F" w:rsidRPr="005F36A7">
        <w:rPr>
          <w:rFonts w:ascii="Times New Roman" w:hAnsi="Times New Roman"/>
          <w:sz w:val="24"/>
          <w:szCs w:val="24"/>
        </w:rPr>
        <w:t xml:space="preserve"> was widely assumed that a </w:t>
      </w:r>
      <w:r w:rsidR="007C447C" w:rsidRPr="005F36A7">
        <w:rPr>
          <w:rFonts w:ascii="Times New Roman" w:hAnsi="Times New Roman"/>
          <w:sz w:val="24"/>
          <w:szCs w:val="24"/>
        </w:rPr>
        <w:t xml:space="preserve">federal </w:t>
      </w:r>
      <w:r w:rsidR="0030614F" w:rsidRPr="005F36A7">
        <w:rPr>
          <w:rFonts w:ascii="Times New Roman" w:hAnsi="Times New Roman"/>
          <w:sz w:val="24"/>
          <w:szCs w:val="24"/>
        </w:rPr>
        <w:t>carbon bill would be enacted</w:t>
      </w:r>
      <w:r w:rsidR="00C3357A" w:rsidRPr="005F36A7">
        <w:rPr>
          <w:rFonts w:ascii="Times New Roman" w:hAnsi="Times New Roman"/>
          <w:sz w:val="24"/>
          <w:szCs w:val="24"/>
        </w:rPr>
        <w:t>.</w:t>
      </w:r>
      <w:r w:rsidR="0030614F">
        <w:rPr>
          <w:rStyle w:val="FootnoteReference"/>
          <w:rFonts w:ascii="Times New Roman" w:hAnsi="Times New Roman"/>
          <w:sz w:val="24"/>
          <w:szCs w:val="24"/>
        </w:rPr>
        <w:footnoteReference w:id="134"/>
      </w:r>
      <w:r w:rsidR="00C3357A" w:rsidRPr="005F36A7">
        <w:rPr>
          <w:rFonts w:ascii="Times New Roman" w:hAnsi="Times New Roman"/>
          <w:sz w:val="24"/>
          <w:szCs w:val="24"/>
        </w:rPr>
        <w:t xml:space="preserve">  </w:t>
      </w:r>
      <w:r w:rsidR="007C447C" w:rsidRPr="005F36A7">
        <w:rPr>
          <w:rFonts w:ascii="Times New Roman" w:hAnsi="Times New Roman"/>
          <w:sz w:val="24"/>
          <w:szCs w:val="24"/>
        </w:rPr>
        <w:t>Rather, l</w:t>
      </w:r>
      <w:r w:rsidR="00FA55BE" w:rsidRPr="005F36A7">
        <w:rPr>
          <w:rFonts w:ascii="Times New Roman" w:hAnsi="Times New Roman"/>
          <w:sz w:val="24"/>
          <w:szCs w:val="24"/>
        </w:rPr>
        <w:t>ow c</w:t>
      </w:r>
      <w:r w:rsidR="00B45482" w:rsidRPr="005F36A7">
        <w:rPr>
          <w:rFonts w:ascii="Times New Roman" w:hAnsi="Times New Roman"/>
          <w:sz w:val="24"/>
          <w:szCs w:val="24"/>
        </w:rPr>
        <w:t>arbon prices were modeled in v</w:t>
      </w:r>
      <w:r w:rsidR="00BA2E1C" w:rsidRPr="005F36A7">
        <w:rPr>
          <w:rFonts w:ascii="Times New Roman" w:hAnsi="Times New Roman"/>
          <w:sz w:val="24"/>
          <w:szCs w:val="24"/>
        </w:rPr>
        <w:t xml:space="preserve">arious scenarios </w:t>
      </w:r>
      <w:r w:rsidR="00B45482" w:rsidRPr="005F36A7">
        <w:rPr>
          <w:rFonts w:ascii="Times New Roman" w:hAnsi="Times New Roman"/>
          <w:sz w:val="24"/>
          <w:szCs w:val="24"/>
        </w:rPr>
        <w:t xml:space="preserve">from essentially $0 per ton in the Business As Usual and Low </w:t>
      </w:r>
      <w:r w:rsidR="0030614F" w:rsidRPr="005F36A7">
        <w:rPr>
          <w:rFonts w:ascii="Times New Roman" w:hAnsi="Times New Roman"/>
          <w:sz w:val="24"/>
          <w:szCs w:val="24"/>
        </w:rPr>
        <w:t>Growth scenarios</w:t>
      </w:r>
      <w:r w:rsidR="00B45482" w:rsidRPr="005F36A7">
        <w:rPr>
          <w:rFonts w:ascii="Times New Roman" w:hAnsi="Times New Roman"/>
          <w:sz w:val="24"/>
          <w:szCs w:val="24"/>
        </w:rPr>
        <w:t xml:space="preserve"> to higher prices per ton in other scenarios.</w:t>
      </w:r>
      <w:r w:rsidR="00B45482">
        <w:rPr>
          <w:rStyle w:val="FootnoteReference"/>
          <w:rFonts w:ascii="Times New Roman" w:hAnsi="Times New Roman"/>
          <w:sz w:val="24"/>
          <w:szCs w:val="24"/>
        </w:rPr>
        <w:footnoteReference w:id="135"/>
      </w:r>
      <w:r w:rsidR="00B45482" w:rsidRPr="005F36A7">
        <w:rPr>
          <w:rFonts w:ascii="Times New Roman" w:hAnsi="Times New Roman"/>
          <w:sz w:val="24"/>
          <w:szCs w:val="24"/>
        </w:rPr>
        <w:t xml:space="preserve">  These price variations did not affect the outcom</w:t>
      </w:r>
      <w:r w:rsidR="00BA2E1C" w:rsidRPr="005F36A7">
        <w:rPr>
          <w:rFonts w:ascii="Times New Roman" w:hAnsi="Times New Roman"/>
          <w:sz w:val="24"/>
          <w:szCs w:val="24"/>
        </w:rPr>
        <w:t>e</w:t>
      </w:r>
      <w:r w:rsidR="00B45482" w:rsidRPr="005F36A7">
        <w:rPr>
          <w:rFonts w:ascii="Times New Roman" w:hAnsi="Times New Roman"/>
          <w:sz w:val="24"/>
          <w:szCs w:val="24"/>
        </w:rPr>
        <w:t>.  LSR was still selected in most scenario runs.</w:t>
      </w:r>
      <w:r w:rsidR="0030614F">
        <w:rPr>
          <w:rStyle w:val="FootnoteReference"/>
          <w:rFonts w:ascii="Times New Roman" w:hAnsi="Times New Roman"/>
          <w:sz w:val="24"/>
          <w:szCs w:val="24"/>
        </w:rPr>
        <w:footnoteReference w:id="136"/>
      </w:r>
    </w:p>
    <w:p w:rsidR="006D50AD" w:rsidRDefault="00E638E5" w:rsidP="006F6249">
      <w:pPr>
        <w:keepNext/>
        <w:tabs>
          <w:tab w:val="left" w:pos="-1440"/>
        </w:tabs>
        <w:spacing w:after="0" w:line="240" w:lineRule="auto"/>
        <w:ind w:left="2160" w:hanging="720"/>
        <w:rPr>
          <w:rFonts w:ascii="Times New Roman" w:hAnsi="Times New Roman"/>
          <w:b/>
          <w:sz w:val="24"/>
          <w:szCs w:val="24"/>
        </w:rPr>
      </w:pPr>
      <w:r>
        <w:rPr>
          <w:rFonts w:ascii="Times New Roman" w:hAnsi="Times New Roman"/>
          <w:b/>
          <w:sz w:val="24"/>
          <w:szCs w:val="24"/>
        </w:rPr>
        <w:lastRenderedPageBreak/>
        <w:t>f</w:t>
      </w:r>
      <w:r w:rsidR="006D50AD" w:rsidRPr="006D50AD">
        <w:rPr>
          <w:rFonts w:ascii="Times New Roman" w:hAnsi="Times New Roman"/>
          <w:b/>
          <w:sz w:val="24"/>
          <w:szCs w:val="24"/>
        </w:rPr>
        <w:t>.</w:t>
      </w:r>
      <w:r w:rsidR="006D50AD">
        <w:rPr>
          <w:rFonts w:ascii="Times New Roman" w:hAnsi="Times New Roman"/>
          <w:b/>
          <w:sz w:val="24"/>
          <w:szCs w:val="24"/>
        </w:rPr>
        <w:tab/>
        <w:t xml:space="preserve">The Company </w:t>
      </w:r>
      <w:r w:rsidR="00C3357A">
        <w:rPr>
          <w:rFonts w:ascii="Times New Roman" w:hAnsi="Times New Roman"/>
          <w:b/>
          <w:sz w:val="24"/>
          <w:szCs w:val="24"/>
        </w:rPr>
        <w:t xml:space="preserve">Properly </w:t>
      </w:r>
      <w:r w:rsidR="006D50AD">
        <w:rPr>
          <w:rFonts w:ascii="Times New Roman" w:hAnsi="Times New Roman"/>
          <w:b/>
          <w:sz w:val="24"/>
          <w:szCs w:val="24"/>
        </w:rPr>
        <w:t xml:space="preserve">Evaluated Purchasing RECs as an Alternative to </w:t>
      </w:r>
      <w:r w:rsidR="00C11C49">
        <w:rPr>
          <w:rFonts w:ascii="Times New Roman" w:hAnsi="Times New Roman"/>
          <w:b/>
          <w:sz w:val="24"/>
          <w:szCs w:val="24"/>
        </w:rPr>
        <w:t xml:space="preserve">Building a </w:t>
      </w:r>
      <w:r w:rsidR="006D50AD">
        <w:rPr>
          <w:rFonts w:ascii="Times New Roman" w:hAnsi="Times New Roman"/>
          <w:b/>
          <w:sz w:val="24"/>
          <w:szCs w:val="24"/>
        </w:rPr>
        <w:t>New Wind</w:t>
      </w:r>
      <w:r w:rsidR="00C11C49">
        <w:rPr>
          <w:rFonts w:ascii="Times New Roman" w:hAnsi="Times New Roman"/>
          <w:b/>
          <w:sz w:val="24"/>
          <w:szCs w:val="24"/>
        </w:rPr>
        <w:t xml:space="preserve"> Facility</w:t>
      </w:r>
    </w:p>
    <w:p w:rsidR="006D50AD" w:rsidRPr="006D50AD" w:rsidRDefault="006D50AD" w:rsidP="006F6249">
      <w:pPr>
        <w:keepNext/>
        <w:tabs>
          <w:tab w:val="left" w:pos="-1440"/>
        </w:tabs>
        <w:spacing w:after="0" w:line="240" w:lineRule="auto"/>
        <w:ind w:left="2160" w:hanging="720"/>
        <w:rPr>
          <w:rFonts w:ascii="Times New Roman" w:hAnsi="Times New Roman"/>
          <w:sz w:val="24"/>
          <w:szCs w:val="24"/>
        </w:rPr>
      </w:pPr>
    </w:p>
    <w:p w:rsidR="00460C8B" w:rsidRPr="005F36A7" w:rsidRDefault="005F36A7" w:rsidP="005F36A7">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D50AD" w:rsidRPr="005F36A7">
        <w:rPr>
          <w:rFonts w:ascii="Times New Roman" w:hAnsi="Times New Roman"/>
          <w:sz w:val="24"/>
          <w:szCs w:val="24"/>
        </w:rPr>
        <w:t>Mr. Norwood argues that</w:t>
      </w:r>
      <w:r w:rsidR="006D50AD" w:rsidRPr="005F36A7">
        <w:rPr>
          <w:rFonts w:ascii="Times New Roman" w:hAnsi="Times New Roman"/>
          <w:b/>
          <w:sz w:val="24"/>
          <w:szCs w:val="24"/>
        </w:rPr>
        <w:t xml:space="preserve"> </w:t>
      </w:r>
      <w:r w:rsidR="006D50AD" w:rsidRPr="005F36A7">
        <w:rPr>
          <w:rFonts w:ascii="Times New Roman" w:hAnsi="Times New Roman"/>
          <w:sz w:val="24"/>
          <w:szCs w:val="24"/>
        </w:rPr>
        <w:t>PSE did not evaluate</w:t>
      </w:r>
      <w:r w:rsidR="00460C8B" w:rsidRPr="005F36A7">
        <w:rPr>
          <w:rFonts w:ascii="Times New Roman" w:hAnsi="Times New Roman"/>
          <w:sz w:val="24"/>
          <w:szCs w:val="24"/>
        </w:rPr>
        <w:t xml:space="preserve"> the purchase </w:t>
      </w:r>
      <w:r w:rsidR="00BA2E1C" w:rsidRPr="005F36A7">
        <w:rPr>
          <w:rFonts w:ascii="Times New Roman" w:hAnsi="Times New Roman"/>
          <w:sz w:val="24"/>
          <w:szCs w:val="24"/>
        </w:rPr>
        <w:t xml:space="preserve">of </w:t>
      </w:r>
      <w:r w:rsidR="00460C8B" w:rsidRPr="005F36A7">
        <w:rPr>
          <w:rFonts w:ascii="Times New Roman" w:hAnsi="Times New Roman"/>
          <w:sz w:val="24"/>
          <w:szCs w:val="24"/>
        </w:rPr>
        <w:t xml:space="preserve">RECs as an alternative to building </w:t>
      </w:r>
      <w:r w:rsidR="006D50AD" w:rsidRPr="005F36A7">
        <w:rPr>
          <w:rFonts w:ascii="Times New Roman" w:hAnsi="Times New Roman"/>
          <w:sz w:val="24"/>
          <w:szCs w:val="24"/>
        </w:rPr>
        <w:t>a new renewable resource.</w:t>
      </w:r>
      <w:r w:rsidR="00460C8B">
        <w:rPr>
          <w:rStyle w:val="FootnoteReference"/>
          <w:rFonts w:ascii="Times New Roman" w:hAnsi="Times New Roman"/>
          <w:sz w:val="24"/>
          <w:szCs w:val="24"/>
        </w:rPr>
        <w:footnoteReference w:id="137"/>
      </w:r>
      <w:r w:rsidR="006D50AD" w:rsidRPr="005F36A7">
        <w:rPr>
          <w:rFonts w:ascii="Times New Roman" w:hAnsi="Times New Roman"/>
          <w:sz w:val="24"/>
          <w:szCs w:val="24"/>
        </w:rPr>
        <w:t xml:space="preserve">  This allegation is incorrect.  </w:t>
      </w:r>
      <w:r w:rsidR="00460C8B" w:rsidRPr="005F36A7">
        <w:rPr>
          <w:rFonts w:ascii="Times New Roman" w:hAnsi="Times New Roman"/>
          <w:sz w:val="24"/>
          <w:szCs w:val="24"/>
        </w:rPr>
        <w:t>In fact, there were bidders in the 2010 RFP who proposed REC products to PSE.  The Company evaluated these proposals to see if they were the low cost options that Mr. Norwood assumed would exist.</w:t>
      </w:r>
      <w:r w:rsidR="00460C8B">
        <w:rPr>
          <w:rStyle w:val="FootnoteReference"/>
          <w:rFonts w:ascii="Times New Roman" w:hAnsi="Times New Roman"/>
          <w:sz w:val="24"/>
          <w:szCs w:val="24"/>
        </w:rPr>
        <w:footnoteReference w:id="138"/>
      </w:r>
      <w:r w:rsidR="00460C8B" w:rsidRPr="005F36A7">
        <w:rPr>
          <w:rFonts w:ascii="Times New Roman" w:hAnsi="Times New Roman"/>
          <w:sz w:val="24"/>
          <w:szCs w:val="24"/>
        </w:rPr>
        <w:t xml:space="preserve">  These offers were relatively small compared to PSE’s needs and the pricing was not favorable enough to be selected by the optimization model when compared to other renewable proposals.</w:t>
      </w:r>
      <w:r w:rsidR="00460C8B">
        <w:rPr>
          <w:rStyle w:val="FootnoteReference"/>
          <w:rFonts w:ascii="Times New Roman" w:hAnsi="Times New Roman"/>
          <w:sz w:val="24"/>
          <w:szCs w:val="24"/>
        </w:rPr>
        <w:footnoteReference w:id="139"/>
      </w:r>
    </w:p>
    <w:p w:rsidR="00E638E5" w:rsidRDefault="00E638E5" w:rsidP="00825635">
      <w:pPr>
        <w:keepNext/>
        <w:spacing w:after="0" w:line="480" w:lineRule="auto"/>
        <w:ind w:firstLine="720"/>
        <w:rPr>
          <w:rFonts w:ascii="Times New Roman" w:hAnsi="Times New Roman"/>
          <w:b/>
          <w:sz w:val="24"/>
          <w:szCs w:val="24"/>
        </w:rPr>
      </w:pPr>
      <w:r>
        <w:rPr>
          <w:rFonts w:ascii="Times New Roman" w:hAnsi="Times New Roman"/>
          <w:sz w:val="24"/>
          <w:szCs w:val="24"/>
        </w:rPr>
        <w:tab/>
      </w:r>
      <w:r w:rsidRPr="00AC7CED">
        <w:rPr>
          <w:rFonts w:ascii="Times New Roman" w:hAnsi="Times New Roman"/>
          <w:b/>
          <w:sz w:val="24"/>
          <w:szCs w:val="24"/>
        </w:rPr>
        <w:t>g.</w:t>
      </w:r>
      <w:r w:rsidR="006E26F0">
        <w:rPr>
          <w:rFonts w:ascii="Times New Roman" w:hAnsi="Times New Roman"/>
          <w:b/>
          <w:sz w:val="24"/>
          <w:szCs w:val="24"/>
        </w:rPr>
        <w:tab/>
        <w:t>Any Modeling Errors Performed By PSE Were Inconsequential</w:t>
      </w:r>
    </w:p>
    <w:p w:rsidR="00FB528C" w:rsidRPr="001C146C" w:rsidRDefault="001C146C" w:rsidP="001C146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C7CED" w:rsidRPr="001C146C">
        <w:rPr>
          <w:rFonts w:ascii="Times New Roman" w:hAnsi="Times New Roman"/>
          <w:sz w:val="24"/>
          <w:szCs w:val="24"/>
        </w:rPr>
        <w:t>Mr. Norwood discovered an er</w:t>
      </w:r>
      <w:r w:rsidR="002E7FAC">
        <w:rPr>
          <w:rFonts w:ascii="Times New Roman" w:hAnsi="Times New Roman"/>
          <w:sz w:val="24"/>
          <w:szCs w:val="24"/>
        </w:rPr>
        <w:t xml:space="preserve">ror in </w:t>
      </w:r>
      <w:r w:rsidR="00AC7CED" w:rsidRPr="001C146C">
        <w:rPr>
          <w:rFonts w:ascii="Times New Roman" w:hAnsi="Times New Roman"/>
          <w:sz w:val="24"/>
          <w:szCs w:val="24"/>
        </w:rPr>
        <w:t>the IR</w:t>
      </w:r>
      <w:r w:rsidR="00FB528C" w:rsidRPr="001C146C">
        <w:rPr>
          <w:rFonts w:ascii="Times New Roman" w:hAnsi="Times New Roman"/>
          <w:sz w:val="24"/>
          <w:szCs w:val="24"/>
        </w:rPr>
        <w:t>P 2009 Business as Usual scenario modeled</w:t>
      </w:r>
      <w:r w:rsidR="006E26F0" w:rsidRPr="001C146C">
        <w:rPr>
          <w:rFonts w:ascii="Times New Roman" w:hAnsi="Times New Roman"/>
          <w:sz w:val="24"/>
          <w:szCs w:val="24"/>
        </w:rPr>
        <w:t xml:space="preserve"> by PSE</w:t>
      </w:r>
      <w:r w:rsidR="00AC7CED" w:rsidRPr="001C146C">
        <w:rPr>
          <w:rFonts w:ascii="Times New Roman" w:hAnsi="Times New Roman"/>
          <w:sz w:val="24"/>
          <w:szCs w:val="24"/>
        </w:rPr>
        <w:t xml:space="preserve">.  </w:t>
      </w:r>
      <w:r w:rsidR="006E26F0" w:rsidRPr="001C146C">
        <w:rPr>
          <w:rFonts w:ascii="Times New Roman" w:hAnsi="Times New Roman"/>
          <w:sz w:val="24"/>
          <w:szCs w:val="24"/>
        </w:rPr>
        <w:t>However, w</w:t>
      </w:r>
      <w:r w:rsidR="00AC7CED" w:rsidRPr="001C146C">
        <w:rPr>
          <w:rFonts w:ascii="Times New Roman" w:hAnsi="Times New Roman"/>
          <w:sz w:val="24"/>
          <w:szCs w:val="24"/>
        </w:rPr>
        <w:t xml:space="preserve">hen the model was </w:t>
      </w:r>
      <w:r w:rsidR="00FB528C" w:rsidRPr="001C146C">
        <w:rPr>
          <w:rFonts w:ascii="Times New Roman" w:hAnsi="Times New Roman"/>
          <w:sz w:val="24"/>
          <w:szCs w:val="24"/>
        </w:rPr>
        <w:t xml:space="preserve">corrected, </w:t>
      </w:r>
      <w:r w:rsidR="002E7FAC">
        <w:rPr>
          <w:rFonts w:ascii="Times New Roman" w:hAnsi="Times New Roman"/>
          <w:sz w:val="24"/>
          <w:szCs w:val="24"/>
        </w:rPr>
        <w:t xml:space="preserve">the </w:t>
      </w:r>
      <w:r w:rsidR="00AC7CED" w:rsidRPr="001C146C">
        <w:rPr>
          <w:rFonts w:ascii="Times New Roman" w:hAnsi="Times New Roman"/>
          <w:sz w:val="24"/>
          <w:szCs w:val="24"/>
        </w:rPr>
        <w:t xml:space="preserve">generic resources chosen did not change substantially.  The ranking of the </w:t>
      </w:r>
      <w:r w:rsidR="006E26F0" w:rsidRPr="001C146C">
        <w:rPr>
          <w:rFonts w:ascii="Times New Roman" w:hAnsi="Times New Roman"/>
          <w:sz w:val="24"/>
          <w:szCs w:val="24"/>
        </w:rPr>
        <w:t>“</w:t>
      </w:r>
      <w:r w:rsidR="00AC7CED" w:rsidRPr="001C146C">
        <w:rPr>
          <w:rFonts w:ascii="Times New Roman" w:hAnsi="Times New Roman"/>
          <w:sz w:val="24"/>
          <w:szCs w:val="24"/>
        </w:rPr>
        <w:t>No Early Wind</w:t>
      </w:r>
      <w:r w:rsidR="006E26F0" w:rsidRPr="001C146C">
        <w:rPr>
          <w:rFonts w:ascii="Times New Roman" w:hAnsi="Times New Roman"/>
          <w:sz w:val="24"/>
          <w:szCs w:val="24"/>
        </w:rPr>
        <w:t>”</w:t>
      </w:r>
      <w:r w:rsidR="00AC7CED" w:rsidRPr="001C146C">
        <w:rPr>
          <w:rFonts w:ascii="Times New Roman" w:hAnsi="Times New Roman"/>
          <w:sz w:val="24"/>
          <w:szCs w:val="24"/>
        </w:rPr>
        <w:t xml:space="preserve"> option</w:t>
      </w:r>
      <w:r w:rsidR="002E7FAC">
        <w:rPr>
          <w:rFonts w:ascii="Times New Roman" w:hAnsi="Times New Roman"/>
          <w:sz w:val="24"/>
          <w:szCs w:val="24"/>
        </w:rPr>
        <w:t xml:space="preserve"> went </w:t>
      </w:r>
      <w:r w:rsidR="00AC7CED" w:rsidRPr="001C146C">
        <w:rPr>
          <w:rFonts w:ascii="Times New Roman" w:hAnsi="Times New Roman"/>
          <w:sz w:val="24"/>
          <w:szCs w:val="24"/>
        </w:rPr>
        <w:t xml:space="preserve">from eighth place out of eight to </w:t>
      </w:r>
      <w:r w:rsidR="006C4D56">
        <w:rPr>
          <w:rFonts w:ascii="Times New Roman" w:hAnsi="Times New Roman"/>
          <w:sz w:val="24"/>
          <w:szCs w:val="24"/>
        </w:rPr>
        <w:t xml:space="preserve">only </w:t>
      </w:r>
      <w:r w:rsidR="00AC7CED" w:rsidRPr="001C146C">
        <w:rPr>
          <w:rFonts w:ascii="Times New Roman" w:hAnsi="Times New Roman"/>
          <w:sz w:val="24"/>
          <w:szCs w:val="24"/>
        </w:rPr>
        <w:t>seventh place out of eight</w:t>
      </w:r>
      <w:r w:rsidR="00FB528C" w:rsidRPr="001C146C">
        <w:rPr>
          <w:rFonts w:ascii="Times New Roman" w:hAnsi="Times New Roman"/>
          <w:sz w:val="24"/>
          <w:szCs w:val="24"/>
        </w:rPr>
        <w:t>.  The development of “</w:t>
      </w:r>
      <w:r w:rsidR="00AC7CED" w:rsidRPr="001C146C">
        <w:rPr>
          <w:rFonts w:ascii="Times New Roman" w:hAnsi="Times New Roman"/>
          <w:sz w:val="24"/>
          <w:szCs w:val="24"/>
        </w:rPr>
        <w:t>Early Wind</w:t>
      </w:r>
      <w:r w:rsidR="00FB528C" w:rsidRPr="001C146C">
        <w:rPr>
          <w:rFonts w:ascii="Times New Roman" w:hAnsi="Times New Roman"/>
          <w:sz w:val="24"/>
          <w:szCs w:val="24"/>
        </w:rPr>
        <w:t>”</w:t>
      </w:r>
      <w:r w:rsidR="00AC7CED" w:rsidRPr="001C146C">
        <w:rPr>
          <w:rFonts w:ascii="Times New Roman" w:hAnsi="Times New Roman"/>
          <w:sz w:val="24"/>
          <w:szCs w:val="24"/>
        </w:rPr>
        <w:t xml:space="preserve"> was</w:t>
      </w:r>
      <w:r w:rsidR="00FB528C" w:rsidRPr="001C146C">
        <w:rPr>
          <w:rFonts w:ascii="Times New Roman" w:hAnsi="Times New Roman"/>
          <w:sz w:val="24"/>
          <w:szCs w:val="24"/>
        </w:rPr>
        <w:t xml:space="preserve"> still the lowest cost </w:t>
      </w:r>
      <w:r w:rsidR="002E7FAC">
        <w:rPr>
          <w:rFonts w:ascii="Times New Roman" w:hAnsi="Times New Roman"/>
          <w:sz w:val="24"/>
          <w:szCs w:val="24"/>
        </w:rPr>
        <w:t>option</w:t>
      </w:r>
      <w:r w:rsidR="00AC7CED" w:rsidRPr="001C146C">
        <w:rPr>
          <w:rFonts w:ascii="Times New Roman" w:hAnsi="Times New Roman"/>
          <w:sz w:val="24"/>
          <w:szCs w:val="24"/>
        </w:rPr>
        <w:t>.</w:t>
      </w:r>
      <w:r w:rsidR="00AC7CED">
        <w:rPr>
          <w:rStyle w:val="FootnoteReference"/>
          <w:rFonts w:ascii="Times New Roman" w:hAnsi="Times New Roman"/>
          <w:sz w:val="24"/>
          <w:szCs w:val="24"/>
        </w:rPr>
        <w:footnoteReference w:id="140"/>
      </w:r>
      <w:r w:rsidR="00AC7CED" w:rsidRPr="001C146C">
        <w:rPr>
          <w:rFonts w:ascii="Times New Roman" w:hAnsi="Times New Roman"/>
          <w:sz w:val="24"/>
          <w:szCs w:val="24"/>
        </w:rPr>
        <w:t xml:space="preserve">  </w:t>
      </w:r>
    </w:p>
    <w:p w:rsidR="00093047" w:rsidRPr="001C146C" w:rsidRDefault="001C146C" w:rsidP="006F6249">
      <w:pPr>
        <w:pStyle w:val="ListParagraph"/>
        <w:widowControl w:val="0"/>
        <w:numPr>
          <w:ilvl w:val="0"/>
          <w:numId w:val="1"/>
        </w:numPr>
        <w:spacing w:line="480" w:lineRule="auto"/>
        <w:rPr>
          <w:rFonts w:ascii="Times New Roman" w:hAnsi="Times New Roman"/>
          <w:sz w:val="24"/>
          <w:szCs w:val="24"/>
        </w:rPr>
      </w:pPr>
      <w:r>
        <w:rPr>
          <w:rFonts w:ascii="Times New Roman" w:hAnsi="Times New Roman"/>
          <w:sz w:val="24"/>
          <w:szCs w:val="24"/>
        </w:rPr>
        <w:tab/>
      </w:r>
      <w:r w:rsidR="003D49B0" w:rsidRPr="001C146C">
        <w:rPr>
          <w:rFonts w:ascii="Times New Roman" w:hAnsi="Times New Roman"/>
          <w:sz w:val="24"/>
          <w:szCs w:val="24"/>
        </w:rPr>
        <w:t>Cross-exami</w:t>
      </w:r>
      <w:r w:rsidR="00FB528C" w:rsidRPr="001C146C">
        <w:rPr>
          <w:rFonts w:ascii="Times New Roman" w:hAnsi="Times New Roman"/>
          <w:sz w:val="24"/>
          <w:szCs w:val="24"/>
        </w:rPr>
        <w:t>nation by Public Counsel implied</w:t>
      </w:r>
      <w:r w:rsidR="007C447C" w:rsidRPr="001C146C">
        <w:rPr>
          <w:rFonts w:ascii="Times New Roman" w:hAnsi="Times New Roman"/>
          <w:sz w:val="24"/>
          <w:szCs w:val="24"/>
        </w:rPr>
        <w:t xml:space="preserve"> that he </w:t>
      </w:r>
      <w:r w:rsidR="00093047" w:rsidRPr="001C146C">
        <w:rPr>
          <w:rFonts w:ascii="Times New Roman" w:hAnsi="Times New Roman"/>
          <w:sz w:val="24"/>
          <w:szCs w:val="24"/>
        </w:rPr>
        <w:t>believes</w:t>
      </w:r>
      <w:r w:rsidR="003D49B0" w:rsidRPr="001C146C">
        <w:rPr>
          <w:rFonts w:ascii="Times New Roman" w:hAnsi="Times New Roman"/>
          <w:sz w:val="24"/>
          <w:szCs w:val="24"/>
        </w:rPr>
        <w:t xml:space="preserve"> the Company’s modeling exercises were</w:t>
      </w:r>
      <w:r w:rsidR="00093047" w:rsidRPr="001C146C">
        <w:rPr>
          <w:rFonts w:ascii="Times New Roman" w:hAnsi="Times New Roman"/>
          <w:sz w:val="24"/>
          <w:szCs w:val="24"/>
        </w:rPr>
        <w:t xml:space="preserve"> flawed because </w:t>
      </w:r>
      <w:r w:rsidR="003D49B0" w:rsidRPr="001C146C">
        <w:rPr>
          <w:rFonts w:ascii="Times New Roman" w:hAnsi="Times New Roman"/>
          <w:sz w:val="24"/>
          <w:szCs w:val="24"/>
        </w:rPr>
        <w:t xml:space="preserve">analysts required the model to select LSR. </w:t>
      </w:r>
      <w:r w:rsidR="00093047" w:rsidRPr="001C146C">
        <w:rPr>
          <w:rFonts w:ascii="Times New Roman" w:hAnsi="Times New Roman"/>
          <w:sz w:val="24"/>
          <w:szCs w:val="24"/>
        </w:rPr>
        <w:t xml:space="preserve"> </w:t>
      </w:r>
      <w:r w:rsidR="00FA55BE" w:rsidRPr="001C146C">
        <w:rPr>
          <w:rFonts w:ascii="Times New Roman" w:hAnsi="Times New Roman"/>
          <w:sz w:val="24"/>
          <w:szCs w:val="24"/>
        </w:rPr>
        <w:t>However, the analysts forced LSR in only one of five scenarios.</w:t>
      </w:r>
      <w:r w:rsidR="00A41120">
        <w:rPr>
          <w:rStyle w:val="FootnoteReference"/>
          <w:rFonts w:ascii="Times New Roman" w:hAnsi="Times New Roman"/>
          <w:sz w:val="24"/>
          <w:szCs w:val="24"/>
        </w:rPr>
        <w:footnoteReference w:id="141"/>
      </w:r>
      <w:r w:rsidR="00093047" w:rsidRPr="001C146C">
        <w:rPr>
          <w:rFonts w:ascii="Times New Roman" w:hAnsi="Times New Roman"/>
          <w:sz w:val="24"/>
          <w:szCs w:val="24"/>
        </w:rPr>
        <w:t xml:space="preserve">  </w:t>
      </w:r>
      <w:r w:rsidR="007C447C" w:rsidRPr="001C146C">
        <w:rPr>
          <w:rFonts w:ascii="Times New Roman" w:hAnsi="Times New Roman"/>
          <w:sz w:val="24"/>
          <w:szCs w:val="24"/>
        </w:rPr>
        <w:t>Moreover, t</w:t>
      </w:r>
      <w:r w:rsidR="00093047" w:rsidRPr="001C146C">
        <w:rPr>
          <w:rFonts w:ascii="Times New Roman" w:hAnsi="Times New Roman"/>
          <w:sz w:val="24"/>
          <w:szCs w:val="24"/>
        </w:rPr>
        <w:t>he optimization model i</w:t>
      </w:r>
      <w:r w:rsidR="003D49B0" w:rsidRPr="001C146C">
        <w:rPr>
          <w:rFonts w:ascii="Times New Roman" w:hAnsi="Times New Roman"/>
          <w:sz w:val="24"/>
          <w:szCs w:val="24"/>
        </w:rPr>
        <w:t xml:space="preserve">s designed </w:t>
      </w:r>
      <w:r w:rsidR="007C447C" w:rsidRPr="001C146C">
        <w:rPr>
          <w:rFonts w:ascii="Times New Roman" w:hAnsi="Times New Roman"/>
          <w:sz w:val="24"/>
          <w:szCs w:val="24"/>
        </w:rPr>
        <w:t xml:space="preserve">specifically </w:t>
      </w:r>
      <w:r w:rsidR="003D49B0" w:rsidRPr="001C146C">
        <w:rPr>
          <w:rFonts w:ascii="Times New Roman" w:hAnsi="Times New Roman"/>
          <w:sz w:val="24"/>
          <w:szCs w:val="24"/>
        </w:rPr>
        <w:t xml:space="preserve">to find the lowest possible revenue requirement while meeting </w:t>
      </w:r>
      <w:r w:rsidR="00093047" w:rsidRPr="001C146C">
        <w:rPr>
          <w:rFonts w:ascii="Times New Roman" w:hAnsi="Times New Roman"/>
          <w:sz w:val="24"/>
          <w:szCs w:val="24"/>
        </w:rPr>
        <w:t>load and</w:t>
      </w:r>
      <w:r w:rsidR="0008328A" w:rsidRPr="001C146C">
        <w:rPr>
          <w:rFonts w:ascii="Times New Roman" w:hAnsi="Times New Roman"/>
          <w:sz w:val="24"/>
          <w:szCs w:val="24"/>
        </w:rPr>
        <w:t xml:space="preserve"> the RPS</w:t>
      </w:r>
      <w:r w:rsidR="003D49B0" w:rsidRPr="001C146C">
        <w:rPr>
          <w:rFonts w:ascii="Times New Roman" w:hAnsi="Times New Roman"/>
          <w:sz w:val="24"/>
          <w:szCs w:val="24"/>
        </w:rPr>
        <w:t>.</w:t>
      </w:r>
      <w:r w:rsidR="00093047" w:rsidRPr="001C146C">
        <w:rPr>
          <w:rFonts w:ascii="Times New Roman" w:hAnsi="Times New Roman"/>
          <w:sz w:val="24"/>
          <w:szCs w:val="24"/>
        </w:rPr>
        <w:t xml:space="preserve">  To ens</w:t>
      </w:r>
      <w:r w:rsidR="003E0C01">
        <w:rPr>
          <w:rFonts w:ascii="Times New Roman" w:hAnsi="Times New Roman"/>
          <w:sz w:val="24"/>
          <w:szCs w:val="24"/>
        </w:rPr>
        <w:t xml:space="preserve">ure the model operates as </w:t>
      </w:r>
      <w:r w:rsidR="00AF3010">
        <w:rPr>
          <w:rFonts w:ascii="Times New Roman" w:hAnsi="Times New Roman"/>
          <w:sz w:val="24"/>
          <w:szCs w:val="24"/>
        </w:rPr>
        <w:t xml:space="preserve">it is </w:t>
      </w:r>
      <w:r w:rsidR="00093047" w:rsidRPr="001C146C">
        <w:rPr>
          <w:rFonts w:ascii="Times New Roman" w:hAnsi="Times New Roman"/>
          <w:sz w:val="24"/>
          <w:szCs w:val="24"/>
        </w:rPr>
        <w:t>designed, analysts check the model in various ways</w:t>
      </w:r>
      <w:r w:rsidR="002E7FAC">
        <w:rPr>
          <w:rFonts w:ascii="Times New Roman" w:hAnsi="Times New Roman"/>
          <w:sz w:val="24"/>
          <w:szCs w:val="24"/>
        </w:rPr>
        <w:t>,</w:t>
      </w:r>
      <w:r w:rsidR="00093047" w:rsidRPr="001C146C">
        <w:rPr>
          <w:rFonts w:ascii="Times New Roman" w:hAnsi="Times New Roman"/>
          <w:sz w:val="24"/>
          <w:szCs w:val="24"/>
        </w:rPr>
        <w:t xml:space="preserve"> including the one scenario where LSR was a required choice.</w:t>
      </w:r>
      <w:r w:rsidR="00093047">
        <w:rPr>
          <w:rStyle w:val="FootnoteReference"/>
          <w:rFonts w:ascii="Times New Roman" w:hAnsi="Times New Roman"/>
          <w:sz w:val="24"/>
          <w:szCs w:val="24"/>
        </w:rPr>
        <w:footnoteReference w:id="142"/>
      </w:r>
      <w:r w:rsidR="00093047" w:rsidRPr="001C146C">
        <w:rPr>
          <w:rFonts w:ascii="Times New Roman" w:hAnsi="Times New Roman"/>
          <w:sz w:val="24"/>
          <w:szCs w:val="24"/>
        </w:rPr>
        <w:t xml:space="preserve">  If this procedure had not been performed, </w:t>
      </w:r>
      <w:r w:rsidR="00093047" w:rsidRPr="001C146C">
        <w:rPr>
          <w:rFonts w:ascii="Times New Roman" w:hAnsi="Times New Roman"/>
          <w:sz w:val="24"/>
          <w:szCs w:val="24"/>
        </w:rPr>
        <w:lastRenderedPageBreak/>
        <w:t>it would have brought in</w:t>
      </w:r>
      <w:r w:rsidR="00FB528C" w:rsidRPr="001C146C">
        <w:rPr>
          <w:rFonts w:ascii="Times New Roman" w:hAnsi="Times New Roman"/>
          <w:sz w:val="24"/>
          <w:szCs w:val="24"/>
        </w:rPr>
        <w:t xml:space="preserve">to question whether PSE </w:t>
      </w:r>
      <w:r w:rsidR="00093047" w:rsidRPr="001C146C">
        <w:rPr>
          <w:rFonts w:ascii="Times New Roman" w:hAnsi="Times New Roman"/>
          <w:sz w:val="24"/>
          <w:szCs w:val="24"/>
        </w:rPr>
        <w:t>was perfor</w:t>
      </w:r>
      <w:r w:rsidR="00FB528C" w:rsidRPr="001C146C">
        <w:rPr>
          <w:rFonts w:ascii="Times New Roman" w:hAnsi="Times New Roman"/>
          <w:sz w:val="24"/>
          <w:szCs w:val="24"/>
        </w:rPr>
        <w:t>ming sufficient due diligence</w:t>
      </w:r>
      <w:r w:rsidR="00093047" w:rsidRPr="001C146C">
        <w:rPr>
          <w:rFonts w:ascii="Times New Roman" w:hAnsi="Times New Roman"/>
          <w:sz w:val="24"/>
          <w:szCs w:val="24"/>
        </w:rPr>
        <w:t>.</w:t>
      </w:r>
      <w:r w:rsidR="00C376D1">
        <w:rPr>
          <w:rStyle w:val="FootnoteReference"/>
          <w:rFonts w:ascii="Times New Roman" w:hAnsi="Times New Roman"/>
          <w:sz w:val="24"/>
          <w:szCs w:val="24"/>
        </w:rPr>
        <w:footnoteReference w:id="143"/>
      </w:r>
    </w:p>
    <w:p w:rsidR="00D7210B" w:rsidRDefault="001C146C" w:rsidP="001C146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93047" w:rsidRPr="001C146C">
        <w:rPr>
          <w:rFonts w:ascii="Times New Roman" w:hAnsi="Times New Roman"/>
          <w:sz w:val="24"/>
          <w:szCs w:val="24"/>
        </w:rPr>
        <w:t xml:space="preserve">Finally, Mr. Norwood </w:t>
      </w:r>
      <w:r w:rsidR="007A2CDD" w:rsidRPr="001C146C">
        <w:rPr>
          <w:rFonts w:ascii="Times New Roman" w:hAnsi="Times New Roman"/>
          <w:sz w:val="24"/>
          <w:szCs w:val="24"/>
        </w:rPr>
        <w:t>argued</w:t>
      </w:r>
      <w:r w:rsidR="00093047" w:rsidRPr="001C146C">
        <w:rPr>
          <w:rFonts w:ascii="Times New Roman" w:hAnsi="Times New Roman"/>
          <w:sz w:val="24"/>
          <w:szCs w:val="24"/>
        </w:rPr>
        <w:t xml:space="preserve"> that the amount of savings projected </w:t>
      </w:r>
      <w:r w:rsidR="00FB528C" w:rsidRPr="001C146C">
        <w:rPr>
          <w:rFonts w:ascii="Times New Roman" w:hAnsi="Times New Roman"/>
          <w:sz w:val="24"/>
          <w:szCs w:val="24"/>
        </w:rPr>
        <w:t>for</w:t>
      </w:r>
      <w:r w:rsidR="007A2CDD" w:rsidRPr="001C146C">
        <w:rPr>
          <w:rFonts w:ascii="Times New Roman" w:hAnsi="Times New Roman"/>
          <w:sz w:val="24"/>
          <w:szCs w:val="24"/>
        </w:rPr>
        <w:t xml:space="preserve"> LSR </w:t>
      </w:r>
      <w:r w:rsidR="00093047" w:rsidRPr="001C146C">
        <w:rPr>
          <w:rFonts w:ascii="Times New Roman" w:hAnsi="Times New Roman"/>
          <w:sz w:val="24"/>
          <w:szCs w:val="24"/>
        </w:rPr>
        <w:t>wa</w:t>
      </w:r>
      <w:r w:rsidR="007A2CDD" w:rsidRPr="001C146C">
        <w:rPr>
          <w:rFonts w:ascii="Times New Roman" w:hAnsi="Times New Roman"/>
          <w:sz w:val="24"/>
          <w:szCs w:val="24"/>
        </w:rPr>
        <w:t xml:space="preserve">s insignificant over </w:t>
      </w:r>
      <w:r w:rsidR="00093047" w:rsidRPr="001C146C">
        <w:rPr>
          <w:rFonts w:ascii="Times New Roman" w:hAnsi="Times New Roman"/>
          <w:sz w:val="24"/>
          <w:szCs w:val="24"/>
        </w:rPr>
        <w:t>a 20-year time horizon.</w:t>
      </w:r>
      <w:r w:rsidR="00093047">
        <w:rPr>
          <w:rStyle w:val="FootnoteReference"/>
          <w:rFonts w:ascii="Times New Roman" w:hAnsi="Times New Roman"/>
          <w:sz w:val="24"/>
          <w:szCs w:val="24"/>
        </w:rPr>
        <w:footnoteReference w:id="144"/>
      </w:r>
      <w:r w:rsidR="007A2CDD" w:rsidRPr="001C146C">
        <w:rPr>
          <w:rFonts w:ascii="Times New Roman" w:hAnsi="Times New Roman"/>
          <w:sz w:val="24"/>
          <w:szCs w:val="24"/>
        </w:rPr>
        <w:t xml:space="preserve">  He referenc</w:t>
      </w:r>
      <w:r w:rsidR="003E0C01">
        <w:rPr>
          <w:rFonts w:ascii="Times New Roman" w:hAnsi="Times New Roman"/>
          <w:sz w:val="24"/>
          <w:szCs w:val="24"/>
        </w:rPr>
        <w:t>es Figures</w:t>
      </w:r>
      <w:r w:rsidR="007A2CDD" w:rsidRPr="001C146C">
        <w:rPr>
          <w:rFonts w:ascii="Times New Roman" w:hAnsi="Times New Roman"/>
          <w:sz w:val="24"/>
          <w:szCs w:val="24"/>
        </w:rPr>
        <w:t xml:space="preserve"> </w:t>
      </w:r>
      <w:r w:rsidR="00093047" w:rsidRPr="001C146C">
        <w:rPr>
          <w:rFonts w:ascii="Times New Roman" w:hAnsi="Times New Roman"/>
          <w:sz w:val="24"/>
          <w:szCs w:val="24"/>
        </w:rPr>
        <w:t xml:space="preserve">1 and 2 </w:t>
      </w:r>
      <w:r w:rsidR="007A2CDD" w:rsidRPr="001C146C">
        <w:rPr>
          <w:rFonts w:ascii="Times New Roman" w:hAnsi="Times New Roman"/>
          <w:sz w:val="24"/>
          <w:szCs w:val="24"/>
        </w:rPr>
        <w:t>of his testimony as support.</w:t>
      </w:r>
      <w:r w:rsidR="00093047" w:rsidRPr="001C146C">
        <w:rPr>
          <w:rFonts w:ascii="Times New Roman" w:hAnsi="Times New Roman"/>
          <w:sz w:val="24"/>
          <w:szCs w:val="24"/>
        </w:rPr>
        <w:t xml:space="preserve">  </w:t>
      </w:r>
      <w:r w:rsidR="007A2CDD" w:rsidRPr="001C146C">
        <w:rPr>
          <w:rFonts w:ascii="Times New Roman" w:hAnsi="Times New Roman"/>
          <w:sz w:val="24"/>
          <w:szCs w:val="24"/>
        </w:rPr>
        <w:t>However, those tables utilize</w:t>
      </w:r>
      <w:r w:rsidR="00093047" w:rsidRPr="001C146C">
        <w:rPr>
          <w:rFonts w:ascii="Times New Roman" w:hAnsi="Times New Roman"/>
          <w:sz w:val="24"/>
          <w:szCs w:val="24"/>
        </w:rPr>
        <w:t xml:space="preserve"> the </w:t>
      </w:r>
      <w:r w:rsidR="007A2CDD" w:rsidRPr="001C146C">
        <w:rPr>
          <w:rFonts w:ascii="Times New Roman" w:hAnsi="Times New Roman"/>
          <w:sz w:val="24"/>
          <w:szCs w:val="24"/>
        </w:rPr>
        <w:t>2009 IRP analysis, which was not con</w:t>
      </w:r>
      <w:r w:rsidR="009D1E16" w:rsidRPr="001C146C">
        <w:rPr>
          <w:rFonts w:ascii="Times New Roman" w:hAnsi="Times New Roman"/>
          <w:sz w:val="24"/>
          <w:szCs w:val="24"/>
        </w:rPr>
        <w:t xml:space="preserve">temporaneous with the </w:t>
      </w:r>
      <w:r w:rsidR="007A2CDD" w:rsidRPr="001C146C">
        <w:rPr>
          <w:rFonts w:ascii="Times New Roman" w:hAnsi="Times New Roman"/>
          <w:sz w:val="24"/>
          <w:szCs w:val="24"/>
        </w:rPr>
        <w:t>decision on LSR</w:t>
      </w:r>
      <w:r w:rsidR="00093047" w:rsidRPr="001C146C">
        <w:rPr>
          <w:rFonts w:ascii="Times New Roman" w:hAnsi="Times New Roman"/>
          <w:sz w:val="24"/>
          <w:szCs w:val="24"/>
        </w:rPr>
        <w:t>.</w:t>
      </w:r>
      <w:r w:rsidR="00093047" w:rsidRPr="001C146C">
        <w:rPr>
          <w:rStyle w:val="FootnoteReference"/>
          <w:rFonts w:ascii="Times New Roman" w:hAnsi="Times New Roman"/>
          <w:sz w:val="24"/>
          <w:szCs w:val="24"/>
        </w:rPr>
        <w:t xml:space="preserve"> </w:t>
      </w:r>
      <w:r w:rsidR="00093047">
        <w:rPr>
          <w:rStyle w:val="FootnoteReference"/>
          <w:rFonts w:ascii="Times New Roman" w:hAnsi="Times New Roman"/>
          <w:sz w:val="24"/>
          <w:szCs w:val="24"/>
        </w:rPr>
        <w:footnoteReference w:id="145"/>
      </w:r>
      <w:r w:rsidR="00093047" w:rsidRPr="001C146C">
        <w:rPr>
          <w:rFonts w:ascii="Times New Roman" w:hAnsi="Times New Roman"/>
          <w:sz w:val="24"/>
          <w:szCs w:val="24"/>
        </w:rPr>
        <w:t xml:space="preserve">  </w:t>
      </w:r>
      <w:r w:rsidR="007A2CDD" w:rsidRPr="001C146C">
        <w:rPr>
          <w:rFonts w:ascii="Times New Roman" w:hAnsi="Times New Roman"/>
          <w:sz w:val="24"/>
          <w:szCs w:val="24"/>
        </w:rPr>
        <w:t>H</w:t>
      </w:r>
      <w:r w:rsidR="00093047" w:rsidRPr="001C146C">
        <w:rPr>
          <w:rFonts w:ascii="Times New Roman" w:hAnsi="Times New Roman"/>
          <w:sz w:val="24"/>
          <w:szCs w:val="24"/>
        </w:rPr>
        <w:t xml:space="preserve">e </w:t>
      </w:r>
      <w:r w:rsidR="007A2CDD" w:rsidRPr="001C146C">
        <w:rPr>
          <w:rFonts w:ascii="Times New Roman" w:hAnsi="Times New Roman"/>
          <w:sz w:val="24"/>
          <w:szCs w:val="24"/>
        </w:rPr>
        <w:t>also selects only two scenarios, the 2009 B</w:t>
      </w:r>
      <w:r w:rsidR="00093047" w:rsidRPr="001C146C">
        <w:rPr>
          <w:rFonts w:ascii="Times New Roman" w:hAnsi="Times New Roman"/>
          <w:sz w:val="24"/>
          <w:szCs w:val="24"/>
        </w:rPr>
        <w:t xml:space="preserve">usiness as </w:t>
      </w:r>
      <w:r w:rsidR="007A2CDD" w:rsidRPr="001C146C">
        <w:rPr>
          <w:rFonts w:ascii="Times New Roman" w:hAnsi="Times New Roman"/>
          <w:sz w:val="24"/>
          <w:szCs w:val="24"/>
        </w:rPr>
        <w:t>U</w:t>
      </w:r>
      <w:r w:rsidR="00D7210B" w:rsidRPr="001C146C">
        <w:rPr>
          <w:rFonts w:ascii="Times New Roman" w:hAnsi="Times New Roman"/>
          <w:sz w:val="24"/>
          <w:szCs w:val="24"/>
        </w:rPr>
        <w:t>sual and 2009 Trends</w:t>
      </w:r>
      <w:r w:rsidR="00093047" w:rsidRPr="001C146C">
        <w:rPr>
          <w:rFonts w:ascii="Times New Roman" w:hAnsi="Times New Roman"/>
          <w:sz w:val="24"/>
          <w:szCs w:val="24"/>
        </w:rPr>
        <w:t xml:space="preserve">.  </w:t>
      </w:r>
      <w:r w:rsidR="007A2CDD" w:rsidRPr="001C146C">
        <w:rPr>
          <w:rFonts w:ascii="Times New Roman" w:hAnsi="Times New Roman"/>
          <w:sz w:val="24"/>
          <w:szCs w:val="24"/>
        </w:rPr>
        <w:t xml:space="preserve">Even in the 2009 Trends scenario he </w:t>
      </w:r>
      <w:r w:rsidR="00D7210B" w:rsidRPr="001C146C">
        <w:rPr>
          <w:rFonts w:ascii="Times New Roman" w:hAnsi="Times New Roman"/>
          <w:sz w:val="24"/>
          <w:szCs w:val="24"/>
        </w:rPr>
        <w:t>did select</w:t>
      </w:r>
      <w:r w:rsidR="00093047" w:rsidRPr="001C146C">
        <w:rPr>
          <w:rFonts w:ascii="Times New Roman" w:hAnsi="Times New Roman"/>
          <w:sz w:val="24"/>
          <w:szCs w:val="24"/>
        </w:rPr>
        <w:t>, only one of eight ca</w:t>
      </w:r>
      <w:r w:rsidR="007A2CDD" w:rsidRPr="001C146C">
        <w:rPr>
          <w:rFonts w:ascii="Times New Roman" w:hAnsi="Times New Roman"/>
          <w:sz w:val="24"/>
          <w:szCs w:val="24"/>
        </w:rPr>
        <w:t xml:space="preserve">ses </w:t>
      </w:r>
      <w:r w:rsidR="00093047" w:rsidRPr="001C146C">
        <w:rPr>
          <w:rFonts w:ascii="Times New Roman" w:hAnsi="Times New Roman"/>
          <w:sz w:val="24"/>
          <w:szCs w:val="24"/>
        </w:rPr>
        <w:t>remain</w:t>
      </w:r>
      <w:r w:rsidR="00FB528C" w:rsidRPr="001C146C">
        <w:rPr>
          <w:rFonts w:ascii="Times New Roman" w:hAnsi="Times New Roman"/>
          <w:sz w:val="24"/>
          <w:szCs w:val="24"/>
        </w:rPr>
        <w:t>ed</w:t>
      </w:r>
      <w:r w:rsidR="00093047" w:rsidRPr="001C146C">
        <w:rPr>
          <w:rFonts w:ascii="Times New Roman" w:hAnsi="Times New Roman"/>
          <w:sz w:val="24"/>
          <w:szCs w:val="24"/>
        </w:rPr>
        <w:t xml:space="preserve"> negative at the 20-year mark</w:t>
      </w:r>
      <w:r w:rsidR="007A2CDD" w:rsidRPr="001C146C">
        <w:rPr>
          <w:rFonts w:ascii="Times New Roman" w:hAnsi="Times New Roman"/>
          <w:sz w:val="24"/>
          <w:szCs w:val="24"/>
        </w:rPr>
        <w:t xml:space="preserve">.  All others </w:t>
      </w:r>
      <w:r w:rsidR="00093047" w:rsidRPr="001C146C">
        <w:rPr>
          <w:rFonts w:ascii="Times New Roman" w:hAnsi="Times New Roman"/>
          <w:sz w:val="24"/>
          <w:szCs w:val="24"/>
        </w:rPr>
        <w:t>become positive between 10 and 20 years.</w:t>
      </w:r>
      <w:r w:rsidR="00093047">
        <w:rPr>
          <w:rStyle w:val="FootnoteReference"/>
          <w:rFonts w:ascii="Times New Roman" w:hAnsi="Times New Roman"/>
          <w:sz w:val="24"/>
          <w:szCs w:val="24"/>
        </w:rPr>
        <w:footnoteReference w:id="146"/>
      </w:r>
      <w:r w:rsidR="00093047" w:rsidRPr="001C146C">
        <w:rPr>
          <w:rFonts w:ascii="Times New Roman" w:hAnsi="Times New Roman"/>
          <w:sz w:val="24"/>
          <w:szCs w:val="24"/>
        </w:rPr>
        <w:t xml:space="preserve">  </w:t>
      </w:r>
      <w:r w:rsidR="007A2CDD" w:rsidRPr="001C146C">
        <w:rPr>
          <w:rFonts w:ascii="Times New Roman" w:hAnsi="Times New Roman"/>
          <w:sz w:val="24"/>
          <w:szCs w:val="24"/>
        </w:rPr>
        <w:t xml:space="preserve">Finally, all of his </w:t>
      </w:r>
      <w:r w:rsidR="00093047" w:rsidRPr="001C146C">
        <w:rPr>
          <w:rFonts w:ascii="Times New Roman" w:hAnsi="Times New Roman"/>
          <w:sz w:val="24"/>
          <w:szCs w:val="24"/>
        </w:rPr>
        <w:t>calcul</w:t>
      </w:r>
      <w:r w:rsidR="007A2CDD" w:rsidRPr="001C146C">
        <w:rPr>
          <w:rFonts w:ascii="Times New Roman" w:hAnsi="Times New Roman"/>
          <w:sz w:val="24"/>
          <w:szCs w:val="24"/>
        </w:rPr>
        <w:t xml:space="preserve">ations </w:t>
      </w:r>
      <w:r w:rsidR="00D7210B" w:rsidRPr="001C146C">
        <w:rPr>
          <w:rFonts w:ascii="Times New Roman" w:hAnsi="Times New Roman"/>
          <w:sz w:val="24"/>
          <w:szCs w:val="24"/>
        </w:rPr>
        <w:t xml:space="preserve">are based on </w:t>
      </w:r>
      <w:r w:rsidR="00093047" w:rsidRPr="001C146C">
        <w:rPr>
          <w:rFonts w:ascii="Times New Roman" w:hAnsi="Times New Roman"/>
          <w:sz w:val="24"/>
          <w:szCs w:val="24"/>
        </w:rPr>
        <w:t>a set of ge</w:t>
      </w:r>
      <w:r w:rsidR="007A2CDD" w:rsidRPr="001C146C">
        <w:rPr>
          <w:rFonts w:ascii="Times New Roman" w:hAnsi="Times New Roman"/>
          <w:sz w:val="24"/>
          <w:szCs w:val="24"/>
        </w:rPr>
        <w:t xml:space="preserve">neric hypothetical resources.  </w:t>
      </w:r>
      <w:r w:rsidR="00D7210B" w:rsidRPr="001C146C">
        <w:rPr>
          <w:rFonts w:ascii="Times New Roman" w:hAnsi="Times New Roman"/>
          <w:sz w:val="24"/>
          <w:szCs w:val="24"/>
        </w:rPr>
        <w:t xml:space="preserve">They </w:t>
      </w:r>
      <w:r w:rsidR="00093047" w:rsidRPr="001C146C">
        <w:rPr>
          <w:rFonts w:ascii="Times New Roman" w:hAnsi="Times New Roman"/>
          <w:sz w:val="24"/>
          <w:szCs w:val="24"/>
        </w:rPr>
        <w:t xml:space="preserve">are not actual cost differentials of proposed </w:t>
      </w:r>
      <w:r w:rsidR="00D7210B" w:rsidRPr="001C146C">
        <w:rPr>
          <w:rFonts w:ascii="Times New Roman" w:hAnsi="Times New Roman"/>
          <w:sz w:val="24"/>
          <w:szCs w:val="24"/>
        </w:rPr>
        <w:t xml:space="preserve">available </w:t>
      </w:r>
      <w:r w:rsidR="00FB528C" w:rsidRPr="001C146C">
        <w:rPr>
          <w:rFonts w:ascii="Times New Roman" w:hAnsi="Times New Roman"/>
          <w:sz w:val="24"/>
          <w:szCs w:val="24"/>
        </w:rPr>
        <w:t>alternatives</w:t>
      </w:r>
      <w:r w:rsidR="00093047" w:rsidRPr="001C146C">
        <w:rPr>
          <w:rFonts w:ascii="Times New Roman" w:hAnsi="Times New Roman"/>
          <w:sz w:val="24"/>
          <w:szCs w:val="24"/>
        </w:rPr>
        <w:t xml:space="preserve">.  Consequently, </w:t>
      </w:r>
      <w:r w:rsidR="00D7210B" w:rsidRPr="001C146C">
        <w:rPr>
          <w:rFonts w:ascii="Times New Roman" w:hAnsi="Times New Roman"/>
          <w:sz w:val="24"/>
          <w:szCs w:val="24"/>
        </w:rPr>
        <w:t>they are</w:t>
      </w:r>
      <w:r w:rsidR="00093047" w:rsidRPr="001C146C">
        <w:rPr>
          <w:rFonts w:ascii="Times New Roman" w:hAnsi="Times New Roman"/>
          <w:sz w:val="24"/>
          <w:szCs w:val="24"/>
        </w:rPr>
        <w:t xml:space="preserve"> </w:t>
      </w:r>
      <w:r w:rsidR="00D7210B" w:rsidRPr="001C146C">
        <w:rPr>
          <w:rFonts w:ascii="Times New Roman" w:hAnsi="Times New Roman"/>
          <w:sz w:val="24"/>
          <w:szCs w:val="24"/>
        </w:rPr>
        <w:t>irrelevant</w:t>
      </w:r>
      <w:r w:rsidR="00093047" w:rsidRPr="001C146C">
        <w:rPr>
          <w:rFonts w:ascii="Times New Roman" w:hAnsi="Times New Roman"/>
          <w:sz w:val="24"/>
          <w:szCs w:val="24"/>
        </w:rPr>
        <w:t xml:space="preserve"> to </w:t>
      </w:r>
      <w:r w:rsidR="00D7210B" w:rsidRPr="001C146C">
        <w:rPr>
          <w:rFonts w:ascii="Times New Roman" w:hAnsi="Times New Roman"/>
          <w:sz w:val="24"/>
          <w:szCs w:val="24"/>
        </w:rPr>
        <w:t xml:space="preserve">a later decision by PSE </w:t>
      </w:r>
      <w:r w:rsidR="00FB528C" w:rsidRPr="001C146C">
        <w:rPr>
          <w:rFonts w:ascii="Times New Roman" w:hAnsi="Times New Roman"/>
          <w:sz w:val="24"/>
          <w:szCs w:val="24"/>
        </w:rPr>
        <w:t xml:space="preserve">months later </w:t>
      </w:r>
      <w:r w:rsidR="00D7210B" w:rsidRPr="001C146C">
        <w:rPr>
          <w:rFonts w:ascii="Times New Roman" w:hAnsi="Times New Roman"/>
          <w:sz w:val="24"/>
          <w:szCs w:val="24"/>
        </w:rPr>
        <w:t xml:space="preserve">to acquire a </w:t>
      </w:r>
      <w:r w:rsidR="00093047" w:rsidRPr="001C146C">
        <w:rPr>
          <w:rFonts w:ascii="Times New Roman" w:hAnsi="Times New Roman"/>
          <w:sz w:val="24"/>
          <w:szCs w:val="24"/>
        </w:rPr>
        <w:t xml:space="preserve">resource during the </w:t>
      </w:r>
      <w:r w:rsidR="00FB528C" w:rsidRPr="001C146C">
        <w:rPr>
          <w:rFonts w:ascii="Times New Roman" w:hAnsi="Times New Roman"/>
          <w:sz w:val="24"/>
          <w:szCs w:val="24"/>
        </w:rPr>
        <w:t xml:space="preserve">2010 </w:t>
      </w:r>
      <w:r w:rsidR="00093047" w:rsidRPr="001C146C">
        <w:rPr>
          <w:rFonts w:ascii="Times New Roman" w:hAnsi="Times New Roman"/>
          <w:sz w:val="24"/>
          <w:szCs w:val="24"/>
        </w:rPr>
        <w:t>RFP process.</w:t>
      </w:r>
      <w:r w:rsidR="00241A0A">
        <w:rPr>
          <w:rFonts w:ascii="Times New Roman" w:hAnsi="Times New Roman"/>
          <w:sz w:val="24"/>
          <w:szCs w:val="24"/>
        </w:rPr>
        <w:t xml:space="preserve">  </w:t>
      </w:r>
    </w:p>
    <w:p w:rsidR="00241A0A" w:rsidRPr="00675C6F" w:rsidRDefault="00675C6F" w:rsidP="00675C6F">
      <w:pPr>
        <w:pStyle w:val="ListParagraph"/>
        <w:keepNext/>
        <w:spacing w:line="480" w:lineRule="auto"/>
        <w:ind w:left="0"/>
        <w:rPr>
          <w:rFonts w:ascii="Times New Roman" w:hAnsi="Times New Roman"/>
          <w:b/>
          <w:sz w:val="24"/>
          <w:szCs w:val="24"/>
        </w:rPr>
      </w:pPr>
      <w:r>
        <w:rPr>
          <w:rFonts w:ascii="Times New Roman" w:hAnsi="Times New Roman"/>
          <w:b/>
          <w:sz w:val="24"/>
          <w:szCs w:val="24"/>
        </w:rPr>
        <w:tab/>
      </w:r>
      <w:r w:rsidR="00241A0A" w:rsidRPr="00675C6F">
        <w:rPr>
          <w:rFonts w:ascii="Times New Roman" w:hAnsi="Times New Roman"/>
          <w:b/>
          <w:sz w:val="24"/>
          <w:szCs w:val="24"/>
        </w:rPr>
        <w:t>5.</w:t>
      </w:r>
      <w:r w:rsidR="00241A0A" w:rsidRPr="00675C6F">
        <w:rPr>
          <w:rFonts w:ascii="Times New Roman" w:hAnsi="Times New Roman"/>
          <w:b/>
          <w:sz w:val="24"/>
          <w:szCs w:val="24"/>
        </w:rPr>
        <w:tab/>
        <w:t>Normalization of LSR Treasury Grants is No Longer Required</w:t>
      </w:r>
    </w:p>
    <w:p w:rsidR="0011098E" w:rsidRPr="00750FD9" w:rsidRDefault="00750FD9" w:rsidP="00750FD9">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75C6F" w:rsidRPr="00750FD9">
        <w:rPr>
          <w:rFonts w:ascii="Times New Roman" w:hAnsi="Times New Roman"/>
          <w:sz w:val="24"/>
          <w:szCs w:val="24"/>
        </w:rPr>
        <w:t xml:space="preserve">A recent </w:t>
      </w:r>
      <w:r w:rsidR="00675C6F" w:rsidRPr="00750FD9">
        <w:rPr>
          <w:rStyle w:val="Heading3Char"/>
          <w:rFonts w:eastAsia="Calibri"/>
          <w:b w:val="0"/>
        </w:rPr>
        <w:t xml:space="preserve">amendment to the American Recovery and Reinvestment Act </w:t>
      </w:r>
      <w:r w:rsidR="00C35118">
        <w:rPr>
          <w:rStyle w:val="Heading3Char"/>
          <w:rFonts w:eastAsia="Calibri"/>
          <w:b w:val="0"/>
        </w:rPr>
        <w:t xml:space="preserve">(“ARRA”) </w:t>
      </w:r>
      <w:r w:rsidR="00675C6F" w:rsidRPr="00750FD9">
        <w:rPr>
          <w:rStyle w:val="Heading3Char"/>
          <w:rFonts w:eastAsia="Calibri"/>
          <w:b w:val="0"/>
        </w:rPr>
        <w:t>of 2009 eli</w:t>
      </w:r>
      <w:r w:rsidR="002E7FAC">
        <w:rPr>
          <w:rStyle w:val="Heading3Char"/>
          <w:rFonts w:eastAsia="Calibri"/>
          <w:b w:val="0"/>
        </w:rPr>
        <w:t xml:space="preserve">minated the requirement </w:t>
      </w:r>
      <w:r w:rsidR="0009757C" w:rsidRPr="00750FD9">
        <w:rPr>
          <w:rStyle w:val="Heading3Char"/>
          <w:rFonts w:eastAsia="Calibri"/>
          <w:b w:val="0"/>
        </w:rPr>
        <w:t xml:space="preserve">to normalize Section 1603 </w:t>
      </w:r>
      <w:r w:rsidR="00D228D3">
        <w:rPr>
          <w:rStyle w:val="Heading3Char"/>
          <w:rFonts w:eastAsia="Calibri"/>
          <w:b w:val="0"/>
        </w:rPr>
        <w:t>Treasury grants</w:t>
      </w:r>
      <w:r w:rsidR="00675C6F" w:rsidRPr="00750FD9">
        <w:rPr>
          <w:rStyle w:val="Heading3Char"/>
          <w:rFonts w:eastAsia="Calibri"/>
          <w:b w:val="0"/>
        </w:rPr>
        <w:t>.</w:t>
      </w:r>
      <w:r w:rsidR="00675C6F" w:rsidRPr="00675C6F">
        <w:rPr>
          <w:rStyle w:val="FootnoteReference"/>
          <w:rFonts w:ascii="Times New Roman" w:hAnsi="Times New Roman"/>
          <w:bCs/>
          <w:sz w:val="24"/>
          <w:szCs w:val="24"/>
        </w:rPr>
        <w:footnoteReference w:id="147"/>
      </w:r>
      <w:r w:rsidR="00675C6F" w:rsidRPr="00750FD9">
        <w:rPr>
          <w:rStyle w:val="Heading3Char"/>
          <w:rFonts w:eastAsia="Calibri"/>
          <w:b w:val="0"/>
        </w:rPr>
        <w:t xml:space="preserve">  </w:t>
      </w:r>
      <w:r w:rsidR="00D228D3">
        <w:rPr>
          <w:rFonts w:ascii="Times New Roman" w:hAnsi="Times New Roman"/>
          <w:sz w:val="24"/>
          <w:szCs w:val="24"/>
        </w:rPr>
        <w:t xml:space="preserve">The amendment is not relevant directly to LSR because it occurred after the decision to build.  However, </w:t>
      </w:r>
      <w:r w:rsidR="00E12AB4">
        <w:rPr>
          <w:rFonts w:ascii="Times New Roman" w:hAnsi="Times New Roman"/>
          <w:sz w:val="24"/>
          <w:szCs w:val="24"/>
        </w:rPr>
        <w:t>it</w:t>
      </w:r>
      <w:r w:rsidR="00D228D3">
        <w:rPr>
          <w:rFonts w:ascii="Times New Roman" w:hAnsi="Times New Roman"/>
          <w:sz w:val="24"/>
          <w:szCs w:val="24"/>
        </w:rPr>
        <w:t xml:space="preserve"> now allows ratepayers to </w:t>
      </w:r>
      <w:r w:rsidR="00675C6F" w:rsidRPr="00750FD9">
        <w:rPr>
          <w:rFonts w:ascii="Times New Roman" w:hAnsi="Times New Roman"/>
          <w:sz w:val="24"/>
          <w:szCs w:val="24"/>
        </w:rPr>
        <w:t>benefit not only from the amortization of the grant as a credit to operating expense, but also from the return on the unam</w:t>
      </w:r>
      <w:r w:rsidR="0011098E" w:rsidRPr="00750FD9">
        <w:rPr>
          <w:rFonts w:ascii="Times New Roman" w:hAnsi="Times New Roman"/>
          <w:sz w:val="24"/>
          <w:szCs w:val="24"/>
        </w:rPr>
        <w:t xml:space="preserve">ortized balance of the </w:t>
      </w:r>
      <w:r w:rsidR="00675C6F" w:rsidRPr="00750FD9">
        <w:rPr>
          <w:rFonts w:ascii="Times New Roman" w:hAnsi="Times New Roman"/>
          <w:sz w:val="24"/>
          <w:szCs w:val="24"/>
        </w:rPr>
        <w:t xml:space="preserve">grant liability.  </w:t>
      </w:r>
    </w:p>
    <w:p w:rsidR="00241A0A" w:rsidRPr="00750FD9" w:rsidRDefault="00750FD9" w:rsidP="006F6249">
      <w:pPr>
        <w:pStyle w:val="ListParagraph"/>
        <w:widowControl w:val="0"/>
        <w:numPr>
          <w:ilvl w:val="0"/>
          <w:numId w:val="1"/>
        </w:numPr>
        <w:spacing w:line="480" w:lineRule="auto"/>
        <w:rPr>
          <w:rFonts w:ascii="Times New Roman" w:hAnsi="Times New Roman"/>
          <w:sz w:val="24"/>
          <w:szCs w:val="24"/>
        </w:rPr>
      </w:pPr>
      <w:r>
        <w:rPr>
          <w:rFonts w:ascii="Times New Roman" w:hAnsi="Times New Roman"/>
          <w:sz w:val="24"/>
          <w:szCs w:val="24"/>
        </w:rPr>
        <w:tab/>
      </w:r>
      <w:r w:rsidR="00D228D3">
        <w:rPr>
          <w:rFonts w:ascii="Times New Roman" w:hAnsi="Times New Roman"/>
          <w:sz w:val="24"/>
          <w:szCs w:val="24"/>
        </w:rPr>
        <w:t>Therefore,</w:t>
      </w:r>
      <w:r w:rsidR="00675C6F" w:rsidRPr="00750FD9">
        <w:rPr>
          <w:rFonts w:ascii="Times New Roman" w:hAnsi="Times New Roman"/>
          <w:sz w:val="24"/>
          <w:szCs w:val="24"/>
        </w:rPr>
        <w:t xml:space="preserve"> Staff </w:t>
      </w:r>
      <w:r w:rsidR="00D228D3">
        <w:rPr>
          <w:rFonts w:ascii="Times New Roman" w:hAnsi="Times New Roman"/>
          <w:sz w:val="24"/>
          <w:szCs w:val="24"/>
        </w:rPr>
        <w:t>recommends</w:t>
      </w:r>
      <w:r w:rsidR="00675C6F" w:rsidRPr="00750FD9">
        <w:rPr>
          <w:rFonts w:ascii="Times New Roman" w:hAnsi="Times New Roman"/>
          <w:sz w:val="24"/>
          <w:szCs w:val="24"/>
        </w:rPr>
        <w:t xml:space="preserve"> that the Commission consider alternatives </w:t>
      </w:r>
      <w:r w:rsidR="003956A5">
        <w:rPr>
          <w:rFonts w:ascii="Times New Roman" w:hAnsi="Times New Roman"/>
          <w:sz w:val="24"/>
          <w:szCs w:val="24"/>
        </w:rPr>
        <w:t xml:space="preserve">to normalization </w:t>
      </w:r>
      <w:r w:rsidR="00D228D3">
        <w:rPr>
          <w:rFonts w:ascii="Times New Roman" w:hAnsi="Times New Roman"/>
          <w:sz w:val="24"/>
          <w:szCs w:val="24"/>
        </w:rPr>
        <w:t>f</w:t>
      </w:r>
      <w:r w:rsidR="00675C6F" w:rsidRPr="00750FD9">
        <w:rPr>
          <w:rFonts w:ascii="Times New Roman" w:hAnsi="Times New Roman"/>
          <w:sz w:val="24"/>
          <w:szCs w:val="24"/>
        </w:rPr>
        <w:t>or returning the benefits of the LSR Treasury grant</w:t>
      </w:r>
      <w:r w:rsidR="003956A5">
        <w:rPr>
          <w:rFonts w:ascii="Times New Roman" w:hAnsi="Times New Roman"/>
          <w:sz w:val="24"/>
          <w:szCs w:val="24"/>
        </w:rPr>
        <w:t>,</w:t>
      </w:r>
      <w:r w:rsidR="00675C6F" w:rsidRPr="00750FD9">
        <w:rPr>
          <w:rFonts w:ascii="Times New Roman" w:hAnsi="Times New Roman"/>
          <w:sz w:val="24"/>
          <w:szCs w:val="24"/>
        </w:rPr>
        <w:t xml:space="preserve"> and </w:t>
      </w:r>
      <w:r w:rsidR="00E12AB4">
        <w:rPr>
          <w:rFonts w:ascii="Times New Roman" w:hAnsi="Times New Roman"/>
          <w:sz w:val="24"/>
          <w:szCs w:val="24"/>
        </w:rPr>
        <w:t>asks</w:t>
      </w:r>
      <w:r w:rsidR="00675C6F" w:rsidRPr="00750FD9">
        <w:rPr>
          <w:rFonts w:ascii="Times New Roman" w:hAnsi="Times New Roman"/>
          <w:sz w:val="24"/>
          <w:szCs w:val="24"/>
        </w:rPr>
        <w:t xml:space="preserve"> </w:t>
      </w:r>
      <w:r w:rsidR="0011098E" w:rsidRPr="00750FD9">
        <w:rPr>
          <w:rFonts w:ascii="Times New Roman" w:hAnsi="Times New Roman"/>
          <w:sz w:val="24"/>
          <w:szCs w:val="24"/>
        </w:rPr>
        <w:t xml:space="preserve">the Commission </w:t>
      </w:r>
      <w:r w:rsidR="00E12AB4">
        <w:rPr>
          <w:rFonts w:ascii="Times New Roman" w:hAnsi="Times New Roman"/>
          <w:sz w:val="24"/>
          <w:szCs w:val="24"/>
        </w:rPr>
        <w:t xml:space="preserve">to </w:t>
      </w:r>
      <w:r w:rsidR="0011098E" w:rsidRPr="00750FD9">
        <w:rPr>
          <w:rFonts w:ascii="Times New Roman" w:hAnsi="Times New Roman"/>
          <w:sz w:val="24"/>
          <w:szCs w:val="24"/>
        </w:rPr>
        <w:t xml:space="preserve">order PSE to defer the grant, when received, with interest </w:t>
      </w:r>
      <w:r w:rsidR="00675C6F" w:rsidRPr="00750FD9">
        <w:rPr>
          <w:rFonts w:ascii="Times New Roman" w:hAnsi="Times New Roman"/>
          <w:sz w:val="24"/>
          <w:szCs w:val="24"/>
        </w:rPr>
        <w:t xml:space="preserve">as </w:t>
      </w:r>
      <w:r w:rsidR="003956A5">
        <w:rPr>
          <w:rFonts w:ascii="Times New Roman" w:hAnsi="Times New Roman"/>
          <w:sz w:val="24"/>
          <w:szCs w:val="24"/>
        </w:rPr>
        <w:t xml:space="preserve">a </w:t>
      </w:r>
      <w:r w:rsidR="00675C6F" w:rsidRPr="00750FD9">
        <w:rPr>
          <w:rFonts w:ascii="Times New Roman" w:hAnsi="Times New Roman"/>
          <w:sz w:val="24"/>
          <w:szCs w:val="24"/>
        </w:rPr>
        <w:t xml:space="preserve">regulatory liability. </w:t>
      </w:r>
      <w:r w:rsidR="00675C6F">
        <w:rPr>
          <w:rStyle w:val="FootnoteReference"/>
          <w:rFonts w:ascii="Times New Roman" w:hAnsi="Times New Roman"/>
          <w:sz w:val="24"/>
          <w:szCs w:val="24"/>
        </w:rPr>
        <w:footnoteReference w:id="148"/>
      </w:r>
      <w:r w:rsidR="00675C6F" w:rsidRPr="00750FD9">
        <w:rPr>
          <w:rFonts w:ascii="Times New Roman" w:hAnsi="Times New Roman"/>
          <w:sz w:val="24"/>
          <w:szCs w:val="24"/>
        </w:rPr>
        <w:t xml:space="preserve"> </w:t>
      </w:r>
      <w:r w:rsidR="00E60BBB">
        <w:rPr>
          <w:rFonts w:ascii="Times New Roman" w:hAnsi="Times New Roman"/>
          <w:sz w:val="24"/>
          <w:szCs w:val="24"/>
        </w:rPr>
        <w:t xml:space="preserve">This will allow </w:t>
      </w:r>
      <w:r w:rsidR="002E7FAC">
        <w:rPr>
          <w:rFonts w:ascii="Times New Roman" w:hAnsi="Times New Roman"/>
          <w:sz w:val="24"/>
          <w:szCs w:val="24"/>
        </w:rPr>
        <w:t>p</w:t>
      </w:r>
      <w:r w:rsidR="00675C6F" w:rsidRPr="00750FD9">
        <w:rPr>
          <w:rFonts w:ascii="Times New Roman" w:hAnsi="Times New Roman"/>
          <w:sz w:val="24"/>
          <w:szCs w:val="24"/>
        </w:rPr>
        <w:t xml:space="preserve">arties to propose </w:t>
      </w:r>
      <w:r w:rsidR="0011098E" w:rsidRPr="00750FD9">
        <w:rPr>
          <w:rFonts w:ascii="Times New Roman" w:hAnsi="Times New Roman"/>
          <w:sz w:val="24"/>
          <w:szCs w:val="24"/>
        </w:rPr>
        <w:t xml:space="preserve">alternative </w:t>
      </w:r>
      <w:r w:rsidR="00E60BBB">
        <w:rPr>
          <w:rFonts w:ascii="Times New Roman" w:hAnsi="Times New Roman"/>
          <w:sz w:val="24"/>
          <w:szCs w:val="24"/>
        </w:rPr>
        <w:t xml:space="preserve">treatments when PSE files </w:t>
      </w:r>
      <w:r w:rsidR="0011098E" w:rsidRPr="00750FD9">
        <w:rPr>
          <w:rFonts w:ascii="Times New Roman" w:hAnsi="Times New Roman"/>
          <w:sz w:val="24"/>
          <w:szCs w:val="24"/>
        </w:rPr>
        <w:t xml:space="preserve">to </w:t>
      </w:r>
      <w:r w:rsidR="00675C6F" w:rsidRPr="00750FD9">
        <w:rPr>
          <w:rFonts w:ascii="Times New Roman" w:hAnsi="Times New Roman"/>
          <w:sz w:val="24"/>
          <w:szCs w:val="24"/>
        </w:rPr>
        <w:t xml:space="preserve">update </w:t>
      </w:r>
      <w:r w:rsidR="00D228D3">
        <w:rPr>
          <w:rFonts w:ascii="Times New Roman" w:hAnsi="Times New Roman"/>
          <w:sz w:val="24"/>
          <w:szCs w:val="24"/>
        </w:rPr>
        <w:t xml:space="preserve">the </w:t>
      </w:r>
      <w:r w:rsidR="0011098E" w:rsidRPr="00750FD9">
        <w:rPr>
          <w:rFonts w:ascii="Times New Roman" w:hAnsi="Times New Roman"/>
          <w:sz w:val="24"/>
          <w:szCs w:val="24"/>
        </w:rPr>
        <w:t>Sc</w:t>
      </w:r>
      <w:r w:rsidR="00E60BBB">
        <w:rPr>
          <w:rFonts w:ascii="Times New Roman" w:hAnsi="Times New Roman"/>
          <w:sz w:val="24"/>
          <w:szCs w:val="24"/>
        </w:rPr>
        <w:t xml:space="preserve">hedule 95A </w:t>
      </w:r>
      <w:r w:rsidR="00D228D3">
        <w:rPr>
          <w:rFonts w:ascii="Times New Roman" w:hAnsi="Times New Roman"/>
          <w:sz w:val="24"/>
          <w:szCs w:val="24"/>
        </w:rPr>
        <w:t xml:space="preserve">credit for </w:t>
      </w:r>
      <w:r w:rsidR="003956A5">
        <w:rPr>
          <w:rFonts w:ascii="Times New Roman" w:hAnsi="Times New Roman"/>
          <w:sz w:val="24"/>
          <w:szCs w:val="24"/>
        </w:rPr>
        <w:t xml:space="preserve">the </w:t>
      </w:r>
      <w:r w:rsidR="00D228D3">
        <w:rPr>
          <w:rFonts w:ascii="Times New Roman" w:hAnsi="Times New Roman"/>
          <w:sz w:val="24"/>
          <w:szCs w:val="24"/>
        </w:rPr>
        <w:t xml:space="preserve">Treasury </w:t>
      </w:r>
      <w:r w:rsidR="00D228D3">
        <w:rPr>
          <w:rFonts w:ascii="Times New Roman" w:hAnsi="Times New Roman"/>
          <w:sz w:val="24"/>
          <w:szCs w:val="24"/>
        </w:rPr>
        <w:lastRenderedPageBreak/>
        <w:t>grants</w:t>
      </w:r>
      <w:r w:rsidR="00675C6F" w:rsidRPr="00750FD9">
        <w:rPr>
          <w:rFonts w:ascii="Times New Roman" w:hAnsi="Times New Roman"/>
          <w:sz w:val="24"/>
          <w:szCs w:val="24"/>
        </w:rPr>
        <w:t>.</w:t>
      </w:r>
      <w:r w:rsidR="0011098E">
        <w:rPr>
          <w:rStyle w:val="FootnoteReference"/>
          <w:rFonts w:ascii="Times New Roman" w:hAnsi="Times New Roman"/>
          <w:sz w:val="24"/>
          <w:szCs w:val="24"/>
        </w:rPr>
        <w:footnoteReference w:id="149"/>
      </w:r>
      <w:r w:rsidR="00675C6F" w:rsidRPr="00750FD9">
        <w:rPr>
          <w:rFonts w:ascii="Times New Roman" w:hAnsi="Times New Roman"/>
          <w:sz w:val="24"/>
          <w:szCs w:val="24"/>
        </w:rPr>
        <w:t xml:space="preserve"> </w:t>
      </w:r>
      <w:r w:rsidR="003956A5">
        <w:rPr>
          <w:rFonts w:ascii="Times New Roman" w:hAnsi="Times New Roman"/>
          <w:sz w:val="24"/>
          <w:szCs w:val="24"/>
        </w:rPr>
        <w:t xml:space="preserve"> Schedule 95A requires that</w:t>
      </w:r>
      <w:r w:rsidR="00EA2E43">
        <w:rPr>
          <w:rFonts w:ascii="Times New Roman" w:hAnsi="Times New Roman"/>
          <w:sz w:val="24"/>
          <w:szCs w:val="24"/>
        </w:rPr>
        <w:t xml:space="preserve"> filing within 60 days after </w:t>
      </w:r>
      <w:r w:rsidR="003956A5">
        <w:rPr>
          <w:rFonts w:ascii="Times New Roman" w:hAnsi="Times New Roman"/>
          <w:sz w:val="24"/>
          <w:szCs w:val="24"/>
        </w:rPr>
        <w:t>PSE receives</w:t>
      </w:r>
      <w:r w:rsidR="00EA2E43">
        <w:rPr>
          <w:rFonts w:ascii="Times New Roman" w:hAnsi="Times New Roman"/>
          <w:sz w:val="24"/>
          <w:szCs w:val="24"/>
        </w:rPr>
        <w:t xml:space="preserve"> the grant.</w:t>
      </w:r>
    </w:p>
    <w:p w:rsidR="001C3208" w:rsidRDefault="00E3331E" w:rsidP="00731743">
      <w:pPr>
        <w:keepNext/>
        <w:spacing w:after="0" w:line="480" w:lineRule="auto"/>
        <w:jc w:val="center"/>
        <w:rPr>
          <w:rFonts w:ascii="Times New Roman" w:hAnsi="Times New Roman"/>
          <w:b/>
          <w:sz w:val="24"/>
          <w:szCs w:val="24"/>
        </w:rPr>
      </w:pPr>
      <w:r>
        <w:rPr>
          <w:rFonts w:ascii="Times New Roman" w:hAnsi="Times New Roman"/>
          <w:b/>
          <w:sz w:val="24"/>
          <w:szCs w:val="24"/>
        </w:rPr>
        <w:t>IV</w:t>
      </w:r>
      <w:r w:rsidR="008E0D31">
        <w:rPr>
          <w:rFonts w:ascii="Times New Roman" w:hAnsi="Times New Roman"/>
          <w:b/>
          <w:sz w:val="24"/>
          <w:szCs w:val="24"/>
        </w:rPr>
        <w:t>.</w:t>
      </w:r>
      <w:r w:rsidR="008E0D31">
        <w:rPr>
          <w:rFonts w:ascii="Times New Roman" w:hAnsi="Times New Roman"/>
          <w:b/>
          <w:sz w:val="24"/>
          <w:szCs w:val="24"/>
        </w:rPr>
        <w:tab/>
        <w:t>RATEMAKING ADJUSTMENTS</w:t>
      </w:r>
    </w:p>
    <w:p w:rsidR="00081DCD" w:rsidRDefault="00081DCD" w:rsidP="00731743">
      <w:pPr>
        <w:keepNext/>
        <w:spacing w:after="0" w:line="480" w:lineRule="auto"/>
        <w:rPr>
          <w:rFonts w:ascii="Times New Roman" w:hAnsi="Times New Roman"/>
          <w:b/>
          <w:sz w:val="24"/>
        </w:rPr>
      </w:pPr>
      <w:r>
        <w:rPr>
          <w:rFonts w:ascii="Times New Roman" w:hAnsi="Times New Roman"/>
          <w:b/>
          <w:sz w:val="24"/>
          <w:szCs w:val="24"/>
        </w:rPr>
        <w:t>A.</w:t>
      </w:r>
      <w:r>
        <w:rPr>
          <w:rFonts w:ascii="Times New Roman" w:hAnsi="Times New Roman"/>
          <w:b/>
          <w:sz w:val="24"/>
          <w:szCs w:val="24"/>
        </w:rPr>
        <w:tab/>
      </w:r>
      <w:r w:rsidR="008E0D31">
        <w:rPr>
          <w:rFonts w:ascii="Times New Roman" w:hAnsi="Times New Roman"/>
          <w:b/>
          <w:sz w:val="24"/>
        </w:rPr>
        <w:t>Uncontested Ratemaking Adjustments</w:t>
      </w:r>
    </w:p>
    <w:p w:rsidR="008E0D31" w:rsidRPr="001C146C" w:rsidRDefault="001C146C" w:rsidP="001C146C">
      <w:pPr>
        <w:pStyle w:val="ListParagraph"/>
        <w:numPr>
          <w:ilvl w:val="0"/>
          <w:numId w:val="1"/>
        </w:numPr>
        <w:spacing w:line="480" w:lineRule="auto"/>
        <w:rPr>
          <w:rFonts w:ascii="Times New Roman" w:hAnsi="Times New Roman"/>
          <w:sz w:val="24"/>
        </w:rPr>
      </w:pPr>
      <w:r>
        <w:rPr>
          <w:rFonts w:ascii="Times New Roman" w:hAnsi="Times New Roman"/>
          <w:sz w:val="24"/>
        </w:rPr>
        <w:tab/>
      </w:r>
      <w:r w:rsidR="008E0D31" w:rsidRPr="001C146C">
        <w:rPr>
          <w:rFonts w:ascii="Times New Roman" w:hAnsi="Times New Roman"/>
          <w:sz w:val="24"/>
        </w:rPr>
        <w:t>The follow</w:t>
      </w:r>
      <w:r w:rsidR="00453062" w:rsidRPr="001C146C">
        <w:rPr>
          <w:rFonts w:ascii="Times New Roman" w:hAnsi="Times New Roman"/>
          <w:sz w:val="24"/>
        </w:rPr>
        <w:t xml:space="preserve">ing </w:t>
      </w:r>
      <w:r w:rsidR="005E3DDE" w:rsidRPr="001C146C">
        <w:rPr>
          <w:rFonts w:ascii="Times New Roman" w:hAnsi="Times New Roman"/>
          <w:sz w:val="24"/>
        </w:rPr>
        <w:t xml:space="preserve">Company </w:t>
      </w:r>
      <w:r w:rsidR="008E0D31" w:rsidRPr="001C146C">
        <w:rPr>
          <w:rFonts w:ascii="Times New Roman" w:hAnsi="Times New Roman"/>
          <w:sz w:val="24"/>
        </w:rPr>
        <w:t xml:space="preserve">adjustments </w:t>
      </w:r>
      <w:r w:rsidR="00081DCD" w:rsidRPr="001C146C">
        <w:rPr>
          <w:rFonts w:ascii="Times New Roman" w:hAnsi="Times New Roman"/>
          <w:sz w:val="24"/>
        </w:rPr>
        <w:t>were accepted</w:t>
      </w:r>
      <w:r w:rsidR="005E3DDE" w:rsidRPr="001C146C">
        <w:rPr>
          <w:rFonts w:ascii="Times New Roman" w:hAnsi="Times New Roman"/>
          <w:sz w:val="24"/>
        </w:rPr>
        <w:t xml:space="preserve"> by Staff in its response case </w:t>
      </w:r>
      <w:r w:rsidR="008E0D31" w:rsidRPr="001C146C">
        <w:rPr>
          <w:rFonts w:ascii="Times New Roman" w:hAnsi="Times New Roman"/>
          <w:sz w:val="24"/>
        </w:rPr>
        <w:t>and should be adopted by the Commission:</w:t>
      </w:r>
      <w:r w:rsidR="002E7A0E">
        <w:rPr>
          <w:rStyle w:val="FootnoteReference"/>
          <w:rFonts w:ascii="Times New Roman" w:hAnsi="Times New Roman"/>
          <w:sz w:val="24"/>
        </w:rPr>
        <w:footnoteReference w:id="150"/>
      </w:r>
    </w:p>
    <w:p w:rsidR="008E0D31" w:rsidRDefault="006920B1" w:rsidP="00B31A27">
      <w:pPr>
        <w:pStyle w:val="ListParagraph"/>
        <w:keepNext/>
        <w:tabs>
          <w:tab w:val="left" w:pos="-1440"/>
        </w:tabs>
        <w:ind w:left="0"/>
        <w:rPr>
          <w:rFonts w:ascii="Times New Roman" w:hAnsi="Times New Roman"/>
          <w:sz w:val="24"/>
          <w:u w:val="single"/>
        </w:rPr>
      </w:pPr>
      <w:r>
        <w:rPr>
          <w:rFonts w:ascii="Times New Roman" w:hAnsi="Times New Roman"/>
          <w:sz w:val="24"/>
        </w:rPr>
        <w:tab/>
      </w:r>
      <w:r w:rsidR="008E0D31" w:rsidRPr="008E0D31">
        <w:rPr>
          <w:rFonts w:ascii="Times New Roman" w:hAnsi="Times New Roman"/>
          <w:sz w:val="24"/>
          <w:u w:val="single"/>
        </w:rPr>
        <w:t>Electricity Adjustments</w:t>
      </w:r>
      <w:r w:rsidR="008E0D31" w:rsidRPr="008E0D31">
        <w:rPr>
          <w:rFonts w:ascii="Times New Roman" w:hAnsi="Times New Roman"/>
          <w:sz w:val="24"/>
        </w:rPr>
        <w:tab/>
      </w:r>
      <w:r w:rsidR="008E0D31" w:rsidRPr="008E0D31">
        <w:rPr>
          <w:rFonts w:ascii="Times New Roman" w:hAnsi="Times New Roman"/>
          <w:sz w:val="24"/>
        </w:rPr>
        <w:tab/>
      </w:r>
      <w:r w:rsidR="008E0D31" w:rsidRPr="008E0D31">
        <w:rPr>
          <w:rFonts w:ascii="Times New Roman" w:hAnsi="Times New Roman"/>
          <w:sz w:val="24"/>
        </w:rPr>
        <w:tab/>
      </w:r>
      <w:r w:rsidR="008E0D31" w:rsidRPr="008E0D31">
        <w:rPr>
          <w:rFonts w:ascii="Times New Roman" w:hAnsi="Times New Roman"/>
          <w:sz w:val="24"/>
          <w:u w:val="single"/>
        </w:rPr>
        <w:t>Natural Gas Adjustments</w:t>
      </w:r>
    </w:p>
    <w:p w:rsidR="008E0D31" w:rsidRDefault="008E0D31" w:rsidP="008E0D31">
      <w:pPr>
        <w:pStyle w:val="ListParagraph"/>
        <w:tabs>
          <w:tab w:val="left" w:pos="-1440"/>
        </w:tabs>
        <w:ind w:left="0"/>
        <w:rPr>
          <w:rFonts w:ascii="Times New Roman" w:hAnsi="Times New Roman"/>
          <w:sz w:val="24"/>
          <w:u w:val="single"/>
        </w:rPr>
      </w:pPr>
    </w:p>
    <w:p w:rsidR="008E0D31" w:rsidRDefault="008E0D31" w:rsidP="008E0D31">
      <w:pPr>
        <w:pStyle w:val="ListParagraph"/>
        <w:tabs>
          <w:tab w:val="left" w:pos="-1440"/>
        </w:tabs>
        <w:ind w:left="0"/>
        <w:rPr>
          <w:rFonts w:ascii="Times New Roman" w:hAnsi="Times New Roman"/>
          <w:sz w:val="24"/>
        </w:rPr>
      </w:pPr>
      <w:r>
        <w:rPr>
          <w:rFonts w:ascii="Times New Roman" w:hAnsi="Times New Roman"/>
          <w:sz w:val="24"/>
        </w:rPr>
        <w:tab/>
      </w:r>
      <w:r w:rsidR="001148D2">
        <w:rPr>
          <w:rFonts w:ascii="Times New Roman" w:hAnsi="Times New Roman"/>
          <w:sz w:val="24"/>
        </w:rPr>
        <w:t>13.06, ASC 815 (Prev. SAS 133)</w:t>
      </w:r>
      <w:r w:rsidR="00A94786">
        <w:rPr>
          <w:rFonts w:ascii="Times New Roman" w:hAnsi="Times New Roman"/>
          <w:sz w:val="24"/>
        </w:rPr>
        <w:tab/>
      </w:r>
      <w:r w:rsidR="00A94786">
        <w:rPr>
          <w:rFonts w:ascii="Times New Roman" w:hAnsi="Times New Roman"/>
          <w:sz w:val="24"/>
        </w:rPr>
        <w:tab/>
      </w:r>
      <w:r w:rsidR="006920B1">
        <w:rPr>
          <w:rFonts w:ascii="Times New Roman" w:hAnsi="Times New Roman"/>
          <w:sz w:val="24"/>
        </w:rPr>
        <w:t>5.03, Contract Changes</w:t>
      </w:r>
    </w:p>
    <w:p w:rsidR="008E0D31" w:rsidRDefault="008E0D31" w:rsidP="008E0D31">
      <w:pPr>
        <w:pStyle w:val="ListParagraph"/>
        <w:tabs>
          <w:tab w:val="left" w:pos="-1440"/>
        </w:tabs>
        <w:ind w:left="0"/>
        <w:rPr>
          <w:rFonts w:ascii="Times New Roman" w:hAnsi="Times New Roman"/>
          <w:sz w:val="24"/>
        </w:rPr>
      </w:pPr>
      <w:r>
        <w:rPr>
          <w:rFonts w:ascii="Times New Roman" w:hAnsi="Times New Roman"/>
          <w:sz w:val="24"/>
        </w:rPr>
        <w:tab/>
      </w:r>
      <w:r w:rsidR="001148D2">
        <w:rPr>
          <w:rFonts w:ascii="Times New Roman" w:hAnsi="Times New Roman"/>
          <w:sz w:val="24"/>
        </w:rPr>
        <w:t>14.01, Temperature Normalization</w:t>
      </w:r>
      <w:r w:rsidR="006920B1">
        <w:rPr>
          <w:rFonts w:ascii="Times New Roman" w:hAnsi="Times New Roman"/>
          <w:sz w:val="24"/>
        </w:rPr>
        <w:tab/>
      </w:r>
      <w:r w:rsidR="006920B1">
        <w:rPr>
          <w:rFonts w:ascii="Times New Roman" w:hAnsi="Times New Roman"/>
          <w:sz w:val="24"/>
        </w:rPr>
        <w:tab/>
        <w:t>6.01, Temperature Normalization</w:t>
      </w:r>
    </w:p>
    <w:p w:rsidR="008E0D31" w:rsidRDefault="008E0D31" w:rsidP="008E0D31">
      <w:pPr>
        <w:pStyle w:val="ListParagraph"/>
        <w:tabs>
          <w:tab w:val="left" w:pos="-1440"/>
        </w:tabs>
        <w:ind w:left="0"/>
        <w:rPr>
          <w:rFonts w:ascii="Times New Roman" w:hAnsi="Times New Roman"/>
          <w:sz w:val="24"/>
        </w:rPr>
      </w:pPr>
      <w:r>
        <w:rPr>
          <w:rFonts w:ascii="Times New Roman" w:hAnsi="Times New Roman"/>
          <w:sz w:val="24"/>
        </w:rPr>
        <w:tab/>
      </w:r>
      <w:r w:rsidR="001148D2">
        <w:rPr>
          <w:rFonts w:ascii="Times New Roman" w:hAnsi="Times New Roman"/>
          <w:sz w:val="24"/>
        </w:rPr>
        <w:t>14.03, Pass-Through Revenue &amp; Expenses</w:t>
      </w:r>
      <w:r w:rsidR="006920B1">
        <w:rPr>
          <w:rFonts w:ascii="Times New Roman" w:hAnsi="Times New Roman"/>
          <w:sz w:val="24"/>
        </w:rPr>
        <w:tab/>
        <w:t>6.03, Pass-Through Revenue &amp; Expenses</w:t>
      </w:r>
    </w:p>
    <w:p w:rsidR="008E0D31" w:rsidRPr="008E0D31" w:rsidRDefault="008E0D31" w:rsidP="008E0D31">
      <w:pPr>
        <w:pStyle w:val="ListParagraph"/>
        <w:tabs>
          <w:tab w:val="left" w:pos="-1440"/>
        </w:tabs>
        <w:ind w:left="0"/>
        <w:rPr>
          <w:rFonts w:ascii="Times New Roman" w:hAnsi="Times New Roman"/>
          <w:sz w:val="24"/>
        </w:rPr>
      </w:pPr>
      <w:r>
        <w:rPr>
          <w:rFonts w:ascii="Times New Roman" w:hAnsi="Times New Roman"/>
          <w:sz w:val="24"/>
        </w:rPr>
        <w:tab/>
      </w:r>
      <w:r w:rsidR="001148D2">
        <w:rPr>
          <w:rFonts w:ascii="Times New Roman" w:hAnsi="Times New Roman"/>
          <w:sz w:val="24"/>
          <w:szCs w:val="24"/>
        </w:rPr>
        <w:t>14.08, Injuries &amp; Damages</w:t>
      </w:r>
      <w:r w:rsidR="001148D2">
        <w:rPr>
          <w:rFonts w:ascii="Times New Roman" w:hAnsi="Times New Roman"/>
          <w:sz w:val="24"/>
          <w:szCs w:val="24"/>
        </w:rPr>
        <w:tab/>
      </w:r>
      <w:r w:rsidR="001148D2">
        <w:rPr>
          <w:rFonts w:ascii="Times New Roman" w:hAnsi="Times New Roman"/>
          <w:sz w:val="24"/>
          <w:szCs w:val="24"/>
        </w:rPr>
        <w:tab/>
      </w:r>
      <w:r w:rsidR="006920B1">
        <w:rPr>
          <w:rFonts w:ascii="Times New Roman" w:hAnsi="Times New Roman"/>
          <w:sz w:val="24"/>
        </w:rPr>
        <w:tab/>
        <w:t xml:space="preserve">6.08, </w:t>
      </w:r>
      <w:r w:rsidR="006920B1">
        <w:rPr>
          <w:rFonts w:ascii="Times New Roman" w:hAnsi="Times New Roman"/>
          <w:sz w:val="24"/>
          <w:szCs w:val="24"/>
        </w:rPr>
        <w:t>Injuries &amp; Damages</w:t>
      </w:r>
      <w:r w:rsidR="006920B1">
        <w:rPr>
          <w:rFonts w:ascii="Times New Roman" w:hAnsi="Times New Roman"/>
          <w:sz w:val="24"/>
        </w:rPr>
        <w:t xml:space="preserve"> </w:t>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14.09, Bad Debt</w:t>
      </w:r>
      <w:r>
        <w:rPr>
          <w:rFonts w:ascii="Times New Roman" w:hAnsi="Times New Roman" w:cs="Times New Roman"/>
          <w:sz w:val="24"/>
          <w:szCs w:val="24"/>
        </w:rPr>
        <w:tab/>
      </w:r>
      <w:r w:rsidR="001C3208">
        <w:rPr>
          <w:rFonts w:ascii="Times New Roman" w:hAnsi="Times New Roman" w:cs="Times New Roman"/>
          <w:sz w:val="24"/>
          <w:szCs w:val="24"/>
        </w:rPr>
        <w:tab/>
      </w:r>
      <w:r w:rsidR="001C3208">
        <w:rPr>
          <w:rFonts w:ascii="Times New Roman" w:hAnsi="Times New Roman" w:cs="Times New Roman"/>
          <w:sz w:val="24"/>
          <w:szCs w:val="24"/>
        </w:rPr>
        <w:tab/>
      </w:r>
      <w:r w:rsidR="001C3208">
        <w:rPr>
          <w:rFonts w:ascii="Times New Roman" w:hAnsi="Times New Roman" w:cs="Times New Roman"/>
          <w:sz w:val="24"/>
          <w:szCs w:val="24"/>
        </w:rPr>
        <w:tab/>
      </w:r>
      <w:r w:rsidR="006920B1">
        <w:rPr>
          <w:rFonts w:ascii="Times New Roman" w:hAnsi="Times New Roman" w:cs="Times New Roman"/>
          <w:sz w:val="24"/>
          <w:szCs w:val="24"/>
        </w:rPr>
        <w:t xml:space="preserve">6.09, Bad Debt </w:t>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14.12, Excise Tax &amp; Filing Fee</w:t>
      </w:r>
      <w:r>
        <w:rPr>
          <w:rFonts w:ascii="Times New Roman" w:hAnsi="Times New Roman" w:cs="Times New Roman"/>
          <w:sz w:val="24"/>
          <w:szCs w:val="24"/>
        </w:rPr>
        <w:tab/>
      </w:r>
      <w:r w:rsidR="006920B1">
        <w:rPr>
          <w:rFonts w:ascii="Times New Roman" w:hAnsi="Times New Roman" w:cs="Times New Roman"/>
          <w:sz w:val="24"/>
          <w:szCs w:val="24"/>
        </w:rPr>
        <w:tab/>
        <w:t>6.12, Excise Tax &amp; Filing Fee</w:t>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14.14, Interest on Customer Deposits</w:t>
      </w:r>
      <w:r>
        <w:rPr>
          <w:rFonts w:ascii="Times New Roman" w:hAnsi="Times New Roman" w:cs="Times New Roman"/>
          <w:sz w:val="24"/>
          <w:szCs w:val="24"/>
        </w:rPr>
        <w:tab/>
      </w:r>
      <w:r w:rsidR="006920B1">
        <w:rPr>
          <w:rFonts w:ascii="Times New Roman" w:hAnsi="Times New Roman" w:cs="Times New Roman"/>
          <w:sz w:val="24"/>
          <w:szCs w:val="24"/>
        </w:rPr>
        <w:tab/>
        <w:t>6.14, Interest on Customer Deposits</w:t>
      </w:r>
      <w:r w:rsidR="006920B1">
        <w:rPr>
          <w:rFonts w:ascii="Times New Roman" w:hAnsi="Times New Roman" w:cs="Times New Roman"/>
          <w:sz w:val="24"/>
          <w:szCs w:val="24"/>
        </w:rPr>
        <w:tab/>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14.16, Deferred Gains/Losses on Prop Sales</w:t>
      </w:r>
      <w:r w:rsidR="001C3208">
        <w:rPr>
          <w:rFonts w:ascii="Times New Roman" w:hAnsi="Times New Roman" w:cs="Times New Roman"/>
          <w:sz w:val="24"/>
          <w:szCs w:val="24"/>
        </w:rPr>
        <w:tab/>
      </w:r>
      <w:r w:rsidR="006920B1">
        <w:rPr>
          <w:rFonts w:ascii="Times New Roman" w:hAnsi="Times New Roman" w:cs="Times New Roman"/>
          <w:sz w:val="24"/>
          <w:szCs w:val="24"/>
        </w:rPr>
        <w:t>6.16, Deferred Gains/Losses on Prop Sales</w:t>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14.17, Property &amp; Liability Insurance</w:t>
      </w:r>
      <w:r w:rsidR="00E93095">
        <w:rPr>
          <w:rFonts w:ascii="Times New Roman" w:hAnsi="Times New Roman" w:cs="Times New Roman"/>
          <w:sz w:val="24"/>
          <w:szCs w:val="24"/>
        </w:rPr>
        <w:tab/>
        <w:t>6.17, Property &amp;</w:t>
      </w:r>
      <w:r w:rsidR="006920B1">
        <w:rPr>
          <w:rFonts w:ascii="Times New Roman" w:hAnsi="Times New Roman" w:cs="Times New Roman"/>
          <w:sz w:val="24"/>
          <w:szCs w:val="24"/>
        </w:rPr>
        <w:t xml:space="preserve"> Liability Insurance</w:t>
      </w:r>
    </w:p>
    <w:p w:rsidR="008E0D31" w:rsidRDefault="001148D2" w:rsidP="008E0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14.18, Pension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3208">
        <w:rPr>
          <w:rFonts w:ascii="Times New Roman" w:hAnsi="Times New Roman" w:cs="Times New Roman"/>
          <w:sz w:val="24"/>
          <w:szCs w:val="24"/>
        </w:rPr>
        <w:tab/>
      </w:r>
      <w:r w:rsidR="006920B1">
        <w:rPr>
          <w:rFonts w:ascii="Times New Roman" w:hAnsi="Times New Roman" w:cs="Times New Roman"/>
          <w:sz w:val="24"/>
          <w:szCs w:val="24"/>
        </w:rPr>
        <w:t>6.18, Pension Plan</w:t>
      </w:r>
    </w:p>
    <w:p w:rsidR="008E0D31" w:rsidRDefault="008E0D31" w:rsidP="008E0D31">
      <w:pPr>
        <w:spacing w:after="0" w:line="240" w:lineRule="auto"/>
        <w:ind w:left="720"/>
        <w:rPr>
          <w:rFonts w:ascii="Times New Roman" w:hAnsi="Times New Roman" w:cs="Times New Roman"/>
          <w:sz w:val="24"/>
          <w:szCs w:val="24"/>
        </w:rPr>
      </w:pPr>
    </w:p>
    <w:p w:rsidR="006920B1" w:rsidRDefault="006920B1" w:rsidP="008E0D31">
      <w:pPr>
        <w:spacing w:after="0" w:line="240" w:lineRule="auto"/>
        <w:ind w:left="720"/>
        <w:rPr>
          <w:rFonts w:ascii="Times New Roman" w:hAnsi="Times New Roman" w:cs="Times New Roman"/>
          <w:sz w:val="24"/>
          <w:szCs w:val="24"/>
        </w:rPr>
      </w:pPr>
    </w:p>
    <w:p w:rsidR="00577690" w:rsidRDefault="001C146C" w:rsidP="006F6249">
      <w:pPr>
        <w:pStyle w:val="BodyTextIndent2"/>
        <w:widowControl w:val="0"/>
        <w:numPr>
          <w:ilvl w:val="0"/>
          <w:numId w:val="1"/>
        </w:numPr>
        <w:tabs>
          <w:tab w:val="left" w:pos="-3780"/>
          <w:tab w:val="left" w:pos="-3600"/>
        </w:tabs>
        <w:spacing w:after="0"/>
        <w:rPr>
          <w:rFonts w:ascii="Times New Roman" w:hAnsi="Times New Roman" w:cs="Times New Roman"/>
          <w:sz w:val="24"/>
          <w:szCs w:val="24"/>
        </w:rPr>
      </w:pPr>
      <w:r>
        <w:rPr>
          <w:rFonts w:ascii="Times New Roman" w:hAnsi="Times New Roman" w:cs="Times New Roman"/>
          <w:sz w:val="24"/>
          <w:szCs w:val="24"/>
        </w:rPr>
        <w:tab/>
      </w:r>
      <w:r w:rsidR="003956A5">
        <w:rPr>
          <w:rFonts w:ascii="Times New Roman" w:hAnsi="Times New Roman" w:cs="Times New Roman"/>
          <w:sz w:val="24"/>
          <w:szCs w:val="24"/>
        </w:rPr>
        <w:t xml:space="preserve">On rebuttal, </w:t>
      </w:r>
      <w:r w:rsidR="00186BCB">
        <w:rPr>
          <w:rFonts w:ascii="Times New Roman" w:hAnsi="Times New Roman" w:cs="Times New Roman"/>
          <w:sz w:val="24"/>
          <w:szCs w:val="24"/>
        </w:rPr>
        <w:t xml:space="preserve">PSE </w:t>
      </w:r>
      <w:r w:rsidR="003956A5">
        <w:rPr>
          <w:rFonts w:ascii="Times New Roman" w:hAnsi="Times New Roman" w:cs="Times New Roman"/>
          <w:sz w:val="24"/>
          <w:szCs w:val="24"/>
        </w:rPr>
        <w:t>conceded</w:t>
      </w:r>
      <w:r w:rsidR="000A7D55">
        <w:rPr>
          <w:rFonts w:ascii="Times New Roman" w:hAnsi="Times New Roman" w:cs="Times New Roman"/>
          <w:sz w:val="24"/>
          <w:szCs w:val="24"/>
        </w:rPr>
        <w:t xml:space="preserve"> </w:t>
      </w:r>
      <w:r w:rsidR="00577690">
        <w:rPr>
          <w:rFonts w:ascii="Times New Roman" w:hAnsi="Times New Roman" w:cs="Times New Roman"/>
          <w:sz w:val="24"/>
          <w:szCs w:val="24"/>
        </w:rPr>
        <w:t>Staff</w:t>
      </w:r>
      <w:r w:rsidR="00FF24DA">
        <w:rPr>
          <w:rFonts w:ascii="Times New Roman" w:hAnsi="Times New Roman" w:cs="Times New Roman"/>
          <w:sz w:val="24"/>
          <w:szCs w:val="24"/>
        </w:rPr>
        <w:t xml:space="preserve"> </w:t>
      </w:r>
      <w:r w:rsidR="00FF24DA" w:rsidRPr="00FF24DA">
        <w:rPr>
          <w:rFonts w:ascii="Times New Roman" w:hAnsi="Times New Roman" w:cs="Times New Roman"/>
          <w:sz w:val="24"/>
          <w:szCs w:val="24"/>
        </w:rPr>
        <w:t>Adjustments 14.19 and 6.19, Wage Increase</w:t>
      </w:r>
      <w:r w:rsidR="00FF24DA">
        <w:rPr>
          <w:rFonts w:ascii="Times New Roman" w:hAnsi="Times New Roman" w:cs="Times New Roman"/>
          <w:sz w:val="24"/>
          <w:szCs w:val="24"/>
        </w:rPr>
        <w:t>,</w:t>
      </w:r>
      <w:r w:rsidR="00FF24DA" w:rsidRPr="00FF24DA">
        <w:rPr>
          <w:rFonts w:ascii="Times New Roman" w:hAnsi="Times New Roman" w:cs="Times New Roman"/>
          <w:sz w:val="24"/>
          <w:szCs w:val="24"/>
        </w:rPr>
        <w:t xml:space="preserve"> and Adjustments 14.20 and 6.20, Investment Plan</w:t>
      </w:r>
      <w:r w:rsidR="00FF24DA">
        <w:rPr>
          <w:rFonts w:ascii="Times New Roman" w:hAnsi="Times New Roman" w:cs="Times New Roman"/>
          <w:sz w:val="24"/>
          <w:szCs w:val="24"/>
        </w:rPr>
        <w:t>.</w:t>
      </w:r>
      <w:r w:rsidR="00FF24DA">
        <w:rPr>
          <w:rStyle w:val="FootnoteReference"/>
          <w:rFonts w:ascii="Times New Roman" w:hAnsi="Times New Roman"/>
          <w:sz w:val="24"/>
          <w:szCs w:val="24"/>
        </w:rPr>
        <w:footnoteReference w:id="151"/>
      </w:r>
      <w:r w:rsidR="00FF24DA">
        <w:rPr>
          <w:rFonts w:ascii="Times New Roman" w:hAnsi="Times New Roman" w:cs="Times New Roman"/>
          <w:sz w:val="24"/>
          <w:szCs w:val="24"/>
        </w:rPr>
        <w:t xml:space="preserve">  </w:t>
      </w:r>
      <w:r w:rsidR="003E0C01">
        <w:rPr>
          <w:rFonts w:ascii="Times New Roman" w:hAnsi="Times New Roman" w:cs="Times New Roman"/>
          <w:sz w:val="24"/>
          <w:szCs w:val="24"/>
        </w:rPr>
        <w:t xml:space="preserve">These adjustments recover </w:t>
      </w:r>
      <w:r w:rsidR="00081DCD">
        <w:rPr>
          <w:rFonts w:ascii="Times New Roman" w:hAnsi="Times New Roman" w:cs="Times New Roman"/>
          <w:sz w:val="24"/>
          <w:szCs w:val="24"/>
        </w:rPr>
        <w:t xml:space="preserve">contract </w:t>
      </w:r>
      <w:r w:rsidR="00577690" w:rsidRPr="00CE253D">
        <w:rPr>
          <w:rFonts w:ascii="Times New Roman" w:hAnsi="Times New Roman" w:cs="Times New Roman"/>
          <w:sz w:val="24"/>
          <w:szCs w:val="24"/>
        </w:rPr>
        <w:t>wage increases</w:t>
      </w:r>
      <w:r w:rsidR="00081DCD" w:rsidRPr="00081DCD">
        <w:rPr>
          <w:rFonts w:ascii="Times New Roman" w:hAnsi="Times New Roman" w:cs="Times New Roman"/>
          <w:sz w:val="24"/>
          <w:szCs w:val="24"/>
        </w:rPr>
        <w:t xml:space="preserve"> </w:t>
      </w:r>
      <w:r w:rsidR="00081DCD" w:rsidRPr="00CE253D">
        <w:rPr>
          <w:rFonts w:ascii="Times New Roman" w:hAnsi="Times New Roman" w:cs="Times New Roman"/>
          <w:sz w:val="24"/>
          <w:szCs w:val="24"/>
        </w:rPr>
        <w:t xml:space="preserve">for </w:t>
      </w:r>
      <w:r w:rsidR="00081DCD">
        <w:rPr>
          <w:rFonts w:ascii="Times New Roman" w:hAnsi="Times New Roman" w:cs="Times New Roman"/>
          <w:sz w:val="24"/>
          <w:szCs w:val="24"/>
        </w:rPr>
        <w:t>union employees</w:t>
      </w:r>
      <w:r w:rsidR="00FF24DA">
        <w:rPr>
          <w:rFonts w:ascii="Times New Roman" w:hAnsi="Times New Roman" w:cs="Times New Roman"/>
          <w:sz w:val="24"/>
          <w:szCs w:val="24"/>
        </w:rPr>
        <w:t xml:space="preserve"> and </w:t>
      </w:r>
      <w:r w:rsidR="00FF24DA">
        <w:rPr>
          <w:rFonts w:ascii="Times New Roman" w:hAnsi="Times New Roman"/>
          <w:sz w:val="24"/>
          <w:szCs w:val="24"/>
        </w:rPr>
        <w:t xml:space="preserve">PSE’s portion of investment </w:t>
      </w:r>
      <w:r w:rsidR="00FF24DA" w:rsidRPr="004C48BC">
        <w:rPr>
          <w:rFonts w:ascii="Times New Roman" w:hAnsi="Times New Roman"/>
          <w:sz w:val="24"/>
          <w:szCs w:val="24"/>
        </w:rPr>
        <w:t>plan expense</w:t>
      </w:r>
      <w:r w:rsidR="00FF24DA">
        <w:rPr>
          <w:rFonts w:ascii="Times New Roman" w:hAnsi="Times New Roman"/>
          <w:sz w:val="24"/>
          <w:szCs w:val="24"/>
        </w:rPr>
        <w:t xml:space="preserve">s </w:t>
      </w:r>
      <w:r w:rsidR="00081DCD">
        <w:rPr>
          <w:rFonts w:ascii="Times New Roman" w:hAnsi="Times New Roman"/>
          <w:sz w:val="24"/>
          <w:szCs w:val="24"/>
        </w:rPr>
        <w:t xml:space="preserve">to reflect those </w:t>
      </w:r>
      <w:r w:rsidR="00081DCD">
        <w:rPr>
          <w:rFonts w:ascii="Times New Roman" w:hAnsi="Times New Roman"/>
          <w:sz w:val="24"/>
          <w:szCs w:val="24"/>
        </w:rPr>
        <w:lastRenderedPageBreak/>
        <w:t>increases</w:t>
      </w:r>
      <w:r w:rsidR="00577690" w:rsidRPr="00CE253D">
        <w:rPr>
          <w:rFonts w:ascii="Times New Roman" w:hAnsi="Times New Roman" w:cs="Times New Roman"/>
          <w:sz w:val="24"/>
          <w:szCs w:val="24"/>
        </w:rPr>
        <w:t>.  Staff</w:t>
      </w:r>
      <w:r w:rsidR="00BB048E">
        <w:rPr>
          <w:rFonts w:ascii="Times New Roman" w:hAnsi="Times New Roman" w:cs="Times New Roman"/>
          <w:sz w:val="24"/>
          <w:szCs w:val="24"/>
        </w:rPr>
        <w:t xml:space="preserve"> </w:t>
      </w:r>
      <w:r w:rsidR="00577690">
        <w:rPr>
          <w:rFonts w:ascii="Times New Roman" w:hAnsi="Times New Roman" w:cs="Times New Roman"/>
          <w:sz w:val="24"/>
          <w:szCs w:val="24"/>
        </w:rPr>
        <w:t>include</w:t>
      </w:r>
      <w:r w:rsidR="00BB048E">
        <w:rPr>
          <w:rFonts w:ascii="Times New Roman" w:hAnsi="Times New Roman" w:cs="Times New Roman"/>
          <w:sz w:val="24"/>
          <w:szCs w:val="24"/>
        </w:rPr>
        <w:t>d</w:t>
      </w:r>
      <w:r w:rsidR="00577690">
        <w:rPr>
          <w:rFonts w:ascii="Times New Roman" w:hAnsi="Times New Roman" w:cs="Times New Roman"/>
          <w:sz w:val="24"/>
          <w:szCs w:val="24"/>
        </w:rPr>
        <w:t xml:space="preserve"> </w:t>
      </w:r>
      <w:r w:rsidR="00577690" w:rsidRPr="00CE253D">
        <w:rPr>
          <w:rFonts w:ascii="Times New Roman" w:hAnsi="Times New Roman" w:cs="Times New Roman"/>
          <w:sz w:val="24"/>
          <w:szCs w:val="24"/>
        </w:rPr>
        <w:t xml:space="preserve">wages </w:t>
      </w:r>
      <w:r w:rsidR="00081DCD">
        <w:rPr>
          <w:rFonts w:ascii="Times New Roman" w:hAnsi="Times New Roman" w:cs="Times New Roman"/>
          <w:sz w:val="24"/>
          <w:szCs w:val="24"/>
        </w:rPr>
        <w:t xml:space="preserve">increases </w:t>
      </w:r>
      <w:r w:rsidR="00577690" w:rsidRPr="00CE253D">
        <w:rPr>
          <w:rFonts w:ascii="Times New Roman" w:hAnsi="Times New Roman" w:cs="Times New Roman"/>
          <w:sz w:val="24"/>
          <w:szCs w:val="24"/>
        </w:rPr>
        <w:t>through May 15, 2012</w:t>
      </w:r>
      <w:r w:rsidR="00577690">
        <w:rPr>
          <w:rFonts w:ascii="Times New Roman" w:hAnsi="Times New Roman" w:cs="Times New Roman"/>
          <w:sz w:val="24"/>
          <w:szCs w:val="24"/>
        </w:rPr>
        <w:t xml:space="preserve">, </w:t>
      </w:r>
      <w:r w:rsidR="00BB048E">
        <w:rPr>
          <w:rFonts w:ascii="Times New Roman" w:hAnsi="Times New Roman" w:cs="Times New Roman"/>
          <w:sz w:val="24"/>
          <w:szCs w:val="24"/>
        </w:rPr>
        <w:t xml:space="preserve">the start </w:t>
      </w:r>
      <w:r w:rsidR="00FF24DA">
        <w:rPr>
          <w:rFonts w:ascii="Times New Roman" w:hAnsi="Times New Roman" w:cs="Times New Roman"/>
          <w:sz w:val="24"/>
          <w:szCs w:val="24"/>
        </w:rPr>
        <w:t>of the rate year.</w:t>
      </w:r>
      <w:r w:rsidR="00FF24DA">
        <w:rPr>
          <w:rStyle w:val="FootnoteReference"/>
          <w:rFonts w:ascii="Times New Roman" w:hAnsi="Times New Roman"/>
          <w:sz w:val="24"/>
          <w:szCs w:val="24"/>
        </w:rPr>
        <w:footnoteReference w:id="152"/>
      </w:r>
    </w:p>
    <w:p w:rsidR="00FE2B38" w:rsidRPr="001C146C" w:rsidRDefault="001C146C" w:rsidP="001C146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186BCB" w:rsidRPr="001C146C">
        <w:rPr>
          <w:rFonts w:ascii="Times New Roman" w:hAnsi="Times New Roman"/>
          <w:sz w:val="24"/>
          <w:szCs w:val="24"/>
        </w:rPr>
        <w:t>W</w:t>
      </w:r>
      <w:r w:rsidR="00F36AC6">
        <w:rPr>
          <w:rFonts w:ascii="Times New Roman" w:hAnsi="Times New Roman"/>
          <w:sz w:val="24"/>
          <w:szCs w:val="24"/>
        </w:rPr>
        <w:t>ith respect to E</w:t>
      </w:r>
      <w:r w:rsidR="004B2CA5" w:rsidRPr="001C146C">
        <w:rPr>
          <w:rFonts w:ascii="Times New Roman" w:hAnsi="Times New Roman"/>
          <w:sz w:val="24"/>
          <w:szCs w:val="24"/>
        </w:rPr>
        <w:t xml:space="preserve">mployee </w:t>
      </w:r>
      <w:r w:rsidR="00F36AC6">
        <w:rPr>
          <w:rFonts w:ascii="Times New Roman" w:hAnsi="Times New Roman"/>
          <w:sz w:val="24"/>
          <w:szCs w:val="24"/>
        </w:rPr>
        <w:t>I</w:t>
      </w:r>
      <w:r w:rsidR="004B2CA5" w:rsidRPr="001C146C">
        <w:rPr>
          <w:rFonts w:ascii="Times New Roman" w:hAnsi="Times New Roman"/>
          <w:sz w:val="24"/>
          <w:szCs w:val="24"/>
        </w:rPr>
        <w:t xml:space="preserve">nsurance </w:t>
      </w:r>
      <w:r w:rsidR="00F36AC6">
        <w:rPr>
          <w:rFonts w:ascii="Times New Roman" w:hAnsi="Times New Roman"/>
          <w:sz w:val="24"/>
          <w:szCs w:val="24"/>
        </w:rPr>
        <w:t>Adjustments 14.21 and 6.21,</w:t>
      </w:r>
      <w:r w:rsidR="004B2CA5" w:rsidRPr="001C146C">
        <w:rPr>
          <w:rFonts w:ascii="Times New Roman" w:hAnsi="Times New Roman"/>
          <w:sz w:val="24"/>
          <w:szCs w:val="24"/>
        </w:rPr>
        <w:t xml:space="preserve"> on rebuttal</w:t>
      </w:r>
      <w:r w:rsidR="00B44975">
        <w:rPr>
          <w:rFonts w:ascii="Times New Roman" w:hAnsi="Times New Roman"/>
          <w:sz w:val="24"/>
          <w:szCs w:val="24"/>
        </w:rPr>
        <w:t>,</w:t>
      </w:r>
      <w:r w:rsidR="004B2CA5" w:rsidRPr="001C146C">
        <w:rPr>
          <w:rFonts w:ascii="Times New Roman" w:hAnsi="Times New Roman"/>
          <w:sz w:val="24"/>
          <w:szCs w:val="24"/>
        </w:rPr>
        <w:t xml:space="preserve"> PSE used </w:t>
      </w:r>
      <w:r w:rsidR="00186BCB" w:rsidRPr="001C146C">
        <w:rPr>
          <w:rFonts w:ascii="Times New Roman" w:hAnsi="Times New Roman"/>
          <w:sz w:val="24"/>
          <w:szCs w:val="24"/>
        </w:rPr>
        <w:t xml:space="preserve">an </w:t>
      </w:r>
      <w:r w:rsidR="004B2CA5" w:rsidRPr="001C146C">
        <w:rPr>
          <w:rFonts w:ascii="Times New Roman" w:hAnsi="Times New Roman"/>
          <w:sz w:val="24"/>
          <w:szCs w:val="24"/>
        </w:rPr>
        <w:t xml:space="preserve">average </w:t>
      </w:r>
      <w:r w:rsidR="003E0C01">
        <w:rPr>
          <w:rFonts w:ascii="Times New Roman" w:hAnsi="Times New Roman"/>
          <w:sz w:val="24"/>
          <w:szCs w:val="24"/>
        </w:rPr>
        <w:t>p</w:t>
      </w:r>
      <w:r w:rsidR="004B2CA5" w:rsidRPr="001C146C">
        <w:rPr>
          <w:rFonts w:ascii="Times New Roman" w:hAnsi="Times New Roman"/>
          <w:sz w:val="24"/>
          <w:szCs w:val="24"/>
        </w:rPr>
        <w:t>articipant count of 2,817, wh</w:t>
      </w:r>
      <w:r w:rsidR="00BB048E" w:rsidRPr="001C146C">
        <w:rPr>
          <w:rFonts w:ascii="Times New Roman" w:hAnsi="Times New Roman"/>
          <w:sz w:val="24"/>
          <w:szCs w:val="24"/>
        </w:rPr>
        <w:t xml:space="preserve">ich excluded laid off employees, and </w:t>
      </w:r>
      <w:r w:rsidR="00186BCB" w:rsidRPr="001C146C">
        <w:rPr>
          <w:rFonts w:ascii="Times New Roman" w:hAnsi="Times New Roman"/>
          <w:sz w:val="24"/>
          <w:szCs w:val="24"/>
        </w:rPr>
        <w:t xml:space="preserve">an </w:t>
      </w:r>
      <w:r w:rsidR="002A0121" w:rsidRPr="001C146C">
        <w:rPr>
          <w:rFonts w:ascii="Times New Roman" w:hAnsi="Times New Roman"/>
          <w:sz w:val="24"/>
          <w:szCs w:val="24"/>
        </w:rPr>
        <w:t xml:space="preserve">average cost per union </w:t>
      </w:r>
      <w:r w:rsidR="00BB048E" w:rsidRPr="001C146C">
        <w:rPr>
          <w:rFonts w:ascii="Times New Roman" w:hAnsi="Times New Roman"/>
          <w:sz w:val="24"/>
          <w:szCs w:val="24"/>
        </w:rPr>
        <w:t>employee of $988</w:t>
      </w:r>
      <w:r w:rsidR="004B2CA5" w:rsidRPr="001C146C">
        <w:rPr>
          <w:rFonts w:ascii="Times New Roman" w:hAnsi="Times New Roman"/>
          <w:sz w:val="24"/>
          <w:szCs w:val="24"/>
        </w:rPr>
        <w:t>.</w:t>
      </w:r>
      <w:r w:rsidR="004B2CA5">
        <w:rPr>
          <w:rStyle w:val="FootnoteReference"/>
          <w:rFonts w:ascii="Times New Roman" w:hAnsi="Times New Roman"/>
          <w:sz w:val="24"/>
          <w:szCs w:val="24"/>
        </w:rPr>
        <w:footnoteReference w:id="153"/>
      </w:r>
      <w:r w:rsidR="00425372" w:rsidRPr="001C146C">
        <w:rPr>
          <w:rFonts w:ascii="Times New Roman" w:hAnsi="Times New Roman"/>
          <w:sz w:val="24"/>
          <w:szCs w:val="24"/>
        </w:rPr>
        <w:t xml:space="preserve">  </w:t>
      </w:r>
      <w:r w:rsidR="00186BCB" w:rsidRPr="001C146C">
        <w:rPr>
          <w:rFonts w:ascii="Times New Roman" w:hAnsi="Times New Roman"/>
          <w:sz w:val="24"/>
          <w:szCs w:val="24"/>
        </w:rPr>
        <w:t>Staff accepts PSE</w:t>
      </w:r>
      <w:r w:rsidR="003E0C01">
        <w:rPr>
          <w:rFonts w:ascii="Times New Roman" w:hAnsi="Times New Roman"/>
          <w:sz w:val="24"/>
          <w:szCs w:val="24"/>
        </w:rPr>
        <w:t>’s proposals</w:t>
      </w:r>
      <w:r w:rsidR="00B44975">
        <w:rPr>
          <w:rFonts w:ascii="Times New Roman" w:hAnsi="Times New Roman"/>
          <w:sz w:val="24"/>
          <w:szCs w:val="24"/>
        </w:rPr>
        <w:t>, making</w:t>
      </w:r>
      <w:r w:rsidR="00746771">
        <w:rPr>
          <w:rFonts w:ascii="Times New Roman" w:hAnsi="Times New Roman"/>
          <w:sz w:val="24"/>
          <w:szCs w:val="24"/>
        </w:rPr>
        <w:t xml:space="preserve"> th</w:t>
      </w:r>
      <w:r w:rsidR="00F36AC6">
        <w:rPr>
          <w:rFonts w:ascii="Times New Roman" w:hAnsi="Times New Roman"/>
          <w:sz w:val="24"/>
          <w:szCs w:val="24"/>
        </w:rPr>
        <w:t>e adjustments uncontested</w:t>
      </w:r>
      <w:r w:rsidR="00FE2B38" w:rsidRPr="001C146C">
        <w:rPr>
          <w:rFonts w:ascii="Times New Roman" w:hAnsi="Times New Roman"/>
          <w:sz w:val="24"/>
          <w:szCs w:val="24"/>
        </w:rPr>
        <w:t>.</w:t>
      </w:r>
    </w:p>
    <w:p w:rsidR="005E3DDE" w:rsidRPr="00CF1160" w:rsidRDefault="001C146C" w:rsidP="001C146C">
      <w:pPr>
        <w:pStyle w:val="Answer-Testimony"/>
        <w:numPr>
          <w:ilvl w:val="0"/>
          <w:numId w:val="1"/>
        </w:numPr>
        <w:rPr>
          <w:b/>
        </w:rPr>
      </w:pPr>
      <w:r>
        <w:tab/>
      </w:r>
      <w:r w:rsidR="005E3DDE">
        <w:t>Finally, on rebuttal</w:t>
      </w:r>
      <w:r w:rsidR="00A94786">
        <w:t xml:space="preserve">, PSE </w:t>
      </w:r>
      <w:r w:rsidR="005E3DDE">
        <w:t xml:space="preserve">updated </w:t>
      </w:r>
      <w:r w:rsidR="005E3DDE" w:rsidRPr="005E3DDE">
        <w:t>Revenue and Expenses Adjustment</w:t>
      </w:r>
      <w:r w:rsidR="005E3DDE">
        <w:t>s 14.02 and 6.02</w:t>
      </w:r>
      <w:r w:rsidR="00746771" w:rsidRPr="00746771">
        <w:t xml:space="preserve"> </w:t>
      </w:r>
      <w:r w:rsidR="00746771">
        <w:t>to incorporate the impact on revenues of the settlement agreement on electric cost of service and rate design, and to reflect the exit of a major industrial gas customer in the spring of 2012.</w:t>
      </w:r>
      <w:r w:rsidR="005E3DDE">
        <w:rPr>
          <w:rStyle w:val="FootnoteReference"/>
        </w:rPr>
        <w:footnoteReference w:id="154"/>
      </w:r>
    </w:p>
    <w:p w:rsidR="005E3DDE" w:rsidRDefault="005E3DDE" w:rsidP="00A94786">
      <w:pPr>
        <w:pStyle w:val="Answer-Testimony"/>
        <w:ind w:left="0" w:firstLine="0"/>
      </w:pPr>
      <w:r>
        <w:t>Staff agre</w:t>
      </w:r>
      <w:r w:rsidR="00A94786">
        <w:t>es with the</w:t>
      </w:r>
      <w:r w:rsidR="00746771">
        <w:t>se</w:t>
      </w:r>
      <w:r w:rsidR="00A94786">
        <w:t xml:space="preserve"> </w:t>
      </w:r>
      <w:r w:rsidR="00746771">
        <w:t>update</w:t>
      </w:r>
      <w:r w:rsidR="00A94786">
        <w:t xml:space="preserve">s, which makes </w:t>
      </w:r>
      <w:r w:rsidR="00746771">
        <w:t xml:space="preserve">these adjustments </w:t>
      </w:r>
      <w:r w:rsidR="00A94786">
        <w:t>uncontested.</w:t>
      </w:r>
    </w:p>
    <w:p w:rsidR="006920B1" w:rsidRDefault="007D3D53" w:rsidP="007D3D53">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B</w:t>
      </w:r>
      <w:r w:rsidR="006920B1" w:rsidRPr="006920B1">
        <w:rPr>
          <w:rFonts w:ascii="Times New Roman" w:hAnsi="Times New Roman" w:cs="Times New Roman"/>
          <w:b/>
          <w:sz w:val="24"/>
          <w:szCs w:val="24"/>
        </w:rPr>
        <w:t>.</w:t>
      </w:r>
      <w:r w:rsidR="006920B1" w:rsidRPr="006920B1">
        <w:rPr>
          <w:rFonts w:ascii="Times New Roman" w:hAnsi="Times New Roman" w:cs="Times New Roman"/>
          <w:b/>
          <w:sz w:val="24"/>
          <w:szCs w:val="24"/>
        </w:rPr>
        <w:tab/>
        <w:t>Contested Ratemaking Adjustments</w:t>
      </w:r>
      <w:r w:rsidR="00C60C81">
        <w:rPr>
          <w:rFonts w:ascii="Times New Roman" w:hAnsi="Times New Roman" w:cs="Times New Roman"/>
          <w:b/>
          <w:sz w:val="24"/>
          <w:szCs w:val="24"/>
        </w:rPr>
        <w:t>-Rate of Return Impact Only</w:t>
      </w:r>
    </w:p>
    <w:p w:rsidR="00C60C81" w:rsidRPr="001C146C" w:rsidRDefault="001C146C" w:rsidP="00B31A27">
      <w:pPr>
        <w:pStyle w:val="ListParagraph"/>
        <w:numPr>
          <w:ilvl w:val="0"/>
          <w:numId w:val="1"/>
        </w:numPr>
        <w:spacing w:line="480" w:lineRule="auto"/>
        <w:rPr>
          <w:rFonts w:ascii="Times New Roman" w:hAnsi="Times New Roman"/>
          <w:sz w:val="24"/>
        </w:rPr>
      </w:pPr>
      <w:r>
        <w:rPr>
          <w:rFonts w:ascii="Times New Roman" w:hAnsi="Times New Roman"/>
          <w:sz w:val="24"/>
        </w:rPr>
        <w:tab/>
      </w:r>
      <w:r w:rsidR="00453062" w:rsidRPr="001C146C">
        <w:rPr>
          <w:rFonts w:ascii="Times New Roman" w:hAnsi="Times New Roman"/>
          <w:sz w:val="24"/>
        </w:rPr>
        <w:t xml:space="preserve">The following </w:t>
      </w:r>
      <w:r w:rsidR="00C60C81" w:rsidRPr="001C146C">
        <w:rPr>
          <w:rFonts w:ascii="Times New Roman" w:hAnsi="Times New Roman"/>
          <w:sz w:val="24"/>
        </w:rPr>
        <w:t xml:space="preserve">adjustments are contested as between PSE and Staff, but only </w:t>
      </w:r>
      <w:r w:rsidR="006D4CB3" w:rsidRPr="001C146C">
        <w:rPr>
          <w:rFonts w:ascii="Times New Roman" w:hAnsi="Times New Roman"/>
          <w:sz w:val="24"/>
        </w:rPr>
        <w:t>to</w:t>
      </w:r>
      <w:r w:rsidR="002A2EB4">
        <w:rPr>
          <w:rFonts w:ascii="Times New Roman" w:hAnsi="Times New Roman"/>
          <w:sz w:val="24"/>
        </w:rPr>
        <w:t xml:space="preserve"> reflect</w:t>
      </w:r>
      <w:r w:rsidR="006D4CB3" w:rsidRPr="001C146C">
        <w:rPr>
          <w:rFonts w:ascii="Times New Roman" w:hAnsi="Times New Roman"/>
          <w:sz w:val="24"/>
        </w:rPr>
        <w:t xml:space="preserve"> differences in rate of return</w:t>
      </w:r>
      <w:r w:rsidR="00C60C81" w:rsidRPr="001C146C">
        <w:rPr>
          <w:rFonts w:ascii="Times New Roman" w:hAnsi="Times New Roman"/>
          <w:sz w:val="24"/>
        </w:rPr>
        <w:t>:</w:t>
      </w:r>
    </w:p>
    <w:p w:rsidR="00C60C81" w:rsidRDefault="00C60C81" w:rsidP="00B31A27">
      <w:pPr>
        <w:keepNext/>
        <w:spacing w:after="0" w:line="480" w:lineRule="auto"/>
        <w:ind w:firstLine="720"/>
        <w:rPr>
          <w:rFonts w:ascii="Times New Roman" w:hAnsi="Times New Roman"/>
          <w:sz w:val="24"/>
          <w:u w:val="single"/>
        </w:rPr>
      </w:pPr>
      <w:r w:rsidRPr="00C60C81">
        <w:rPr>
          <w:rFonts w:ascii="Times New Roman" w:hAnsi="Times New Roman"/>
          <w:sz w:val="24"/>
          <w:u w:val="single"/>
        </w:rPr>
        <w:t>Electricity Adjustments</w:t>
      </w:r>
      <w:r>
        <w:rPr>
          <w:rFonts w:ascii="Times New Roman" w:hAnsi="Times New Roman"/>
          <w:sz w:val="24"/>
        </w:rPr>
        <w:tab/>
      </w:r>
      <w:r>
        <w:rPr>
          <w:rFonts w:ascii="Times New Roman" w:hAnsi="Times New Roman"/>
          <w:sz w:val="24"/>
        </w:rPr>
        <w:tab/>
      </w:r>
      <w:r>
        <w:rPr>
          <w:rFonts w:ascii="Times New Roman" w:hAnsi="Times New Roman"/>
          <w:sz w:val="24"/>
        </w:rPr>
        <w:tab/>
      </w:r>
      <w:r w:rsidRPr="00C60C81">
        <w:rPr>
          <w:rFonts w:ascii="Times New Roman" w:hAnsi="Times New Roman"/>
          <w:sz w:val="24"/>
          <w:u w:val="single"/>
        </w:rPr>
        <w:t>Natural Gas Adjustments</w:t>
      </w:r>
    </w:p>
    <w:p w:rsidR="00C60C81" w:rsidRDefault="00C60C81" w:rsidP="00B31A27">
      <w:pPr>
        <w:keepNext/>
        <w:spacing w:after="0" w:line="240" w:lineRule="auto"/>
        <w:rPr>
          <w:rFonts w:ascii="Times New Roman" w:hAnsi="Times New Roman"/>
          <w:sz w:val="24"/>
        </w:rPr>
      </w:pPr>
      <w:r>
        <w:rPr>
          <w:rFonts w:ascii="Times New Roman" w:hAnsi="Times New Roman"/>
          <w:sz w:val="24"/>
        </w:rPr>
        <w:tab/>
        <w:t>13.05, Wild Horse Solar</w:t>
      </w:r>
      <w:r>
        <w:rPr>
          <w:rFonts w:ascii="Times New Roman" w:hAnsi="Times New Roman"/>
          <w:sz w:val="24"/>
        </w:rPr>
        <w:tab/>
      </w:r>
      <w:r>
        <w:rPr>
          <w:rFonts w:ascii="Times New Roman" w:hAnsi="Times New Roman"/>
          <w:sz w:val="24"/>
        </w:rPr>
        <w:tab/>
      </w:r>
      <w:r>
        <w:rPr>
          <w:rFonts w:ascii="Times New Roman" w:hAnsi="Times New Roman"/>
          <w:sz w:val="24"/>
        </w:rPr>
        <w:tab/>
        <w:t>5.01, Water Heater Depreciation</w:t>
      </w:r>
    </w:p>
    <w:p w:rsidR="00C60C81" w:rsidRDefault="00C60C81" w:rsidP="00C60C81">
      <w:pPr>
        <w:spacing w:after="0" w:line="240" w:lineRule="auto"/>
        <w:rPr>
          <w:rFonts w:ascii="Times New Roman" w:hAnsi="Times New Roman"/>
          <w:sz w:val="24"/>
        </w:rPr>
      </w:pPr>
      <w:r>
        <w:rPr>
          <w:rFonts w:ascii="Times New Roman" w:hAnsi="Times New Roman"/>
          <w:sz w:val="24"/>
        </w:rPr>
        <w:tab/>
        <w:t xml:space="preserve">13.08, </w:t>
      </w:r>
      <w:r w:rsidR="00A94786">
        <w:rPr>
          <w:rFonts w:ascii="Times New Roman" w:hAnsi="Times New Roman"/>
          <w:sz w:val="24"/>
        </w:rPr>
        <w:t>Remove Tenaska</w:t>
      </w:r>
      <w:r w:rsidR="00A94786">
        <w:rPr>
          <w:rFonts w:ascii="Times New Roman" w:hAnsi="Times New Roman"/>
          <w:sz w:val="24"/>
        </w:rPr>
        <w:tab/>
      </w:r>
      <w:r w:rsidR="00A94786">
        <w:rPr>
          <w:rFonts w:ascii="Times New Roman" w:hAnsi="Times New Roman"/>
          <w:sz w:val="24"/>
        </w:rPr>
        <w:tab/>
      </w:r>
      <w:r w:rsidR="00A94786">
        <w:rPr>
          <w:rFonts w:ascii="Times New Roman" w:hAnsi="Times New Roman"/>
          <w:sz w:val="24"/>
        </w:rPr>
        <w:tab/>
        <w:t>5.02, Reclass B</w:t>
      </w:r>
      <w:r>
        <w:rPr>
          <w:rFonts w:ascii="Times New Roman" w:hAnsi="Times New Roman"/>
          <w:sz w:val="24"/>
        </w:rPr>
        <w:t>are to Wrapped Steel</w:t>
      </w:r>
    </w:p>
    <w:p w:rsidR="00C60C81" w:rsidRDefault="00C60C81" w:rsidP="00C60C81">
      <w:pPr>
        <w:spacing w:after="0" w:line="240" w:lineRule="auto"/>
        <w:rPr>
          <w:rFonts w:ascii="Times New Roman" w:hAnsi="Times New Roman"/>
          <w:sz w:val="24"/>
        </w:rPr>
      </w:pPr>
      <w:r>
        <w:rPr>
          <w:rFonts w:ascii="Times New Roman" w:hAnsi="Times New Roman"/>
          <w:sz w:val="24"/>
        </w:rPr>
        <w:tab/>
        <w:t>13.09, Chelan Payments</w:t>
      </w:r>
      <w:r>
        <w:rPr>
          <w:rFonts w:ascii="Times New Roman" w:hAnsi="Times New Roman"/>
          <w:sz w:val="24"/>
        </w:rPr>
        <w:tab/>
      </w:r>
      <w:r>
        <w:rPr>
          <w:rFonts w:ascii="Times New Roman" w:hAnsi="Times New Roman"/>
          <w:sz w:val="24"/>
        </w:rPr>
        <w:tab/>
      </w:r>
      <w:r>
        <w:rPr>
          <w:rFonts w:ascii="Times New Roman" w:hAnsi="Times New Roman"/>
          <w:sz w:val="24"/>
        </w:rPr>
        <w:tab/>
        <w:t>6.07, General Plant Depreciation</w:t>
      </w:r>
    </w:p>
    <w:p w:rsidR="001C3208" w:rsidRDefault="001C3208" w:rsidP="00C60C81">
      <w:pPr>
        <w:spacing w:after="0" w:line="240" w:lineRule="auto"/>
        <w:rPr>
          <w:rFonts w:ascii="Times New Roman" w:hAnsi="Times New Roman" w:cs="Times New Roman"/>
          <w:sz w:val="24"/>
          <w:szCs w:val="24"/>
        </w:rPr>
      </w:pPr>
      <w:r>
        <w:rPr>
          <w:rFonts w:ascii="Times New Roman" w:hAnsi="Times New Roman"/>
          <w:sz w:val="24"/>
        </w:rPr>
        <w:tab/>
      </w:r>
      <w:r w:rsidRPr="008E0D31">
        <w:rPr>
          <w:rFonts w:ascii="Times New Roman" w:hAnsi="Times New Roman" w:cs="Times New Roman"/>
          <w:sz w:val="24"/>
          <w:szCs w:val="24"/>
        </w:rPr>
        <w:t>14.07, General Plant Depreciation</w:t>
      </w:r>
    </w:p>
    <w:p w:rsidR="005E3DDE" w:rsidRDefault="005E3DDE" w:rsidP="00C60C81">
      <w:pPr>
        <w:spacing w:after="0" w:line="240" w:lineRule="auto"/>
        <w:rPr>
          <w:rFonts w:ascii="Times New Roman" w:hAnsi="Times New Roman" w:cs="Times New Roman"/>
          <w:sz w:val="24"/>
          <w:szCs w:val="24"/>
        </w:rPr>
      </w:pPr>
    </w:p>
    <w:p w:rsidR="00C60C81" w:rsidRDefault="001C146C" w:rsidP="001C146C">
      <w:pPr>
        <w:pStyle w:val="BodyTextIndent2"/>
        <w:numPr>
          <w:ilvl w:val="0"/>
          <w:numId w:val="1"/>
        </w:numPr>
        <w:tabs>
          <w:tab w:val="left" w:pos="-3780"/>
          <w:tab w:val="left" w:pos="-3600"/>
        </w:tabs>
        <w:spacing w:after="0"/>
        <w:rPr>
          <w:rFonts w:ascii="Times New Roman" w:hAnsi="Times New Roman"/>
          <w:sz w:val="24"/>
        </w:rPr>
      </w:pPr>
      <w:r>
        <w:rPr>
          <w:rFonts w:ascii="Times New Roman" w:hAnsi="Times New Roman"/>
          <w:sz w:val="24"/>
        </w:rPr>
        <w:tab/>
      </w:r>
      <w:r w:rsidR="00F91DAE" w:rsidRPr="00546C60">
        <w:rPr>
          <w:rFonts w:ascii="Times New Roman" w:hAnsi="Times New Roman"/>
          <w:sz w:val="24"/>
        </w:rPr>
        <w:t>In addition, Adjustment 13.03, LSR PPD Transmission Deposit</w:t>
      </w:r>
      <w:r w:rsidR="00F91DAE">
        <w:rPr>
          <w:rFonts w:ascii="Times New Roman" w:hAnsi="Times New Roman"/>
          <w:sz w:val="24"/>
        </w:rPr>
        <w:t>, involves</w:t>
      </w:r>
      <w:r w:rsidR="00F91DAE" w:rsidRPr="00546C60">
        <w:rPr>
          <w:lang w:eastAsia="zh-CN"/>
        </w:rPr>
        <w:t xml:space="preserve"> </w:t>
      </w:r>
      <w:r w:rsidR="00F91DAE" w:rsidRPr="00546C60">
        <w:rPr>
          <w:rFonts w:ascii="Times New Roman" w:hAnsi="Times New Roman" w:cs="Times New Roman"/>
          <w:sz w:val="24"/>
          <w:szCs w:val="24"/>
          <w:lang w:eastAsia="zh-CN"/>
        </w:rPr>
        <w:t xml:space="preserve">prepaid </w:t>
      </w:r>
      <w:r w:rsidR="00F91DAE">
        <w:rPr>
          <w:rFonts w:ascii="Times New Roman" w:hAnsi="Times New Roman" w:cs="Times New Roman"/>
          <w:sz w:val="24"/>
          <w:szCs w:val="24"/>
          <w:lang w:eastAsia="zh-CN"/>
        </w:rPr>
        <w:t>transmiss</w:t>
      </w:r>
      <w:r w:rsidR="002A2EB4">
        <w:rPr>
          <w:rFonts w:ascii="Times New Roman" w:hAnsi="Times New Roman" w:cs="Times New Roman"/>
          <w:sz w:val="24"/>
          <w:szCs w:val="24"/>
          <w:lang w:eastAsia="zh-CN"/>
        </w:rPr>
        <w:t xml:space="preserve">ion deposits made to BPA </w:t>
      </w:r>
      <w:r w:rsidR="00F91DAE">
        <w:rPr>
          <w:rFonts w:ascii="Times New Roman" w:hAnsi="Times New Roman" w:cs="Times New Roman"/>
          <w:sz w:val="24"/>
          <w:szCs w:val="24"/>
          <w:lang w:eastAsia="zh-CN"/>
        </w:rPr>
        <w:t>for</w:t>
      </w:r>
      <w:r w:rsidR="003E0C01">
        <w:rPr>
          <w:rFonts w:ascii="Times New Roman" w:hAnsi="Times New Roman" w:cs="Times New Roman"/>
          <w:sz w:val="24"/>
          <w:szCs w:val="24"/>
          <w:lang w:eastAsia="zh-CN"/>
        </w:rPr>
        <w:t xml:space="preserve"> LSR</w:t>
      </w:r>
      <w:r w:rsidR="00F91DAE">
        <w:rPr>
          <w:rFonts w:ascii="Times New Roman" w:hAnsi="Times New Roman" w:cs="Times New Roman"/>
          <w:sz w:val="24"/>
          <w:szCs w:val="24"/>
          <w:lang w:eastAsia="zh-CN"/>
        </w:rPr>
        <w:t xml:space="preserve">.  Other than the impact of rate of return, PSE accepted </w:t>
      </w:r>
      <w:r w:rsidR="003E0C01">
        <w:rPr>
          <w:rFonts w:ascii="Times New Roman" w:hAnsi="Times New Roman" w:cs="Times New Roman"/>
          <w:sz w:val="24"/>
          <w:szCs w:val="24"/>
          <w:lang w:eastAsia="zh-CN"/>
        </w:rPr>
        <w:t>the Staff adjustment</w:t>
      </w:r>
      <w:r w:rsidR="00F91DAE">
        <w:rPr>
          <w:rFonts w:ascii="Times New Roman" w:hAnsi="Times New Roman" w:cs="Times New Roman"/>
          <w:sz w:val="24"/>
          <w:szCs w:val="24"/>
          <w:lang w:eastAsia="zh-CN"/>
        </w:rPr>
        <w:t>.</w:t>
      </w:r>
      <w:r w:rsidR="00F91DAE">
        <w:rPr>
          <w:rStyle w:val="FootnoteReference"/>
          <w:rFonts w:ascii="Times New Roman" w:hAnsi="Times New Roman"/>
          <w:sz w:val="24"/>
          <w:szCs w:val="24"/>
          <w:lang w:eastAsia="zh-CN"/>
        </w:rPr>
        <w:footnoteReference w:id="155"/>
      </w:r>
      <w:r w:rsidR="003E0C01">
        <w:rPr>
          <w:rFonts w:ascii="Times New Roman" w:hAnsi="Times New Roman" w:cs="Times New Roman"/>
          <w:sz w:val="24"/>
          <w:szCs w:val="24"/>
          <w:lang w:eastAsia="zh-CN"/>
        </w:rPr>
        <w:t xml:space="preserve">  </w:t>
      </w:r>
      <w:r w:rsidR="002107E8" w:rsidRPr="002107E8">
        <w:rPr>
          <w:rFonts w:ascii="Times New Roman" w:hAnsi="Times New Roman" w:cs="Times New Roman"/>
          <w:bCs/>
          <w:sz w:val="24"/>
          <w:szCs w:val="24"/>
        </w:rPr>
        <w:t>Moreover, Commission resolution of the adjustmen</w:t>
      </w:r>
      <w:r w:rsidR="003E0C01">
        <w:rPr>
          <w:rFonts w:ascii="Times New Roman" w:hAnsi="Times New Roman" w:cs="Times New Roman"/>
          <w:bCs/>
          <w:sz w:val="24"/>
          <w:szCs w:val="24"/>
        </w:rPr>
        <w:t xml:space="preserve">t will dispose of the </w:t>
      </w:r>
      <w:r w:rsidR="002107E8" w:rsidRPr="002107E8">
        <w:rPr>
          <w:rFonts w:ascii="Times New Roman" w:hAnsi="Times New Roman" w:cs="Times New Roman"/>
          <w:bCs/>
          <w:sz w:val="24"/>
          <w:szCs w:val="24"/>
        </w:rPr>
        <w:t xml:space="preserve">accounting petition in Docket UE-100882, where the Company requested deferred accounting treatment of the </w:t>
      </w:r>
      <w:r w:rsidR="002107E8">
        <w:rPr>
          <w:rFonts w:ascii="Times New Roman" w:hAnsi="Times New Roman" w:cs="Times New Roman"/>
          <w:bCs/>
          <w:sz w:val="24"/>
          <w:szCs w:val="24"/>
        </w:rPr>
        <w:t>prepaid deposits</w:t>
      </w:r>
      <w:r w:rsidR="002107E8" w:rsidRPr="002107E8">
        <w:rPr>
          <w:rFonts w:ascii="Times New Roman" w:hAnsi="Times New Roman" w:cs="Times New Roman"/>
          <w:bCs/>
          <w:sz w:val="24"/>
          <w:szCs w:val="24"/>
        </w:rPr>
        <w:t>.</w:t>
      </w:r>
      <w:r w:rsidR="002107E8" w:rsidRPr="002107E8">
        <w:rPr>
          <w:rStyle w:val="FootnoteReference"/>
          <w:rFonts w:ascii="Times New Roman" w:hAnsi="Times New Roman"/>
          <w:bCs/>
          <w:sz w:val="24"/>
          <w:szCs w:val="24"/>
        </w:rPr>
        <w:footnoteReference w:id="156"/>
      </w:r>
    </w:p>
    <w:p w:rsidR="00C60C81" w:rsidRDefault="007D3D53" w:rsidP="001C146C">
      <w:pPr>
        <w:keepNext/>
        <w:spacing w:after="0" w:line="480" w:lineRule="auto"/>
        <w:rPr>
          <w:rFonts w:ascii="Times New Roman" w:hAnsi="Times New Roman"/>
          <w:b/>
          <w:sz w:val="24"/>
        </w:rPr>
      </w:pPr>
      <w:r>
        <w:rPr>
          <w:rFonts w:ascii="Times New Roman" w:hAnsi="Times New Roman"/>
          <w:b/>
          <w:sz w:val="24"/>
        </w:rPr>
        <w:lastRenderedPageBreak/>
        <w:t>C</w:t>
      </w:r>
      <w:r w:rsidR="002E7A0E" w:rsidRPr="002E7A0E">
        <w:rPr>
          <w:rFonts w:ascii="Times New Roman" w:hAnsi="Times New Roman"/>
          <w:b/>
          <w:sz w:val="24"/>
        </w:rPr>
        <w:t>.</w:t>
      </w:r>
      <w:r w:rsidR="002E7A0E">
        <w:rPr>
          <w:rFonts w:ascii="Times New Roman" w:hAnsi="Times New Roman"/>
          <w:sz w:val="24"/>
        </w:rPr>
        <w:tab/>
      </w:r>
      <w:r w:rsidR="002E7A0E" w:rsidRPr="00066BBA">
        <w:rPr>
          <w:rFonts w:ascii="Times New Roman" w:hAnsi="Times New Roman"/>
          <w:b/>
          <w:sz w:val="24"/>
        </w:rPr>
        <w:t xml:space="preserve">Contested </w:t>
      </w:r>
      <w:r w:rsidR="002E7A0E">
        <w:rPr>
          <w:rFonts w:ascii="Times New Roman" w:hAnsi="Times New Roman"/>
          <w:b/>
          <w:sz w:val="24"/>
        </w:rPr>
        <w:t xml:space="preserve">Ratemaking </w:t>
      </w:r>
      <w:r w:rsidR="002E7A0E" w:rsidRPr="00066BBA">
        <w:rPr>
          <w:rFonts w:ascii="Times New Roman" w:hAnsi="Times New Roman"/>
          <w:b/>
          <w:sz w:val="24"/>
        </w:rPr>
        <w:t>Adjustments</w:t>
      </w:r>
    </w:p>
    <w:p w:rsidR="004F6171" w:rsidRDefault="004F6171" w:rsidP="00546C60">
      <w:pPr>
        <w:spacing w:after="0" w:line="480" w:lineRule="auto"/>
        <w:rPr>
          <w:rFonts w:ascii="Times New Roman" w:hAnsi="Times New Roman"/>
          <w:b/>
          <w:sz w:val="24"/>
        </w:rPr>
      </w:pPr>
      <w:r>
        <w:rPr>
          <w:rFonts w:ascii="Times New Roman" w:hAnsi="Times New Roman"/>
          <w:b/>
          <w:sz w:val="24"/>
        </w:rPr>
        <w:tab/>
        <w:t>1.</w:t>
      </w:r>
      <w:r>
        <w:rPr>
          <w:rFonts w:ascii="Times New Roman" w:hAnsi="Times New Roman"/>
          <w:b/>
          <w:sz w:val="24"/>
        </w:rPr>
        <w:tab/>
        <w:t>Contested Electricity-Only Adjustments</w:t>
      </w:r>
    </w:p>
    <w:p w:rsidR="004F6171" w:rsidRDefault="00546C60" w:rsidP="00C60C81">
      <w:pPr>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t>a</w:t>
      </w:r>
      <w:r w:rsidR="004F6171">
        <w:rPr>
          <w:rFonts w:ascii="Times New Roman" w:hAnsi="Times New Roman"/>
          <w:b/>
          <w:sz w:val="24"/>
        </w:rPr>
        <w:t>.</w:t>
      </w:r>
      <w:r w:rsidR="004F6171">
        <w:rPr>
          <w:rFonts w:ascii="Times New Roman" w:hAnsi="Times New Roman"/>
          <w:b/>
          <w:sz w:val="24"/>
        </w:rPr>
        <w:tab/>
        <w:t>Adjustment 13.01, Power Costs</w:t>
      </w:r>
    </w:p>
    <w:p w:rsidR="00113A9D" w:rsidRPr="002D2FB8" w:rsidRDefault="001C146C" w:rsidP="00113A9D">
      <w:pPr>
        <w:pStyle w:val="ListParagraph"/>
        <w:numPr>
          <w:ilvl w:val="0"/>
          <w:numId w:val="1"/>
        </w:numPr>
        <w:spacing w:line="480" w:lineRule="auto"/>
        <w:rPr>
          <w:rFonts w:ascii="Times New Roman" w:hAnsi="Times New Roman"/>
          <w:sz w:val="24"/>
        </w:rPr>
      </w:pPr>
      <w:r w:rsidRPr="002D2FB8">
        <w:rPr>
          <w:rFonts w:ascii="Times New Roman" w:hAnsi="Times New Roman"/>
          <w:sz w:val="24"/>
        </w:rPr>
        <w:tab/>
      </w:r>
      <w:r w:rsidR="00A90994" w:rsidRPr="002D2FB8">
        <w:rPr>
          <w:rFonts w:ascii="Times New Roman" w:hAnsi="Times New Roman"/>
          <w:sz w:val="24"/>
        </w:rPr>
        <w:t>Initially</w:t>
      </w:r>
      <w:r w:rsidR="00282ABF" w:rsidRPr="002D2FB8">
        <w:rPr>
          <w:rFonts w:ascii="Times New Roman" w:hAnsi="Times New Roman"/>
          <w:sz w:val="24"/>
        </w:rPr>
        <w:t xml:space="preserve">, Staff recommended </w:t>
      </w:r>
      <w:r w:rsidR="00502D43" w:rsidRPr="002D2FB8">
        <w:rPr>
          <w:rFonts w:ascii="Times New Roman" w:hAnsi="Times New Roman"/>
          <w:sz w:val="24"/>
        </w:rPr>
        <w:t xml:space="preserve">adjustments </w:t>
      </w:r>
      <w:r w:rsidR="002D2FB8">
        <w:rPr>
          <w:rFonts w:ascii="Times New Roman" w:hAnsi="Times New Roman"/>
          <w:sz w:val="24"/>
        </w:rPr>
        <w:t>reducing</w:t>
      </w:r>
      <w:r w:rsidR="00502D43" w:rsidRPr="002D2FB8">
        <w:rPr>
          <w:rFonts w:ascii="Times New Roman" w:hAnsi="Times New Roman"/>
          <w:sz w:val="24"/>
        </w:rPr>
        <w:t xml:space="preserve"> normalized power costs</w:t>
      </w:r>
      <w:r w:rsidR="00B6509A" w:rsidRPr="002D2FB8">
        <w:rPr>
          <w:rFonts w:ascii="Times New Roman" w:hAnsi="Times New Roman"/>
          <w:sz w:val="24"/>
        </w:rPr>
        <w:t xml:space="preserve"> by $23.9 million</w:t>
      </w:r>
      <w:r w:rsidR="008A6A18" w:rsidRPr="002D2FB8">
        <w:rPr>
          <w:rFonts w:ascii="Times New Roman" w:hAnsi="Times New Roman"/>
          <w:sz w:val="24"/>
        </w:rPr>
        <w:t>.</w:t>
      </w:r>
      <w:r w:rsidR="008A6A18">
        <w:rPr>
          <w:rStyle w:val="FootnoteReference"/>
          <w:rFonts w:ascii="Times New Roman" w:hAnsi="Times New Roman"/>
          <w:sz w:val="24"/>
        </w:rPr>
        <w:footnoteReference w:id="157"/>
      </w:r>
      <w:r w:rsidR="00282ABF" w:rsidRPr="002D2FB8">
        <w:rPr>
          <w:rFonts w:ascii="Times New Roman" w:hAnsi="Times New Roman"/>
          <w:sz w:val="24"/>
        </w:rPr>
        <w:t xml:space="preserve">  </w:t>
      </w:r>
      <w:r w:rsidR="000A7D55" w:rsidRPr="002D2FB8">
        <w:rPr>
          <w:rFonts w:ascii="Times New Roman" w:hAnsi="Times New Roman"/>
          <w:sz w:val="24"/>
        </w:rPr>
        <w:t>Later i</w:t>
      </w:r>
      <w:r w:rsidR="00DA3234" w:rsidRPr="002D2FB8">
        <w:rPr>
          <w:rFonts w:ascii="Times New Roman" w:hAnsi="Times New Roman"/>
          <w:sz w:val="24"/>
        </w:rPr>
        <w:t>nf</w:t>
      </w:r>
      <w:r w:rsidR="00A90994" w:rsidRPr="002D2FB8">
        <w:rPr>
          <w:rFonts w:ascii="Times New Roman" w:hAnsi="Times New Roman"/>
          <w:sz w:val="24"/>
        </w:rPr>
        <w:t xml:space="preserve">ormation </w:t>
      </w:r>
      <w:r w:rsidR="002D2FB8">
        <w:rPr>
          <w:rFonts w:ascii="Times New Roman" w:hAnsi="Times New Roman"/>
          <w:sz w:val="24"/>
        </w:rPr>
        <w:t xml:space="preserve">presented by PSE in rebuttal </w:t>
      </w:r>
      <w:r w:rsidR="00DA3234" w:rsidRPr="002D2FB8">
        <w:rPr>
          <w:rFonts w:ascii="Times New Roman" w:hAnsi="Times New Roman"/>
          <w:sz w:val="24"/>
        </w:rPr>
        <w:t>allows Sta</w:t>
      </w:r>
      <w:r w:rsidR="002A2EB4" w:rsidRPr="002D2FB8">
        <w:rPr>
          <w:rFonts w:ascii="Times New Roman" w:hAnsi="Times New Roman"/>
          <w:sz w:val="24"/>
        </w:rPr>
        <w:t xml:space="preserve">ff to reconsider several </w:t>
      </w:r>
      <w:r w:rsidR="00A90994" w:rsidRPr="002D2FB8">
        <w:rPr>
          <w:rFonts w:ascii="Times New Roman" w:hAnsi="Times New Roman"/>
          <w:sz w:val="24"/>
        </w:rPr>
        <w:t xml:space="preserve">adjustments.  Staff’s </w:t>
      </w:r>
      <w:r w:rsidR="00DA3234" w:rsidRPr="002D2FB8">
        <w:rPr>
          <w:rFonts w:ascii="Times New Roman" w:hAnsi="Times New Roman"/>
          <w:sz w:val="24"/>
        </w:rPr>
        <w:t>adjustments now reduce ra</w:t>
      </w:r>
      <w:r w:rsidR="00722921" w:rsidRPr="002D2FB8">
        <w:rPr>
          <w:rFonts w:ascii="Times New Roman" w:hAnsi="Times New Roman"/>
          <w:sz w:val="24"/>
        </w:rPr>
        <w:t xml:space="preserve">te year power costs by </w:t>
      </w:r>
      <w:r w:rsidR="002D2FB8" w:rsidRPr="002D2FB8">
        <w:rPr>
          <w:rFonts w:ascii="Times New Roman" w:hAnsi="Times New Roman"/>
          <w:sz w:val="24"/>
        </w:rPr>
        <w:t>$24.9 million</w:t>
      </w:r>
      <w:r w:rsidR="00453062" w:rsidRPr="002D2FB8">
        <w:rPr>
          <w:rFonts w:ascii="Times New Roman" w:hAnsi="Times New Roman"/>
          <w:sz w:val="24"/>
        </w:rPr>
        <w:t xml:space="preserve">, </w:t>
      </w:r>
      <w:r w:rsidR="00113A9D" w:rsidRPr="002D2FB8">
        <w:rPr>
          <w:rFonts w:ascii="Times New Roman" w:hAnsi="Times New Roman"/>
          <w:sz w:val="24"/>
        </w:rPr>
        <w:t>subject to</w:t>
      </w:r>
      <w:r w:rsidR="00453062" w:rsidRPr="002D2FB8">
        <w:rPr>
          <w:rFonts w:ascii="Times New Roman" w:hAnsi="Times New Roman"/>
          <w:sz w:val="24"/>
        </w:rPr>
        <w:t xml:space="preserve"> </w:t>
      </w:r>
      <w:r w:rsidR="00722921" w:rsidRPr="002D2FB8">
        <w:rPr>
          <w:rFonts w:ascii="Times New Roman" w:hAnsi="Times New Roman"/>
          <w:sz w:val="24"/>
        </w:rPr>
        <w:t>a final power cos</w:t>
      </w:r>
      <w:r w:rsidR="003E0C01" w:rsidRPr="002D2FB8">
        <w:rPr>
          <w:rFonts w:ascii="Times New Roman" w:hAnsi="Times New Roman"/>
          <w:sz w:val="24"/>
        </w:rPr>
        <w:t>t update</w:t>
      </w:r>
      <w:r w:rsidR="002D2FB8" w:rsidRPr="002D2FB8">
        <w:rPr>
          <w:rFonts w:ascii="Times New Roman" w:hAnsi="Times New Roman"/>
          <w:sz w:val="24"/>
        </w:rPr>
        <w:t>.</w:t>
      </w:r>
      <w:r w:rsidR="002D2FB8">
        <w:rPr>
          <w:rFonts w:ascii="Times New Roman" w:hAnsi="Times New Roman"/>
          <w:sz w:val="24"/>
        </w:rPr>
        <w:t xml:space="preserve">  A re-conciliation between Staff’s initial and revised power cost adjustments is shown in Attachment A.</w:t>
      </w:r>
    </w:p>
    <w:p w:rsidR="00502D43" w:rsidRDefault="002107E8" w:rsidP="007D3D53">
      <w:pPr>
        <w:keepNext/>
        <w:spacing w:after="0" w:line="240" w:lineRule="auto"/>
        <w:ind w:left="2880" w:hanging="720"/>
        <w:rPr>
          <w:rFonts w:ascii="Times New Roman" w:hAnsi="Times New Roman"/>
          <w:b/>
          <w:sz w:val="24"/>
        </w:rPr>
      </w:pPr>
      <w:r>
        <w:rPr>
          <w:rFonts w:ascii="Times New Roman" w:hAnsi="Times New Roman"/>
          <w:b/>
          <w:sz w:val="24"/>
        </w:rPr>
        <w:t>i.</w:t>
      </w:r>
      <w:r>
        <w:rPr>
          <w:rFonts w:ascii="Times New Roman" w:hAnsi="Times New Roman"/>
          <w:b/>
          <w:sz w:val="24"/>
        </w:rPr>
        <w:tab/>
        <w:t xml:space="preserve">Non Contract Major Maintenance Using Average of Five Year Actual Costs </w:t>
      </w:r>
    </w:p>
    <w:p w:rsidR="002107E8" w:rsidRDefault="002107E8" w:rsidP="007D3D53">
      <w:pPr>
        <w:keepNext/>
        <w:spacing w:after="0" w:line="240" w:lineRule="auto"/>
        <w:ind w:left="2880" w:hanging="720"/>
        <w:rPr>
          <w:rFonts w:ascii="Times New Roman" w:hAnsi="Times New Roman"/>
          <w:b/>
          <w:sz w:val="24"/>
        </w:rPr>
      </w:pPr>
    </w:p>
    <w:p w:rsidR="00916301" w:rsidRPr="001C146C" w:rsidRDefault="001C146C" w:rsidP="001C146C">
      <w:pPr>
        <w:pStyle w:val="ListParagraph"/>
        <w:numPr>
          <w:ilvl w:val="0"/>
          <w:numId w:val="1"/>
        </w:numPr>
        <w:spacing w:line="480" w:lineRule="auto"/>
        <w:rPr>
          <w:rFonts w:ascii="Times New Roman" w:hAnsi="Times New Roman"/>
          <w:sz w:val="24"/>
          <w:szCs w:val="24"/>
        </w:rPr>
      </w:pPr>
      <w:r>
        <w:rPr>
          <w:rFonts w:ascii="Times New Roman" w:hAnsi="Times New Roman"/>
          <w:sz w:val="24"/>
        </w:rPr>
        <w:tab/>
      </w:r>
      <w:r w:rsidR="006354C5" w:rsidRPr="001C146C">
        <w:rPr>
          <w:rFonts w:ascii="Times New Roman" w:hAnsi="Times New Roman"/>
          <w:sz w:val="24"/>
        </w:rPr>
        <w:t>This a</w:t>
      </w:r>
      <w:r w:rsidR="00AC6B02" w:rsidRPr="001C146C">
        <w:rPr>
          <w:rFonts w:ascii="Times New Roman" w:hAnsi="Times New Roman"/>
          <w:sz w:val="24"/>
        </w:rPr>
        <w:t xml:space="preserve">djustment normalizes production O&amp;M costs </w:t>
      </w:r>
      <w:r w:rsidR="006354C5" w:rsidRPr="001C146C">
        <w:rPr>
          <w:rFonts w:ascii="Times New Roman" w:hAnsi="Times New Roman"/>
          <w:sz w:val="24"/>
        </w:rPr>
        <w:t xml:space="preserve">for </w:t>
      </w:r>
      <w:r w:rsidR="00FE2B38" w:rsidRPr="001C146C">
        <w:rPr>
          <w:rFonts w:ascii="Times New Roman" w:hAnsi="Times New Roman"/>
          <w:sz w:val="24"/>
        </w:rPr>
        <w:t xml:space="preserve">major maintenance </w:t>
      </w:r>
      <w:r w:rsidR="00AC6B02" w:rsidRPr="001C146C">
        <w:rPr>
          <w:rFonts w:ascii="Times New Roman" w:hAnsi="Times New Roman"/>
          <w:sz w:val="24"/>
        </w:rPr>
        <w:t xml:space="preserve">on </w:t>
      </w:r>
      <w:r w:rsidR="006354C5" w:rsidRPr="001C146C">
        <w:rPr>
          <w:rFonts w:ascii="Times New Roman" w:hAnsi="Times New Roman"/>
          <w:sz w:val="24"/>
        </w:rPr>
        <w:t xml:space="preserve">PSE’s </w:t>
      </w:r>
      <w:r w:rsidR="00AC6B02" w:rsidRPr="001C146C">
        <w:rPr>
          <w:rFonts w:ascii="Times New Roman" w:hAnsi="Times New Roman"/>
          <w:sz w:val="24"/>
        </w:rPr>
        <w:t xml:space="preserve">self-managed thermal generation </w:t>
      </w:r>
      <w:r w:rsidR="006354C5" w:rsidRPr="001C146C">
        <w:rPr>
          <w:rFonts w:ascii="Times New Roman" w:hAnsi="Times New Roman"/>
          <w:sz w:val="24"/>
        </w:rPr>
        <w:t>resou</w:t>
      </w:r>
      <w:r w:rsidR="00D36AEB" w:rsidRPr="001C146C">
        <w:rPr>
          <w:rFonts w:ascii="Times New Roman" w:hAnsi="Times New Roman"/>
          <w:sz w:val="24"/>
        </w:rPr>
        <w:t>rces.</w:t>
      </w:r>
      <w:r w:rsidR="00463980">
        <w:rPr>
          <w:rStyle w:val="FootnoteReference"/>
          <w:rFonts w:ascii="Times New Roman" w:hAnsi="Times New Roman"/>
          <w:sz w:val="24"/>
        </w:rPr>
        <w:footnoteReference w:id="158"/>
      </w:r>
      <w:r w:rsidR="00D36AEB" w:rsidRPr="001C146C">
        <w:rPr>
          <w:rFonts w:ascii="Times New Roman" w:hAnsi="Times New Roman"/>
          <w:sz w:val="24"/>
        </w:rPr>
        <w:t xml:space="preserve">  </w:t>
      </w:r>
      <w:r w:rsidR="00186BCB" w:rsidRPr="001C146C">
        <w:rPr>
          <w:rFonts w:ascii="Times New Roman" w:hAnsi="Times New Roman"/>
          <w:sz w:val="24"/>
          <w:szCs w:val="24"/>
        </w:rPr>
        <w:t xml:space="preserve">PSE uses </w:t>
      </w:r>
      <w:r w:rsidR="00D52E68" w:rsidRPr="001C146C">
        <w:rPr>
          <w:rFonts w:ascii="Times New Roman" w:hAnsi="Times New Roman"/>
          <w:sz w:val="24"/>
          <w:szCs w:val="24"/>
        </w:rPr>
        <w:t xml:space="preserve">test year expense levels for </w:t>
      </w:r>
      <w:r w:rsidR="00D36AEB" w:rsidRPr="001C146C">
        <w:rPr>
          <w:rFonts w:ascii="Times New Roman" w:hAnsi="Times New Roman"/>
          <w:sz w:val="24"/>
          <w:szCs w:val="24"/>
        </w:rPr>
        <w:t>each r</w:t>
      </w:r>
      <w:r w:rsidR="002A0121" w:rsidRPr="001C146C">
        <w:rPr>
          <w:rFonts w:ascii="Times New Roman" w:hAnsi="Times New Roman"/>
          <w:sz w:val="24"/>
          <w:szCs w:val="24"/>
        </w:rPr>
        <w:t xml:space="preserve">esource, ignoring the fact that </w:t>
      </w:r>
      <w:r w:rsidR="00D36AEB" w:rsidRPr="001C146C">
        <w:rPr>
          <w:rFonts w:ascii="Times New Roman" w:hAnsi="Times New Roman"/>
          <w:sz w:val="24"/>
          <w:szCs w:val="24"/>
        </w:rPr>
        <w:t xml:space="preserve">the </w:t>
      </w:r>
      <w:r w:rsidR="00AC6B02" w:rsidRPr="001C146C">
        <w:rPr>
          <w:rFonts w:ascii="Times New Roman" w:hAnsi="Times New Roman"/>
          <w:sz w:val="24"/>
          <w:szCs w:val="24"/>
        </w:rPr>
        <w:t>units have shown</w:t>
      </w:r>
      <w:r w:rsidR="00D52E68" w:rsidRPr="001C146C">
        <w:rPr>
          <w:rFonts w:ascii="Times New Roman" w:hAnsi="Times New Roman"/>
          <w:sz w:val="24"/>
          <w:szCs w:val="24"/>
        </w:rPr>
        <w:t xml:space="preserve"> significant variability and no discerni</w:t>
      </w:r>
      <w:r w:rsidR="002A0121" w:rsidRPr="001C146C">
        <w:rPr>
          <w:rFonts w:ascii="Times New Roman" w:hAnsi="Times New Roman"/>
          <w:sz w:val="24"/>
          <w:szCs w:val="24"/>
        </w:rPr>
        <w:t xml:space="preserve">ble trend in </w:t>
      </w:r>
      <w:r w:rsidR="00FE2B38" w:rsidRPr="001C146C">
        <w:rPr>
          <w:rFonts w:ascii="Times New Roman" w:hAnsi="Times New Roman"/>
          <w:sz w:val="24"/>
          <w:szCs w:val="24"/>
        </w:rPr>
        <w:t>expense</w:t>
      </w:r>
      <w:r w:rsidR="00D52E68" w:rsidRPr="001C146C">
        <w:rPr>
          <w:rFonts w:ascii="Times New Roman" w:hAnsi="Times New Roman"/>
          <w:sz w:val="24"/>
          <w:szCs w:val="24"/>
        </w:rPr>
        <w:t>.</w:t>
      </w:r>
      <w:r w:rsidR="00D52E68" w:rsidRPr="00BB048E">
        <w:rPr>
          <w:rStyle w:val="FootnoteReference"/>
          <w:rFonts w:ascii="Times New Roman" w:hAnsi="Times New Roman"/>
          <w:sz w:val="24"/>
          <w:szCs w:val="24"/>
        </w:rPr>
        <w:footnoteReference w:id="159"/>
      </w:r>
      <w:r w:rsidR="00D52E68" w:rsidRPr="001C146C">
        <w:rPr>
          <w:rFonts w:ascii="Times New Roman" w:hAnsi="Times New Roman"/>
          <w:sz w:val="24"/>
          <w:szCs w:val="24"/>
        </w:rPr>
        <w:t xml:space="preserve">  For example, Fred</w:t>
      </w:r>
      <w:r w:rsidR="005856D8" w:rsidRPr="001C146C">
        <w:rPr>
          <w:rFonts w:ascii="Times New Roman" w:hAnsi="Times New Roman"/>
          <w:sz w:val="24"/>
          <w:szCs w:val="24"/>
        </w:rPr>
        <w:t xml:space="preserve">onia Units 1-4 show </w:t>
      </w:r>
      <w:r w:rsidR="00BB048E" w:rsidRPr="001C146C">
        <w:rPr>
          <w:rFonts w:ascii="Times New Roman" w:hAnsi="Times New Roman"/>
          <w:sz w:val="24"/>
          <w:szCs w:val="24"/>
        </w:rPr>
        <w:t xml:space="preserve">annual non-contract, major maintenance O&amp;M </w:t>
      </w:r>
      <w:r w:rsidR="00D52E68" w:rsidRPr="001C146C">
        <w:rPr>
          <w:rFonts w:ascii="Times New Roman" w:hAnsi="Times New Roman"/>
          <w:sz w:val="24"/>
          <w:szCs w:val="24"/>
        </w:rPr>
        <w:t xml:space="preserve">ranging </w:t>
      </w:r>
      <w:r w:rsidR="002A0121" w:rsidRPr="001C146C">
        <w:rPr>
          <w:rFonts w:ascii="Times New Roman" w:hAnsi="Times New Roman"/>
          <w:sz w:val="24"/>
          <w:szCs w:val="24"/>
        </w:rPr>
        <w:t>from zero to $1.8 million over</w:t>
      </w:r>
      <w:r w:rsidR="00D52E68" w:rsidRPr="001C146C">
        <w:rPr>
          <w:rFonts w:ascii="Times New Roman" w:hAnsi="Times New Roman"/>
          <w:sz w:val="24"/>
          <w:szCs w:val="24"/>
        </w:rPr>
        <w:t xml:space="preserve"> the last six years.  Never</w:t>
      </w:r>
      <w:r w:rsidR="002A0121" w:rsidRPr="001C146C">
        <w:rPr>
          <w:rFonts w:ascii="Times New Roman" w:hAnsi="Times New Roman"/>
          <w:sz w:val="24"/>
          <w:szCs w:val="24"/>
        </w:rPr>
        <w:t xml:space="preserve">theless, PSE </w:t>
      </w:r>
      <w:r w:rsidR="00D52E68" w:rsidRPr="001C146C">
        <w:rPr>
          <w:rFonts w:ascii="Times New Roman" w:hAnsi="Times New Roman"/>
          <w:sz w:val="24"/>
          <w:szCs w:val="24"/>
        </w:rPr>
        <w:t xml:space="preserve">uses the </w:t>
      </w:r>
      <w:r w:rsidR="004A516C" w:rsidRPr="001C146C">
        <w:rPr>
          <w:rFonts w:ascii="Times New Roman" w:hAnsi="Times New Roman"/>
          <w:sz w:val="24"/>
          <w:szCs w:val="24"/>
        </w:rPr>
        <w:t>2010 test year expense of $1.8 million</w:t>
      </w:r>
      <w:r w:rsidR="00D52E68" w:rsidRPr="001C146C">
        <w:rPr>
          <w:rFonts w:ascii="Times New Roman" w:hAnsi="Times New Roman"/>
          <w:sz w:val="24"/>
          <w:szCs w:val="24"/>
        </w:rPr>
        <w:t xml:space="preserve">.  </w:t>
      </w:r>
      <w:r w:rsidR="00916301" w:rsidRPr="001C146C">
        <w:rPr>
          <w:rFonts w:ascii="Times New Roman" w:hAnsi="Times New Roman"/>
          <w:sz w:val="24"/>
          <w:szCs w:val="24"/>
        </w:rPr>
        <w:t>Fredericks</w:t>
      </w:r>
      <w:r w:rsidR="00BB048E" w:rsidRPr="001C146C">
        <w:rPr>
          <w:rFonts w:ascii="Times New Roman" w:hAnsi="Times New Roman"/>
          <w:sz w:val="24"/>
          <w:szCs w:val="24"/>
        </w:rPr>
        <w:t xml:space="preserve">on Units 1 and 2 expenses </w:t>
      </w:r>
      <w:r w:rsidR="00916301" w:rsidRPr="001C146C">
        <w:rPr>
          <w:rFonts w:ascii="Times New Roman" w:hAnsi="Times New Roman"/>
          <w:sz w:val="24"/>
          <w:szCs w:val="24"/>
        </w:rPr>
        <w:t>range from zero to $4.8 million over the same t</w:t>
      </w:r>
      <w:r w:rsidR="00BB048E" w:rsidRPr="001C146C">
        <w:rPr>
          <w:rFonts w:ascii="Times New Roman" w:hAnsi="Times New Roman"/>
          <w:sz w:val="24"/>
          <w:szCs w:val="24"/>
        </w:rPr>
        <w:t xml:space="preserve">ime frame, but PSE </w:t>
      </w:r>
      <w:r w:rsidR="00916301" w:rsidRPr="001C146C">
        <w:rPr>
          <w:rFonts w:ascii="Times New Roman" w:hAnsi="Times New Roman"/>
          <w:sz w:val="24"/>
          <w:szCs w:val="24"/>
        </w:rPr>
        <w:t>uses the 2010 test period level of $4.8 million.</w:t>
      </w:r>
    </w:p>
    <w:p w:rsidR="00D52E68" w:rsidRDefault="001C146C" w:rsidP="001C146C">
      <w:pPr>
        <w:pStyle w:val="BodyTextIndent"/>
        <w:numPr>
          <w:ilvl w:val="0"/>
          <w:numId w:val="1"/>
        </w:numPr>
      </w:pPr>
      <w:r>
        <w:tab/>
      </w:r>
      <w:r w:rsidR="000964BA">
        <w:t>Clearly</w:t>
      </w:r>
      <w:r w:rsidR="00456607">
        <w:t>,</w:t>
      </w:r>
      <w:r w:rsidR="000964BA">
        <w:t xml:space="preserve"> </w:t>
      </w:r>
      <w:r w:rsidR="00D52E68">
        <w:t>the simple use of tes</w:t>
      </w:r>
      <w:r w:rsidR="00C34359">
        <w:t xml:space="preserve">t year amounts is </w:t>
      </w:r>
      <w:r w:rsidR="00916301">
        <w:t xml:space="preserve">excessive </w:t>
      </w:r>
      <w:r w:rsidR="00BB048E">
        <w:t xml:space="preserve">and, therefore, </w:t>
      </w:r>
      <w:r w:rsidR="00D52E68">
        <w:t>a wider ran</w:t>
      </w:r>
      <w:r w:rsidR="00FE2B38">
        <w:t>ge of actual historical experience</w:t>
      </w:r>
      <w:r w:rsidR="00D52E68">
        <w:t xml:space="preserve"> should be used</w:t>
      </w:r>
      <w:r w:rsidR="00BB048E">
        <w:t xml:space="preserve"> to normalize power costs</w:t>
      </w:r>
      <w:r w:rsidR="00D52E68">
        <w:t>.</w:t>
      </w:r>
      <w:r w:rsidR="00916301">
        <w:t xml:space="preserve">  Staff’s adjustmen</w:t>
      </w:r>
      <w:r w:rsidR="00453062">
        <w:t>t uses</w:t>
      </w:r>
      <w:r w:rsidR="00916301">
        <w:t xml:space="preserve"> a 5-year average of annual non-contract</w:t>
      </w:r>
      <w:r w:rsidR="00BB048E">
        <w:t>,</w:t>
      </w:r>
      <w:r w:rsidR="00916301">
        <w:t xml:space="preserve"> </w:t>
      </w:r>
      <w:r w:rsidR="00BB048E">
        <w:t>major ma</w:t>
      </w:r>
      <w:r w:rsidR="002A2EB4">
        <w:t xml:space="preserve">intenance </w:t>
      </w:r>
      <w:r w:rsidR="00916301">
        <w:t>f</w:t>
      </w:r>
      <w:r w:rsidR="002A2EB4">
        <w:t xml:space="preserve">rom 2006 through 2010.  This </w:t>
      </w:r>
      <w:r w:rsidR="00456607">
        <w:t xml:space="preserve">derives a </w:t>
      </w:r>
      <w:r w:rsidR="004A516C">
        <w:t>rate year</w:t>
      </w:r>
      <w:r w:rsidR="00916301">
        <w:t xml:space="preserve"> </w:t>
      </w:r>
      <w:r w:rsidR="00385770">
        <w:t xml:space="preserve">expense </w:t>
      </w:r>
      <w:r w:rsidR="00916301">
        <w:t>of</w:t>
      </w:r>
      <w:r w:rsidR="00BB048E">
        <w:t xml:space="preserve"> $4.66 </w:t>
      </w:r>
      <w:r w:rsidR="002A2EB4">
        <w:t xml:space="preserve">million </w:t>
      </w:r>
      <w:r w:rsidR="00456607">
        <w:t>compared</w:t>
      </w:r>
      <w:r w:rsidR="00385770">
        <w:t xml:space="preserve"> to PSE</w:t>
      </w:r>
      <w:r w:rsidR="00916301">
        <w:t xml:space="preserve">’s </w:t>
      </w:r>
      <w:r w:rsidR="000964BA">
        <w:t>$8.2 million.</w:t>
      </w:r>
      <w:r w:rsidR="000964BA">
        <w:rPr>
          <w:rStyle w:val="FootnoteReference"/>
        </w:rPr>
        <w:footnoteReference w:id="160"/>
      </w:r>
    </w:p>
    <w:p w:rsidR="004A516C" w:rsidRDefault="001C146C" w:rsidP="001C146C">
      <w:pPr>
        <w:pStyle w:val="BodyTextIndent"/>
        <w:numPr>
          <w:ilvl w:val="0"/>
          <w:numId w:val="1"/>
        </w:numPr>
      </w:pPr>
      <w:r>
        <w:lastRenderedPageBreak/>
        <w:tab/>
      </w:r>
      <w:r w:rsidR="00AC6B02">
        <w:t>The Co</w:t>
      </w:r>
      <w:r w:rsidR="00267760">
        <w:t xml:space="preserve">mpany argues that </w:t>
      </w:r>
      <w:r w:rsidR="00453062">
        <w:t xml:space="preserve">Staff </w:t>
      </w:r>
      <w:r w:rsidR="00267760">
        <w:t xml:space="preserve">understates </w:t>
      </w:r>
      <w:r w:rsidR="00392B10">
        <w:t>non-contract</w:t>
      </w:r>
      <w:r w:rsidR="00267760">
        <w:t xml:space="preserve"> </w:t>
      </w:r>
      <w:r w:rsidR="002A2EB4">
        <w:t>major maintenance</w:t>
      </w:r>
      <w:r w:rsidR="00BB048E">
        <w:t xml:space="preserve"> </w:t>
      </w:r>
      <w:r w:rsidR="00267760">
        <w:t xml:space="preserve">because it does not capture more recent </w:t>
      </w:r>
      <w:r w:rsidR="00AC6B02">
        <w:t>operating regimens or cost escalations experienced</w:t>
      </w:r>
      <w:r w:rsidR="00267760">
        <w:t xml:space="preserve"> by those resources.</w:t>
      </w:r>
      <w:r w:rsidR="00267760">
        <w:rPr>
          <w:rStyle w:val="FootnoteReference"/>
        </w:rPr>
        <w:footnoteReference w:id="161"/>
      </w:r>
      <w:r w:rsidR="00267760">
        <w:t xml:space="preserve">  However,</w:t>
      </w:r>
      <w:r w:rsidR="00197D95">
        <w:t xml:space="preserve"> PSE does not address the</w:t>
      </w:r>
      <w:r w:rsidR="00392B10">
        <w:t xml:space="preserve"> </w:t>
      </w:r>
      <w:r w:rsidR="00133B23">
        <w:t xml:space="preserve">un-rebutted </w:t>
      </w:r>
      <w:r w:rsidR="00C34359">
        <w:t>historical variability of the expenses</w:t>
      </w:r>
      <w:r w:rsidR="00DD6A96">
        <w:t xml:space="preserve">.  Nor has PSE </w:t>
      </w:r>
      <w:r w:rsidR="00385770">
        <w:t xml:space="preserve">demonstrated that cost escalations will </w:t>
      </w:r>
      <w:r w:rsidR="00DD6A96">
        <w:t xml:space="preserve">hold for the rate year.  </w:t>
      </w:r>
    </w:p>
    <w:p w:rsidR="006354C5" w:rsidRPr="006354C5" w:rsidRDefault="001C146C" w:rsidP="001C146C">
      <w:pPr>
        <w:pStyle w:val="BodyTextIndent"/>
        <w:numPr>
          <w:ilvl w:val="0"/>
          <w:numId w:val="1"/>
        </w:numPr>
      </w:pPr>
      <w:r>
        <w:tab/>
      </w:r>
      <w:r w:rsidR="00743E3D">
        <w:t xml:space="preserve">PSE </w:t>
      </w:r>
      <w:r w:rsidR="00392B10">
        <w:t xml:space="preserve">did identify an error in Staff’s adjustment because </w:t>
      </w:r>
      <w:r w:rsidR="00262F5E">
        <w:t xml:space="preserve">the </w:t>
      </w:r>
      <w:r w:rsidR="00392B10">
        <w:t>Sumas, Goldendale, and M</w:t>
      </w:r>
      <w:r w:rsidR="00743E3D">
        <w:t>int Farm</w:t>
      </w:r>
      <w:r w:rsidR="00262F5E">
        <w:t xml:space="preserve"> plants </w:t>
      </w:r>
      <w:r w:rsidR="00743E3D">
        <w:t xml:space="preserve">were not owned during the entire </w:t>
      </w:r>
      <w:r w:rsidR="00392B10">
        <w:t>pe</w:t>
      </w:r>
      <w:r w:rsidR="0008328A">
        <w:t>riod used by Staff</w:t>
      </w:r>
      <w:r w:rsidR="00392B10">
        <w:t>.</w:t>
      </w:r>
      <w:r w:rsidR="00392B10">
        <w:rPr>
          <w:rStyle w:val="FootnoteReference"/>
        </w:rPr>
        <w:footnoteReference w:id="162"/>
      </w:r>
      <w:r w:rsidR="00392B10">
        <w:t xml:space="preserve">  Staff accepts this correc</w:t>
      </w:r>
      <w:r w:rsidR="00743E3D">
        <w:t xml:space="preserve">tion, which reduces its </w:t>
      </w:r>
      <w:r w:rsidR="00392B10">
        <w:t>adjustment from $3.5 million to $2.97 million.</w:t>
      </w:r>
      <w:r w:rsidR="00392B10">
        <w:rPr>
          <w:rStyle w:val="FootnoteReference"/>
        </w:rPr>
        <w:footnoteReference w:id="163"/>
      </w:r>
    </w:p>
    <w:p w:rsidR="00502D43" w:rsidRDefault="00502D43" w:rsidP="00257D2C">
      <w:pPr>
        <w:keepNext/>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ii.</w:t>
      </w:r>
      <w:r>
        <w:rPr>
          <w:rFonts w:ascii="Times New Roman" w:hAnsi="Times New Roman"/>
          <w:b/>
          <w:sz w:val="24"/>
        </w:rPr>
        <w:tab/>
        <w:t>BPA Transmission Service Credit</w:t>
      </w:r>
      <w:r w:rsidR="002107E8">
        <w:rPr>
          <w:rFonts w:ascii="Times New Roman" w:hAnsi="Times New Roman"/>
          <w:b/>
          <w:sz w:val="24"/>
        </w:rPr>
        <w:t xml:space="preserve"> for Lower Snake River</w:t>
      </w:r>
    </w:p>
    <w:p w:rsidR="00A469DA" w:rsidRDefault="005E1335" w:rsidP="005E1335">
      <w:pPr>
        <w:pStyle w:val="BodyTextIndent"/>
        <w:numPr>
          <w:ilvl w:val="0"/>
          <w:numId w:val="1"/>
        </w:numPr>
      </w:pPr>
      <w:r>
        <w:tab/>
      </w:r>
      <w:r w:rsidR="00DD6A96">
        <w:t xml:space="preserve">PSE </w:t>
      </w:r>
      <w:r w:rsidR="00C34359">
        <w:t xml:space="preserve">included </w:t>
      </w:r>
      <w:r w:rsidR="00DD6A96">
        <w:t xml:space="preserve">fixed and variable </w:t>
      </w:r>
      <w:r w:rsidR="00C34359">
        <w:t xml:space="preserve">expenses associated with transmission service </w:t>
      </w:r>
      <w:r w:rsidR="00743E3D">
        <w:t xml:space="preserve">from BPA </w:t>
      </w:r>
      <w:r w:rsidR="00A469DA">
        <w:t xml:space="preserve">to </w:t>
      </w:r>
      <w:r w:rsidR="00DD6A96">
        <w:t>LSR</w:t>
      </w:r>
      <w:r w:rsidR="00C34359">
        <w:t xml:space="preserve"> for the rate year</w:t>
      </w:r>
      <w:r w:rsidR="00A469DA">
        <w:t>.  This adjustment recognizes additional reven</w:t>
      </w:r>
      <w:r w:rsidR="00DD6A96">
        <w:t xml:space="preserve">ue credits due to </w:t>
      </w:r>
      <w:r w:rsidR="00A469DA">
        <w:t>a</w:t>
      </w:r>
      <w:r w:rsidR="00186BCB">
        <w:t>n ea</w:t>
      </w:r>
      <w:r w:rsidR="00C34359">
        <w:t>rlier</w:t>
      </w:r>
      <w:r w:rsidR="00A469DA">
        <w:t xml:space="preserve"> star</w:t>
      </w:r>
      <w:r w:rsidR="00DD6A96">
        <w:t>tup date of LSR</w:t>
      </w:r>
      <w:r w:rsidR="00186BCB">
        <w:t xml:space="preserve"> </w:t>
      </w:r>
      <w:r w:rsidR="00A469DA">
        <w:t xml:space="preserve">than </w:t>
      </w:r>
      <w:r w:rsidR="00C34359">
        <w:t xml:space="preserve">was </w:t>
      </w:r>
      <w:r w:rsidR="00A469DA">
        <w:t xml:space="preserve">first expected.  </w:t>
      </w:r>
    </w:p>
    <w:p w:rsidR="00392B10" w:rsidRPr="005E1335" w:rsidRDefault="005E1335" w:rsidP="005E1335">
      <w:pPr>
        <w:pStyle w:val="ListParagraph"/>
        <w:numPr>
          <w:ilvl w:val="0"/>
          <w:numId w:val="1"/>
        </w:numPr>
        <w:spacing w:line="480" w:lineRule="auto"/>
        <w:rPr>
          <w:rFonts w:ascii="Times New Roman" w:hAnsi="Times New Roman"/>
          <w:b/>
          <w:sz w:val="24"/>
        </w:rPr>
      </w:pPr>
      <w:r>
        <w:rPr>
          <w:rFonts w:ascii="Times New Roman" w:hAnsi="Times New Roman"/>
          <w:sz w:val="24"/>
          <w:szCs w:val="24"/>
        </w:rPr>
        <w:tab/>
      </w:r>
      <w:r w:rsidR="00A469DA" w:rsidRPr="005E1335">
        <w:rPr>
          <w:rFonts w:ascii="Times New Roman" w:hAnsi="Times New Roman"/>
          <w:sz w:val="24"/>
          <w:szCs w:val="24"/>
        </w:rPr>
        <w:t xml:space="preserve">PSE points out that </w:t>
      </w:r>
      <w:r w:rsidR="00186BCB" w:rsidRPr="005E1335">
        <w:rPr>
          <w:rFonts w:ascii="Times New Roman" w:hAnsi="Times New Roman"/>
          <w:sz w:val="24"/>
          <w:szCs w:val="24"/>
        </w:rPr>
        <w:t xml:space="preserve">the data </w:t>
      </w:r>
      <w:r w:rsidR="007E496D" w:rsidRPr="005E1335">
        <w:rPr>
          <w:rFonts w:ascii="Times New Roman" w:hAnsi="Times New Roman"/>
          <w:sz w:val="24"/>
          <w:szCs w:val="24"/>
        </w:rPr>
        <w:t xml:space="preserve">used by Staff </w:t>
      </w:r>
      <w:r w:rsidR="00A469DA" w:rsidRPr="005E1335">
        <w:rPr>
          <w:rFonts w:ascii="Times New Roman" w:hAnsi="Times New Roman"/>
          <w:sz w:val="24"/>
          <w:szCs w:val="24"/>
        </w:rPr>
        <w:t xml:space="preserve">has been updated and that Staff’s adjustment is duplicative </w:t>
      </w:r>
      <w:r w:rsidR="00743E3D" w:rsidRPr="005E1335">
        <w:rPr>
          <w:rFonts w:ascii="Times New Roman" w:hAnsi="Times New Roman"/>
          <w:sz w:val="24"/>
          <w:szCs w:val="24"/>
        </w:rPr>
        <w:t xml:space="preserve">of </w:t>
      </w:r>
      <w:r w:rsidR="00CC71B6" w:rsidRPr="005E1335">
        <w:rPr>
          <w:rFonts w:ascii="Times New Roman" w:hAnsi="Times New Roman"/>
          <w:sz w:val="24"/>
        </w:rPr>
        <w:t xml:space="preserve">Adjustment 13.03 </w:t>
      </w:r>
      <w:r w:rsidR="00A469DA" w:rsidRPr="005E1335">
        <w:rPr>
          <w:rFonts w:ascii="Times New Roman" w:hAnsi="Times New Roman"/>
          <w:sz w:val="24"/>
          <w:szCs w:val="24"/>
        </w:rPr>
        <w:t xml:space="preserve">for </w:t>
      </w:r>
      <w:r w:rsidR="00CC71B6" w:rsidRPr="005E1335">
        <w:rPr>
          <w:rFonts w:ascii="Times New Roman" w:hAnsi="Times New Roman"/>
          <w:sz w:val="24"/>
          <w:szCs w:val="24"/>
        </w:rPr>
        <w:t xml:space="preserve">LSR </w:t>
      </w:r>
      <w:r w:rsidR="00A469DA" w:rsidRPr="005E1335">
        <w:rPr>
          <w:rFonts w:ascii="Times New Roman" w:hAnsi="Times New Roman"/>
          <w:sz w:val="24"/>
          <w:szCs w:val="24"/>
        </w:rPr>
        <w:t>prepaid transmission deposits</w:t>
      </w:r>
      <w:r w:rsidR="00090528" w:rsidRPr="005E1335">
        <w:rPr>
          <w:rFonts w:ascii="Times New Roman" w:hAnsi="Times New Roman"/>
          <w:sz w:val="24"/>
          <w:szCs w:val="24"/>
        </w:rPr>
        <w:t>, which is uncontested.</w:t>
      </w:r>
      <w:r w:rsidR="00A469DA">
        <w:rPr>
          <w:rStyle w:val="FootnoteReference"/>
          <w:rFonts w:ascii="Times New Roman" w:hAnsi="Times New Roman"/>
          <w:sz w:val="24"/>
          <w:szCs w:val="24"/>
        </w:rPr>
        <w:footnoteReference w:id="164"/>
      </w:r>
      <w:r w:rsidR="003E23BF" w:rsidRPr="005E1335">
        <w:rPr>
          <w:rFonts w:ascii="Times New Roman" w:hAnsi="Times New Roman"/>
          <w:sz w:val="24"/>
          <w:szCs w:val="24"/>
        </w:rPr>
        <w:t xml:space="preserve">  St</w:t>
      </w:r>
      <w:r w:rsidR="00090528" w:rsidRPr="005E1335">
        <w:rPr>
          <w:rFonts w:ascii="Times New Roman" w:hAnsi="Times New Roman"/>
          <w:sz w:val="24"/>
          <w:szCs w:val="24"/>
        </w:rPr>
        <w:t xml:space="preserve">aff concurs, thus, its </w:t>
      </w:r>
      <w:r w:rsidR="00743E3D" w:rsidRPr="005E1335">
        <w:rPr>
          <w:rFonts w:ascii="Times New Roman" w:hAnsi="Times New Roman"/>
          <w:sz w:val="24"/>
          <w:szCs w:val="24"/>
        </w:rPr>
        <w:t xml:space="preserve">adjustment </w:t>
      </w:r>
      <w:r w:rsidR="002A2EB4">
        <w:rPr>
          <w:rFonts w:ascii="Times New Roman" w:hAnsi="Times New Roman"/>
          <w:sz w:val="24"/>
          <w:szCs w:val="24"/>
        </w:rPr>
        <w:t>for BPA T</w:t>
      </w:r>
      <w:r w:rsidR="003E23BF" w:rsidRPr="005E1335">
        <w:rPr>
          <w:rFonts w:ascii="Times New Roman" w:hAnsi="Times New Roman"/>
          <w:sz w:val="24"/>
          <w:szCs w:val="24"/>
        </w:rPr>
        <w:t>ransmission</w:t>
      </w:r>
      <w:r w:rsidR="002A2EB4">
        <w:rPr>
          <w:rFonts w:ascii="Times New Roman" w:hAnsi="Times New Roman"/>
          <w:sz w:val="24"/>
          <w:szCs w:val="24"/>
        </w:rPr>
        <w:t xml:space="preserve"> Service Credit</w:t>
      </w:r>
      <w:r w:rsidR="00743E3D" w:rsidRPr="005E1335">
        <w:rPr>
          <w:rFonts w:ascii="Times New Roman" w:hAnsi="Times New Roman"/>
          <w:sz w:val="24"/>
          <w:szCs w:val="24"/>
        </w:rPr>
        <w:t xml:space="preserve"> is withdrawn</w:t>
      </w:r>
      <w:r w:rsidR="00090528" w:rsidRPr="005E1335">
        <w:rPr>
          <w:rFonts w:ascii="Times New Roman" w:hAnsi="Times New Roman"/>
          <w:sz w:val="24"/>
          <w:szCs w:val="24"/>
        </w:rPr>
        <w:t>.</w:t>
      </w:r>
      <w:r w:rsidR="003E23BF">
        <w:rPr>
          <w:rStyle w:val="FootnoteReference"/>
          <w:rFonts w:ascii="Times New Roman" w:hAnsi="Times New Roman"/>
          <w:sz w:val="24"/>
          <w:szCs w:val="24"/>
        </w:rPr>
        <w:footnoteReference w:id="165"/>
      </w:r>
    </w:p>
    <w:p w:rsidR="00AF014A" w:rsidRDefault="00502D43" w:rsidP="006D60A2">
      <w:pPr>
        <w:keepNext/>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sidR="002107E8">
        <w:rPr>
          <w:rFonts w:ascii="Times New Roman" w:hAnsi="Times New Roman"/>
          <w:b/>
          <w:sz w:val="24"/>
        </w:rPr>
        <w:t>iii.</w:t>
      </w:r>
      <w:r w:rsidR="002107E8">
        <w:rPr>
          <w:rFonts w:ascii="Times New Roman" w:hAnsi="Times New Roman"/>
          <w:b/>
          <w:sz w:val="24"/>
        </w:rPr>
        <w:tab/>
        <w:t>Gas for Power Hedges Cost Recovery Limitation</w:t>
      </w:r>
    </w:p>
    <w:p w:rsidR="006F6249" w:rsidRDefault="005E1335" w:rsidP="005E1335">
      <w:pPr>
        <w:pStyle w:val="ListParagraph"/>
        <w:numPr>
          <w:ilvl w:val="0"/>
          <w:numId w:val="1"/>
        </w:numPr>
        <w:spacing w:line="480" w:lineRule="auto"/>
        <w:rPr>
          <w:rFonts w:ascii="Times New Roman" w:hAnsi="Times New Roman"/>
          <w:sz w:val="24"/>
          <w:szCs w:val="24"/>
        </w:rPr>
      </w:pPr>
      <w:r w:rsidRPr="00027E74">
        <w:rPr>
          <w:rFonts w:ascii="Times New Roman" w:hAnsi="Times New Roman"/>
          <w:sz w:val="24"/>
          <w:szCs w:val="24"/>
        </w:rPr>
        <w:tab/>
      </w:r>
      <w:r w:rsidR="0081591F" w:rsidRPr="00027E74">
        <w:rPr>
          <w:rFonts w:ascii="Times New Roman" w:hAnsi="Times New Roman"/>
          <w:sz w:val="24"/>
          <w:szCs w:val="24"/>
        </w:rPr>
        <w:t xml:space="preserve">PSE includes </w:t>
      </w:r>
      <w:r w:rsidR="003E23BF" w:rsidRPr="00027E74">
        <w:rPr>
          <w:rFonts w:ascii="Times New Roman" w:hAnsi="Times New Roman"/>
          <w:sz w:val="24"/>
          <w:szCs w:val="24"/>
        </w:rPr>
        <w:t xml:space="preserve">“mark-to-market” (“MTM”) </w:t>
      </w:r>
      <w:r w:rsidR="00F948E9" w:rsidRPr="00027E74">
        <w:rPr>
          <w:rFonts w:ascii="Times New Roman" w:hAnsi="Times New Roman"/>
          <w:sz w:val="24"/>
          <w:szCs w:val="24"/>
        </w:rPr>
        <w:t>costs related</w:t>
      </w:r>
      <w:r w:rsidR="002A2EB4" w:rsidRPr="00027E74">
        <w:rPr>
          <w:rFonts w:ascii="Times New Roman" w:hAnsi="Times New Roman"/>
          <w:sz w:val="24"/>
          <w:szCs w:val="24"/>
        </w:rPr>
        <w:t xml:space="preserve"> to the </w:t>
      </w:r>
      <w:r w:rsidR="003E23BF" w:rsidRPr="00027E74">
        <w:rPr>
          <w:rFonts w:ascii="Times New Roman" w:hAnsi="Times New Roman"/>
          <w:sz w:val="24"/>
          <w:szCs w:val="24"/>
        </w:rPr>
        <w:t xml:space="preserve">difference between the </w:t>
      </w:r>
      <w:r w:rsidR="00F948E9" w:rsidRPr="00027E74">
        <w:rPr>
          <w:rFonts w:ascii="Times New Roman" w:hAnsi="Times New Roman"/>
          <w:sz w:val="24"/>
          <w:szCs w:val="24"/>
        </w:rPr>
        <w:t xml:space="preserve">projected </w:t>
      </w:r>
      <w:r w:rsidR="003E23BF" w:rsidRPr="00027E74">
        <w:rPr>
          <w:rFonts w:ascii="Times New Roman" w:hAnsi="Times New Roman"/>
          <w:sz w:val="24"/>
          <w:szCs w:val="24"/>
        </w:rPr>
        <w:t xml:space="preserve">market price of gas and the </w:t>
      </w:r>
      <w:r w:rsidR="00A80A7A" w:rsidRPr="00027E74">
        <w:rPr>
          <w:rFonts w:ascii="Times New Roman" w:hAnsi="Times New Roman"/>
          <w:sz w:val="24"/>
          <w:szCs w:val="24"/>
        </w:rPr>
        <w:t xml:space="preserve">actual price of </w:t>
      </w:r>
      <w:r w:rsidR="003E23BF" w:rsidRPr="00027E74">
        <w:rPr>
          <w:rFonts w:ascii="Times New Roman" w:hAnsi="Times New Roman"/>
          <w:sz w:val="24"/>
          <w:szCs w:val="24"/>
        </w:rPr>
        <w:t>forward gas contra</w:t>
      </w:r>
      <w:r w:rsidR="00EF6FC4" w:rsidRPr="00027E74">
        <w:rPr>
          <w:rFonts w:ascii="Times New Roman" w:hAnsi="Times New Roman"/>
          <w:sz w:val="24"/>
          <w:szCs w:val="24"/>
        </w:rPr>
        <w:t xml:space="preserve">cts </w:t>
      </w:r>
      <w:r w:rsidR="00A949D5" w:rsidRPr="00027E74">
        <w:rPr>
          <w:rFonts w:ascii="Times New Roman" w:hAnsi="Times New Roman"/>
          <w:sz w:val="24"/>
          <w:szCs w:val="24"/>
        </w:rPr>
        <w:t xml:space="preserve">entered </w:t>
      </w:r>
      <w:r w:rsidR="003E23BF" w:rsidRPr="00027E74">
        <w:rPr>
          <w:rFonts w:ascii="Times New Roman" w:hAnsi="Times New Roman"/>
          <w:sz w:val="24"/>
          <w:szCs w:val="24"/>
        </w:rPr>
        <w:t xml:space="preserve">for the rate year. </w:t>
      </w:r>
      <w:r w:rsidR="0081591F" w:rsidRPr="00027E74">
        <w:rPr>
          <w:rFonts w:ascii="Times New Roman" w:hAnsi="Times New Roman"/>
          <w:sz w:val="24"/>
          <w:szCs w:val="24"/>
        </w:rPr>
        <w:t xml:space="preserve"> </w:t>
      </w:r>
      <w:r w:rsidR="00133B23">
        <w:rPr>
          <w:rFonts w:ascii="Times New Roman" w:hAnsi="Times New Roman"/>
          <w:sz w:val="24"/>
          <w:szCs w:val="24"/>
        </w:rPr>
        <w:t xml:space="preserve">For the following </w:t>
      </w:r>
      <w:r w:rsidR="00027E74" w:rsidRPr="00027E74">
        <w:rPr>
          <w:rFonts w:ascii="Times New Roman" w:hAnsi="Times New Roman"/>
          <w:sz w:val="24"/>
          <w:szCs w:val="24"/>
        </w:rPr>
        <w:t xml:space="preserve">reasons, </w:t>
      </w:r>
      <w:r w:rsidR="00F77BE4" w:rsidRPr="00027E74">
        <w:rPr>
          <w:rFonts w:ascii="Times New Roman" w:hAnsi="Times New Roman"/>
          <w:sz w:val="24"/>
          <w:szCs w:val="24"/>
        </w:rPr>
        <w:t>Staff rem</w:t>
      </w:r>
      <w:r w:rsidR="004C4492" w:rsidRPr="00027E74">
        <w:rPr>
          <w:rFonts w:ascii="Times New Roman" w:hAnsi="Times New Roman"/>
          <w:sz w:val="24"/>
          <w:szCs w:val="24"/>
        </w:rPr>
        <w:t xml:space="preserve">oved </w:t>
      </w:r>
      <w:r w:rsidR="00F77BE4" w:rsidRPr="00027E74">
        <w:rPr>
          <w:rFonts w:ascii="Times New Roman" w:hAnsi="Times New Roman"/>
          <w:sz w:val="24"/>
          <w:szCs w:val="24"/>
        </w:rPr>
        <w:t>MTM costs asso</w:t>
      </w:r>
      <w:r w:rsidR="00EF6FC4" w:rsidRPr="00027E74">
        <w:rPr>
          <w:rFonts w:ascii="Times New Roman" w:hAnsi="Times New Roman"/>
          <w:sz w:val="24"/>
          <w:szCs w:val="24"/>
        </w:rPr>
        <w:t xml:space="preserve">ciated with hedged gas </w:t>
      </w:r>
      <w:r w:rsidR="00F77BE4" w:rsidRPr="00027E74">
        <w:rPr>
          <w:rFonts w:ascii="Times New Roman" w:hAnsi="Times New Roman"/>
          <w:sz w:val="24"/>
          <w:szCs w:val="24"/>
        </w:rPr>
        <w:t>that are greater than the volumes actually calculated by PSE to determine normalized power costs</w:t>
      </w:r>
      <w:r w:rsidR="00027E74">
        <w:rPr>
          <w:rFonts w:ascii="Times New Roman" w:hAnsi="Times New Roman"/>
          <w:sz w:val="24"/>
          <w:szCs w:val="24"/>
        </w:rPr>
        <w:t>:</w:t>
      </w:r>
      <w:r w:rsidR="0015039C" w:rsidRPr="00027E74">
        <w:rPr>
          <w:rFonts w:ascii="Times New Roman" w:hAnsi="Times New Roman"/>
          <w:sz w:val="24"/>
          <w:szCs w:val="24"/>
        </w:rPr>
        <w:t xml:space="preserve"> </w:t>
      </w:r>
    </w:p>
    <w:p w:rsidR="006F6249" w:rsidRDefault="006F6249">
      <w:pPr>
        <w:rPr>
          <w:rFonts w:ascii="Times New Roman" w:eastAsia="Calibri" w:hAnsi="Times New Roman" w:cs="Times New Roman"/>
          <w:sz w:val="24"/>
          <w:szCs w:val="24"/>
        </w:rPr>
      </w:pPr>
      <w:r>
        <w:rPr>
          <w:rFonts w:ascii="Times New Roman" w:hAnsi="Times New Roman"/>
          <w:sz w:val="24"/>
          <w:szCs w:val="24"/>
        </w:rPr>
        <w:br w:type="page"/>
      </w:r>
    </w:p>
    <w:p w:rsidR="00027E74" w:rsidRPr="006F6249" w:rsidRDefault="00027E74" w:rsidP="006F6249">
      <w:pPr>
        <w:pStyle w:val="ListParagraph"/>
        <w:numPr>
          <w:ilvl w:val="0"/>
          <w:numId w:val="22"/>
        </w:numPr>
        <w:rPr>
          <w:rFonts w:ascii="Times New Roman" w:hAnsi="Times New Roman"/>
          <w:sz w:val="24"/>
          <w:szCs w:val="24"/>
        </w:rPr>
      </w:pPr>
      <w:proofErr w:type="spellStart"/>
      <w:r w:rsidRPr="006F6249">
        <w:rPr>
          <w:rFonts w:ascii="Times New Roman" w:hAnsi="Times New Roman"/>
          <w:sz w:val="24"/>
          <w:szCs w:val="24"/>
        </w:rPr>
        <w:lastRenderedPageBreak/>
        <w:t>MTM</w:t>
      </w:r>
      <w:proofErr w:type="spellEnd"/>
      <w:r w:rsidRPr="006F6249">
        <w:rPr>
          <w:rFonts w:ascii="Times New Roman" w:hAnsi="Times New Roman"/>
          <w:sz w:val="24"/>
          <w:szCs w:val="24"/>
        </w:rPr>
        <w:t xml:space="preserve"> costs do not meet the “known and measurable” standard for a pro forma adjustment because</w:t>
      </w:r>
      <w:r w:rsidR="00AF014A" w:rsidRPr="006F6249">
        <w:rPr>
          <w:rFonts w:ascii="Times New Roman" w:hAnsi="Times New Roman"/>
          <w:sz w:val="24"/>
          <w:szCs w:val="24"/>
        </w:rPr>
        <w:t xml:space="preserve"> the effect of a contract on overall MTM costs varies with </w:t>
      </w:r>
      <w:r w:rsidR="00A80A7A" w:rsidRPr="006F6249">
        <w:rPr>
          <w:rFonts w:ascii="Times New Roman" w:hAnsi="Times New Roman"/>
          <w:sz w:val="24"/>
          <w:szCs w:val="24"/>
        </w:rPr>
        <w:t>each gas price update</w:t>
      </w:r>
      <w:r w:rsidR="00AF014A" w:rsidRPr="006F6249">
        <w:rPr>
          <w:rFonts w:ascii="Times New Roman" w:hAnsi="Times New Roman"/>
          <w:sz w:val="24"/>
          <w:szCs w:val="24"/>
        </w:rPr>
        <w:t>.</w:t>
      </w:r>
      <w:r w:rsidR="00274882" w:rsidRPr="00AF014A">
        <w:rPr>
          <w:rStyle w:val="FootnoteReference"/>
          <w:rFonts w:ascii="Times New Roman" w:hAnsi="Times New Roman"/>
          <w:sz w:val="24"/>
          <w:szCs w:val="24"/>
        </w:rPr>
        <w:footnoteReference w:id="166"/>
      </w:r>
      <w:r w:rsidR="00DD6A96" w:rsidRPr="006F6249">
        <w:rPr>
          <w:rFonts w:ascii="Times New Roman" w:hAnsi="Times New Roman"/>
          <w:sz w:val="24"/>
          <w:szCs w:val="24"/>
        </w:rPr>
        <w:t xml:space="preserve">  </w:t>
      </w:r>
    </w:p>
    <w:p w:rsidR="00027E74" w:rsidRDefault="00027E74" w:rsidP="00027E74">
      <w:pPr>
        <w:pStyle w:val="ListParagraph"/>
        <w:ind w:left="1440"/>
        <w:rPr>
          <w:rFonts w:ascii="Times New Roman" w:hAnsi="Times New Roman"/>
          <w:sz w:val="24"/>
          <w:szCs w:val="24"/>
        </w:rPr>
      </w:pPr>
    </w:p>
    <w:p w:rsidR="00027E74" w:rsidRPr="00027E74" w:rsidRDefault="00DD6A96" w:rsidP="00027E74">
      <w:pPr>
        <w:pStyle w:val="ListParagraph"/>
        <w:numPr>
          <w:ilvl w:val="0"/>
          <w:numId w:val="22"/>
        </w:numPr>
        <w:rPr>
          <w:rFonts w:ascii="Times New Roman" w:hAnsi="Times New Roman"/>
          <w:sz w:val="24"/>
          <w:szCs w:val="24"/>
        </w:rPr>
      </w:pPr>
      <w:r w:rsidRPr="00027E74">
        <w:rPr>
          <w:rFonts w:ascii="Times New Roman" w:hAnsi="Times New Roman"/>
          <w:sz w:val="24"/>
          <w:szCs w:val="24"/>
        </w:rPr>
        <w:t>I</w:t>
      </w:r>
      <w:r w:rsidR="00A949D5" w:rsidRPr="00027E74">
        <w:rPr>
          <w:rFonts w:ascii="Times New Roman" w:hAnsi="Times New Roman"/>
          <w:sz w:val="24"/>
          <w:szCs w:val="24"/>
        </w:rPr>
        <w:t>t i</w:t>
      </w:r>
      <w:r w:rsidR="00274882" w:rsidRPr="00027E74">
        <w:rPr>
          <w:rFonts w:ascii="Times New Roman" w:hAnsi="Times New Roman"/>
          <w:sz w:val="24"/>
          <w:szCs w:val="24"/>
        </w:rPr>
        <w:t xml:space="preserve">s </w:t>
      </w:r>
      <w:r w:rsidR="000E0ACF" w:rsidRPr="00027E74">
        <w:rPr>
          <w:rFonts w:ascii="Times New Roman" w:hAnsi="Times New Roman"/>
          <w:sz w:val="24"/>
          <w:szCs w:val="24"/>
        </w:rPr>
        <w:t xml:space="preserve">inappropriate </w:t>
      </w:r>
      <w:r w:rsidRPr="00027E74">
        <w:rPr>
          <w:rFonts w:ascii="Times New Roman" w:hAnsi="Times New Roman"/>
          <w:sz w:val="24"/>
          <w:szCs w:val="24"/>
        </w:rPr>
        <w:t>to include</w:t>
      </w:r>
      <w:r w:rsidR="00A949D5" w:rsidRPr="00027E74">
        <w:rPr>
          <w:rFonts w:ascii="Times New Roman" w:hAnsi="Times New Roman"/>
          <w:sz w:val="24"/>
          <w:szCs w:val="24"/>
        </w:rPr>
        <w:t xml:space="preserve"> cost</w:t>
      </w:r>
      <w:r w:rsidRPr="00027E74">
        <w:rPr>
          <w:rFonts w:ascii="Times New Roman" w:hAnsi="Times New Roman"/>
          <w:sz w:val="24"/>
          <w:szCs w:val="24"/>
        </w:rPr>
        <w:t>s</w:t>
      </w:r>
      <w:r w:rsidR="00A949D5" w:rsidRPr="00027E74">
        <w:rPr>
          <w:rFonts w:ascii="Times New Roman" w:hAnsi="Times New Roman"/>
          <w:sz w:val="24"/>
          <w:szCs w:val="24"/>
        </w:rPr>
        <w:t xml:space="preserve"> associated with hedging more gas volumes than ar</w:t>
      </w:r>
      <w:r w:rsidR="00274882" w:rsidRPr="00027E74">
        <w:rPr>
          <w:rFonts w:ascii="Times New Roman" w:hAnsi="Times New Roman"/>
          <w:sz w:val="24"/>
          <w:szCs w:val="24"/>
        </w:rPr>
        <w:t>e actually used</w:t>
      </w:r>
      <w:r w:rsidR="00A949D5" w:rsidRPr="00027E74">
        <w:rPr>
          <w:rFonts w:ascii="Times New Roman" w:hAnsi="Times New Roman"/>
          <w:sz w:val="24"/>
          <w:szCs w:val="24"/>
        </w:rPr>
        <w:t>.</w:t>
      </w:r>
      <w:r w:rsidR="00274882" w:rsidRPr="00AF014A">
        <w:rPr>
          <w:rStyle w:val="FootnoteReference"/>
          <w:rFonts w:ascii="Times New Roman" w:hAnsi="Times New Roman"/>
          <w:sz w:val="24"/>
          <w:szCs w:val="24"/>
        </w:rPr>
        <w:footnoteReference w:id="167"/>
      </w:r>
    </w:p>
    <w:p w:rsidR="00027E74" w:rsidRPr="00027E74" w:rsidRDefault="00027E74" w:rsidP="00027E74">
      <w:pPr>
        <w:pStyle w:val="ListParagraph"/>
        <w:ind w:left="1440"/>
        <w:rPr>
          <w:rFonts w:ascii="Times New Roman" w:hAnsi="Times New Roman"/>
          <w:sz w:val="24"/>
          <w:szCs w:val="24"/>
        </w:rPr>
      </w:pPr>
    </w:p>
    <w:p w:rsidR="00AF014A" w:rsidRDefault="00AE6FDB" w:rsidP="00027E74">
      <w:pPr>
        <w:pStyle w:val="BodyTextIndent"/>
        <w:numPr>
          <w:ilvl w:val="0"/>
          <w:numId w:val="22"/>
        </w:numPr>
        <w:spacing w:line="240" w:lineRule="auto"/>
      </w:pPr>
      <w:r>
        <w:t xml:space="preserve">Staff </w:t>
      </w:r>
      <w:r w:rsidR="00027E74">
        <w:t xml:space="preserve">did not eliminate full cost recovery of gas for power hedges because it </w:t>
      </w:r>
      <w:r w:rsidR="000E0ACF">
        <w:t>affected</w:t>
      </w:r>
      <w:r w:rsidR="004C4492">
        <w:t xml:space="preserve"> only </w:t>
      </w:r>
      <w:r w:rsidR="00F948E9">
        <w:t>pow</w:t>
      </w:r>
      <w:r w:rsidR="00EB43B7">
        <w:t xml:space="preserve">er </w:t>
      </w:r>
      <w:r w:rsidR="00CC71B6">
        <w:t>expense</w:t>
      </w:r>
      <w:r w:rsidR="00DD6A96">
        <w:t>s</w:t>
      </w:r>
      <w:r w:rsidR="00AF014A">
        <w:t xml:space="preserve"> </w:t>
      </w:r>
      <w:r w:rsidR="00CC71B6">
        <w:t xml:space="preserve">to </w:t>
      </w:r>
      <w:r w:rsidR="00EB43B7">
        <w:t>set</w:t>
      </w:r>
      <w:r w:rsidR="00F948E9">
        <w:t xml:space="preserve"> base </w:t>
      </w:r>
      <w:r w:rsidR="00EB43B7">
        <w:t xml:space="preserve">rates.  </w:t>
      </w:r>
      <w:r w:rsidR="00555905">
        <w:t>Any additional costs or benefits from hedged gas a</w:t>
      </w:r>
      <w:r w:rsidR="00A80A7A">
        <w:t xml:space="preserve">bove </w:t>
      </w:r>
      <w:r w:rsidR="00555905">
        <w:t>nor</w:t>
      </w:r>
      <w:r w:rsidR="00027E74">
        <w:t xml:space="preserve">malized power costs would </w:t>
      </w:r>
      <w:r w:rsidR="00555905">
        <w:t>be run through the Power Cost Adjustment (“P</w:t>
      </w:r>
      <w:r>
        <w:t xml:space="preserve">CA”) </w:t>
      </w:r>
      <w:r w:rsidR="00555905">
        <w:t>and matched against revenues from secondary sales</w:t>
      </w:r>
      <w:r w:rsidR="00027E74">
        <w:t>.</w:t>
      </w:r>
      <w:r w:rsidR="00FD7C03">
        <w:rPr>
          <w:rStyle w:val="FootnoteReference"/>
        </w:rPr>
        <w:footnoteReference w:id="168"/>
      </w:r>
    </w:p>
    <w:p w:rsidR="00027E74" w:rsidRDefault="00027E74" w:rsidP="00027E74">
      <w:pPr>
        <w:pStyle w:val="BodyTextIndent"/>
        <w:spacing w:line="240" w:lineRule="auto"/>
        <w:ind w:left="1440" w:firstLine="0"/>
      </w:pPr>
    </w:p>
    <w:p w:rsidR="00027E74" w:rsidRPr="005E1335" w:rsidRDefault="00027E74" w:rsidP="00027E74">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t xml:space="preserve">However, Staff’s adjustment </w:t>
      </w:r>
      <w:r w:rsidRPr="005E1335">
        <w:rPr>
          <w:rFonts w:ascii="Times New Roman" w:hAnsi="Times New Roman"/>
          <w:sz w:val="24"/>
          <w:szCs w:val="24"/>
        </w:rPr>
        <w:t xml:space="preserve">has vanished as gas prices have fallen.  Therefore, Staff’s adjustment is </w:t>
      </w:r>
      <w:r w:rsidR="00133B23">
        <w:rPr>
          <w:rFonts w:ascii="Times New Roman" w:hAnsi="Times New Roman"/>
          <w:sz w:val="24"/>
          <w:szCs w:val="24"/>
        </w:rPr>
        <w:t xml:space="preserve">no longer necessary </w:t>
      </w:r>
      <w:r w:rsidRPr="005E1335">
        <w:rPr>
          <w:rFonts w:ascii="Times New Roman" w:hAnsi="Times New Roman"/>
          <w:sz w:val="24"/>
          <w:szCs w:val="24"/>
        </w:rPr>
        <w:t>and is withdrawn.</w:t>
      </w:r>
      <w:r>
        <w:rPr>
          <w:rFonts w:ascii="Times New Roman" w:hAnsi="Times New Roman"/>
          <w:sz w:val="24"/>
          <w:szCs w:val="24"/>
        </w:rPr>
        <w:t xml:space="preserve">  Staff reserves the right to assert the adjustment in future cases, as may be warranted</w:t>
      </w:r>
      <w:r w:rsidR="00133B23">
        <w:rPr>
          <w:rFonts w:ascii="Times New Roman" w:hAnsi="Times New Roman"/>
          <w:sz w:val="24"/>
          <w:szCs w:val="24"/>
        </w:rPr>
        <w:t xml:space="preserve"> by the circumstances</w:t>
      </w:r>
      <w:r>
        <w:rPr>
          <w:rFonts w:ascii="Times New Roman" w:hAnsi="Times New Roman"/>
          <w:sz w:val="24"/>
          <w:szCs w:val="24"/>
        </w:rPr>
        <w:t>.</w:t>
      </w:r>
    </w:p>
    <w:p w:rsidR="00A67D96" w:rsidRDefault="00A67D96" w:rsidP="00AF014A">
      <w:pPr>
        <w:spacing w:after="0" w:line="480" w:lineRule="auto"/>
        <w:ind w:left="1440" w:firstLine="72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2107E8">
        <w:rPr>
          <w:rFonts w:ascii="Times New Roman" w:hAnsi="Times New Roman" w:cs="Times New Roman"/>
          <w:b/>
          <w:sz w:val="24"/>
          <w:szCs w:val="24"/>
        </w:rPr>
        <w:t>Extension of 23 MW Transmission Contract</w:t>
      </w:r>
    </w:p>
    <w:p w:rsidR="001C6F46" w:rsidRDefault="005E1335" w:rsidP="005E1335">
      <w:pPr>
        <w:pStyle w:val="BodyTextIndent"/>
        <w:numPr>
          <w:ilvl w:val="0"/>
          <w:numId w:val="1"/>
        </w:numPr>
      </w:pPr>
      <w:r>
        <w:tab/>
      </w:r>
      <w:r w:rsidR="00A67D96">
        <w:t xml:space="preserve">The Company includes the costs of </w:t>
      </w:r>
      <w:r w:rsidR="00A67D96" w:rsidRPr="00A67D96">
        <w:t>renew</w:t>
      </w:r>
      <w:r w:rsidR="00A67D96">
        <w:t>ing</w:t>
      </w:r>
      <w:r w:rsidR="00A67D96" w:rsidRPr="00A67D96">
        <w:t xml:space="preserve"> a 23MW firm capa</w:t>
      </w:r>
      <w:r w:rsidR="00A67D96">
        <w:t xml:space="preserve">city contract with BPA </w:t>
      </w:r>
      <w:r w:rsidR="001C6F46">
        <w:t>for</w:t>
      </w:r>
      <w:r w:rsidR="00743E3D">
        <w:t xml:space="preserve"> transmission </w:t>
      </w:r>
      <w:r w:rsidR="00A67D96" w:rsidRPr="00A67D96">
        <w:t>from a City of Spokane Municipal Steam Waste project</w:t>
      </w:r>
      <w:r w:rsidR="0015039C">
        <w:t xml:space="preserve">.  However, </w:t>
      </w:r>
      <w:r w:rsidR="0097385B">
        <w:t xml:space="preserve">PSE made no </w:t>
      </w:r>
      <w:r w:rsidR="00034ABF">
        <w:t>showing of sufficient m</w:t>
      </w:r>
      <w:r w:rsidR="00DD6A96">
        <w:t>argins from sales or reduced costs</w:t>
      </w:r>
      <w:r w:rsidR="00743E3D">
        <w:t xml:space="preserve"> related to the acquisition</w:t>
      </w:r>
      <w:r w:rsidR="00034ABF">
        <w:t>.</w:t>
      </w:r>
      <w:r w:rsidR="00034ABF" w:rsidRPr="001C6F46">
        <w:t xml:space="preserve"> </w:t>
      </w:r>
      <w:r w:rsidR="00034ABF">
        <w:t xml:space="preserve"> The Company </w:t>
      </w:r>
      <w:r w:rsidR="00A67D96">
        <w:t>states only that it “has increased its ability to purchase short-term resources at the Mid-C trading hub and reduced its transmission capacity need by 23 MW starting in 2012.”</w:t>
      </w:r>
      <w:r w:rsidR="00A67D96">
        <w:rPr>
          <w:rStyle w:val="FootnoteReference"/>
        </w:rPr>
        <w:footnoteReference w:id="169"/>
      </w:r>
      <w:r w:rsidR="00743E3D">
        <w:t xml:space="preserve">  Thus, Staff </w:t>
      </w:r>
      <w:r w:rsidR="00034ABF">
        <w:t>removes</w:t>
      </w:r>
      <w:r w:rsidR="001C6F46">
        <w:t xml:space="preserve"> </w:t>
      </w:r>
      <w:r w:rsidR="00034ABF">
        <w:t xml:space="preserve">all </w:t>
      </w:r>
      <w:r w:rsidR="001C6F46">
        <w:t>cost</w:t>
      </w:r>
      <w:r w:rsidR="00DD6A96">
        <w:t xml:space="preserve">s associated with this renewed </w:t>
      </w:r>
      <w:r w:rsidR="00034ABF">
        <w:t>contract</w:t>
      </w:r>
      <w:r w:rsidR="001C6F46">
        <w:t>.</w:t>
      </w:r>
      <w:r w:rsidR="00034ABF">
        <w:rPr>
          <w:rStyle w:val="FootnoteReference"/>
        </w:rPr>
        <w:footnoteReference w:id="170"/>
      </w:r>
    </w:p>
    <w:p w:rsidR="00034ABF"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34ABF" w:rsidRPr="005E1335">
        <w:rPr>
          <w:rFonts w:ascii="Times New Roman" w:hAnsi="Times New Roman"/>
          <w:sz w:val="24"/>
          <w:szCs w:val="24"/>
        </w:rPr>
        <w:t xml:space="preserve">PSE disputes the Staff adjustment, but </w:t>
      </w:r>
      <w:r w:rsidR="009A320A" w:rsidRPr="005E1335">
        <w:rPr>
          <w:rFonts w:ascii="Times New Roman" w:hAnsi="Times New Roman"/>
          <w:sz w:val="24"/>
          <w:szCs w:val="24"/>
        </w:rPr>
        <w:t xml:space="preserve">only </w:t>
      </w:r>
      <w:r w:rsidR="00034ABF" w:rsidRPr="005E1335">
        <w:rPr>
          <w:rFonts w:ascii="Times New Roman" w:hAnsi="Times New Roman"/>
          <w:sz w:val="24"/>
          <w:szCs w:val="24"/>
        </w:rPr>
        <w:t xml:space="preserve">cites a claim in its 2009 </w:t>
      </w:r>
      <w:r w:rsidR="00A80A7A" w:rsidRPr="005E1335">
        <w:rPr>
          <w:rFonts w:ascii="Times New Roman" w:hAnsi="Times New Roman"/>
          <w:sz w:val="24"/>
          <w:szCs w:val="24"/>
        </w:rPr>
        <w:t xml:space="preserve">IRP </w:t>
      </w:r>
      <w:r w:rsidR="00034ABF" w:rsidRPr="005E1335">
        <w:rPr>
          <w:rFonts w:ascii="Times New Roman" w:hAnsi="Times New Roman"/>
          <w:sz w:val="24"/>
          <w:szCs w:val="24"/>
        </w:rPr>
        <w:t xml:space="preserve">that “short-term resources” may be used to meet load and that capacity needs will be reduced by 23MW starting </w:t>
      </w:r>
      <w:r w:rsidR="00034ABF" w:rsidRPr="005E1335">
        <w:rPr>
          <w:rFonts w:ascii="Times New Roman" w:hAnsi="Times New Roman"/>
          <w:sz w:val="24"/>
          <w:szCs w:val="24"/>
        </w:rPr>
        <w:lastRenderedPageBreak/>
        <w:t>in 2012 through 2015.</w:t>
      </w:r>
      <w:r w:rsidR="009A320A">
        <w:rPr>
          <w:rStyle w:val="FootnoteReference"/>
          <w:rFonts w:ascii="Times New Roman" w:hAnsi="Times New Roman"/>
          <w:sz w:val="24"/>
          <w:szCs w:val="24"/>
        </w:rPr>
        <w:footnoteReference w:id="171"/>
      </w:r>
      <w:r w:rsidR="00891C26" w:rsidRPr="005E1335">
        <w:rPr>
          <w:rFonts w:ascii="Times New Roman" w:hAnsi="Times New Roman"/>
          <w:sz w:val="24"/>
          <w:szCs w:val="24"/>
        </w:rPr>
        <w:t xml:space="preserve">  PSE</w:t>
      </w:r>
      <w:r w:rsidR="00DD6A96" w:rsidRPr="005E1335">
        <w:rPr>
          <w:rFonts w:ascii="Times New Roman" w:hAnsi="Times New Roman"/>
          <w:sz w:val="24"/>
          <w:szCs w:val="24"/>
        </w:rPr>
        <w:t xml:space="preserve"> also states that </w:t>
      </w:r>
      <w:r w:rsidR="00A80A7A" w:rsidRPr="005E1335">
        <w:rPr>
          <w:rFonts w:ascii="Times New Roman" w:hAnsi="Times New Roman"/>
          <w:sz w:val="24"/>
          <w:szCs w:val="24"/>
        </w:rPr>
        <w:t>its 2010 RFP</w:t>
      </w:r>
      <w:r w:rsidR="00891C26" w:rsidRPr="005E1335">
        <w:rPr>
          <w:rFonts w:ascii="Times New Roman" w:hAnsi="Times New Roman"/>
          <w:sz w:val="24"/>
          <w:szCs w:val="24"/>
        </w:rPr>
        <w:t xml:space="preserve"> </w:t>
      </w:r>
      <w:r w:rsidR="00034ABF" w:rsidRPr="005E1335">
        <w:rPr>
          <w:rFonts w:ascii="Times New Roman" w:hAnsi="Times New Roman"/>
          <w:sz w:val="24"/>
          <w:szCs w:val="24"/>
        </w:rPr>
        <w:t>concluded t</w:t>
      </w:r>
      <w:r w:rsidR="009A320A" w:rsidRPr="005E1335">
        <w:rPr>
          <w:rFonts w:ascii="Times New Roman" w:hAnsi="Times New Roman"/>
          <w:sz w:val="24"/>
          <w:szCs w:val="24"/>
        </w:rPr>
        <w:t xml:space="preserve">hat short-term year round </w:t>
      </w:r>
      <w:r w:rsidR="00034ABF" w:rsidRPr="005E1335">
        <w:rPr>
          <w:rFonts w:ascii="Times New Roman" w:hAnsi="Times New Roman"/>
          <w:sz w:val="24"/>
          <w:szCs w:val="24"/>
        </w:rPr>
        <w:t>energy purc</w:t>
      </w:r>
      <w:r w:rsidR="00A80A7A" w:rsidRPr="005E1335">
        <w:rPr>
          <w:rFonts w:ascii="Times New Roman" w:hAnsi="Times New Roman"/>
          <w:sz w:val="24"/>
          <w:szCs w:val="24"/>
        </w:rPr>
        <w:t xml:space="preserve">hases </w:t>
      </w:r>
      <w:r w:rsidR="00034ABF" w:rsidRPr="005E1335">
        <w:rPr>
          <w:rFonts w:ascii="Times New Roman" w:hAnsi="Times New Roman"/>
          <w:sz w:val="24"/>
          <w:szCs w:val="24"/>
        </w:rPr>
        <w:t>would be an effective mechanism for meeting near-term capacit</w:t>
      </w:r>
      <w:r w:rsidR="009A320A" w:rsidRPr="005E1335">
        <w:rPr>
          <w:rFonts w:ascii="Times New Roman" w:hAnsi="Times New Roman"/>
          <w:sz w:val="24"/>
          <w:szCs w:val="24"/>
        </w:rPr>
        <w:t>y need.</w:t>
      </w:r>
      <w:r w:rsidR="009A320A">
        <w:rPr>
          <w:rStyle w:val="FootnoteReference"/>
          <w:rFonts w:ascii="Times New Roman" w:hAnsi="Times New Roman"/>
          <w:sz w:val="24"/>
          <w:szCs w:val="24"/>
        </w:rPr>
        <w:footnoteReference w:id="172"/>
      </w:r>
    </w:p>
    <w:p w:rsidR="00A67D96"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80A7A" w:rsidRPr="005E1335">
        <w:rPr>
          <w:rFonts w:ascii="Times New Roman" w:hAnsi="Times New Roman"/>
          <w:sz w:val="24"/>
          <w:szCs w:val="24"/>
        </w:rPr>
        <w:t xml:space="preserve">PSE </w:t>
      </w:r>
      <w:r w:rsidR="009A320A" w:rsidRPr="005E1335">
        <w:rPr>
          <w:rFonts w:ascii="Times New Roman" w:hAnsi="Times New Roman"/>
          <w:sz w:val="24"/>
          <w:szCs w:val="24"/>
        </w:rPr>
        <w:t xml:space="preserve">still provides no </w:t>
      </w:r>
      <w:r w:rsidR="00034ABF" w:rsidRPr="005E1335">
        <w:rPr>
          <w:rFonts w:ascii="Times New Roman" w:hAnsi="Times New Roman"/>
          <w:sz w:val="24"/>
          <w:szCs w:val="24"/>
        </w:rPr>
        <w:t>meaningful cost/benefit analysi</w:t>
      </w:r>
      <w:r w:rsidR="009A320A" w:rsidRPr="005E1335">
        <w:rPr>
          <w:rFonts w:ascii="Times New Roman" w:hAnsi="Times New Roman"/>
          <w:sz w:val="24"/>
          <w:szCs w:val="24"/>
        </w:rPr>
        <w:t xml:space="preserve">s </w:t>
      </w:r>
      <w:r w:rsidR="00034ABF" w:rsidRPr="005E1335">
        <w:rPr>
          <w:rFonts w:ascii="Times New Roman" w:hAnsi="Times New Roman"/>
          <w:sz w:val="24"/>
          <w:szCs w:val="24"/>
        </w:rPr>
        <w:t>jus</w:t>
      </w:r>
      <w:r w:rsidR="00DD6A96" w:rsidRPr="005E1335">
        <w:rPr>
          <w:rFonts w:ascii="Times New Roman" w:hAnsi="Times New Roman"/>
          <w:sz w:val="24"/>
          <w:szCs w:val="24"/>
        </w:rPr>
        <w:t>tify</w:t>
      </w:r>
      <w:r w:rsidR="001F334E" w:rsidRPr="005E1335">
        <w:rPr>
          <w:rFonts w:ascii="Times New Roman" w:hAnsi="Times New Roman"/>
          <w:sz w:val="24"/>
          <w:szCs w:val="24"/>
        </w:rPr>
        <w:t>ing</w:t>
      </w:r>
      <w:r w:rsidR="00A80A7A" w:rsidRPr="005E1335">
        <w:rPr>
          <w:rFonts w:ascii="Times New Roman" w:hAnsi="Times New Roman"/>
          <w:sz w:val="24"/>
          <w:szCs w:val="24"/>
        </w:rPr>
        <w:t xml:space="preserve"> inclusion of </w:t>
      </w:r>
      <w:r w:rsidR="009A320A" w:rsidRPr="005E1335">
        <w:rPr>
          <w:rFonts w:ascii="Times New Roman" w:hAnsi="Times New Roman"/>
          <w:sz w:val="24"/>
          <w:szCs w:val="24"/>
        </w:rPr>
        <w:t>the renewed contract</w:t>
      </w:r>
      <w:r w:rsidR="002A2EB4">
        <w:rPr>
          <w:rFonts w:ascii="Times New Roman" w:hAnsi="Times New Roman"/>
          <w:sz w:val="24"/>
          <w:szCs w:val="24"/>
        </w:rPr>
        <w:t xml:space="preserve">.  No </w:t>
      </w:r>
      <w:r w:rsidR="00743E3D" w:rsidRPr="005E1335">
        <w:rPr>
          <w:rFonts w:ascii="Times New Roman" w:hAnsi="Times New Roman"/>
          <w:sz w:val="24"/>
          <w:szCs w:val="24"/>
        </w:rPr>
        <w:t xml:space="preserve">connection </w:t>
      </w:r>
      <w:r w:rsidR="00133B23">
        <w:rPr>
          <w:rFonts w:ascii="Times New Roman" w:hAnsi="Times New Roman"/>
          <w:sz w:val="24"/>
          <w:szCs w:val="24"/>
        </w:rPr>
        <w:t xml:space="preserve">was </w:t>
      </w:r>
      <w:r w:rsidR="009A320A" w:rsidRPr="005E1335">
        <w:rPr>
          <w:rFonts w:ascii="Times New Roman" w:hAnsi="Times New Roman"/>
          <w:sz w:val="24"/>
          <w:szCs w:val="24"/>
        </w:rPr>
        <w:t>made</w:t>
      </w:r>
      <w:r w:rsidR="00034ABF" w:rsidRPr="005E1335">
        <w:rPr>
          <w:rFonts w:ascii="Times New Roman" w:hAnsi="Times New Roman"/>
          <w:sz w:val="24"/>
          <w:szCs w:val="24"/>
        </w:rPr>
        <w:t xml:space="preserve"> between the broad </w:t>
      </w:r>
      <w:r w:rsidR="00E947EB" w:rsidRPr="005E1335">
        <w:rPr>
          <w:rFonts w:ascii="Times New Roman" w:hAnsi="Times New Roman"/>
          <w:sz w:val="24"/>
          <w:szCs w:val="24"/>
        </w:rPr>
        <w:t xml:space="preserve">statements in the 2009 </w:t>
      </w:r>
      <w:r w:rsidR="00034ABF" w:rsidRPr="005E1335">
        <w:rPr>
          <w:rFonts w:ascii="Times New Roman" w:hAnsi="Times New Roman"/>
          <w:sz w:val="24"/>
          <w:szCs w:val="24"/>
        </w:rPr>
        <w:t xml:space="preserve">IRP and </w:t>
      </w:r>
      <w:r w:rsidR="00E947EB" w:rsidRPr="005E1335">
        <w:rPr>
          <w:rFonts w:ascii="Times New Roman" w:hAnsi="Times New Roman"/>
          <w:sz w:val="24"/>
          <w:szCs w:val="24"/>
        </w:rPr>
        <w:t xml:space="preserve">2010 RFP </w:t>
      </w:r>
      <w:r w:rsidR="001F334E" w:rsidRPr="005E1335">
        <w:rPr>
          <w:rFonts w:ascii="Times New Roman" w:hAnsi="Times New Roman"/>
          <w:sz w:val="24"/>
          <w:szCs w:val="24"/>
        </w:rPr>
        <w:t>and what is correct</w:t>
      </w:r>
      <w:r w:rsidR="00DD6A96" w:rsidRPr="005E1335">
        <w:rPr>
          <w:rFonts w:ascii="Times New Roman" w:hAnsi="Times New Roman"/>
          <w:sz w:val="24"/>
          <w:szCs w:val="24"/>
        </w:rPr>
        <w:t xml:space="preserve"> for </w:t>
      </w:r>
      <w:r w:rsidR="00034ABF" w:rsidRPr="005E1335">
        <w:rPr>
          <w:rFonts w:ascii="Times New Roman" w:hAnsi="Times New Roman"/>
          <w:sz w:val="24"/>
          <w:szCs w:val="24"/>
        </w:rPr>
        <w:t>rate makin</w:t>
      </w:r>
      <w:r w:rsidR="00A80A7A" w:rsidRPr="005E1335">
        <w:rPr>
          <w:rFonts w:ascii="Times New Roman" w:hAnsi="Times New Roman"/>
          <w:sz w:val="24"/>
          <w:szCs w:val="24"/>
        </w:rPr>
        <w:t>g.  Thus</w:t>
      </w:r>
      <w:r w:rsidR="00034ABF" w:rsidRPr="005E1335">
        <w:rPr>
          <w:rFonts w:ascii="Times New Roman" w:hAnsi="Times New Roman"/>
          <w:sz w:val="24"/>
          <w:szCs w:val="24"/>
        </w:rPr>
        <w:t>, the Commission should adopt Staff’s adjustm</w:t>
      </w:r>
      <w:r w:rsidR="00E947EB" w:rsidRPr="005E1335">
        <w:rPr>
          <w:rFonts w:ascii="Times New Roman" w:hAnsi="Times New Roman"/>
          <w:sz w:val="24"/>
          <w:szCs w:val="24"/>
        </w:rPr>
        <w:t>ent</w:t>
      </w:r>
      <w:r w:rsidR="00034ABF" w:rsidRPr="005E1335">
        <w:rPr>
          <w:rFonts w:ascii="Times New Roman" w:hAnsi="Times New Roman"/>
          <w:sz w:val="24"/>
          <w:szCs w:val="24"/>
        </w:rPr>
        <w:t>.</w:t>
      </w:r>
    </w:p>
    <w:p w:rsidR="002107E8" w:rsidRDefault="00502D43" w:rsidP="002107E8">
      <w:pPr>
        <w:spacing w:after="0" w:line="240" w:lineRule="auto"/>
        <w:ind w:left="2880" w:hanging="720"/>
        <w:rPr>
          <w:rFonts w:ascii="Times New Roman" w:hAnsi="Times New Roman"/>
          <w:b/>
          <w:sz w:val="24"/>
        </w:rPr>
      </w:pPr>
      <w:r>
        <w:rPr>
          <w:rFonts w:ascii="Times New Roman" w:hAnsi="Times New Roman"/>
          <w:b/>
          <w:sz w:val="24"/>
        </w:rPr>
        <w:t>v.</w:t>
      </w:r>
      <w:r>
        <w:rPr>
          <w:rFonts w:ascii="Times New Roman" w:hAnsi="Times New Roman"/>
          <w:b/>
          <w:sz w:val="24"/>
        </w:rPr>
        <w:tab/>
      </w:r>
      <w:r w:rsidR="002107E8">
        <w:rPr>
          <w:rFonts w:ascii="Times New Roman" w:hAnsi="Times New Roman"/>
          <w:b/>
          <w:sz w:val="24"/>
        </w:rPr>
        <w:t>Day-Ahead Wind Integration Costs and Within-Hour Wind Integration Costs</w:t>
      </w:r>
    </w:p>
    <w:p w:rsidR="00502D43" w:rsidRDefault="00502D43" w:rsidP="002107E8">
      <w:pPr>
        <w:spacing w:after="0" w:line="240" w:lineRule="auto"/>
        <w:rPr>
          <w:rFonts w:ascii="Times New Roman" w:hAnsi="Times New Roman"/>
          <w:b/>
          <w:sz w:val="24"/>
        </w:rPr>
      </w:pPr>
    </w:p>
    <w:p w:rsidR="005035ED"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D06FC4" w:rsidRPr="005E1335">
        <w:rPr>
          <w:rFonts w:ascii="Times New Roman" w:hAnsi="Times New Roman"/>
          <w:sz w:val="24"/>
          <w:szCs w:val="24"/>
        </w:rPr>
        <w:t>The Company proposes to re</w:t>
      </w:r>
      <w:r w:rsidR="00AF2224" w:rsidRPr="005E1335">
        <w:rPr>
          <w:rFonts w:ascii="Times New Roman" w:hAnsi="Times New Roman"/>
          <w:sz w:val="24"/>
          <w:szCs w:val="24"/>
        </w:rPr>
        <w:t xml:space="preserve">cover in base rates two </w:t>
      </w:r>
      <w:r w:rsidR="00D06FC4" w:rsidRPr="005E1335">
        <w:rPr>
          <w:rFonts w:ascii="Times New Roman" w:hAnsi="Times New Roman"/>
          <w:sz w:val="24"/>
          <w:szCs w:val="24"/>
        </w:rPr>
        <w:t>categories of wind integration costs – those that are paid to BPA for resources within the BPA Balancing Authority (Hopkins Ridge, Klondike III, and LSR) and those identified as internal wind integration costs</w:t>
      </w:r>
      <w:r w:rsidR="000C181C" w:rsidRPr="005E1335">
        <w:rPr>
          <w:rFonts w:ascii="Times New Roman" w:hAnsi="Times New Roman"/>
          <w:sz w:val="24"/>
          <w:szCs w:val="24"/>
        </w:rPr>
        <w:t xml:space="preserve"> for resources within PSE’s Balancing Authority (Wild Horse</w:t>
      </w:r>
      <w:r w:rsidR="00722A16" w:rsidRPr="005E1335">
        <w:rPr>
          <w:rFonts w:ascii="Times New Roman" w:hAnsi="Times New Roman"/>
          <w:sz w:val="24"/>
          <w:szCs w:val="24"/>
        </w:rPr>
        <w:t xml:space="preserve"> and the Wild Horse Expansion</w:t>
      </w:r>
      <w:r w:rsidR="000C181C" w:rsidRPr="005E1335">
        <w:rPr>
          <w:rFonts w:ascii="Times New Roman" w:hAnsi="Times New Roman"/>
          <w:sz w:val="24"/>
          <w:szCs w:val="24"/>
        </w:rPr>
        <w:t>)</w:t>
      </w:r>
      <w:r w:rsidR="00D06FC4" w:rsidRPr="005E1335">
        <w:rPr>
          <w:rFonts w:ascii="Times New Roman" w:hAnsi="Times New Roman"/>
          <w:sz w:val="24"/>
          <w:szCs w:val="24"/>
        </w:rPr>
        <w:t xml:space="preserve">.  </w:t>
      </w:r>
      <w:r w:rsidR="005035ED" w:rsidRPr="005E1335">
        <w:rPr>
          <w:rFonts w:ascii="Times New Roman" w:hAnsi="Times New Roman"/>
          <w:sz w:val="24"/>
          <w:szCs w:val="24"/>
        </w:rPr>
        <w:t>However, t</w:t>
      </w:r>
      <w:r w:rsidR="00AF2224" w:rsidRPr="005E1335">
        <w:rPr>
          <w:rFonts w:ascii="Times New Roman" w:hAnsi="Times New Roman"/>
          <w:sz w:val="24"/>
          <w:szCs w:val="24"/>
        </w:rPr>
        <w:t xml:space="preserve">hrough much of the year, </w:t>
      </w:r>
      <w:r w:rsidR="00722A16" w:rsidRPr="005E1335">
        <w:rPr>
          <w:rFonts w:ascii="Times New Roman" w:hAnsi="Times New Roman"/>
          <w:sz w:val="24"/>
          <w:szCs w:val="24"/>
        </w:rPr>
        <w:t>PSE’s Mid-C hydro reso</w:t>
      </w:r>
      <w:r w:rsidR="00743E3D" w:rsidRPr="005E1335">
        <w:rPr>
          <w:rFonts w:ascii="Times New Roman" w:hAnsi="Times New Roman"/>
          <w:sz w:val="24"/>
          <w:szCs w:val="24"/>
        </w:rPr>
        <w:t>urce</w:t>
      </w:r>
      <w:r w:rsidR="00A80A7A" w:rsidRPr="005E1335">
        <w:rPr>
          <w:rFonts w:ascii="Times New Roman" w:hAnsi="Times New Roman"/>
          <w:sz w:val="24"/>
          <w:szCs w:val="24"/>
        </w:rPr>
        <w:t>s</w:t>
      </w:r>
      <w:r w:rsidR="0015039C">
        <w:rPr>
          <w:rFonts w:ascii="Times New Roman" w:hAnsi="Times New Roman"/>
          <w:sz w:val="24"/>
          <w:szCs w:val="24"/>
        </w:rPr>
        <w:t xml:space="preserve"> are </w:t>
      </w:r>
      <w:r w:rsidR="00743E3D" w:rsidRPr="005E1335">
        <w:rPr>
          <w:rFonts w:ascii="Times New Roman" w:hAnsi="Times New Roman"/>
          <w:sz w:val="24"/>
          <w:szCs w:val="24"/>
        </w:rPr>
        <w:t xml:space="preserve">used to balance </w:t>
      </w:r>
      <w:r w:rsidR="00722A16" w:rsidRPr="005E1335">
        <w:rPr>
          <w:rFonts w:ascii="Times New Roman" w:hAnsi="Times New Roman"/>
          <w:sz w:val="24"/>
          <w:szCs w:val="24"/>
        </w:rPr>
        <w:t>variation</w:t>
      </w:r>
      <w:r w:rsidR="00997157" w:rsidRPr="005E1335">
        <w:rPr>
          <w:rFonts w:ascii="Times New Roman" w:hAnsi="Times New Roman"/>
          <w:sz w:val="24"/>
          <w:szCs w:val="24"/>
        </w:rPr>
        <w:t>s</w:t>
      </w:r>
      <w:r w:rsidR="00722A16" w:rsidRPr="005E1335">
        <w:rPr>
          <w:rFonts w:ascii="Times New Roman" w:hAnsi="Times New Roman"/>
          <w:sz w:val="24"/>
          <w:szCs w:val="24"/>
        </w:rPr>
        <w:t xml:space="preserve"> between scheduled and actual wind generation.</w:t>
      </w:r>
      <w:r w:rsidR="00722A16" w:rsidRPr="0085548C">
        <w:rPr>
          <w:rStyle w:val="FootnoteReference"/>
          <w:rFonts w:ascii="Times New Roman" w:hAnsi="Times New Roman"/>
          <w:sz w:val="24"/>
          <w:szCs w:val="24"/>
        </w:rPr>
        <w:footnoteReference w:id="173"/>
      </w:r>
      <w:r w:rsidR="00722A16" w:rsidRPr="005E1335">
        <w:rPr>
          <w:rFonts w:ascii="Times New Roman" w:hAnsi="Times New Roman"/>
          <w:sz w:val="24"/>
          <w:szCs w:val="24"/>
        </w:rPr>
        <w:t xml:space="preserve">  </w:t>
      </w:r>
    </w:p>
    <w:p w:rsidR="00722A16" w:rsidRDefault="005E1335" w:rsidP="005E1335">
      <w:pPr>
        <w:pStyle w:val="BodyTextIndent"/>
        <w:numPr>
          <w:ilvl w:val="0"/>
          <w:numId w:val="1"/>
        </w:numPr>
      </w:pPr>
      <w:r>
        <w:tab/>
      </w:r>
      <w:r w:rsidR="00722A16">
        <w:t>Mor</w:t>
      </w:r>
      <w:r w:rsidR="00743E3D">
        <w:t xml:space="preserve">eover, PSE </w:t>
      </w:r>
      <w:r w:rsidR="00E12AB4">
        <w:t>does not have the means to</w:t>
      </w:r>
      <w:r w:rsidR="00743E3D">
        <w:t xml:space="preserve"> </w:t>
      </w:r>
      <w:r w:rsidR="00722A16">
        <w:t>determine</w:t>
      </w:r>
      <w:r w:rsidR="006330AD">
        <w:t xml:space="preserve"> </w:t>
      </w:r>
      <w:r w:rsidR="00722A16">
        <w:t>its actual day-ahead wind integr</w:t>
      </w:r>
      <w:r w:rsidR="00E12AB4">
        <w:t>ation costs</w:t>
      </w:r>
      <w:r w:rsidR="00722A16">
        <w:t>.</w:t>
      </w:r>
      <w:r w:rsidR="00AF2224">
        <w:rPr>
          <w:rStyle w:val="FootnoteReference"/>
        </w:rPr>
        <w:footnoteReference w:id="174"/>
      </w:r>
      <w:r w:rsidR="00C228C0">
        <w:t xml:space="preserve">  Instead, </w:t>
      </w:r>
      <w:r w:rsidR="00722A16">
        <w:t>wind integration costs pr</w:t>
      </w:r>
      <w:r w:rsidR="00743E3D">
        <w:t xml:space="preserve">ojected </w:t>
      </w:r>
      <w:r w:rsidR="00722A16">
        <w:t>for the r</w:t>
      </w:r>
      <w:r w:rsidR="0015039C">
        <w:t xml:space="preserve">ate year are </w:t>
      </w:r>
      <w:r w:rsidR="00251153">
        <w:t>estimate</w:t>
      </w:r>
      <w:r w:rsidR="00743E3D">
        <w:t xml:space="preserve">s using assumptions for </w:t>
      </w:r>
      <w:r w:rsidR="00722A16">
        <w:t xml:space="preserve">the opportunity costs of reserving capacity to </w:t>
      </w:r>
      <w:r w:rsidR="00AF2224">
        <w:t>meet wind schedule deviation.  Adding another level of uncertai</w:t>
      </w:r>
      <w:r w:rsidR="0025265A">
        <w:t xml:space="preserve">nty </w:t>
      </w:r>
      <w:r w:rsidR="00AF2224">
        <w:t>is the fact that t</w:t>
      </w:r>
      <w:r w:rsidR="0015039C">
        <w:t xml:space="preserve">he costs of </w:t>
      </w:r>
      <w:r w:rsidR="00722A16">
        <w:t xml:space="preserve">providing day-ahead wind integration of LSR are developed using characteristics of another wind project.  </w:t>
      </w:r>
    </w:p>
    <w:p w:rsidR="00513D65" w:rsidRDefault="005E1335" w:rsidP="005E1335">
      <w:pPr>
        <w:pStyle w:val="BodyTextIndent"/>
        <w:numPr>
          <w:ilvl w:val="0"/>
          <w:numId w:val="1"/>
        </w:numPr>
      </w:pPr>
      <w:r>
        <w:tab/>
      </w:r>
      <w:r w:rsidR="00251153">
        <w:t>Thus, Staff re</w:t>
      </w:r>
      <w:r w:rsidR="00F8603A">
        <w:t xml:space="preserve">moves from </w:t>
      </w:r>
      <w:r w:rsidR="00251153">
        <w:t xml:space="preserve">base </w:t>
      </w:r>
      <w:r w:rsidR="005035ED">
        <w:t>rates</w:t>
      </w:r>
      <w:r w:rsidR="00251153">
        <w:t xml:space="preserve"> costs associated with day-ahe</w:t>
      </w:r>
      <w:r w:rsidR="00451057">
        <w:t>ad wind integration for all PSE-</w:t>
      </w:r>
      <w:r w:rsidR="00F8603A">
        <w:t xml:space="preserve">owned wind projects and </w:t>
      </w:r>
      <w:r w:rsidR="00251153">
        <w:t>wit</w:t>
      </w:r>
      <w:r w:rsidR="00F8603A">
        <w:t xml:space="preserve">hin-hour wind integration for </w:t>
      </w:r>
      <w:r w:rsidR="00251153">
        <w:t xml:space="preserve">Wild Horse and </w:t>
      </w:r>
      <w:r w:rsidR="00F8603A">
        <w:t xml:space="preserve">the </w:t>
      </w:r>
      <w:r w:rsidR="00251153">
        <w:t>Wi</w:t>
      </w:r>
      <w:r w:rsidR="00F8603A">
        <w:t>ld Horse Expansion</w:t>
      </w:r>
      <w:r w:rsidR="00251153">
        <w:t>.</w:t>
      </w:r>
      <w:r w:rsidR="00451057">
        <w:rPr>
          <w:rStyle w:val="FootnoteReference"/>
        </w:rPr>
        <w:footnoteReference w:id="175"/>
      </w:r>
      <w:r w:rsidR="00251153">
        <w:t xml:space="preserve">  Any actual power supply costs or benefits</w:t>
      </w:r>
      <w:r w:rsidR="00251153" w:rsidRPr="00251153">
        <w:t xml:space="preserve"> </w:t>
      </w:r>
      <w:r w:rsidR="00251153">
        <w:t xml:space="preserve">necessary to balance wind and </w:t>
      </w:r>
      <w:r w:rsidR="00251153">
        <w:lastRenderedPageBreak/>
        <w:t xml:space="preserve">load </w:t>
      </w:r>
      <w:r w:rsidR="0025265A">
        <w:t>will be included in the PCA</w:t>
      </w:r>
      <w:r w:rsidR="00251153">
        <w:t>.  This treats unknown and variable wind</w:t>
      </w:r>
      <w:r w:rsidR="00A80A7A">
        <w:t xml:space="preserve"> integration costs or benefits</w:t>
      </w:r>
      <w:r w:rsidR="00251153">
        <w:t xml:space="preserve"> in the same manner as actual variations in fuel costs, market prices, a</w:t>
      </w:r>
      <w:r w:rsidR="00A80A7A">
        <w:t>nd load</w:t>
      </w:r>
      <w:r w:rsidR="00251153">
        <w:t>.</w:t>
      </w:r>
      <w:r w:rsidR="00451057">
        <w:rPr>
          <w:rStyle w:val="FootnoteReference"/>
        </w:rPr>
        <w:footnoteReference w:id="176"/>
      </w:r>
      <w:r w:rsidR="006F6249">
        <w:t xml:space="preserve">  </w:t>
      </w:r>
    </w:p>
    <w:p w:rsidR="00722A16" w:rsidRDefault="005E1335" w:rsidP="005E1335">
      <w:pPr>
        <w:pStyle w:val="BodyTextIndent"/>
        <w:numPr>
          <w:ilvl w:val="0"/>
          <w:numId w:val="1"/>
        </w:numPr>
      </w:pPr>
      <w:r>
        <w:tab/>
      </w:r>
      <w:r w:rsidR="00997157">
        <w:t xml:space="preserve">PSE </w:t>
      </w:r>
      <w:r w:rsidR="0025265A">
        <w:t xml:space="preserve">argues </w:t>
      </w:r>
      <w:r w:rsidR="00513D65">
        <w:t xml:space="preserve">that it </w:t>
      </w:r>
      <w:r w:rsidR="008606C2">
        <w:t xml:space="preserve">has the ability to model </w:t>
      </w:r>
      <w:r w:rsidR="00513D65">
        <w:t xml:space="preserve">day-ahead </w:t>
      </w:r>
      <w:r w:rsidR="008606C2">
        <w:t>wind integration costs for the rate year.</w:t>
      </w:r>
      <w:r w:rsidR="00513D65">
        <w:rPr>
          <w:rStyle w:val="FootnoteReference"/>
        </w:rPr>
        <w:footnoteReference w:id="177"/>
      </w:r>
      <w:r w:rsidR="008606C2">
        <w:t xml:space="preserve">  However, </w:t>
      </w:r>
      <w:r w:rsidR="00F8603A">
        <w:t xml:space="preserve">it </w:t>
      </w:r>
      <w:r w:rsidR="00A80A7A">
        <w:t xml:space="preserve">provided no </w:t>
      </w:r>
      <w:r w:rsidR="00997157">
        <w:t>analysis of the relationship between</w:t>
      </w:r>
      <w:r w:rsidR="005035ED">
        <w:t xml:space="preserve"> modeled and actual </w:t>
      </w:r>
      <w:r w:rsidR="006330AD">
        <w:t>costs</w:t>
      </w:r>
      <w:r w:rsidR="00997157">
        <w:t xml:space="preserve">.  </w:t>
      </w:r>
      <w:r w:rsidR="00F30A20">
        <w:t xml:space="preserve">It </w:t>
      </w:r>
      <w:r w:rsidR="0025265A">
        <w:t xml:space="preserve">also </w:t>
      </w:r>
      <w:r w:rsidR="008606C2">
        <w:t>admits that it</w:t>
      </w:r>
      <w:r w:rsidR="00F30A20">
        <w:t xml:space="preserve">s model cannot isolate </w:t>
      </w:r>
      <w:r w:rsidR="008606C2">
        <w:t>the effects of one variable (</w:t>
      </w:r>
      <w:r w:rsidR="008606C2" w:rsidRPr="00A80A7A">
        <w:rPr>
          <w:i/>
        </w:rPr>
        <w:t>i.e</w:t>
      </w:r>
      <w:r w:rsidR="008606C2">
        <w:t>., wind forecast error) given its dynamic power portfolio of load and generating assets.</w:t>
      </w:r>
      <w:r w:rsidR="008606C2">
        <w:rPr>
          <w:rStyle w:val="FootnoteReference"/>
        </w:rPr>
        <w:footnoteReference w:id="178"/>
      </w:r>
      <w:r w:rsidR="008606C2">
        <w:t xml:space="preserve">  </w:t>
      </w:r>
      <w:r w:rsidR="006330AD">
        <w:t xml:space="preserve">Thus, its modeling efforts </w:t>
      </w:r>
      <w:r w:rsidR="00F30A20">
        <w:t xml:space="preserve">actually </w:t>
      </w:r>
      <w:r w:rsidR="008606C2">
        <w:t>high</w:t>
      </w:r>
      <w:r w:rsidR="0025265A">
        <w:t>light the un</w:t>
      </w:r>
      <w:r w:rsidR="008606C2">
        <w:t>certainty of the wind integration costs PSE seeks to include in base rates.</w:t>
      </w:r>
    </w:p>
    <w:p w:rsidR="00262F5E" w:rsidRDefault="005E1335" w:rsidP="005E1335">
      <w:pPr>
        <w:pStyle w:val="BodyTextIndent"/>
        <w:numPr>
          <w:ilvl w:val="0"/>
          <w:numId w:val="1"/>
        </w:numPr>
      </w:pPr>
      <w:r>
        <w:tab/>
      </w:r>
      <w:r w:rsidR="00EB43B7">
        <w:t xml:space="preserve">PSE notes </w:t>
      </w:r>
      <w:r w:rsidR="00997157">
        <w:t xml:space="preserve">other </w:t>
      </w:r>
      <w:r w:rsidR="00EB43B7">
        <w:t>Northwest utilities that include</w:t>
      </w:r>
      <w:r w:rsidR="00997157">
        <w:t xml:space="preserve"> day-ahead wind integration costs.</w:t>
      </w:r>
      <w:r w:rsidR="00997157">
        <w:rPr>
          <w:rStyle w:val="FootnoteReference"/>
        </w:rPr>
        <w:footnoteReference w:id="179"/>
      </w:r>
      <w:r w:rsidR="00EB43B7">
        <w:t xml:space="preserve">  This has </w:t>
      </w:r>
      <w:r w:rsidR="00997157">
        <w:t>no bearing on this proceeding since no</w:t>
      </w:r>
      <w:r w:rsidR="0025265A">
        <w:t xml:space="preserve"> effort was made </w:t>
      </w:r>
      <w:r w:rsidR="00997157">
        <w:t xml:space="preserve">to describe the nature of their inclusion – whether by settlement or </w:t>
      </w:r>
      <w:r w:rsidR="005035ED">
        <w:t>litigation</w:t>
      </w:r>
      <w:r w:rsidR="00A80A7A">
        <w:t>,</w:t>
      </w:r>
      <w:r w:rsidR="005035ED">
        <w:t xml:space="preserve"> or </w:t>
      </w:r>
      <w:r w:rsidR="00997157">
        <w:t xml:space="preserve">by utilities that </w:t>
      </w:r>
      <w:r w:rsidR="00133B23">
        <w:t xml:space="preserve">have or </w:t>
      </w:r>
      <w:r w:rsidR="00997157">
        <w:t xml:space="preserve">do not have </w:t>
      </w:r>
      <w:r w:rsidR="00133B23">
        <w:t xml:space="preserve">a </w:t>
      </w:r>
      <w:r w:rsidR="00997157">
        <w:t>PCA.</w:t>
      </w:r>
    </w:p>
    <w:p w:rsidR="00722A16"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997157" w:rsidRPr="005E1335">
        <w:rPr>
          <w:rFonts w:ascii="Times New Roman" w:hAnsi="Times New Roman"/>
          <w:sz w:val="24"/>
          <w:szCs w:val="24"/>
        </w:rPr>
        <w:t xml:space="preserve">Finally, </w:t>
      </w:r>
      <w:r w:rsidR="005035ED" w:rsidRPr="005E1335">
        <w:rPr>
          <w:rFonts w:ascii="Times New Roman" w:hAnsi="Times New Roman"/>
          <w:sz w:val="24"/>
          <w:szCs w:val="24"/>
        </w:rPr>
        <w:t xml:space="preserve">the Company ignores the fact that Staff is not proposing </w:t>
      </w:r>
      <w:r w:rsidR="00412F8A" w:rsidRPr="005E1335">
        <w:rPr>
          <w:rFonts w:ascii="Times New Roman" w:hAnsi="Times New Roman"/>
          <w:sz w:val="24"/>
          <w:szCs w:val="24"/>
        </w:rPr>
        <w:t xml:space="preserve">to disallow </w:t>
      </w:r>
      <w:r w:rsidR="005035ED" w:rsidRPr="005E1335">
        <w:rPr>
          <w:rFonts w:ascii="Times New Roman" w:hAnsi="Times New Roman"/>
          <w:sz w:val="24"/>
          <w:szCs w:val="24"/>
        </w:rPr>
        <w:t>the costs of wind integration</w:t>
      </w:r>
      <w:r w:rsidR="0025265A" w:rsidRPr="005E1335">
        <w:rPr>
          <w:rFonts w:ascii="Times New Roman" w:hAnsi="Times New Roman"/>
          <w:sz w:val="24"/>
          <w:szCs w:val="24"/>
        </w:rPr>
        <w:t xml:space="preserve">.  Rather, Staff </w:t>
      </w:r>
      <w:r w:rsidR="00412F8A" w:rsidRPr="005E1335">
        <w:rPr>
          <w:rFonts w:ascii="Times New Roman" w:hAnsi="Times New Roman"/>
          <w:sz w:val="24"/>
          <w:szCs w:val="24"/>
        </w:rPr>
        <w:t>proposes</w:t>
      </w:r>
      <w:r w:rsidR="005035ED" w:rsidRPr="005E1335">
        <w:rPr>
          <w:rFonts w:ascii="Times New Roman" w:hAnsi="Times New Roman"/>
          <w:sz w:val="24"/>
          <w:szCs w:val="24"/>
        </w:rPr>
        <w:t xml:space="preserve"> to capture</w:t>
      </w:r>
      <w:r w:rsidR="00133B23">
        <w:rPr>
          <w:rFonts w:ascii="Times New Roman" w:hAnsi="Times New Roman"/>
          <w:sz w:val="24"/>
          <w:szCs w:val="24"/>
        </w:rPr>
        <w:t xml:space="preserve"> those costs through the PCA such that</w:t>
      </w:r>
      <w:r w:rsidR="005035ED" w:rsidRPr="005E1335">
        <w:rPr>
          <w:rFonts w:ascii="Times New Roman" w:hAnsi="Times New Roman"/>
          <w:sz w:val="24"/>
          <w:szCs w:val="24"/>
        </w:rPr>
        <w:t>, o</w:t>
      </w:r>
      <w:r w:rsidR="00EB43B7" w:rsidRPr="005E1335">
        <w:rPr>
          <w:rFonts w:ascii="Times New Roman" w:hAnsi="Times New Roman"/>
          <w:sz w:val="24"/>
          <w:szCs w:val="24"/>
        </w:rPr>
        <w:t xml:space="preserve">ver time, PSE </w:t>
      </w:r>
      <w:r w:rsidR="005035ED" w:rsidRPr="005E1335">
        <w:rPr>
          <w:rFonts w:ascii="Times New Roman" w:hAnsi="Times New Roman"/>
          <w:sz w:val="24"/>
          <w:szCs w:val="24"/>
        </w:rPr>
        <w:t xml:space="preserve">will be compensated properly for the variability in wind generation.  </w:t>
      </w:r>
    </w:p>
    <w:p w:rsidR="00502D43" w:rsidRDefault="00502D43" w:rsidP="00C60C81">
      <w:pPr>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v</w:t>
      </w:r>
      <w:r w:rsidR="0084188A">
        <w:rPr>
          <w:rFonts w:ascii="Times New Roman" w:hAnsi="Times New Roman"/>
          <w:b/>
          <w:sz w:val="24"/>
        </w:rPr>
        <w:t>i</w:t>
      </w:r>
      <w:r w:rsidR="002107E8">
        <w:rPr>
          <w:rFonts w:ascii="Times New Roman" w:hAnsi="Times New Roman"/>
          <w:b/>
          <w:sz w:val="24"/>
        </w:rPr>
        <w:t>.</w:t>
      </w:r>
      <w:r w:rsidR="002107E8">
        <w:rPr>
          <w:rFonts w:ascii="Times New Roman" w:hAnsi="Times New Roman"/>
          <w:b/>
          <w:sz w:val="24"/>
        </w:rPr>
        <w:tab/>
        <w:t>Cedar Hills Contract Cost Limitation</w:t>
      </w:r>
    </w:p>
    <w:p w:rsidR="0084188A"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84188A" w:rsidRPr="005E1335">
        <w:rPr>
          <w:rFonts w:ascii="Times New Roman" w:hAnsi="Times New Roman"/>
          <w:sz w:val="24"/>
          <w:szCs w:val="24"/>
        </w:rPr>
        <w:t>This adjust</w:t>
      </w:r>
      <w:r w:rsidR="0002403A" w:rsidRPr="005E1335">
        <w:rPr>
          <w:rFonts w:ascii="Times New Roman" w:hAnsi="Times New Roman"/>
          <w:sz w:val="24"/>
          <w:szCs w:val="24"/>
        </w:rPr>
        <w:t xml:space="preserve">ment concerns a transaction to acquire </w:t>
      </w:r>
      <w:r w:rsidR="0084188A" w:rsidRPr="005E1335">
        <w:rPr>
          <w:rFonts w:ascii="Times New Roman" w:hAnsi="Times New Roman"/>
          <w:sz w:val="24"/>
          <w:szCs w:val="24"/>
        </w:rPr>
        <w:t>emission credits associated with gas produced by the Cedar Hi</w:t>
      </w:r>
      <w:r w:rsidR="0025265A" w:rsidRPr="005E1335">
        <w:rPr>
          <w:rFonts w:ascii="Times New Roman" w:hAnsi="Times New Roman"/>
          <w:sz w:val="24"/>
          <w:szCs w:val="24"/>
        </w:rPr>
        <w:t xml:space="preserve">lls Regional landfill.  </w:t>
      </w:r>
      <w:r w:rsidR="0084188A" w:rsidRPr="005E1335">
        <w:rPr>
          <w:rFonts w:ascii="Times New Roman" w:hAnsi="Times New Roman"/>
          <w:sz w:val="24"/>
          <w:szCs w:val="24"/>
        </w:rPr>
        <w:t xml:space="preserve">The Company intends to monetize the renewable attributes of the gas, but has not yet signed agreements for sale of the </w:t>
      </w:r>
      <w:r w:rsidR="00EB43B7" w:rsidRPr="005E1335">
        <w:rPr>
          <w:rFonts w:ascii="Times New Roman" w:hAnsi="Times New Roman"/>
          <w:sz w:val="24"/>
          <w:szCs w:val="24"/>
        </w:rPr>
        <w:t>RECs</w:t>
      </w:r>
      <w:r w:rsidR="0025265A" w:rsidRPr="005E1335">
        <w:rPr>
          <w:rFonts w:ascii="Times New Roman" w:hAnsi="Times New Roman"/>
          <w:sz w:val="24"/>
          <w:szCs w:val="24"/>
        </w:rPr>
        <w:t xml:space="preserve">.  </w:t>
      </w:r>
      <w:r w:rsidR="0084188A" w:rsidRPr="005E1335">
        <w:rPr>
          <w:rFonts w:ascii="Times New Roman" w:hAnsi="Times New Roman"/>
          <w:sz w:val="24"/>
          <w:szCs w:val="24"/>
        </w:rPr>
        <w:t>PSE also proposes that ratep</w:t>
      </w:r>
      <w:r w:rsidR="00891C26" w:rsidRPr="005E1335">
        <w:rPr>
          <w:rFonts w:ascii="Times New Roman" w:hAnsi="Times New Roman"/>
          <w:sz w:val="24"/>
          <w:szCs w:val="24"/>
        </w:rPr>
        <w:t xml:space="preserve">ayers absorb the MTM </w:t>
      </w:r>
      <w:r w:rsidR="0084188A" w:rsidRPr="005E1335">
        <w:rPr>
          <w:rFonts w:ascii="Times New Roman" w:hAnsi="Times New Roman"/>
          <w:sz w:val="24"/>
          <w:szCs w:val="24"/>
        </w:rPr>
        <w:t xml:space="preserve">costs </w:t>
      </w:r>
      <w:r w:rsidR="0025265A" w:rsidRPr="005E1335">
        <w:rPr>
          <w:rFonts w:ascii="Times New Roman" w:hAnsi="Times New Roman"/>
          <w:sz w:val="24"/>
          <w:szCs w:val="24"/>
        </w:rPr>
        <w:t xml:space="preserve">of with the </w:t>
      </w:r>
      <w:r w:rsidR="0084188A" w:rsidRPr="005E1335">
        <w:rPr>
          <w:rFonts w:ascii="Times New Roman" w:hAnsi="Times New Roman"/>
          <w:sz w:val="24"/>
          <w:szCs w:val="24"/>
        </w:rPr>
        <w:t>transaction.</w:t>
      </w:r>
      <w:r w:rsidR="0084188A">
        <w:rPr>
          <w:rStyle w:val="FootnoteReference"/>
          <w:rFonts w:ascii="Times New Roman" w:hAnsi="Times New Roman"/>
          <w:sz w:val="24"/>
          <w:szCs w:val="24"/>
        </w:rPr>
        <w:footnoteReference w:id="180"/>
      </w:r>
    </w:p>
    <w:p w:rsidR="002E627B" w:rsidRDefault="005E1335" w:rsidP="006F6249">
      <w:pPr>
        <w:pStyle w:val="BodyTextIndent"/>
        <w:widowControl w:val="0"/>
        <w:numPr>
          <w:ilvl w:val="0"/>
          <w:numId w:val="1"/>
        </w:numPr>
      </w:pPr>
      <w:r>
        <w:tab/>
      </w:r>
      <w:r w:rsidR="00AC4FF6">
        <w:t>The issue is whether Cedar Hills</w:t>
      </w:r>
      <w:r w:rsidR="00287E08">
        <w:t>’</w:t>
      </w:r>
      <w:r w:rsidR="00AC4FF6">
        <w:t xml:space="preserve"> gas was </w:t>
      </w:r>
      <w:r w:rsidR="000C2472">
        <w:t xml:space="preserve">acquired </w:t>
      </w:r>
      <w:r w:rsidR="007C742B">
        <w:t>to meet generation needs</w:t>
      </w:r>
      <w:r w:rsidR="00AC4FF6">
        <w:t xml:space="preserve"> or solely to monetize the</w:t>
      </w:r>
      <w:r w:rsidR="002E627B">
        <w:t xml:space="preserve"> renewable attributes </w:t>
      </w:r>
      <w:r w:rsidR="004E597B">
        <w:t xml:space="preserve">of the gas </w:t>
      </w:r>
      <w:r w:rsidR="002E627B">
        <w:t>and the</w:t>
      </w:r>
      <w:r w:rsidR="00EB43B7">
        <w:t>n ask</w:t>
      </w:r>
      <w:r w:rsidR="00AC4FF6">
        <w:t xml:space="preserve"> ratepayers </w:t>
      </w:r>
      <w:r w:rsidR="004E597B">
        <w:t xml:space="preserve">both </w:t>
      </w:r>
      <w:r w:rsidR="00AC4FF6">
        <w:t xml:space="preserve">to </w:t>
      </w:r>
      <w:r w:rsidR="002E627B">
        <w:t>bear the speculative risk of purchasing and selling the gas commodity</w:t>
      </w:r>
      <w:r w:rsidR="00AC4FF6">
        <w:t xml:space="preserve"> and</w:t>
      </w:r>
      <w:r w:rsidR="002E627B">
        <w:t xml:space="preserve"> </w:t>
      </w:r>
      <w:r w:rsidR="004E597B">
        <w:t xml:space="preserve">to </w:t>
      </w:r>
      <w:r w:rsidR="002E627B">
        <w:t>pay in base rates the</w:t>
      </w:r>
      <w:r w:rsidR="007C742B">
        <w:t xml:space="preserve"> MTM</w:t>
      </w:r>
      <w:r w:rsidR="002E627B">
        <w:t xml:space="preserve"> costs of the </w:t>
      </w:r>
      <w:r w:rsidR="002E627B">
        <w:lastRenderedPageBreak/>
        <w:t>transaction.</w:t>
      </w:r>
      <w:r w:rsidR="0084188A">
        <w:t xml:space="preserve">  </w:t>
      </w:r>
      <w:r w:rsidR="007F066A">
        <w:t>PSE claims</w:t>
      </w:r>
      <w:r w:rsidR="0002403A">
        <w:t xml:space="preserve"> </w:t>
      </w:r>
      <w:r w:rsidR="00AC4FF6">
        <w:t>the transaction is</w:t>
      </w:r>
      <w:r w:rsidR="007F066A" w:rsidRPr="007F066A">
        <w:t xml:space="preserve"> to meet gene</w:t>
      </w:r>
      <w:r w:rsidR="007F066A">
        <w:t xml:space="preserve">ration needs, but that </w:t>
      </w:r>
      <w:r w:rsidR="00EB43B7">
        <w:t>it</w:t>
      </w:r>
      <w:r w:rsidR="00F8603A">
        <w:t xml:space="preserve"> is </w:t>
      </w:r>
      <w:r w:rsidR="007F066A">
        <w:t xml:space="preserve">more </w:t>
      </w:r>
      <w:r w:rsidR="007F066A" w:rsidRPr="007F066A">
        <w:t xml:space="preserve">advantageous </w:t>
      </w:r>
      <w:r w:rsidR="00AC4FF6">
        <w:t>at this time</w:t>
      </w:r>
      <w:r w:rsidR="00AC4FF6" w:rsidRPr="007F066A">
        <w:t xml:space="preserve"> </w:t>
      </w:r>
      <w:r w:rsidR="007F066A" w:rsidRPr="007F066A">
        <w:t xml:space="preserve">to sell the </w:t>
      </w:r>
      <w:r w:rsidR="00EB43B7">
        <w:t>RECs</w:t>
      </w:r>
      <w:r w:rsidR="007F066A" w:rsidRPr="007F066A">
        <w:t xml:space="preserve"> associated with the gas</w:t>
      </w:r>
      <w:r w:rsidR="007F066A">
        <w:t>.</w:t>
      </w:r>
      <w:r w:rsidR="007F066A">
        <w:rPr>
          <w:rStyle w:val="FootnoteReference"/>
        </w:rPr>
        <w:footnoteReference w:id="181"/>
      </w:r>
      <w:r w:rsidR="002E627B">
        <w:t xml:space="preserve">  </w:t>
      </w:r>
      <w:r w:rsidR="0002403A">
        <w:t xml:space="preserve">PSE </w:t>
      </w:r>
      <w:r w:rsidR="002E627B">
        <w:t>also agrees to</w:t>
      </w:r>
      <w:r w:rsidR="0002403A">
        <w:t xml:space="preserve"> defer </w:t>
      </w:r>
      <w:r w:rsidR="002E627B" w:rsidRPr="002E627B">
        <w:t>revenues associated w</w:t>
      </w:r>
      <w:r w:rsidR="0002403A">
        <w:t xml:space="preserve">ith the sale of </w:t>
      </w:r>
      <w:r w:rsidR="00AC4FF6">
        <w:t xml:space="preserve">the renewable </w:t>
      </w:r>
      <w:r w:rsidR="002E627B" w:rsidRPr="002E627B">
        <w:t>attributes for future customer credit.</w:t>
      </w:r>
      <w:r w:rsidR="00DD0564">
        <w:rPr>
          <w:rStyle w:val="FootnoteReference"/>
        </w:rPr>
        <w:footnoteReference w:id="182"/>
      </w:r>
      <w:r w:rsidR="002E627B" w:rsidRPr="002E627B">
        <w:t xml:space="preserve">  </w:t>
      </w:r>
    </w:p>
    <w:p w:rsidR="0084188A" w:rsidRPr="0084188A" w:rsidRDefault="005E1335" w:rsidP="005E1335">
      <w:pPr>
        <w:pStyle w:val="BodyTextIndent"/>
        <w:numPr>
          <w:ilvl w:val="0"/>
          <w:numId w:val="1"/>
        </w:numPr>
      </w:pPr>
      <w:r>
        <w:tab/>
      </w:r>
      <w:r w:rsidR="002E627B" w:rsidRPr="002E627B">
        <w:t>To ass</w:t>
      </w:r>
      <w:r w:rsidR="00243154">
        <w:t>ure these commitments</w:t>
      </w:r>
      <w:r w:rsidR="002E627B" w:rsidRPr="002E627B">
        <w:t>, the Comm</w:t>
      </w:r>
      <w:r w:rsidR="002E627B">
        <w:t xml:space="preserve">ission should order PSE </w:t>
      </w:r>
      <w:r w:rsidR="002E627B" w:rsidRPr="002E627B">
        <w:t xml:space="preserve">to file </w:t>
      </w:r>
      <w:r w:rsidR="002E627B">
        <w:t>a petition for an accounting order</w:t>
      </w:r>
      <w:r w:rsidR="002E627B" w:rsidRPr="002E627B">
        <w:t xml:space="preserve"> as part of its compliance filing.  </w:t>
      </w:r>
      <w:r w:rsidR="002E627B">
        <w:t xml:space="preserve">Such a process would allow </w:t>
      </w:r>
      <w:r w:rsidR="002E627B" w:rsidRPr="002E627B">
        <w:t xml:space="preserve">Staff’s </w:t>
      </w:r>
      <w:r w:rsidR="002E627B">
        <w:t>adjustment to be withdrawn</w:t>
      </w:r>
      <w:r w:rsidR="00AC4FF6">
        <w:t xml:space="preserve">.   Absent such a filing, however, the Commission should adopt Staff’s adjustment reducing rate year power costs </w:t>
      </w:r>
      <w:r w:rsidR="004E597B">
        <w:t xml:space="preserve">by </w:t>
      </w:r>
      <w:r w:rsidR="00AC4FF6">
        <w:t>$1.6 million.</w:t>
      </w:r>
      <w:r w:rsidR="00AC4FF6">
        <w:rPr>
          <w:rStyle w:val="FootnoteReference"/>
        </w:rPr>
        <w:footnoteReference w:id="183"/>
      </w:r>
      <w:r w:rsidR="00AC4FF6">
        <w:t xml:space="preserve">  </w:t>
      </w:r>
    </w:p>
    <w:p w:rsidR="00502D43" w:rsidRDefault="00502D43" w:rsidP="00C60C81">
      <w:pPr>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vi</w:t>
      </w:r>
      <w:r w:rsidR="0084188A">
        <w:rPr>
          <w:rFonts w:ascii="Times New Roman" w:hAnsi="Times New Roman"/>
          <w:b/>
          <w:sz w:val="24"/>
        </w:rPr>
        <w:t>i</w:t>
      </w:r>
      <w:r w:rsidR="002107E8">
        <w:rPr>
          <w:rFonts w:ascii="Times New Roman" w:hAnsi="Times New Roman"/>
          <w:b/>
          <w:sz w:val="24"/>
        </w:rPr>
        <w:t>.</w:t>
      </w:r>
      <w:r w:rsidR="002107E8">
        <w:rPr>
          <w:rFonts w:ascii="Times New Roman" w:hAnsi="Times New Roman"/>
          <w:b/>
          <w:sz w:val="24"/>
        </w:rPr>
        <w:tab/>
        <w:t>Other Production O&amp;M Using 2012 Budget</w:t>
      </w:r>
    </w:p>
    <w:p w:rsidR="001B49FA" w:rsidRPr="005E1335" w:rsidRDefault="005E1335" w:rsidP="005E1335">
      <w:pPr>
        <w:pStyle w:val="ListParagraph"/>
        <w:numPr>
          <w:ilvl w:val="0"/>
          <w:numId w:val="1"/>
        </w:numPr>
        <w:spacing w:line="480" w:lineRule="auto"/>
        <w:rPr>
          <w:rFonts w:ascii="Times New Roman" w:hAnsi="Times New Roman"/>
          <w:sz w:val="24"/>
        </w:rPr>
      </w:pPr>
      <w:r>
        <w:rPr>
          <w:rFonts w:ascii="Times New Roman" w:hAnsi="Times New Roman"/>
          <w:sz w:val="24"/>
        </w:rPr>
        <w:tab/>
      </w:r>
      <w:r w:rsidR="001B49FA" w:rsidRPr="005E1335">
        <w:rPr>
          <w:rFonts w:ascii="Times New Roman" w:hAnsi="Times New Roman"/>
          <w:sz w:val="24"/>
        </w:rPr>
        <w:t xml:space="preserve">“Other” production O&amp;M </w:t>
      </w:r>
      <w:r w:rsidR="00891C26" w:rsidRPr="005E1335">
        <w:rPr>
          <w:rFonts w:ascii="Times New Roman" w:hAnsi="Times New Roman"/>
          <w:sz w:val="24"/>
        </w:rPr>
        <w:t xml:space="preserve">expense </w:t>
      </w:r>
      <w:r w:rsidR="001B49FA" w:rsidRPr="005E1335">
        <w:rPr>
          <w:rFonts w:ascii="Times New Roman" w:hAnsi="Times New Roman"/>
          <w:sz w:val="24"/>
        </w:rPr>
        <w:t>represents expenses attributable to all or pa</w:t>
      </w:r>
      <w:r w:rsidR="00891C26" w:rsidRPr="005E1335">
        <w:rPr>
          <w:rFonts w:ascii="Times New Roman" w:hAnsi="Times New Roman"/>
          <w:sz w:val="24"/>
        </w:rPr>
        <w:t xml:space="preserve">rt of the generation fleet that cannot be identified to </w:t>
      </w:r>
      <w:r w:rsidR="001B49FA" w:rsidRPr="005E1335">
        <w:rPr>
          <w:rFonts w:ascii="Times New Roman" w:hAnsi="Times New Roman"/>
          <w:sz w:val="24"/>
        </w:rPr>
        <w:t>any specific facili</w:t>
      </w:r>
      <w:r w:rsidR="0002403A" w:rsidRPr="005E1335">
        <w:rPr>
          <w:rFonts w:ascii="Times New Roman" w:hAnsi="Times New Roman"/>
          <w:sz w:val="24"/>
        </w:rPr>
        <w:t xml:space="preserve">ty.  </w:t>
      </w:r>
      <w:r w:rsidR="00AE6FDB">
        <w:rPr>
          <w:rFonts w:ascii="Times New Roman" w:hAnsi="Times New Roman"/>
          <w:sz w:val="24"/>
        </w:rPr>
        <w:t>Staff’s adjustment used</w:t>
      </w:r>
      <w:r w:rsidR="001B49FA" w:rsidRPr="005E1335">
        <w:rPr>
          <w:rFonts w:ascii="Times New Roman" w:hAnsi="Times New Roman"/>
          <w:sz w:val="24"/>
        </w:rPr>
        <w:t xml:space="preserve"> 2012 budgeted amo</w:t>
      </w:r>
      <w:r w:rsidR="0002403A" w:rsidRPr="005E1335">
        <w:rPr>
          <w:rFonts w:ascii="Times New Roman" w:hAnsi="Times New Roman"/>
          <w:sz w:val="24"/>
        </w:rPr>
        <w:t xml:space="preserve">unts </w:t>
      </w:r>
      <w:r w:rsidR="001B49FA" w:rsidRPr="005E1335">
        <w:rPr>
          <w:rFonts w:ascii="Times New Roman" w:hAnsi="Times New Roman"/>
          <w:sz w:val="24"/>
        </w:rPr>
        <w:t>because the test year amount was both significantly higher than the rate case budgeted expense and was a significant increase over expenses included in prior rate cases.</w:t>
      </w:r>
      <w:r w:rsidR="001B49FA">
        <w:rPr>
          <w:rStyle w:val="FootnoteReference"/>
          <w:rFonts w:ascii="Times New Roman" w:hAnsi="Times New Roman"/>
          <w:sz w:val="24"/>
        </w:rPr>
        <w:footnoteReference w:id="184"/>
      </w:r>
      <w:r w:rsidR="001B49FA" w:rsidRPr="005E1335">
        <w:rPr>
          <w:rFonts w:ascii="Times New Roman" w:hAnsi="Times New Roman"/>
          <w:sz w:val="24"/>
        </w:rPr>
        <w:t xml:space="preserve">  Staff also </w:t>
      </w:r>
      <w:r w:rsidR="00243154" w:rsidRPr="005E1335">
        <w:rPr>
          <w:rFonts w:ascii="Times New Roman" w:hAnsi="Times New Roman"/>
          <w:sz w:val="24"/>
        </w:rPr>
        <w:t xml:space="preserve">excluded a test year expense </w:t>
      </w:r>
      <w:r w:rsidR="000A0207" w:rsidRPr="005E1335">
        <w:rPr>
          <w:rFonts w:ascii="Times New Roman" w:hAnsi="Times New Roman"/>
          <w:sz w:val="24"/>
        </w:rPr>
        <w:t xml:space="preserve">PSE </w:t>
      </w:r>
      <w:r w:rsidR="001B49FA" w:rsidRPr="005E1335">
        <w:rPr>
          <w:rFonts w:ascii="Times New Roman" w:hAnsi="Times New Roman"/>
          <w:sz w:val="24"/>
        </w:rPr>
        <w:t>called “discretionary benefits”, noting that similar amounts were not included in the 2012 and 2013 budgets.</w:t>
      </w:r>
      <w:r w:rsidR="001B49FA">
        <w:rPr>
          <w:rStyle w:val="FootnoteReference"/>
          <w:rFonts w:ascii="Times New Roman" w:hAnsi="Times New Roman"/>
          <w:sz w:val="24"/>
        </w:rPr>
        <w:footnoteReference w:id="185"/>
      </w:r>
      <w:r w:rsidR="00762997" w:rsidRPr="005E1335">
        <w:rPr>
          <w:rFonts w:ascii="Times New Roman" w:hAnsi="Times New Roman"/>
          <w:sz w:val="24"/>
        </w:rPr>
        <w:t xml:space="preserve">  Staff’s adju</w:t>
      </w:r>
      <w:r w:rsidR="000A0207" w:rsidRPr="005E1335">
        <w:rPr>
          <w:rFonts w:ascii="Times New Roman" w:hAnsi="Times New Roman"/>
          <w:sz w:val="24"/>
        </w:rPr>
        <w:t xml:space="preserve">stment </w:t>
      </w:r>
      <w:r w:rsidR="00C228C0">
        <w:rPr>
          <w:rFonts w:ascii="Times New Roman" w:hAnsi="Times New Roman"/>
          <w:sz w:val="24"/>
        </w:rPr>
        <w:t>decreased</w:t>
      </w:r>
      <w:r w:rsidR="00762997" w:rsidRPr="005E1335">
        <w:rPr>
          <w:rFonts w:ascii="Times New Roman" w:hAnsi="Times New Roman"/>
          <w:sz w:val="24"/>
        </w:rPr>
        <w:t xml:space="preserve"> rate year power costs by $912,700.</w:t>
      </w:r>
      <w:r w:rsidR="00762997">
        <w:rPr>
          <w:rStyle w:val="FootnoteReference"/>
          <w:rFonts w:ascii="Times New Roman" w:hAnsi="Times New Roman"/>
          <w:sz w:val="24"/>
        </w:rPr>
        <w:footnoteReference w:id="186"/>
      </w:r>
    </w:p>
    <w:p w:rsidR="00EC2F12" w:rsidRPr="00F30A20" w:rsidRDefault="005E1335" w:rsidP="00F30A20">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891C26" w:rsidRPr="005E1335">
        <w:rPr>
          <w:rFonts w:ascii="Times New Roman" w:hAnsi="Times New Roman"/>
          <w:sz w:val="24"/>
          <w:szCs w:val="24"/>
        </w:rPr>
        <w:t xml:space="preserve">In rebuttal, PSE </w:t>
      </w:r>
      <w:r w:rsidR="00EC2F12" w:rsidRPr="005E1335">
        <w:rPr>
          <w:rFonts w:ascii="Times New Roman" w:hAnsi="Times New Roman"/>
          <w:sz w:val="24"/>
          <w:szCs w:val="24"/>
        </w:rPr>
        <w:t xml:space="preserve">revised </w:t>
      </w:r>
      <w:r w:rsidR="00A26624" w:rsidRPr="005E1335">
        <w:rPr>
          <w:rFonts w:ascii="Times New Roman" w:hAnsi="Times New Roman"/>
          <w:sz w:val="24"/>
          <w:szCs w:val="24"/>
        </w:rPr>
        <w:t xml:space="preserve">the data </w:t>
      </w:r>
      <w:r w:rsidR="000A0207" w:rsidRPr="005E1335">
        <w:rPr>
          <w:rFonts w:ascii="Times New Roman" w:hAnsi="Times New Roman"/>
          <w:sz w:val="24"/>
          <w:szCs w:val="24"/>
        </w:rPr>
        <w:t xml:space="preserve">Staff used for </w:t>
      </w:r>
      <w:r w:rsidR="00EC2F12" w:rsidRPr="005E1335">
        <w:rPr>
          <w:rFonts w:ascii="Times New Roman" w:hAnsi="Times New Roman"/>
          <w:sz w:val="24"/>
          <w:szCs w:val="24"/>
        </w:rPr>
        <w:t>its adjustm</w:t>
      </w:r>
      <w:r w:rsidR="00F30A20">
        <w:rPr>
          <w:rFonts w:ascii="Times New Roman" w:hAnsi="Times New Roman"/>
          <w:sz w:val="24"/>
          <w:szCs w:val="24"/>
        </w:rPr>
        <w:t>ent.  The revision reflected increase</w:t>
      </w:r>
      <w:r w:rsidR="00C228C0">
        <w:rPr>
          <w:rFonts w:ascii="Times New Roman" w:hAnsi="Times New Roman"/>
          <w:sz w:val="24"/>
          <w:szCs w:val="24"/>
        </w:rPr>
        <w:t>s</w:t>
      </w:r>
      <w:r w:rsidR="00F30A20">
        <w:rPr>
          <w:rFonts w:ascii="Times New Roman" w:hAnsi="Times New Roman"/>
          <w:sz w:val="24"/>
          <w:szCs w:val="24"/>
        </w:rPr>
        <w:t xml:space="preserve"> in the</w:t>
      </w:r>
      <w:r w:rsidR="00EC2F12" w:rsidRPr="005E1335">
        <w:rPr>
          <w:rFonts w:ascii="Times New Roman" w:hAnsi="Times New Roman"/>
          <w:sz w:val="24"/>
          <w:szCs w:val="24"/>
        </w:rPr>
        <w:t xml:space="preserve"> final 2012 and 2013 budget</w:t>
      </w:r>
      <w:r w:rsidR="00762997" w:rsidRPr="005E1335">
        <w:rPr>
          <w:rFonts w:ascii="Times New Roman" w:hAnsi="Times New Roman"/>
          <w:sz w:val="24"/>
          <w:szCs w:val="24"/>
        </w:rPr>
        <w:t>s</w:t>
      </w:r>
      <w:r w:rsidR="00EC2F12" w:rsidRPr="005E1335">
        <w:rPr>
          <w:rFonts w:ascii="Times New Roman" w:hAnsi="Times New Roman"/>
          <w:sz w:val="24"/>
          <w:szCs w:val="24"/>
        </w:rPr>
        <w:t xml:space="preserve"> for o</w:t>
      </w:r>
      <w:r w:rsidR="00EC2F12" w:rsidRPr="005E1335">
        <w:rPr>
          <w:rFonts w:ascii="Times New Roman" w:hAnsi="Times New Roman"/>
          <w:sz w:val="24"/>
        </w:rPr>
        <w:t>ther production O&amp;M expense</w:t>
      </w:r>
      <w:r w:rsidR="00EC2F12" w:rsidRPr="005E1335">
        <w:rPr>
          <w:rFonts w:ascii="Times New Roman" w:hAnsi="Times New Roman"/>
          <w:sz w:val="24"/>
          <w:szCs w:val="24"/>
        </w:rPr>
        <w:t>.</w:t>
      </w:r>
      <w:r w:rsidR="00EC2F12">
        <w:rPr>
          <w:rStyle w:val="FootnoteReference"/>
          <w:rFonts w:ascii="Times New Roman" w:hAnsi="Times New Roman"/>
          <w:sz w:val="24"/>
          <w:szCs w:val="24"/>
        </w:rPr>
        <w:footnoteReference w:id="187"/>
      </w:r>
      <w:r w:rsidR="00EC2F12" w:rsidRPr="005E1335">
        <w:rPr>
          <w:rFonts w:ascii="Times New Roman" w:hAnsi="Times New Roman"/>
          <w:sz w:val="24"/>
          <w:szCs w:val="24"/>
        </w:rPr>
        <w:t xml:space="preserve">  </w:t>
      </w:r>
      <w:r w:rsidR="00891C26" w:rsidRPr="005E1335">
        <w:rPr>
          <w:rFonts w:ascii="Times New Roman" w:hAnsi="Times New Roman"/>
          <w:sz w:val="24"/>
          <w:szCs w:val="24"/>
        </w:rPr>
        <w:t xml:space="preserve">The Company </w:t>
      </w:r>
      <w:r w:rsidR="00F30A20">
        <w:rPr>
          <w:rFonts w:ascii="Times New Roman" w:hAnsi="Times New Roman"/>
          <w:sz w:val="24"/>
          <w:szCs w:val="24"/>
        </w:rPr>
        <w:t xml:space="preserve">also provided an adequate </w:t>
      </w:r>
      <w:r w:rsidR="00EC2F12" w:rsidRPr="005E1335">
        <w:rPr>
          <w:rFonts w:ascii="Times New Roman" w:hAnsi="Times New Roman"/>
          <w:sz w:val="24"/>
          <w:szCs w:val="24"/>
        </w:rPr>
        <w:t>explanation of d</w:t>
      </w:r>
      <w:r w:rsidR="00243154" w:rsidRPr="005E1335">
        <w:rPr>
          <w:rFonts w:ascii="Times New Roman" w:hAnsi="Times New Roman"/>
          <w:sz w:val="24"/>
          <w:szCs w:val="24"/>
        </w:rPr>
        <w:t>iscretionary benefits</w:t>
      </w:r>
      <w:r w:rsidR="00EC2F12" w:rsidRPr="005E1335">
        <w:rPr>
          <w:rFonts w:ascii="Times New Roman" w:hAnsi="Times New Roman"/>
          <w:sz w:val="24"/>
          <w:szCs w:val="24"/>
        </w:rPr>
        <w:t>.</w:t>
      </w:r>
      <w:r w:rsidR="00EC2F12">
        <w:rPr>
          <w:rStyle w:val="FootnoteReference"/>
          <w:rFonts w:ascii="Times New Roman" w:hAnsi="Times New Roman"/>
          <w:sz w:val="24"/>
          <w:szCs w:val="24"/>
        </w:rPr>
        <w:footnoteReference w:id="188"/>
      </w:r>
      <w:r w:rsidR="00EC2F12" w:rsidRPr="005E1335">
        <w:rPr>
          <w:rFonts w:ascii="Times New Roman" w:hAnsi="Times New Roman"/>
          <w:sz w:val="24"/>
          <w:szCs w:val="24"/>
        </w:rPr>
        <w:t xml:space="preserve">  M</w:t>
      </w:r>
      <w:r w:rsidR="00404F9F" w:rsidRPr="005E1335">
        <w:rPr>
          <w:rFonts w:ascii="Times New Roman" w:hAnsi="Times New Roman"/>
          <w:sz w:val="24"/>
          <w:szCs w:val="24"/>
        </w:rPr>
        <w:t xml:space="preserve">oreover, PSE reduced rate year power </w:t>
      </w:r>
      <w:r w:rsidR="002107E8" w:rsidRPr="005E1335">
        <w:rPr>
          <w:rFonts w:ascii="Times New Roman" w:hAnsi="Times New Roman"/>
          <w:sz w:val="24"/>
          <w:szCs w:val="24"/>
        </w:rPr>
        <w:t>costs by $303,825</w:t>
      </w:r>
      <w:r w:rsidR="00EC2F12" w:rsidRPr="005E1335">
        <w:rPr>
          <w:rFonts w:ascii="Times New Roman" w:hAnsi="Times New Roman"/>
          <w:sz w:val="24"/>
          <w:szCs w:val="24"/>
        </w:rPr>
        <w:t xml:space="preserve"> </w:t>
      </w:r>
      <w:r w:rsidR="000A0207" w:rsidRPr="005E1335">
        <w:rPr>
          <w:rFonts w:ascii="Times New Roman" w:hAnsi="Times New Roman"/>
          <w:sz w:val="24"/>
          <w:szCs w:val="24"/>
        </w:rPr>
        <w:t xml:space="preserve">consistent with </w:t>
      </w:r>
      <w:r w:rsidR="00C228C0">
        <w:rPr>
          <w:rFonts w:ascii="Times New Roman" w:hAnsi="Times New Roman"/>
          <w:sz w:val="24"/>
          <w:szCs w:val="24"/>
        </w:rPr>
        <w:t xml:space="preserve">Staff’s </w:t>
      </w:r>
      <w:r w:rsidR="00A26624" w:rsidRPr="005E1335">
        <w:rPr>
          <w:rFonts w:ascii="Times New Roman" w:hAnsi="Times New Roman"/>
          <w:sz w:val="24"/>
          <w:szCs w:val="24"/>
        </w:rPr>
        <w:t xml:space="preserve">adjustment </w:t>
      </w:r>
      <w:r w:rsidR="00404F9F" w:rsidRPr="005E1335">
        <w:rPr>
          <w:rFonts w:ascii="Times New Roman" w:hAnsi="Times New Roman"/>
          <w:sz w:val="24"/>
          <w:szCs w:val="24"/>
        </w:rPr>
        <w:t>to upda</w:t>
      </w:r>
      <w:r w:rsidR="00A26624" w:rsidRPr="005E1335">
        <w:rPr>
          <w:rFonts w:ascii="Times New Roman" w:hAnsi="Times New Roman"/>
          <w:sz w:val="24"/>
          <w:szCs w:val="24"/>
        </w:rPr>
        <w:t xml:space="preserve">te rate year </w:t>
      </w:r>
      <w:r w:rsidR="00A26624" w:rsidRPr="005E1335">
        <w:rPr>
          <w:rFonts w:ascii="Times New Roman" w:hAnsi="Times New Roman"/>
          <w:sz w:val="24"/>
          <w:szCs w:val="24"/>
        </w:rPr>
        <w:lastRenderedPageBreak/>
        <w:t xml:space="preserve">rental fees for </w:t>
      </w:r>
      <w:r w:rsidR="00891C26" w:rsidRPr="005E1335">
        <w:rPr>
          <w:rFonts w:ascii="Times New Roman" w:hAnsi="Times New Roman"/>
          <w:sz w:val="24"/>
          <w:szCs w:val="24"/>
        </w:rPr>
        <w:t>the Jackson Prairie Storage C</w:t>
      </w:r>
      <w:r w:rsidR="00404F9F" w:rsidRPr="005E1335">
        <w:rPr>
          <w:rFonts w:ascii="Times New Roman" w:hAnsi="Times New Roman"/>
          <w:sz w:val="24"/>
          <w:szCs w:val="24"/>
        </w:rPr>
        <w:t>apacity Agreement</w:t>
      </w:r>
      <w:r w:rsidR="00EC2F12" w:rsidRPr="005E1335">
        <w:rPr>
          <w:rFonts w:ascii="Times New Roman" w:hAnsi="Times New Roman"/>
          <w:sz w:val="24"/>
          <w:szCs w:val="24"/>
        </w:rPr>
        <w:t>.</w:t>
      </w:r>
      <w:r w:rsidR="00762997">
        <w:rPr>
          <w:rStyle w:val="FootnoteReference"/>
          <w:rFonts w:ascii="Times New Roman" w:hAnsi="Times New Roman"/>
          <w:sz w:val="24"/>
          <w:szCs w:val="24"/>
        </w:rPr>
        <w:footnoteReference w:id="189"/>
      </w:r>
      <w:r w:rsidR="00F30A20">
        <w:rPr>
          <w:rFonts w:ascii="Times New Roman" w:hAnsi="Times New Roman"/>
          <w:sz w:val="24"/>
          <w:szCs w:val="24"/>
        </w:rPr>
        <w:t xml:space="preserve">  </w:t>
      </w:r>
      <w:r w:rsidR="00633CEA" w:rsidRPr="00F30A20">
        <w:rPr>
          <w:rFonts w:ascii="Times New Roman" w:hAnsi="Times New Roman"/>
          <w:sz w:val="24"/>
          <w:szCs w:val="24"/>
        </w:rPr>
        <w:t>Staff</w:t>
      </w:r>
      <w:r w:rsidR="00F30A20">
        <w:rPr>
          <w:rFonts w:ascii="Times New Roman" w:hAnsi="Times New Roman"/>
          <w:sz w:val="24"/>
          <w:szCs w:val="24"/>
        </w:rPr>
        <w:t>, therefore,</w:t>
      </w:r>
      <w:r w:rsidR="00633CEA" w:rsidRPr="00F30A20">
        <w:rPr>
          <w:rFonts w:ascii="Times New Roman" w:hAnsi="Times New Roman"/>
          <w:sz w:val="24"/>
          <w:szCs w:val="24"/>
        </w:rPr>
        <w:t xml:space="preserve"> </w:t>
      </w:r>
      <w:r w:rsidR="00762997" w:rsidRPr="00F30A20">
        <w:rPr>
          <w:rFonts w:ascii="Times New Roman" w:hAnsi="Times New Roman"/>
          <w:sz w:val="24"/>
          <w:szCs w:val="24"/>
        </w:rPr>
        <w:t>accept</w:t>
      </w:r>
      <w:r w:rsidR="00633CEA" w:rsidRPr="00F30A20">
        <w:rPr>
          <w:rFonts w:ascii="Times New Roman" w:hAnsi="Times New Roman"/>
          <w:sz w:val="24"/>
          <w:szCs w:val="24"/>
        </w:rPr>
        <w:t>s</w:t>
      </w:r>
      <w:r w:rsidR="00762997" w:rsidRPr="00F30A20">
        <w:rPr>
          <w:rFonts w:ascii="Times New Roman" w:hAnsi="Times New Roman"/>
          <w:sz w:val="24"/>
          <w:szCs w:val="24"/>
        </w:rPr>
        <w:t xml:space="preserve"> the Company’s proposed expense levels </w:t>
      </w:r>
      <w:r w:rsidR="000A0207" w:rsidRPr="00F30A20">
        <w:rPr>
          <w:rFonts w:ascii="Times New Roman" w:hAnsi="Times New Roman"/>
          <w:sz w:val="24"/>
          <w:szCs w:val="24"/>
        </w:rPr>
        <w:t>for o</w:t>
      </w:r>
      <w:r w:rsidR="000A0207" w:rsidRPr="00F30A20">
        <w:rPr>
          <w:rFonts w:ascii="Times New Roman" w:hAnsi="Times New Roman"/>
          <w:sz w:val="24"/>
        </w:rPr>
        <w:t>ther production O&amp;M</w:t>
      </w:r>
      <w:r w:rsidR="000A0207" w:rsidRPr="00F30A20">
        <w:rPr>
          <w:rFonts w:ascii="Times New Roman" w:hAnsi="Times New Roman"/>
          <w:sz w:val="24"/>
          <w:szCs w:val="24"/>
        </w:rPr>
        <w:t xml:space="preserve"> </w:t>
      </w:r>
      <w:r w:rsidR="00762997" w:rsidRPr="00F30A20">
        <w:rPr>
          <w:rFonts w:ascii="Times New Roman" w:hAnsi="Times New Roman"/>
          <w:sz w:val="24"/>
          <w:szCs w:val="24"/>
        </w:rPr>
        <w:t>and, accordingly, withdraws this component of its Power Cost Adjustment 13.01.</w:t>
      </w:r>
    </w:p>
    <w:p w:rsidR="00502D43" w:rsidRDefault="00502D43" w:rsidP="007D3D53">
      <w:pPr>
        <w:keepNext/>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vii</w:t>
      </w:r>
      <w:r w:rsidR="0084188A">
        <w:rPr>
          <w:rFonts w:ascii="Times New Roman" w:hAnsi="Times New Roman"/>
          <w:b/>
          <w:sz w:val="24"/>
        </w:rPr>
        <w:t>i</w:t>
      </w:r>
      <w:r>
        <w:rPr>
          <w:rFonts w:ascii="Times New Roman" w:hAnsi="Times New Roman"/>
          <w:b/>
          <w:sz w:val="24"/>
        </w:rPr>
        <w:t>.</w:t>
      </w:r>
      <w:r>
        <w:rPr>
          <w:rFonts w:ascii="Times New Roman" w:hAnsi="Times New Roman"/>
          <w:b/>
          <w:sz w:val="24"/>
        </w:rPr>
        <w:tab/>
      </w:r>
      <w:r w:rsidR="002107E8">
        <w:rPr>
          <w:rFonts w:ascii="Times New Roman" w:hAnsi="Times New Roman"/>
          <w:b/>
          <w:sz w:val="24"/>
        </w:rPr>
        <w:t>Update for Current Gas Price Forecast</w:t>
      </w:r>
    </w:p>
    <w:p w:rsidR="00530931" w:rsidRPr="00F30A20" w:rsidRDefault="005E1335" w:rsidP="00F30A20">
      <w:pPr>
        <w:pStyle w:val="BodyTextIndent"/>
        <w:numPr>
          <w:ilvl w:val="0"/>
          <w:numId w:val="1"/>
        </w:numPr>
      </w:pPr>
      <w:r>
        <w:tab/>
      </w:r>
      <w:r w:rsidR="00924EC6">
        <w:t>The Commission allows e</w:t>
      </w:r>
      <w:r w:rsidR="00F3259F">
        <w:t>lectric utili</w:t>
      </w:r>
      <w:r w:rsidR="00924EC6">
        <w:t xml:space="preserve">ties </w:t>
      </w:r>
      <w:r w:rsidR="00F30A20">
        <w:t xml:space="preserve">to update </w:t>
      </w:r>
      <w:r w:rsidR="00F3259F">
        <w:t>power cost</w:t>
      </w:r>
      <w:r w:rsidR="00F30A20">
        <w:t xml:space="preserve">s during a general rate case for </w:t>
      </w:r>
      <w:r w:rsidR="00F3259F">
        <w:t>forecasted gas and electric market prices, new firm contracts, or budget updates from third party owners of resources such as</w:t>
      </w:r>
      <w:r w:rsidR="00924EC6">
        <w:t xml:space="preserve"> </w:t>
      </w:r>
      <w:r w:rsidR="00F30A20">
        <w:t xml:space="preserve">Mid-C </w:t>
      </w:r>
      <w:r w:rsidR="00F83717">
        <w:t>projects</w:t>
      </w:r>
      <w:r w:rsidR="00F3259F">
        <w:t>.</w:t>
      </w:r>
      <w:r w:rsidR="00282ABF">
        <w:rPr>
          <w:rStyle w:val="FootnoteReference"/>
        </w:rPr>
        <w:footnoteReference w:id="190"/>
      </w:r>
      <w:r w:rsidR="00F3259F">
        <w:t xml:space="preserve">  </w:t>
      </w:r>
      <w:r w:rsidR="00BB6F9D" w:rsidRPr="00F30A20">
        <w:t>Consistent with this practice, i</w:t>
      </w:r>
      <w:r w:rsidR="008F4E95" w:rsidRPr="00F30A20">
        <w:t xml:space="preserve">n rebuttal, PSE </w:t>
      </w:r>
      <w:r w:rsidR="00F30A20" w:rsidRPr="00F30A20">
        <w:t>reduced rate year power costs by $21 million.</w:t>
      </w:r>
      <w:r w:rsidR="00F30A20">
        <w:rPr>
          <w:rStyle w:val="FootnoteReference"/>
        </w:rPr>
        <w:footnoteReference w:id="191"/>
      </w:r>
      <w:r w:rsidR="00F30A20">
        <w:t xml:space="preserve">  Its update of</w:t>
      </w:r>
      <w:r w:rsidR="008F4E95" w:rsidRPr="00F30A20">
        <w:t xml:space="preserve"> gas/energy prices to a December 8, 2011 3-month roll</w:t>
      </w:r>
      <w:r w:rsidR="00F30A20">
        <w:t xml:space="preserve">ing average alone </w:t>
      </w:r>
      <w:r w:rsidR="008F4E95" w:rsidRPr="00F30A20">
        <w:t>reduced net power costs by $11.977 million.</w:t>
      </w:r>
      <w:r w:rsidR="00282ABF">
        <w:rPr>
          <w:rStyle w:val="FootnoteReference"/>
        </w:rPr>
        <w:footnoteReference w:id="192"/>
      </w:r>
      <w:r w:rsidR="00F30A20">
        <w:t xml:space="preserve">   </w:t>
      </w:r>
    </w:p>
    <w:p w:rsidR="00F3259F"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282ABF" w:rsidRPr="005E1335">
        <w:rPr>
          <w:rFonts w:ascii="Times New Roman" w:hAnsi="Times New Roman"/>
          <w:sz w:val="24"/>
          <w:szCs w:val="24"/>
        </w:rPr>
        <w:t>St</w:t>
      </w:r>
      <w:r w:rsidR="008F4E95" w:rsidRPr="005E1335">
        <w:rPr>
          <w:rFonts w:ascii="Times New Roman" w:hAnsi="Times New Roman"/>
          <w:sz w:val="24"/>
          <w:szCs w:val="24"/>
        </w:rPr>
        <w:t>aff agrees that rate ye</w:t>
      </w:r>
      <w:r w:rsidR="00504E33" w:rsidRPr="005E1335">
        <w:rPr>
          <w:rFonts w:ascii="Times New Roman" w:hAnsi="Times New Roman"/>
          <w:sz w:val="24"/>
          <w:szCs w:val="24"/>
        </w:rPr>
        <w:t>ar power costs should be re</w:t>
      </w:r>
      <w:r w:rsidR="000A0207" w:rsidRPr="005E1335">
        <w:rPr>
          <w:rFonts w:ascii="Times New Roman" w:hAnsi="Times New Roman"/>
          <w:sz w:val="24"/>
          <w:szCs w:val="24"/>
        </w:rPr>
        <w:t>duced</w:t>
      </w:r>
      <w:r w:rsidR="008F4E95" w:rsidRPr="005E1335">
        <w:rPr>
          <w:rFonts w:ascii="Times New Roman" w:hAnsi="Times New Roman"/>
          <w:sz w:val="24"/>
          <w:szCs w:val="24"/>
        </w:rPr>
        <w:t xml:space="preserve"> by the net amount of these </w:t>
      </w:r>
      <w:r w:rsidR="000B42FB" w:rsidRPr="005E1335">
        <w:rPr>
          <w:rFonts w:ascii="Times New Roman" w:hAnsi="Times New Roman"/>
          <w:sz w:val="24"/>
          <w:szCs w:val="24"/>
        </w:rPr>
        <w:t xml:space="preserve">categories of </w:t>
      </w:r>
      <w:r w:rsidR="000C2472" w:rsidRPr="005E1335">
        <w:rPr>
          <w:rFonts w:ascii="Times New Roman" w:hAnsi="Times New Roman"/>
          <w:sz w:val="24"/>
          <w:szCs w:val="24"/>
        </w:rPr>
        <w:t xml:space="preserve">adjustments.  </w:t>
      </w:r>
      <w:r w:rsidR="00282ABF" w:rsidRPr="005E1335">
        <w:rPr>
          <w:rFonts w:ascii="Times New Roman" w:hAnsi="Times New Roman"/>
          <w:sz w:val="24"/>
          <w:szCs w:val="24"/>
        </w:rPr>
        <w:t xml:space="preserve">Staff </w:t>
      </w:r>
      <w:r w:rsidR="000C2472" w:rsidRPr="005E1335">
        <w:rPr>
          <w:rFonts w:ascii="Times New Roman" w:hAnsi="Times New Roman"/>
          <w:sz w:val="24"/>
          <w:szCs w:val="24"/>
        </w:rPr>
        <w:t xml:space="preserve">also </w:t>
      </w:r>
      <w:r w:rsidR="00282ABF" w:rsidRPr="005E1335">
        <w:rPr>
          <w:rFonts w:ascii="Times New Roman" w:hAnsi="Times New Roman"/>
          <w:sz w:val="24"/>
          <w:szCs w:val="24"/>
        </w:rPr>
        <w:t xml:space="preserve">agrees </w:t>
      </w:r>
      <w:r w:rsidR="008F4E95" w:rsidRPr="005E1335">
        <w:rPr>
          <w:rFonts w:ascii="Times New Roman" w:hAnsi="Times New Roman"/>
          <w:sz w:val="24"/>
          <w:szCs w:val="24"/>
        </w:rPr>
        <w:t>that an additional update to</w:t>
      </w:r>
      <w:r w:rsidR="00BB6F9D" w:rsidRPr="005E1335">
        <w:rPr>
          <w:rFonts w:ascii="Times New Roman" w:hAnsi="Times New Roman"/>
          <w:sz w:val="24"/>
          <w:szCs w:val="24"/>
        </w:rPr>
        <w:t xml:space="preserve"> gas </w:t>
      </w:r>
      <w:r w:rsidR="008F4E95" w:rsidRPr="005E1335">
        <w:rPr>
          <w:rFonts w:ascii="Times New Roman" w:hAnsi="Times New Roman"/>
          <w:sz w:val="24"/>
          <w:szCs w:val="24"/>
        </w:rPr>
        <w:t xml:space="preserve">forward rate year prices should occur </w:t>
      </w:r>
      <w:r w:rsidR="00282ABF" w:rsidRPr="005E1335">
        <w:rPr>
          <w:rFonts w:ascii="Times New Roman" w:hAnsi="Times New Roman"/>
          <w:sz w:val="24"/>
          <w:szCs w:val="24"/>
        </w:rPr>
        <w:t>as part of the compliance filing ordered by the Commission.</w:t>
      </w:r>
      <w:r w:rsidR="00282ABF">
        <w:rPr>
          <w:rStyle w:val="FootnoteReference"/>
          <w:rFonts w:ascii="Times New Roman" w:hAnsi="Times New Roman"/>
          <w:sz w:val="24"/>
          <w:szCs w:val="24"/>
        </w:rPr>
        <w:footnoteReference w:id="193"/>
      </w:r>
    </w:p>
    <w:p w:rsidR="00633CEA" w:rsidRDefault="00633CEA" w:rsidP="006D60A2">
      <w:pPr>
        <w:keepNext/>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33CEA">
        <w:rPr>
          <w:rFonts w:ascii="Times New Roman" w:hAnsi="Times New Roman" w:cs="Times New Roman"/>
          <w:b/>
          <w:sz w:val="24"/>
          <w:szCs w:val="24"/>
        </w:rPr>
        <w:t>ix.</w:t>
      </w:r>
      <w:r w:rsidRPr="00633CEA">
        <w:rPr>
          <w:rFonts w:ascii="Times New Roman" w:hAnsi="Times New Roman" w:cs="Times New Roman"/>
          <w:b/>
          <w:sz w:val="24"/>
          <w:szCs w:val="24"/>
        </w:rPr>
        <w:tab/>
      </w:r>
      <w:r w:rsidR="002107E8">
        <w:rPr>
          <w:rFonts w:ascii="Times New Roman" w:hAnsi="Times New Roman" w:cs="Times New Roman"/>
          <w:b/>
          <w:sz w:val="24"/>
          <w:szCs w:val="24"/>
        </w:rPr>
        <w:t xml:space="preserve">Variable PCA Treatment for </w:t>
      </w:r>
      <w:r w:rsidR="002107E8" w:rsidRPr="00633CEA">
        <w:rPr>
          <w:rFonts w:ascii="Times New Roman" w:hAnsi="Times New Roman" w:cs="Times New Roman"/>
          <w:b/>
          <w:sz w:val="24"/>
          <w:szCs w:val="24"/>
        </w:rPr>
        <w:t>Jackson Prairie</w:t>
      </w:r>
      <w:r w:rsidR="002107E8">
        <w:rPr>
          <w:rFonts w:ascii="Times New Roman" w:hAnsi="Times New Roman" w:cs="Times New Roman"/>
          <w:b/>
          <w:sz w:val="24"/>
          <w:szCs w:val="24"/>
        </w:rPr>
        <w:t xml:space="preserve"> Storage Rent</w:t>
      </w:r>
    </w:p>
    <w:p w:rsidR="00633CEA" w:rsidRPr="005E1335" w:rsidRDefault="005E1335" w:rsidP="005E1335">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33CEA" w:rsidRPr="005E1335">
        <w:rPr>
          <w:rFonts w:ascii="Times New Roman" w:hAnsi="Times New Roman"/>
          <w:sz w:val="24"/>
          <w:szCs w:val="24"/>
        </w:rPr>
        <w:t>PSE entered</w:t>
      </w:r>
      <w:r w:rsidR="006878AE" w:rsidRPr="005E1335">
        <w:rPr>
          <w:rFonts w:ascii="Times New Roman" w:hAnsi="Times New Roman"/>
          <w:sz w:val="24"/>
          <w:szCs w:val="24"/>
        </w:rPr>
        <w:t xml:space="preserve"> </w:t>
      </w:r>
      <w:r w:rsidR="00633CEA" w:rsidRPr="005E1335">
        <w:rPr>
          <w:rFonts w:ascii="Times New Roman" w:hAnsi="Times New Roman"/>
          <w:sz w:val="24"/>
          <w:szCs w:val="24"/>
        </w:rPr>
        <w:t xml:space="preserve">agreements to reserve excess </w:t>
      </w:r>
      <w:r w:rsidR="006878AE" w:rsidRPr="005E1335">
        <w:rPr>
          <w:rFonts w:ascii="Times New Roman" w:hAnsi="Times New Roman"/>
          <w:sz w:val="24"/>
          <w:szCs w:val="24"/>
        </w:rPr>
        <w:t>storage of natural gas at Jackson Prairie f</w:t>
      </w:r>
      <w:r w:rsidR="00924EC6">
        <w:rPr>
          <w:rFonts w:ascii="Times New Roman" w:hAnsi="Times New Roman"/>
          <w:sz w:val="24"/>
          <w:szCs w:val="24"/>
        </w:rPr>
        <w:t xml:space="preserve">or </w:t>
      </w:r>
      <w:r w:rsidR="00633CEA" w:rsidRPr="005E1335">
        <w:rPr>
          <w:rFonts w:ascii="Times New Roman" w:hAnsi="Times New Roman"/>
          <w:sz w:val="24"/>
          <w:szCs w:val="24"/>
        </w:rPr>
        <w:t xml:space="preserve">power generation.  </w:t>
      </w:r>
      <w:r w:rsidR="00140C5B" w:rsidRPr="005E1335">
        <w:rPr>
          <w:rFonts w:ascii="Times New Roman" w:hAnsi="Times New Roman"/>
          <w:sz w:val="24"/>
          <w:szCs w:val="24"/>
        </w:rPr>
        <w:t>Staf</w:t>
      </w:r>
      <w:r w:rsidR="00924EC6">
        <w:rPr>
          <w:rFonts w:ascii="Times New Roman" w:hAnsi="Times New Roman"/>
          <w:sz w:val="24"/>
          <w:szCs w:val="24"/>
        </w:rPr>
        <w:t>f recommends the test year rent expense</w:t>
      </w:r>
      <w:r w:rsidR="00140C5B" w:rsidRPr="005E1335">
        <w:rPr>
          <w:rFonts w:ascii="Times New Roman" w:hAnsi="Times New Roman"/>
          <w:sz w:val="24"/>
          <w:szCs w:val="24"/>
        </w:rPr>
        <w:t xml:space="preserve"> (</w:t>
      </w:r>
      <w:r w:rsidR="00140C5B" w:rsidRPr="005E1335">
        <w:rPr>
          <w:rFonts w:ascii="Times New Roman" w:hAnsi="Times New Roman"/>
        </w:rPr>
        <w:t xml:space="preserve">$1,130,625) </w:t>
      </w:r>
      <w:r w:rsidR="00140C5B" w:rsidRPr="005E1335">
        <w:rPr>
          <w:rFonts w:ascii="Times New Roman" w:hAnsi="Times New Roman"/>
          <w:sz w:val="24"/>
          <w:szCs w:val="24"/>
        </w:rPr>
        <w:t xml:space="preserve">should be adjusted to </w:t>
      </w:r>
      <w:r w:rsidR="00924EC6">
        <w:rPr>
          <w:rFonts w:ascii="Times New Roman" w:hAnsi="Times New Roman"/>
          <w:sz w:val="24"/>
          <w:szCs w:val="24"/>
        </w:rPr>
        <w:t xml:space="preserve">the </w:t>
      </w:r>
      <w:r w:rsidR="00924EC6" w:rsidRPr="005E1335">
        <w:rPr>
          <w:rFonts w:ascii="Times New Roman" w:hAnsi="Times New Roman"/>
          <w:sz w:val="24"/>
          <w:szCs w:val="24"/>
        </w:rPr>
        <w:t xml:space="preserve">current annual rent </w:t>
      </w:r>
      <w:r w:rsidR="00924EC6">
        <w:rPr>
          <w:rFonts w:ascii="Times New Roman" w:hAnsi="Times New Roman"/>
          <w:sz w:val="24"/>
          <w:szCs w:val="24"/>
        </w:rPr>
        <w:t xml:space="preserve">expense </w:t>
      </w:r>
      <w:r w:rsidR="00140C5B" w:rsidRPr="005E1335">
        <w:rPr>
          <w:rFonts w:ascii="Times New Roman" w:hAnsi="Times New Roman"/>
          <w:sz w:val="24"/>
          <w:szCs w:val="24"/>
        </w:rPr>
        <w:t>(</w:t>
      </w:r>
      <w:r w:rsidR="00140C5B" w:rsidRPr="005E1335">
        <w:rPr>
          <w:rFonts w:ascii="Times New Roman" w:hAnsi="Times New Roman"/>
        </w:rPr>
        <w:t>$826,800)</w:t>
      </w:r>
      <w:r w:rsidR="00140C5B" w:rsidRPr="005E1335">
        <w:rPr>
          <w:rFonts w:ascii="Times New Roman" w:hAnsi="Times New Roman"/>
          <w:sz w:val="24"/>
          <w:szCs w:val="24"/>
        </w:rPr>
        <w:t>.</w:t>
      </w:r>
      <w:r w:rsidR="00140C5B">
        <w:rPr>
          <w:rStyle w:val="FootnoteReference"/>
          <w:rFonts w:ascii="Times New Roman" w:hAnsi="Times New Roman"/>
          <w:sz w:val="24"/>
          <w:szCs w:val="24"/>
        </w:rPr>
        <w:footnoteReference w:id="194"/>
      </w:r>
      <w:r w:rsidR="00924EC6">
        <w:rPr>
          <w:rFonts w:ascii="Times New Roman" w:hAnsi="Times New Roman"/>
          <w:sz w:val="24"/>
          <w:szCs w:val="24"/>
        </w:rPr>
        <w:t xml:space="preserve">  PSE </w:t>
      </w:r>
      <w:r w:rsidR="00140C5B" w:rsidRPr="005E1335">
        <w:rPr>
          <w:rFonts w:ascii="Times New Roman" w:hAnsi="Times New Roman"/>
          <w:sz w:val="24"/>
          <w:szCs w:val="24"/>
        </w:rPr>
        <w:t>accepte</w:t>
      </w:r>
      <w:r w:rsidR="00884809" w:rsidRPr="005E1335">
        <w:rPr>
          <w:rFonts w:ascii="Times New Roman" w:hAnsi="Times New Roman"/>
          <w:sz w:val="24"/>
          <w:szCs w:val="24"/>
        </w:rPr>
        <w:t>d Staff’s adjustment</w:t>
      </w:r>
      <w:r w:rsidR="00140C5B" w:rsidRPr="005E1335">
        <w:rPr>
          <w:rFonts w:ascii="Times New Roman" w:hAnsi="Times New Roman"/>
          <w:sz w:val="24"/>
          <w:szCs w:val="24"/>
        </w:rPr>
        <w:t>.</w:t>
      </w:r>
      <w:r w:rsidR="00140C5B" w:rsidRPr="00140C5B">
        <w:rPr>
          <w:rStyle w:val="FootnoteReference"/>
          <w:rFonts w:ascii="Times New Roman" w:hAnsi="Times New Roman"/>
          <w:sz w:val="24"/>
          <w:szCs w:val="24"/>
        </w:rPr>
        <w:footnoteReference w:id="195"/>
      </w:r>
    </w:p>
    <w:p w:rsidR="00734EDC" w:rsidRDefault="005E1335" w:rsidP="005E1335">
      <w:pPr>
        <w:pStyle w:val="BodyTextIndent"/>
        <w:numPr>
          <w:ilvl w:val="0"/>
          <w:numId w:val="1"/>
        </w:numPr>
      </w:pPr>
      <w:r>
        <w:tab/>
      </w:r>
      <w:r w:rsidR="00140C5B">
        <w:t>However, t</w:t>
      </w:r>
      <w:r w:rsidR="00140C5B" w:rsidRPr="00140C5B">
        <w:t>he ren</w:t>
      </w:r>
      <w:r w:rsidR="00A07ACD">
        <w:t xml:space="preserve">tal costs were recorded in Federal Energy Regulatory Commission (“FERC”) </w:t>
      </w:r>
      <w:r w:rsidR="00140C5B" w:rsidRPr="00140C5B">
        <w:t>Account 505 for power produc</w:t>
      </w:r>
      <w:r w:rsidR="00140C5B">
        <w:t xml:space="preserve">tion </w:t>
      </w:r>
      <w:r w:rsidR="00140C5B" w:rsidRPr="00140C5B">
        <w:t>O&amp;M</w:t>
      </w:r>
      <w:r w:rsidR="00140C5B">
        <w:t xml:space="preserve"> </w:t>
      </w:r>
      <w:r w:rsidR="00140C5B" w:rsidRPr="00140C5B">
        <w:t>ex</w:t>
      </w:r>
      <w:r w:rsidR="00A07ACD">
        <w:t xml:space="preserve">pense, which is </w:t>
      </w:r>
      <w:r w:rsidR="00140C5B" w:rsidRPr="00140C5B">
        <w:t>a fixe</w:t>
      </w:r>
      <w:r w:rsidR="006D4CB3">
        <w:t xml:space="preserve">d cost in the PCA.  PSE </w:t>
      </w:r>
      <w:r w:rsidR="00140C5B" w:rsidRPr="00140C5B">
        <w:t xml:space="preserve">proposes to reclassify the expense to fuel for power, which </w:t>
      </w:r>
      <w:r w:rsidR="00884809">
        <w:t xml:space="preserve">is a variable cost in </w:t>
      </w:r>
      <w:r w:rsidR="00140C5B" w:rsidRPr="00140C5B">
        <w:t>the PCA.</w:t>
      </w:r>
      <w:r w:rsidR="00734EDC">
        <w:rPr>
          <w:rStyle w:val="FootnoteReference"/>
        </w:rPr>
        <w:footnoteReference w:id="196"/>
      </w:r>
      <w:r w:rsidR="00140C5B">
        <w:t xml:space="preserve">  </w:t>
      </w:r>
      <w:r w:rsidR="00734EDC">
        <w:lastRenderedPageBreak/>
        <w:t>PSE’s r</w:t>
      </w:r>
      <w:r w:rsidR="00243154">
        <w:t xml:space="preserve">eason </w:t>
      </w:r>
      <w:r w:rsidR="00734EDC">
        <w:t>is to align it</w:t>
      </w:r>
      <w:r w:rsidR="00884809">
        <w:t xml:space="preserve">s electric operations </w:t>
      </w:r>
      <w:r w:rsidR="00734EDC">
        <w:t>with the gas operations treatment of the rental revenue, which is a variable cost in the Purchased Gas Adjustment mechanism (“PGA”).</w:t>
      </w:r>
      <w:r w:rsidR="006D4CB3">
        <w:rPr>
          <w:rStyle w:val="FootnoteReference"/>
        </w:rPr>
        <w:footnoteReference w:id="197"/>
      </w:r>
    </w:p>
    <w:p w:rsidR="00734EDC" w:rsidRDefault="005E1335" w:rsidP="005E1335">
      <w:pPr>
        <w:pStyle w:val="BodyTextIndent"/>
        <w:numPr>
          <w:ilvl w:val="0"/>
          <w:numId w:val="1"/>
        </w:numPr>
      </w:pPr>
      <w:r>
        <w:tab/>
      </w:r>
      <w:r w:rsidR="00734EDC">
        <w:t>Th</w:t>
      </w:r>
      <w:r w:rsidR="00924EC6">
        <w:t xml:space="preserve">e Company’s proposal </w:t>
      </w:r>
      <w:r w:rsidR="00734EDC">
        <w:t>should be rejected.</w:t>
      </w:r>
      <w:r w:rsidR="00734EDC" w:rsidRPr="00734EDC">
        <w:t xml:space="preserve"> </w:t>
      </w:r>
      <w:r w:rsidR="00243154">
        <w:t xml:space="preserve"> </w:t>
      </w:r>
      <w:r w:rsidR="0037034D">
        <w:t>The PGA is a straight pass through only of gas costs, while the PCA includes capital costs, dead ban</w:t>
      </w:r>
      <w:r w:rsidR="00262F5E">
        <w:t>d</w:t>
      </w:r>
      <w:r w:rsidR="0037034D">
        <w:t>s and sharing bands.</w:t>
      </w:r>
      <w:r w:rsidR="0037034D">
        <w:rPr>
          <w:rStyle w:val="FootnoteReference"/>
        </w:rPr>
        <w:footnoteReference w:id="198"/>
      </w:r>
      <w:r w:rsidR="0037034D">
        <w:t xml:space="preserve">  Thus, a</w:t>
      </w:r>
      <w:r w:rsidR="00734EDC">
        <w:t>ligning the electric and gas treatments of the storage rental transaction</w:t>
      </w:r>
      <w:r w:rsidR="006878AE">
        <w:t xml:space="preserve"> does not justify </w:t>
      </w:r>
      <w:r w:rsidR="00734EDC">
        <w:t xml:space="preserve">the change </w:t>
      </w:r>
      <w:r w:rsidR="00884809">
        <w:t xml:space="preserve">because the PCA and PGA are dissimilar </w:t>
      </w:r>
      <w:r w:rsidR="00734EDC">
        <w:t>mechanisms.</w:t>
      </w:r>
      <w:r w:rsidR="0037034D">
        <w:rPr>
          <w:rStyle w:val="FootnoteReference"/>
        </w:rPr>
        <w:footnoteReference w:id="199"/>
      </w:r>
      <w:r w:rsidR="0037034D">
        <w:t xml:space="preserve">  </w:t>
      </w:r>
    </w:p>
    <w:p w:rsidR="00140C5B" w:rsidRPr="00140C5B" w:rsidRDefault="005E1335" w:rsidP="005E1335">
      <w:pPr>
        <w:pStyle w:val="BodyTextIndent"/>
        <w:numPr>
          <w:ilvl w:val="0"/>
          <w:numId w:val="1"/>
        </w:numPr>
      </w:pPr>
      <w:r>
        <w:tab/>
      </w:r>
      <w:r w:rsidR="00734EDC">
        <w:t xml:space="preserve">Moreover, </w:t>
      </w:r>
      <w:r w:rsidR="004A213E">
        <w:t>rental e</w:t>
      </w:r>
      <w:r w:rsidR="0037034D">
        <w:t xml:space="preserve">xpense to reserve </w:t>
      </w:r>
      <w:r w:rsidR="004A213E">
        <w:t>Jackson Prairie storage fo</w:t>
      </w:r>
      <w:r w:rsidR="00924EC6">
        <w:t xml:space="preserve">r </w:t>
      </w:r>
      <w:r w:rsidR="0037034D">
        <w:t>power generation has</w:t>
      </w:r>
      <w:r w:rsidR="004A213E">
        <w:t xml:space="preserve"> all the hallmarks of a fixed cost.  While the pur</w:t>
      </w:r>
      <w:r w:rsidR="0037034D">
        <w:t>pose of the storage service varies</w:t>
      </w:r>
      <w:r w:rsidR="004A213E">
        <w:t xml:space="preserve"> hourly, daily or monthly, PSE’s rent remains </w:t>
      </w:r>
      <w:r w:rsidR="0037034D">
        <w:t xml:space="preserve">constant until revised </w:t>
      </w:r>
      <w:r w:rsidR="004A213E">
        <w:t>by the rental agreement.</w:t>
      </w:r>
      <w:r w:rsidR="004A213E">
        <w:rPr>
          <w:rStyle w:val="FootnoteReference"/>
        </w:rPr>
        <w:footnoteReference w:id="200"/>
      </w:r>
      <w:r w:rsidR="004A213E">
        <w:t xml:space="preserve">  </w:t>
      </w:r>
      <w:r w:rsidR="00734EDC">
        <w:t xml:space="preserve">The rental expense is </w:t>
      </w:r>
      <w:r w:rsidR="006878AE">
        <w:t xml:space="preserve">also </w:t>
      </w:r>
      <w:r w:rsidR="00734EDC">
        <w:t xml:space="preserve">paid whether or </w:t>
      </w:r>
      <w:r w:rsidR="004A213E">
        <w:t>n</w:t>
      </w:r>
      <w:r w:rsidR="00734EDC">
        <w:t xml:space="preserve">ot </w:t>
      </w:r>
      <w:r w:rsidR="006878AE">
        <w:t xml:space="preserve">a gas-fired </w:t>
      </w:r>
      <w:r w:rsidR="00734EDC">
        <w:t xml:space="preserve">electric </w:t>
      </w:r>
      <w:r w:rsidR="006878AE">
        <w:t xml:space="preserve">generation facility </w:t>
      </w:r>
      <w:r w:rsidR="00734EDC">
        <w:t>is operating.</w:t>
      </w:r>
      <w:r w:rsidR="004A213E">
        <w:rPr>
          <w:rStyle w:val="FootnoteReference"/>
        </w:rPr>
        <w:footnoteReference w:id="201"/>
      </w:r>
      <w:r w:rsidR="00734EDC">
        <w:t xml:space="preserve"> </w:t>
      </w:r>
      <w:r w:rsidR="004A213E">
        <w:t xml:space="preserve"> </w:t>
      </w:r>
    </w:p>
    <w:p w:rsidR="00546C60" w:rsidRDefault="00546C60" w:rsidP="006D60A2">
      <w:pPr>
        <w:keepNext/>
        <w:spacing w:after="0" w:line="480" w:lineRule="auto"/>
        <w:ind w:left="720" w:firstLine="720"/>
        <w:rPr>
          <w:rFonts w:ascii="Times New Roman" w:hAnsi="Times New Roman"/>
          <w:b/>
          <w:sz w:val="24"/>
        </w:rPr>
      </w:pPr>
      <w:r>
        <w:rPr>
          <w:rFonts w:ascii="Times New Roman" w:hAnsi="Times New Roman"/>
          <w:b/>
          <w:sz w:val="24"/>
        </w:rPr>
        <w:t>b.</w:t>
      </w:r>
      <w:r>
        <w:rPr>
          <w:rFonts w:ascii="Times New Roman" w:hAnsi="Times New Roman"/>
          <w:b/>
          <w:sz w:val="24"/>
        </w:rPr>
        <w:tab/>
        <w:t>Adjustment 13.02, Lower Snake River</w:t>
      </w:r>
    </w:p>
    <w:p w:rsidR="00546C60" w:rsidRPr="005E1335" w:rsidRDefault="005E1335" w:rsidP="005E1335">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rPr>
        <w:tab/>
      </w:r>
      <w:r w:rsidR="00546C60" w:rsidRPr="005E1335">
        <w:rPr>
          <w:rFonts w:ascii="Times New Roman" w:hAnsi="Times New Roman"/>
          <w:sz w:val="24"/>
        </w:rPr>
        <w:t xml:space="preserve">This adjustment includes the pro forma levels of rate base and O&amp;M expense for </w:t>
      </w:r>
      <w:r w:rsidR="007C4F8A" w:rsidRPr="005E1335">
        <w:rPr>
          <w:rFonts w:ascii="Times New Roman" w:hAnsi="Times New Roman"/>
          <w:sz w:val="24"/>
        </w:rPr>
        <w:t xml:space="preserve">the addition of </w:t>
      </w:r>
      <w:r w:rsidR="000A0207" w:rsidRPr="005E1335">
        <w:rPr>
          <w:rFonts w:ascii="Times New Roman" w:hAnsi="Times New Roman"/>
          <w:sz w:val="24"/>
        </w:rPr>
        <w:t>LSR</w:t>
      </w:r>
      <w:r w:rsidR="00546C60" w:rsidRPr="005E1335">
        <w:rPr>
          <w:rFonts w:ascii="Times New Roman" w:hAnsi="Times New Roman"/>
          <w:sz w:val="24"/>
        </w:rPr>
        <w:t>.  PSE’s initial</w:t>
      </w:r>
      <w:r w:rsidR="00546C60" w:rsidRPr="005E1335">
        <w:rPr>
          <w:rFonts w:ascii="Times New Roman" w:hAnsi="Times New Roman"/>
          <w:sz w:val="24"/>
          <w:szCs w:val="24"/>
        </w:rPr>
        <w:t xml:space="preserve"> filing projected a rate base increase of</w:t>
      </w:r>
      <w:r w:rsidR="00412F8A" w:rsidRPr="005E1335">
        <w:rPr>
          <w:rFonts w:ascii="Times New Roman" w:hAnsi="Times New Roman"/>
          <w:sz w:val="24"/>
          <w:szCs w:val="24"/>
        </w:rPr>
        <w:t xml:space="preserve"> $687,710,765 and a </w:t>
      </w:r>
      <w:r w:rsidR="00546C60" w:rsidRPr="005E1335">
        <w:rPr>
          <w:rFonts w:ascii="Times New Roman" w:hAnsi="Times New Roman"/>
          <w:sz w:val="24"/>
          <w:szCs w:val="24"/>
        </w:rPr>
        <w:t xml:space="preserve">net operating income (“NOI”) </w:t>
      </w:r>
      <w:r w:rsidR="00412F8A" w:rsidRPr="005E1335">
        <w:rPr>
          <w:rFonts w:ascii="Times New Roman" w:hAnsi="Times New Roman"/>
          <w:sz w:val="24"/>
          <w:szCs w:val="24"/>
        </w:rPr>
        <w:t xml:space="preserve">decrease </w:t>
      </w:r>
      <w:r w:rsidR="00546C60" w:rsidRPr="005E1335">
        <w:rPr>
          <w:rFonts w:ascii="Times New Roman" w:hAnsi="Times New Roman"/>
          <w:sz w:val="24"/>
          <w:szCs w:val="24"/>
        </w:rPr>
        <w:t>of $39,435,507</w:t>
      </w:r>
      <w:r w:rsidR="00412F8A" w:rsidRPr="005E1335">
        <w:rPr>
          <w:rFonts w:ascii="Times New Roman" w:hAnsi="Times New Roman"/>
          <w:sz w:val="24"/>
          <w:szCs w:val="24"/>
        </w:rPr>
        <w:t>,</w:t>
      </w:r>
      <w:r w:rsidR="00546C60" w:rsidRPr="005E1335">
        <w:rPr>
          <w:rFonts w:ascii="Times New Roman" w:hAnsi="Times New Roman"/>
          <w:sz w:val="24"/>
          <w:szCs w:val="24"/>
        </w:rPr>
        <w:t xml:space="preserve"> based on an April 15, 2012 in-service date.</w:t>
      </w:r>
      <w:r w:rsidR="00546C60" w:rsidRPr="0093313C">
        <w:rPr>
          <w:rStyle w:val="FootnoteReference"/>
          <w:rFonts w:ascii="Times New Roman" w:hAnsi="Times New Roman"/>
          <w:sz w:val="24"/>
          <w:szCs w:val="24"/>
        </w:rPr>
        <w:footnoteReference w:id="202"/>
      </w:r>
      <w:r w:rsidR="00240A6C" w:rsidRPr="005E1335">
        <w:rPr>
          <w:rFonts w:ascii="Times New Roman" w:hAnsi="Times New Roman"/>
          <w:sz w:val="24"/>
          <w:szCs w:val="24"/>
        </w:rPr>
        <w:t>  T</w:t>
      </w:r>
      <w:r w:rsidR="00412F8A" w:rsidRPr="005E1335">
        <w:rPr>
          <w:rFonts w:ascii="Times New Roman" w:hAnsi="Times New Roman"/>
          <w:sz w:val="24"/>
          <w:szCs w:val="24"/>
        </w:rPr>
        <w:t xml:space="preserve">he Company’s </w:t>
      </w:r>
      <w:r w:rsidR="00546C60" w:rsidRPr="005E1335">
        <w:rPr>
          <w:rFonts w:ascii="Times New Roman" w:hAnsi="Times New Roman"/>
          <w:sz w:val="24"/>
          <w:szCs w:val="24"/>
        </w:rPr>
        <w:t>rebuttal case revised the rate base increase to $664,324,546 and the NOI decrease to $37,275,750</w:t>
      </w:r>
      <w:r w:rsidR="00412F8A" w:rsidRPr="005E1335">
        <w:rPr>
          <w:rFonts w:ascii="Times New Roman" w:hAnsi="Times New Roman"/>
          <w:sz w:val="24"/>
          <w:szCs w:val="24"/>
        </w:rPr>
        <w:t>,</w:t>
      </w:r>
      <w:r w:rsidR="00546C60" w:rsidRPr="005E1335">
        <w:rPr>
          <w:rFonts w:ascii="Times New Roman" w:hAnsi="Times New Roman"/>
          <w:sz w:val="24"/>
          <w:szCs w:val="24"/>
        </w:rPr>
        <w:t xml:space="preserve"> based on a mid-February in-service date.</w:t>
      </w:r>
      <w:r w:rsidR="00546C60" w:rsidRPr="0093313C">
        <w:rPr>
          <w:rStyle w:val="FootnoteReference"/>
          <w:rFonts w:ascii="Times New Roman" w:hAnsi="Times New Roman"/>
          <w:sz w:val="24"/>
          <w:szCs w:val="24"/>
        </w:rPr>
        <w:footnoteReference w:id="203"/>
      </w:r>
      <w:r w:rsidR="00546C60" w:rsidRPr="005E1335">
        <w:rPr>
          <w:rFonts w:ascii="Times New Roman" w:hAnsi="Times New Roman"/>
          <w:sz w:val="24"/>
          <w:szCs w:val="24"/>
        </w:rPr>
        <w:t xml:space="preserve">  At hearing, PSE again revised its request to increase rate base by $669,984,171 and decrease NOI by $37,445,852 because of a delay in the in-service date to February 29, 2012.</w:t>
      </w:r>
      <w:r w:rsidR="00546C60" w:rsidRPr="0093313C">
        <w:rPr>
          <w:rStyle w:val="FootnoteReference"/>
          <w:rFonts w:ascii="Times New Roman" w:hAnsi="Times New Roman"/>
          <w:sz w:val="24"/>
          <w:szCs w:val="24"/>
        </w:rPr>
        <w:footnoteReference w:id="204"/>
      </w:r>
    </w:p>
    <w:p w:rsidR="00546C60" w:rsidRPr="00364B31" w:rsidRDefault="00364B31" w:rsidP="00364B31">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lastRenderedPageBreak/>
        <w:tab/>
      </w:r>
      <w:r w:rsidR="00546C60" w:rsidRPr="00364B31">
        <w:rPr>
          <w:rFonts w:ascii="Times New Roman" w:hAnsi="Times New Roman"/>
          <w:sz w:val="24"/>
          <w:szCs w:val="24"/>
        </w:rPr>
        <w:t xml:space="preserve">Staff’s adjustment substitutes </w:t>
      </w:r>
      <w:r w:rsidR="00803FFA">
        <w:rPr>
          <w:rFonts w:ascii="Times New Roman" w:hAnsi="Times New Roman"/>
          <w:sz w:val="24"/>
          <w:szCs w:val="24"/>
        </w:rPr>
        <w:t xml:space="preserve">changing </w:t>
      </w:r>
      <w:r w:rsidR="00546C60" w:rsidRPr="00364B31">
        <w:rPr>
          <w:rFonts w:ascii="Times New Roman" w:hAnsi="Times New Roman"/>
          <w:sz w:val="24"/>
          <w:szCs w:val="24"/>
        </w:rPr>
        <w:t>PSE’s rate base projection</w:t>
      </w:r>
      <w:r w:rsidR="000A7D55" w:rsidRPr="00364B31">
        <w:rPr>
          <w:rFonts w:ascii="Times New Roman" w:hAnsi="Times New Roman"/>
          <w:sz w:val="24"/>
          <w:szCs w:val="24"/>
        </w:rPr>
        <w:t>s</w:t>
      </w:r>
      <w:r w:rsidR="00546C60" w:rsidRPr="00364B31">
        <w:rPr>
          <w:rFonts w:ascii="Times New Roman" w:hAnsi="Times New Roman"/>
          <w:sz w:val="24"/>
          <w:szCs w:val="24"/>
        </w:rPr>
        <w:t xml:space="preserve"> with the October 31, 2011 construction work in progress (“CWIP”) balance of $644,066,095.</w:t>
      </w:r>
      <w:r w:rsidR="00546C60" w:rsidRPr="0093313C">
        <w:rPr>
          <w:rStyle w:val="FootnoteReference"/>
          <w:rFonts w:ascii="Times New Roman" w:hAnsi="Times New Roman"/>
          <w:sz w:val="24"/>
          <w:szCs w:val="24"/>
        </w:rPr>
        <w:footnoteReference w:id="205"/>
      </w:r>
      <w:r w:rsidR="00546C60" w:rsidRPr="00364B31">
        <w:rPr>
          <w:rFonts w:ascii="Times New Roman" w:hAnsi="Times New Roman"/>
          <w:sz w:val="24"/>
          <w:szCs w:val="24"/>
        </w:rPr>
        <w:t xml:space="preserve">  The CWIP balance reflects all of PSE’s capital expen</w:t>
      </w:r>
      <w:r w:rsidR="000A7D55" w:rsidRPr="00364B31">
        <w:rPr>
          <w:rFonts w:ascii="Times New Roman" w:hAnsi="Times New Roman"/>
          <w:sz w:val="24"/>
          <w:szCs w:val="24"/>
        </w:rPr>
        <w:t>ditures at that time and</w:t>
      </w:r>
      <w:r w:rsidR="00546C60" w:rsidRPr="00364B31">
        <w:rPr>
          <w:rFonts w:ascii="Times New Roman" w:hAnsi="Times New Roman"/>
          <w:sz w:val="24"/>
          <w:szCs w:val="24"/>
        </w:rPr>
        <w:t xml:space="preserve"> future expenditures </w:t>
      </w:r>
      <w:r w:rsidR="00803FFA">
        <w:rPr>
          <w:rFonts w:ascii="Times New Roman" w:hAnsi="Times New Roman"/>
          <w:sz w:val="24"/>
          <w:szCs w:val="24"/>
        </w:rPr>
        <w:t xml:space="preserve">that were </w:t>
      </w:r>
      <w:r w:rsidR="00546C60" w:rsidRPr="00364B31">
        <w:rPr>
          <w:rFonts w:ascii="Times New Roman" w:hAnsi="Times New Roman"/>
          <w:sz w:val="24"/>
          <w:szCs w:val="24"/>
        </w:rPr>
        <w:t>provided by contract.</w:t>
      </w:r>
      <w:r w:rsidR="00546C60" w:rsidRPr="0093313C">
        <w:rPr>
          <w:rStyle w:val="FootnoteReference"/>
          <w:rFonts w:ascii="Times New Roman" w:hAnsi="Times New Roman"/>
          <w:sz w:val="24"/>
          <w:szCs w:val="24"/>
        </w:rPr>
        <w:footnoteReference w:id="206"/>
      </w:r>
      <w:r w:rsidR="00546C60" w:rsidRPr="00364B31">
        <w:rPr>
          <w:rFonts w:ascii="Times New Roman" w:hAnsi="Times New Roman"/>
          <w:sz w:val="24"/>
          <w:szCs w:val="24"/>
        </w:rPr>
        <w:t xml:space="preserve">  </w:t>
      </w:r>
    </w:p>
    <w:p w:rsidR="00546C60" w:rsidRPr="00364B31" w:rsidRDefault="00364B31" w:rsidP="00364B31">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412F8A" w:rsidRPr="00364B31">
        <w:rPr>
          <w:rFonts w:ascii="Times New Roman" w:hAnsi="Times New Roman"/>
          <w:sz w:val="24"/>
          <w:szCs w:val="24"/>
        </w:rPr>
        <w:t>Staff also removed $2,967,101 in property tax expense for LSR resulting in a reduction to NOI of $35,151,089.</w:t>
      </w:r>
      <w:r w:rsidR="00412F8A" w:rsidRPr="00184383">
        <w:rPr>
          <w:rStyle w:val="FootnoteReference"/>
          <w:rFonts w:ascii="Times New Roman" w:hAnsi="Times New Roman"/>
          <w:sz w:val="24"/>
          <w:szCs w:val="24"/>
        </w:rPr>
        <w:footnoteReference w:id="207"/>
      </w:r>
      <w:r w:rsidR="00412F8A" w:rsidRPr="00364B31">
        <w:rPr>
          <w:rFonts w:ascii="Times New Roman" w:hAnsi="Times New Roman"/>
          <w:sz w:val="24"/>
          <w:szCs w:val="24"/>
        </w:rPr>
        <w:t xml:space="preserve">  This is c</w:t>
      </w:r>
      <w:r w:rsidR="00546C60" w:rsidRPr="00364B31">
        <w:rPr>
          <w:rFonts w:ascii="Times New Roman" w:hAnsi="Times New Roman"/>
          <w:sz w:val="24"/>
          <w:szCs w:val="24"/>
        </w:rPr>
        <w:t xml:space="preserve">onsistent with </w:t>
      </w:r>
      <w:r w:rsidR="006E7CB2" w:rsidRPr="00364B31">
        <w:rPr>
          <w:rFonts w:ascii="Times New Roman" w:hAnsi="Times New Roman"/>
          <w:sz w:val="24"/>
          <w:szCs w:val="24"/>
        </w:rPr>
        <w:t xml:space="preserve">the </w:t>
      </w:r>
      <w:r w:rsidR="00546C60" w:rsidRPr="00364B31">
        <w:rPr>
          <w:rFonts w:ascii="Times New Roman" w:hAnsi="Times New Roman"/>
          <w:sz w:val="24"/>
          <w:szCs w:val="24"/>
        </w:rPr>
        <w:t>Commission’s treatment of property taxes for the Wild Horse expansion</w:t>
      </w:r>
      <w:r w:rsidR="00C228C0">
        <w:rPr>
          <w:rFonts w:ascii="Times New Roman" w:hAnsi="Times New Roman"/>
          <w:sz w:val="24"/>
          <w:szCs w:val="24"/>
        </w:rPr>
        <w:t xml:space="preserve"> </w:t>
      </w:r>
      <w:r w:rsidR="00546C60" w:rsidRPr="00364B31">
        <w:rPr>
          <w:rFonts w:ascii="Times New Roman" w:hAnsi="Times New Roman"/>
          <w:sz w:val="24"/>
          <w:szCs w:val="24"/>
        </w:rPr>
        <w:t xml:space="preserve">and Staff’s property tax </w:t>
      </w:r>
      <w:r w:rsidR="00C228C0">
        <w:rPr>
          <w:rFonts w:ascii="Times New Roman" w:hAnsi="Times New Roman"/>
          <w:sz w:val="24"/>
          <w:szCs w:val="24"/>
        </w:rPr>
        <w:t xml:space="preserve">adjustments </w:t>
      </w:r>
      <w:r w:rsidR="00546C60" w:rsidRPr="00364B31">
        <w:rPr>
          <w:rFonts w:ascii="Times New Roman" w:hAnsi="Times New Roman"/>
          <w:sz w:val="24"/>
          <w:szCs w:val="24"/>
        </w:rPr>
        <w:t xml:space="preserve">in </w:t>
      </w:r>
      <w:r w:rsidR="00C228C0">
        <w:rPr>
          <w:rFonts w:ascii="Times New Roman" w:hAnsi="Times New Roman"/>
          <w:sz w:val="24"/>
          <w:szCs w:val="24"/>
        </w:rPr>
        <w:t>this</w:t>
      </w:r>
      <w:r w:rsidR="00546C60" w:rsidRPr="00364B31">
        <w:rPr>
          <w:rFonts w:ascii="Times New Roman" w:hAnsi="Times New Roman"/>
          <w:sz w:val="24"/>
          <w:szCs w:val="24"/>
        </w:rPr>
        <w:t xml:space="preserve"> case</w:t>
      </w:r>
      <w:r w:rsidR="00412F8A" w:rsidRPr="00364B31">
        <w:rPr>
          <w:rFonts w:ascii="Times New Roman" w:hAnsi="Times New Roman"/>
          <w:sz w:val="24"/>
          <w:szCs w:val="24"/>
        </w:rPr>
        <w:t>.</w:t>
      </w:r>
      <w:r w:rsidR="002F3539">
        <w:rPr>
          <w:rStyle w:val="FootnoteReference"/>
          <w:rFonts w:ascii="Times New Roman" w:hAnsi="Times New Roman"/>
          <w:sz w:val="24"/>
          <w:szCs w:val="24"/>
        </w:rPr>
        <w:footnoteReference w:id="208"/>
      </w:r>
      <w:r w:rsidR="00C228C0">
        <w:rPr>
          <w:rFonts w:ascii="Times New Roman" w:hAnsi="Times New Roman"/>
          <w:sz w:val="24"/>
          <w:szCs w:val="24"/>
        </w:rPr>
        <w:t xml:space="preserve">  PSE</w:t>
      </w:r>
      <w:r w:rsidR="00412F8A" w:rsidRPr="00364B31">
        <w:rPr>
          <w:rFonts w:ascii="Times New Roman" w:hAnsi="Times New Roman"/>
          <w:sz w:val="24"/>
          <w:szCs w:val="24"/>
        </w:rPr>
        <w:t>’s proposal to inc</w:t>
      </w:r>
      <w:r w:rsidR="00546C60" w:rsidRPr="00364B31">
        <w:rPr>
          <w:rFonts w:ascii="Times New Roman" w:hAnsi="Times New Roman"/>
          <w:sz w:val="24"/>
          <w:szCs w:val="24"/>
        </w:rPr>
        <w:t>lude a pro forma amo</w:t>
      </w:r>
      <w:r w:rsidR="00412F8A" w:rsidRPr="00364B31">
        <w:rPr>
          <w:rFonts w:ascii="Times New Roman" w:hAnsi="Times New Roman"/>
          <w:sz w:val="24"/>
          <w:szCs w:val="24"/>
        </w:rPr>
        <w:t xml:space="preserve">unt for </w:t>
      </w:r>
      <w:r w:rsidR="000A7D55" w:rsidRPr="00364B31">
        <w:rPr>
          <w:rFonts w:ascii="Times New Roman" w:hAnsi="Times New Roman"/>
          <w:sz w:val="24"/>
          <w:szCs w:val="24"/>
        </w:rPr>
        <w:t xml:space="preserve">LSR </w:t>
      </w:r>
      <w:r w:rsidR="00412F8A" w:rsidRPr="00364B31">
        <w:rPr>
          <w:rFonts w:ascii="Times New Roman" w:hAnsi="Times New Roman"/>
          <w:sz w:val="24"/>
          <w:szCs w:val="24"/>
        </w:rPr>
        <w:t xml:space="preserve">property taxes should be rejected </w:t>
      </w:r>
      <w:r w:rsidR="00D06669" w:rsidRPr="00364B31">
        <w:rPr>
          <w:rFonts w:ascii="Times New Roman" w:hAnsi="Times New Roman"/>
          <w:sz w:val="24"/>
          <w:szCs w:val="24"/>
        </w:rPr>
        <w:t xml:space="preserve">also </w:t>
      </w:r>
      <w:r w:rsidR="00546C60" w:rsidRPr="00364B31">
        <w:rPr>
          <w:rFonts w:ascii="Times New Roman" w:hAnsi="Times New Roman"/>
          <w:sz w:val="24"/>
          <w:szCs w:val="24"/>
        </w:rPr>
        <w:t>because:</w:t>
      </w:r>
    </w:p>
    <w:p w:rsidR="00546C60" w:rsidRDefault="00546C60" w:rsidP="004736BE">
      <w:pPr>
        <w:pStyle w:val="ListParagraph"/>
        <w:numPr>
          <w:ilvl w:val="0"/>
          <w:numId w:val="3"/>
        </w:numPr>
        <w:tabs>
          <w:tab w:val="left" w:pos="-1440"/>
        </w:tabs>
        <w:rPr>
          <w:rFonts w:ascii="Times New Roman" w:hAnsi="Times New Roman"/>
          <w:sz w:val="24"/>
          <w:szCs w:val="24"/>
        </w:rPr>
      </w:pPr>
      <w:r w:rsidRPr="00184383">
        <w:rPr>
          <w:rFonts w:ascii="Times New Roman" w:hAnsi="Times New Roman"/>
          <w:sz w:val="24"/>
          <w:szCs w:val="24"/>
        </w:rPr>
        <w:t>The pro forma expense represents an accrual and not an amount actually incurred by PSE during the rate year.</w:t>
      </w:r>
      <w:r w:rsidRPr="00184383">
        <w:rPr>
          <w:rStyle w:val="FootnoteReference"/>
          <w:rFonts w:ascii="Times New Roman" w:hAnsi="Times New Roman"/>
          <w:sz w:val="24"/>
          <w:szCs w:val="24"/>
        </w:rPr>
        <w:footnoteReference w:id="209"/>
      </w:r>
    </w:p>
    <w:p w:rsidR="000A0207" w:rsidRPr="00184383" w:rsidRDefault="000A0207" w:rsidP="000A0207">
      <w:pPr>
        <w:pStyle w:val="ListParagraph"/>
        <w:tabs>
          <w:tab w:val="left" w:pos="-1440"/>
        </w:tabs>
        <w:rPr>
          <w:rFonts w:ascii="Times New Roman" w:hAnsi="Times New Roman"/>
          <w:sz w:val="24"/>
          <w:szCs w:val="24"/>
        </w:rPr>
      </w:pPr>
    </w:p>
    <w:p w:rsidR="00546C60" w:rsidRDefault="00546C60" w:rsidP="004736BE">
      <w:pPr>
        <w:pStyle w:val="ListParagraph"/>
        <w:numPr>
          <w:ilvl w:val="0"/>
          <w:numId w:val="3"/>
        </w:numPr>
        <w:tabs>
          <w:tab w:val="left" w:pos="-1440"/>
        </w:tabs>
        <w:rPr>
          <w:rFonts w:ascii="Times New Roman" w:hAnsi="Times New Roman"/>
          <w:sz w:val="24"/>
          <w:szCs w:val="24"/>
        </w:rPr>
      </w:pPr>
      <w:r w:rsidRPr="00184383">
        <w:rPr>
          <w:rFonts w:ascii="Times New Roman" w:hAnsi="Times New Roman"/>
          <w:sz w:val="24"/>
          <w:szCs w:val="24"/>
        </w:rPr>
        <w:t xml:space="preserve">The average payment time for property taxes based on a substantial CWIP balance as of the January 1, 2012 </w:t>
      </w:r>
      <w:r w:rsidR="00881F0E">
        <w:rPr>
          <w:rFonts w:ascii="Times New Roman" w:hAnsi="Times New Roman"/>
          <w:sz w:val="24"/>
          <w:szCs w:val="24"/>
        </w:rPr>
        <w:t xml:space="preserve">lien date is 16 months after that date, which is after </w:t>
      </w:r>
      <w:r w:rsidRPr="00184383">
        <w:rPr>
          <w:rFonts w:ascii="Times New Roman" w:hAnsi="Times New Roman"/>
          <w:sz w:val="24"/>
          <w:szCs w:val="24"/>
        </w:rPr>
        <w:t>the rate year.</w:t>
      </w:r>
      <w:r w:rsidRPr="00184383">
        <w:rPr>
          <w:rStyle w:val="FootnoteReference"/>
          <w:rFonts w:ascii="Times New Roman" w:hAnsi="Times New Roman"/>
          <w:sz w:val="24"/>
          <w:szCs w:val="24"/>
        </w:rPr>
        <w:footnoteReference w:id="210"/>
      </w:r>
    </w:p>
    <w:p w:rsidR="000A0207" w:rsidRPr="00184383" w:rsidRDefault="000A0207" w:rsidP="000A0207">
      <w:pPr>
        <w:pStyle w:val="ListParagraph"/>
        <w:tabs>
          <w:tab w:val="left" w:pos="-1440"/>
        </w:tabs>
        <w:rPr>
          <w:rFonts w:ascii="Times New Roman" w:hAnsi="Times New Roman"/>
          <w:sz w:val="24"/>
          <w:szCs w:val="24"/>
        </w:rPr>
      </w:pPr>
    </w:p>
    <w:p w:rsidR="00546C60" w:rsidRDefault="00546C60" w:rsidP="004736BE">
      <w:pPr>
        <w:pStyle w:val="ListParagraph"/>
        <w:numPr>
          <w:ilvl w:val="0"/>
          <w:numId w:val="3"/>
        </w:numPr>
        <w:tabs>
          <w:tab w:val="left" w:pos="-1440"/>
        </w:tabs>
        <w:rPr>
          <w:rFonts w:ascii="Times New Roman" w:hAnsi="Times New Roman"/>
          <w:sz w:val="24"/>
          <w:szCs w:val="24"/>
        </w:rPr>
      </w:pPr>
      <w:r w:rsidRPr="00184383">
        <w:rPr>
          <w:rFonts w:ascii="Times New Roman" w:hAnsi="Times New Roman"/>
          <w:sz w:val="24"/>
          <w:szCs w:val="24"/>
        </w:rPr>
        <w:t>The first property tax payment based on a completed LSR will occur in 2014, which is</w:t>
      </w:r>
      <w:r>
        <w:rPr>
          <w:rFonts w:ascii="Times New Roman" w:hAnsi="Times New Roman"/>
          <w:sz w:val="24"/>
          <w:szCs w:val="24"/>
        </w:rPr>
        <w:t xml:space="preserve"> also outside of the rate year</w:t>
      </w:r>
      <w:r w:rsidRPr="00184383">
        <w:rPr>
          <w:rFonts w:ascii="Times New Roman" w:hAnsi="Times New Roman"/>
          <w:sz w:val="24"/>
          <w:szCs w:val="24"/>
        </w:rPr>
        <w:t>.</w:t>
      </w:r>
      <w:r>
        <w:rPr>
          <w:rStyle w:val="FootnoteReference"/>
          <w:sz w:val="24"/>
          <w:szCs w:val="24"/>
        </w:rPr>
        <w:footnoteReference w:id="211"/>
      </w:r>
    </w:p>
    <w:p w:rsidR="000A0207" w:rsidRPr="00184383" w:rsidRDefault="000A0207" w:rsidP="000A0207">
      <w:pPr>
        <w:pStyle w:val="ListParagraph"/>
        <w:tabs>
          <w:tab w:val="left" w:pos="-1440"/>
        </w:tabs>
        <w:rPr>
          <w:rFonts w:ascii="Times New Roman" w:hAnsi="Times New Roman"/>
          <w:sz w:val="24"/>
          <w:szCs w:val="24"/>
        </w:rPr>
      </w:pPr>
    </w:p>
    <w:p w:rsidR="00546C60" w:rsidRDefault="00364B31" w:rsidP="00364B31">
      <w:pPr>
        <w:pStyle w:val="NoSpacing"/>
        <w:numPr>
          <w:ilvl w:val="0"/>
          <w:numId w:val="1"/>
        </w:numPr>
        <w:spacing w:line="480" w:lineRule="auto"/>
      </w:pPr>
      <w:r>
        <w:tab/>
      </w:r>
      <w:r w:rsidR="00546C60">
        <w:t>PSE asks the Commission</w:t>
      </w:r>
      <w:r w:rsidR="002F3539">
        <w:t xml:space="preserve"> to reconsider the treatment </w:t>
      </w:r>
      <w:r w:rsidR="00881F0E">
        <w:t xml:space="preserve">it </w:t>
      </w:r>
      <w:r w:rsidR="00546C60">
        <w:t xml:space="preserve">applied </w:t>
      </w:r>
      <w:r w:rsidR="00412F8A">
        <w:t>previously for</w:t>
      </w:r>
      <w:r w:rsidR="00546C60">
        <w:t xml:space="preserve"> t</w:t>
      </w:r>
      <w:r w:rsidR="00412F8A">
        <w:t xml:space="preserve">he Wild Horse </w:t>
      </w:r>
      <w:r w:rsidR="00546C60">
        <w:t>expansio</w:t>
      </w:r>
      <w:r w:rsidR="00412F8A">
        <w:t>n</w:t>
      </w:r>
      <w:r w:rsidR="00546C60">
        <w:t>.</w:t>
      </w:r>
      <w:r w:rsidR="00546C60">
        <w:rPr>
          <w:rStyle w:val="FootnoteReference"/>
        </w:rPr>
        <w:footnoteReference w:id="212"/>
      </w:r>
      <w:r w:rsidR="00546C60">
        <w:t xml:space="preserve">  </w:t>
      </w:r>
      <w:r w:rsidR="00D06669">
        <w:t>The request should be denied.  As the Commission found for the Wild Horse e</w:t>
      </w:r>
      <w:r w:rsidR="00881F0E">
        <w:t xml:space="preserve">xpansion, the PSE’s </w:t>
      </w:r>
      <w:r w:rsidR="00C228C0">
        <w:t xml:space="preserve">LSR adjustment </w:t>
      </w:r>
      <w:r w:rsidR="00D06669">
        <w:t xml:space="preserve">“demonstrates that the judgment of management, even if informed through detailed analysis, can result in forecasts that fluctuate, in some cases significantly, in violation” of the </w:t>
      </w:r>
      <w:r w:rsidR="00881F0E">
        <w:t xml:space="preserve">“known and measurable” test for </w:t>
      </w:r>
      <w:r w:rsidR="00D06669">
        <w:t>a pro forma adjustment.</w:t>
      </w:r>
      <w:r w:rsidR="00A25B57">
        <w:rPr>
          <w:rStyle w:val="FootnoteReference"/>
        </w:rPr>
        <w:footnoteReference w:id="213"/>
      </w:r>
      <w:r w:rsidR="00D06669">
        <w:t xml:space="preserve"> </w:t>
      </w:r>
      <w:r w:rsidR="00A25B57">
        <w:t xml:space="preserve">  </w:t>
      </w:r>
      <w:r w:rsidR="00D06669">
        <w:t>In contrast, Staff’s adjustment is based on actual data in conformance with that test.</w:t>
      </w:r>
      <w:r w:rsidR="00546C60">
        <w:t xml:space="preserve"> </w:t>
      </w:r>
    </w:p>
    <w:p w:rsidR="00331140" w:rsidRPr="00331140" w:rsidRDefault="00331140" w:rsidP="006F6249">
      <w:pPr>
        <w:pStyle w:val="NoSpacing"/>
        <w:keepNext/>
        <w:spacing w:line="480" w:lineRule="auto"/>
        <w:ind w:firstLine="720"/>
        <w:rPr>
          <w:b/>
          <w:bCs/>
          <w:szCs w:val="24"/>
        </w:rPr>
      </w:pPr>
      <w:r>
        <w:lastRenderedPageBreak/>
        <w:tab/>
      </w:r>
      <w:r w:rsidRPr="00331140">
        <w:rPr>
          <w:b/>
        </w:rPr>
        <w:t>c.</w:t>
      </w:r>
      <w:r w:rsidRPr="00331140">
        <w:rPr>
          <w:b/>
        </w:rPr>
        <w:tab/>
      </w:r>
      <w:r w:rsidRPr="00331140">
        <w:rPr>
          <w:b/>
          <w:bCs/>
          <w:szCs w:val="24"/>
        </w:rPr>
        <w:t>Adjustment 13.04, MT Electric Energy Tax</w:t>
      </w:r>
    </w:p>
    <w:p w:rsidR="00331140" w:rsidRPr="00AE5F36" w:rsidRDefault="00364B31" w:rsidP="00364B31">
      <w:pPr>
        <w:pStyle w:val="NoSpacing"/>
        <w:numPr>
          <w:ilvl w:val="0"/>
          <w:numId w:val="1"/>
        </w:numPr>
        <w:spacing w:line="480" w:lineRule="auto"/>
      </w:pPr>
      <w:r>
        <w:rPr>
          <w:bCs/>
          <w:szCs w:val="24"/>
        </w:rPr>
        <w:tab/>
      </w:r>
      <w:r w:rsidR="00331140">
        <w:rPr>
          <w:bCs/>
          <w:szCs w:val="24"/>
        </w:rPr>
        <w:t>This adjustment is contested only because</w:t>
      </w:r>
      <w:r w:rsidR="00331140" w:rsidRPr="005E3DDE">
        <w:rPr>
          <w:bCs/>
          <w:szCs w:val="24"/>
        </w:rPr>
        <w:t xml:space="preserve"> of differing assumptions regarding Colstrip generation. </w:t>
      </w:r>
      <w:r>
        <w:rPr>
          <w:bCs/>
          <w:szCs w:val="24"/>
        </w:rPr>
        <w:t xml:space="preserve"> </w:t>
      </w:r>
      <w:r w:rsidR="00331140">
        <w:rPr>
          <w:bCs/>
          <w:szCs w:val="24"/>
        </w:rPr>
        <w:t>T</w:t>
      </w:r>
      <w:r w:rsidR="00331140" w:rsidRPr="005E3DDE">
        <w:rPr>
          <w:bCs/>
          <w:szCs w:val="24"/>
        </w:rPr>
        <w:t>here is no dispute in the methodology to calculate</w:t>
      </w:r>
      <w:r w:rsidR="00331140">
        <w:rPr>
          <w:bCs/>
          <w:szCs w:val="24"/>
        </w:rPr>
        <w:t xml:space="preserve"> the adjustment</w:t>
      </w:r>
      <w:r w:rsidR="00331140" w:rsidRPr="005E3DDE">
        <w:rPr>
          <w:bCs/>
          <w:szCs w:val="24"/>
        </w:rPr>
        <w:t>.</w:t>
      </w:r>
      <w:r w:rsidR="00331140">
        <w:rPr>
          <w:rStyle w:val="FootnoteReference"/>
          <w:bCs/>
          <w:szCs w:val="24"/>
        </w:rPr>
        <w:footnoteReference w:id="214"/>
      </w:r>
      <w:r w:rsidR="00331140" w:rsidRPr="005E3DDE">
        <w:rPr>
          <w:bCs/>
          <w:szCs w:val="24"/>
        </w:rPr>
        <w:t xml:space="preserve"> </w:t>
      </w:r>
      <w:r w:rsidR="00331140">
        <w:rPr>
          <w:bCs/>
          <w:szCs w:val="24"/>
        </w:rPr>
        <w:t xml:space="preserve"> </w:t>
      </w:r>
    </w:p>
    <w:p w:rsidR="006B637C" w:rsidRDefault="00546C60" w:rsidP="006B637C">
      <w:pPr>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sidR="00331140">
        <w:rPr>
          <w:rFonts w:ascii="Times New Roman" w:hAnsi="Times New Roman"/>
          <w:b/>
          <w:sz w:val="24"/>
        </w:rPr>
        <w:t>d</w:t>
      </w:r>
      <w:r w:rsidR="004F6171">
        <w:rPr>
          <w:rFonts w:ascii="Times New Roman" w:hAnsi="Times New Roman"/>
          <w:b/>
          <w:sz w:val="24"/>
        </w:rPr>
        <w:t>.</w:t>
      </w:r>
      <w:r w:rsidR="004F6171">
        <w:rPr>
          <w:rFonts w:ascii="Times New Roman" w:hAnsi="Times New Roman"/>
          <w:b/>
          <w:sz w:val="24"/>
        </w:rPr>
        <w:tab/>
      </w:r>
      <w:r w:rsidR="006B637C">
        <w:rPr>
          <w:rFonts w:ascii="Times New Roman" w:hAnsi="Times New Roman"/>
          <w:b/>
          <w:sz w:val="24"/>
        </w:rPr>
        <w:t>Adjustment 13.07, Storm Damage</w:t>
      </w:r>
    </w:p>
    <w:p w:rsidR="006B637C" w:rsidRPr="00364B31" w:rsidRDefault="00364B31" w:rsidP="00364B31">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B637C" w:rsidRPr="00364B31">
        <w:rPr>
          <w:rFonts w:ascii="Times New Roman" w:hAnsi="Times New Roman"/>
          <w:sz w:val="24"/>
          <w:szCs w:val="24"/>
        </w:rPr>
        <w:t xml:space="preserve">PSE’s current storm damage recovery has three components.  The first component includes a six-year average of costs of all storms below an $8 million annual threshold.  The second component allows PSE to defer and amortize over four years the costs from qualifying “IEEE” storm events that exceed the $8 million annual threshold.  </w:t>
      </w:r>
      <w:r w:rsidR="006B637C" w:rsidRPr="00364B31">
        <w:rPr>
          <w:rFonts w:ascii="Times New Roman" w:hAnsi="Times New Roman"/>
          <w:bCs/>
          <w:sz w:val="24"/>
          <w:szCs w:val="24"/>
        </w:rPr>
        <w:t>These deferrals can earn a return through the working capital allowance.</w:t>
      </w:r>
      <w:r w:rsidR="006B637C" w:rsidRPr="00364B31">
        <w:rPr>
          <w:rFonts w:ascii="Times New Roman" w:hAnsi="Times New Roman"/>
          <w:sz w:val="24"/>
          <w:szCs w:val="24"/>
        </w:rPr>
        <w:t xml:space="preserve">  The third component represents the 10-year amortization of deferred storm expenses from the truly catastrophic Hanukkah Eve Storm of 2006. </w:t>
      </w:r>
      <w:r w:rsidR="006B637C" w:rsidRPr="00364B31">
        <w:rPr>
          <w:rFonts w:ascii="Times New Roman" w:hAnsi="Times New Roman"/>
          <w:bCs/>
          <w:sz w:val="24"/>
          <w:szCs w:val="24"/>
        </w:rPr>
        <w:t xml:space="preserve"> This balance also earns a return through the working capital.</w:t>
      </w:r>
      <w:r w:rsidR="006B637C">
        <w:rPr>
          <w:rStyle w:val="FootnoteReference"/>
          <w:rFonts w:ascii="Times New Roman" w:hAnsi="Times New Roman"/>
          <w:bCs/>
          <w:sz w:val="24"/>
          <w:szCs w:val="24"/>
        </w:rPr>
        <w:footnoteReference w:id="215"/>
      </w:r>
    </w:p>
    <w:p w:rsidR="006B637C" w:rsidRPr="00364B31" w:rsidRDefault="00364B31" w:rsidP="00364B31">
      <w:pPr>
        <w:pStyle w:val="ListParagraph"/>
        <w:numPr>
          <w:ilvl w:val="0"/>
          <w:numId w:val="1"/>
        </w:numPr>
        <w:spacing w:line="480" w:lineRule="auto"/>
        <w:rPr>
          <w:rFonts w:ascii="Times New Roman" w:hAnsi="Times New Roman"/>
          <w:sz w:val="24"/>
        </w:rPr>
      </w:pPr>
      <w:r>
        <w:rPr>
          <w:rFonts w:ascii="Times New Roman" w:hAnsi="Times New Roman"/>
          <w:sz w:val="24"/>
        </w:rPr>
        <w:tab/>
      </w:r>
      <w:r w:rsidR="006B637C" w:rsidRPr="00364B31">
        <w:rPr>
          <w:rFonts w:ascii="Times New Roman" w:hAnsi="Times New Roman"/>
          <w:sz w:val="24"/>
        </w:rPr>
        <w:t>This adjustment restates test year storm damage amounts to a mix of past cost averaging and amortization of deferrals.  PSE seeks to amortize deferred storm damages from 2008 and 2010.  Staff proposes to discontinue amortizing deferrals over a four year period and to include costs from 2008 and 2010 in the six-year normalization.</w:t>
      </w:r>
      <w:r w:rsidR="006B637C" w:rsidRPr="00B11A00">
        <w:rPr>
          <w:rStyle w:val="FootnoteReference"/>
          <w:rFonts w:ascii="Times New Roman" w:hAnsi="Times New Roman"/>
          <w:sz w:val="24"/>
        </w:rPr>
        <w:footnoteReference w:id="216"/>
      </w:r>
      <w:r w:rsidR="006B637C" w:rsidRPr="00364B31">
        <w:rPr>
          <w:rFonts w:ascii="Times New Roman" w:hAnsi="Times New Roman"/>
          <w:sz w:val="24"/>
        </w:rPr>
        <w:t xml:space="preserve">  Existing deferred storm costs of 2006-2008 will continue amortizing until the remaining balances are depleted.</w:t>
      </w:r>
      <w:r w:rsidR="006B637C">
        <w:rPr>
          <w:rStyle w:val="FootnoteReference"/>
          <w:rFonts w:ascii="Times New Roman" w:hAnsi="Times New Roman"/>
          <w:sz w:val="24"/>
        </w:rPr>
        <w:footnoteReference w:id="217"/>
      </w:r>
      <w:r w:rsidR="006B637C" w:rsidRPr="00364B31">
        <w:rPr>
          <w:rFonts w:ascii="Times New Roman" w:hAnsi="Times New Roman"/>
          <w:sz w:val="24"/>
        </w:rPr>
        <w:t xml:space="preserve">  Staff’s proposal increases NOI by $2,107,628.  PSE’s adjustment increases NOI by $1,349,515.</w:t>
      </w:r>
      <w:r w:rsidR="006B637C" w:rsidRPr="00B11A00">
        <w:rPr>
          <w:rStyle w:val="FootnoteReference"/>
          <w:rFonts w:ascii="Times New Roman" w:hAnsi="Times New Roman"/>
          <w:sz w:val="24"/>
        </w:rPr>
        <w:footnoteReference w:id="218"/>
      </w:r>
      <w:r w:rsidR="006B637C" w:rsidRPr="00364B31">
        <w:rPr>
          <w:rFonts w:ascii="Times New Roman" w:hAnsi="Times New Roman"/>
          <w:sz w:val="24"/>
        </w:rPr>
        <w:t xml:space="preserve"> </w:t>
      </w:r>
    </w:p>
    <w:p w:rsidR="006B637C" w:rsidRPr="00364B31" w:rsidRDefault="00364B31" w:rsidP="00364B31">
      <w:pPr>
        <w:pStyle w:val="ListParagraph"/>
        <w:numPr>
          <w:ilvl w:val="0"/>
          <w:numId w:val="1"/>
        </w:numPr>
        <w:spacing w:line="480" w:lineRule="auto"/>
        <w:rPr>
          <w:rFonts w:ascii="Times New Roman" w:hAnsi="Times New Roman"/>
          <w:sz w:val="24"/>
        </w:rPr>
      </w:pPr>
      <w:r>
        <w:rPr>
          <w:rFonts w:ascii="Times New Roman" w:hAnsi="Times New Roman"/>
          <w:sz w:val="24"/>
        </w:rPr>
        <w:tab/>
      </w:r>
      <w:r w:rsidR="006B637C" w:rsidRPr="00364B31">
        <w:rPr>
          <w:rFonts w:ascii="Times New Roman" w:hAnsi="Times New Roman"/>
          <w:sz w:val="24"/>
        </w:rPr>
        <w:t xml:space="preserve">Staff’s </w:t>
      </w:r>
      <w:r w:rsidR="00881F0E">
        <w:rPr>
          <w:rFonts w:ascii="Times New Roman" w:hAnsi="Times New Roman"/>
          <w:sz w:val="24"/>
        </w:rPr>
        <w:t xml:space="preserve">approach </w:t>
      </w:r>
      <w:r w:rsidR="006B637C" w:rsidRPr="00364B31">
        <w:rPr>
          <w:rFonts w:ascii="Times New Roman" w:hAnsi="Times New Roman"/>
          <w:sz w:val="24"/>
        </w:rPr>
        <w:t>depart</w:t>
      </w:r>
      <w:r w:rsidR="00881F0E">
        <w:rPr>
          <w:rFonts w:ascii="Times New Roman" w:hAnsi="Times New Roman"/>
          <w:sz w:val="24"/>
        </w:rPr>
        <w:t>s</w:t>
      </w:r>
      <w:r w:rsidR="006B637C" w:rsidRPr="00364B31">
        <w:rPr>
          <w:rFonts w:ascii="Times New Roman" w:hAnsi="Times New Roman"/>
          <w:sz w:val="24"/>
        </w:rPr>
        <w:t xml:space="preserve"> from the current standard of amortizi</w:t>
      </w:r>
      <w:r w:rsidR="00B31A27">
        <w:rPr>
          <w:rFonts w:ascii="Times New Roman" w:hAnsi="Times New Roman"/>
          <w:sz w:val="24"/>
        </w:rPr>
        <w:t xml:space="preserve">ng deferrals over four years.  </w:t>
      </w:r>
      <w:r w:rsidR="00803FFA">
        <w:rPr>
          <w:rFonts w:ascii="Times New Roman" w:hAnsi="Times New Roman"/>
          <w:sz w:val="24"/>
        </w:rPr>
        <w:t>S</w:t>
      </w:r>
      <w:r w:rsidR="006B637C" w:rsidRPr="00364B31">
        <w:rPr>
          <w:rFonts w:ascii="Times New Roman" w:hAnsi="Times New Roman"/>
          <w:sz w:val="24"/>
        </w:rPr>
        <w:t>uch departure is justified because the current standard produces several undesirable results</w:t>
      </w:r>
      <w:r w:rsidR="006B637C" w:rsidRPr="00364B31">
        <w:rPr>
          <w:sz w:val="24"/>
        </w:rPr>
        <w:t xml:space="preserve">.  </w:t>
      </w:r>
      <w:r w:rsidR="006B637C" w:rsidRPr="00364B31">
        <w:rPr>
          <w:rFonts w:ascii="Times New Roman" w:hAnsi="Times New Roman"/>
          <w:sz w:val="24"/>
        </w:rPr>
        <w:t xml:space="preserve">First, because PSE delays the start of amortization until the deferrals are included in </w:t>
      </w:r>
      <w:r w:rsidR="006B637C" w:rsidRPr="00364B31">
        <w:rPr>
          <w:rFonts w:ascii="Times New Roman" w:hAnsi="Times New Roman"/>
          <w:sz w:val="24"/>
        </w:rPr>
        <w:lastRenderedPageBreak/>
        <w:t>rates, deferral balances accumulate</w:t>
      </w:r>
      <w:r w:rsidR="00881F0E">
        <w:rPr>
          <w:rFonts w:ascii="Times New Roman" w:hAnsi="Times New Roman"/>
          <w:sz w:val="24"/>
        </w:rPr>
        <w:t>,</w:t>
      </w:r>
      <w:r w:rsidR="006B637C" w:rsidRPr="00364B31">
        <w:rPr>
          <w:rFonts w:ascii="Times New Roman" w:hAnsi="Times New Roman"/>
          <w:sz w:val="24"/>
        </w:rPr>
        <w:t xml:space="preserve"> requiring future ratepayers to pay the cost of serving past or present ratepayers.</w:t>
      </w:r>
      <w:r w:rsidR="006B637C" w:rsidRPr="0088727F">
        <w:rPr>
          <w:rStyle w:val="FootnoteReference"/>
          <w:rFonts w:ascii="Times New Roman" w:hAnsi="Times New Roman"/>
          <w:sz w:val="24"/>
        </w:rPr>
        <w:footnoteReference w:id="219"/>
      </w:r>
      <w:r w:rsidR="00E21D90">
        <w:rPr>
          <w:rFonts w:ascii="Times New Roman" w:hAnsi="Times New Roman"/>
          <w:sz w:val="24"/>
        </w:rPr>
        <w:t xml:space="preserve">  Second, four </w:t>
      </w:r>
      <w:r w:rsidR="006B637C" w:rsidRPr="00364B31">
        <w:rPr>
          <w:rFonts w:ascii="Times New Roman" w:hAnsi="Times New Roman"/>
          <w:sz w:val="24"/>
        </w:rPr>
        <w:t>year amortization introduces greater rate volatility than a six year-normalized expense.</w:t>
      </w:r>
      <w:r w:rsidR="006B637C" w:rsidRPr="0088727F">
        <w:rPr>
          <w:rStyle w:val="FootnoteReference"/>
          <w:rFonts w:ascii="Times New Roman" w:hAnsi="Times New Roman"/>
          <w:sz w:val="24"/>
        </w:rPr>
        <w:footnoteReference w:id="220"/>
      </w:r>
      <w:r w:rsidR="006B637C" w:rsidRPr="00364B31">
        <w:rPr>
          <w:rFonts w:ascii="Times New Roman" w:hAnsi="Times New Roman"/>
          <w:sz w:val="24"/>
        </w:rPr>
        <w:t xml:space="preserve">  Finally, the large accumulated deferral balances grant PSE a return on the regulatory asset through the working capital calculation.</w:t>
      </w:r>
      <w:r w:rsidR="006B637C" w:rsidRPr="0088727F">
        <w:rPr>
          <w:rStyle w:val="FootnoteReference"/>
          <w:rFonts w:ascii="Times New Roman" w:hAnsi="Times New Roman"/>
          <w:sz w:val="24"/>
        </w:rPr>
        <w:footnoteReference w:id="221"/>
      </w:r>
    </w:p>
    <w:p w:rsidR="006B637C" w:rsidRPr="00364B31" w:rsidRDefault="00364B31" w:rsidP="00364B31">
      <w:pPr>
        <w:pStyle w:val="ListParagraph"/>
        <w:numPr>
          <w:ilvl w:val="0"/>
          <w:numId w:val="1"/>
        </w:numPr>
        <w:spacing w:line="480" w:lineRule="auto"/>
        <w:rPr>
          <w:rFonts w:ascii="Times New Roman" w:hAnsi="Times New Roman"/>
          <w:sz w:val="24"/>
        </w:rPr>
      </w:pPr>
      <w:r>
        <w:rPr>
          <w:rFonts w:ascii="Times New Roman" w:hAnsi="Times New Roman"/>
          <w:sz w:val="24"/>
        </w:rPr>
        <w:tab/>
      </w:r>
      <w:r w:rsidR="006B637C" w:rsidRPr="00364B31">
        <w:rPr>
          <w:rFonts w:ascii="Times New Roman" w:hAnsi="Times New Roman"/>
          <w:sz w:val="24"/>
        </w:rPr>
        <w:t xml:space="preserve">PSE does not dispute Staff’s contentions.  Instead, it claims Staff’s proposal will </w:t>
      </w:r>
      <w:r w:rsidR="00881F0E">
        <w:rPr>
          <w:rFonts w:ascii="Times New Roman" w:hAnsi="Times New Roman"/>
          <w:sz w:val="24"/>
        </w:rPr>
        <w:t xml:space="preserve">cause </w:t>
      </w:r>
      <w:r w:rsidR="006B637C" w:rsidRPr="00364B31">
        <w:rPr>
          <w:rFonts w:ascii="Times New Roman" w:hAnsi="Times New Roman"/>
          <w:sz w:val="24"/>
        </w:rPr>
        <w:t>increased</w:t>
      </w:r>
      <w:r w:rsidR="00881F0E">
        <w:rPr>
          <w:rFonts w:ascii="Times New Roman" w:hAnsi="Times New Roman"/>
          <w:sz w:val="24"/>
        </w:rPr>
        <w:t xml:space="preserve"> earnings risk and </w:t>
      </w:r>
      <w:r w:rsidR="006B637C" w:rsidRPr="00364B31">
        <w:rPr>
          <w:rFonts w:ascii="Times New Roman" w:hAnsi="Times New Roman"/>
          <w:sz w:val="24"/>
        </w:rPr>
        <w:t>a write-off of approximately $14 million, an alleged disallowance.</w:t>
      </w:r>
      <w:r w:rsidR="006B637C" w:rsidRPr="00324DBF">
        <w:rPr>
          <w:rStyle w:val="FootnoteReference"/>
          <w:rFonts w:ascii="Times New Roman" w:hAnsi="Times New Roman"/>
          <w:sz w:val="24"/>
        </w:rPr>
        <w:footnoteReference w:id="222"/>
      </w:r>
      <w:r w:rsidR="006B637C" w:rsidRPr="00364B31">
        <w:rPr>
          <w:rFonts w:ascii="Times New Roman" w:hAnsi="Times New Roman"/>
          <w:sz w:val="24"/>
        </w:rPr>
        <w:t xml:space="preserve">  </w:t>
      </w:r>
    </w:p>
    <w:p w:rsidR="006B637C" w:rsidRPr="00E80834" w:rsidRDefault="00364B31" w:rsidP="00364B31">
      <w:pPr>
        <w:pStyle w:val="BodyTextIndent"/>
        <w:numPr>
          <w:ilvl w:val="0"/>
          <w:numId w:val="1"/>
        </w:numPr>
      </w:pPr>
      <w:r>
        <w:tab/>
      </w:r>
      <w:r w:rsidR="006B637C">
        <w:t>PSE’s contention of increased risk is debatable.</w:t>
      </w:r>
      <w:r w:rsidR="002840DC">
        <w:rPr>
          <w:rStyle w:val="FootnoteReference"/>
        </w:rPr>
        <w:footnoteReference w:id="223"/>
      </w:r>
      <w:r w:rsidR="006B637C">
        <w:t xml:space="preserve">  Staff’s proposal to average storm costs over six years wil</w:t>
      </w:r>
      <w:r w:rsidR="00F13F1C">
        <w:t>l smooth expenses to PSE</w:t>
      </w:r>
      <w:r w:rsidR="006B637C">
        <w:t>, but annual costs vary around that norm.  While there may be slight earnings variation, given the present frequency of rate cases, Staff’s approach will allow the recovery of a representative level of all storm costs over time.</w:t>
      </w:r>
      <w:r w:rsidR="006B637C">
        <w:rPr>
          <w:rStyle w:val="FootnoteReference"/>
        </w:rPr>
        <w:footnoteReference w:id="224"/>
      </w:r>
      <w:r w:rsidR="006B637C">
        <w:t xml:space="preserve">  Moreover, while Staff’s </w:t>
      </w:r>
      <w:r w:rsidR="00F13F1C">
        <w:t>adjustment will</w:t>
      </w:r>
      <w:r w:rsidR="006B637C" w:rsidRPr="00E80834">
        <w:t xml:space="preserve"> result in </w:t>
      </w:r>
      <w:r w:rsidR="006B637C">
        <w:t xml:space="preserve">a </w:t>
      </w:r>
      <w:r w:rsidR="006B637C" w:rsidRPr="00E80834">
        <w:t xml:space="preserve">write-off </w:t>
      </w:r>
      <w:r w:rsidR="006B637C">
        <w:t>of app</w:t>
      </w:r>
      <w:r w:rsidR="00E21D90">
        <w:t xml:space="preserve">roximately $14 million, it </w:t>
      </w:r>
      <w:r w:rsidR="006B637C">
        <w:t>will not disallow any costs for ratema</w:t>
      </w:r>
      <w:r w:rsidR="00E21D90">
        <w:t xml:space="preserve">king </w:t>
      </w:r>
      <w:r w:rsidR="006B637C">
        <w:t xml:space="preserve">because it </w:t>
      </w:r>
      <w:r w:rsidR="006B637C" w:rsidRPr="00E80834">
        <w:t>in</w:t>
      </w:r>
      <w:r w:rsidR="006B637C">
        <w:t xml:space="preserve">corporates into the average all </w:t>
      </w:r>
      <w:r w:rsidR="00F13F1C">
        <w:t>reported storm costs</w:t>
      </w:r>
      <w:r w:rsidR="006B637C" w:rsidRPr="00E80834">
        <w:t>.</w:t>
      </w:r>
      <w:r w:rsidR="006B637C">
        <w:rPr>
          <w:rStyle w:val="FootnoteReference"/>
        </w:rPr>
        <w:footnoteReference w:id="225"/>
      </w:r>
      <w:r w:rsidR="006B637C">
        <w:t xml:space="preserve">  </w:t>
      </w:r>
    </w:p>
    <w:p w:rsidR="006B637C" w:rsidRPr="00364B31" w:rsidRDefault="00364B31" w:rsidP="00364B31">
      <w:pPr>
        <w:pStyle w:val="ListParagraph"/>
        <w:numPr>
          <w:ilvl w:val="0"/>
          <w:numId w:val="1"/>
        </w:numPr>
        <w:spacing w:line="480" w:lineRule="auto"/>
        <w:rPr>
          <w:rFonts w:ascii="Times New Roman" w:hAnsi="Times New Roman"/>
          <w:sz w:val="24"/>
        </w:rPr>
      </w:pPr>
      <w:r>
        <w:rPr>
          <w:rFonts w:ascii="Times New Roman" w:hAnsi="Times New Roman"/>
          <w:sz w:val="24"/>
        </w:rPr>
        <w:tab/>
      </w:r>
      <w:r w:rsidR="006B637C" w:rsidRPr="00364B31">
        <w:rPr>
          <w:rFonts w:ascii="Times New Roman" w:hAnsi="Times New Roman"/>
          <w:sz w:val="24"/>
        </w:rPr>
        <w:t>In the event the C</w:t>
      </w:r>
      <w:r w:rsidR="00881F0E">
        <w:rPr>
          <w:rFonts w:ascii="Times New Roman" w:hAnsi="Times New Roman"/>
          <w:sz w:val="24"/>
        </w:rPr>
        <w:t xml:space="preserve">ommission agrees with </w:t>
      </w:r>
      <w:r w:rsidR="006B637C" w:rsidRPr="00364B31">
        <w:rPr>
          <w:rFonts w:ascii="Times New Roman" w:hAnsi="Times New Roman"/>
          <w:sz w:val="24"/>
        </w:rPr>
        <w:t>Staff</w:t>
      </w:r>
      <w:r w:rsidR="00881F0E">
        <w:rPr>
          <w:rFonts w:ascii="Times New Roman" w:hAnsi="Times New Roman"/>
          <w:sz w:val="24"/>
        </w:rPr>
        <w:t>’s concerns</w:t>
      </w:r>
      <w:r w:rsidR="006B637C" w:rsidRPr="00364B31">
        <w:rPr>
          <w:rFonts w:ascii="Times New Roman" w:hAnsi="Times New Roman"/>
          <w:sz w:val="24"/>
        </w:rPr>
        <w:t xml:space="preserve">, but finds a write-off of $14 million unacceptable, it could adopt PSE’s ratemaking adjustment </w:t>
      </w:r>
      <w:r w:rsidR="00881F0E">
        <w:rPr>
          <w:rFonts w:ascii="Times New Roman" w:hAnsi="Times New Roman"/>
          <w:sz w:val="24"/>
        </w:rPr>
        <w:t>in</w:t>
      </w:r>
      <w:r w:rsidR="006B637C" w:rsidRPr="00364B31">
        <w:rPr>
          <w:rFonts w:ascii="Times New Roman" w:hAnsi="Times New Roman"/>
          <w:sz w:val="24"/>
        </w:rPr>
        <w:t xml:space="preserve"> this case, but direct PSE to discontinue the use of four-year deferrals for future expenditures.  This partial compromise wo</w:t>
      </w:r>
      <w:r w:rsidR="00E21D90">
        <w:rPr>
          <w:rFonts w:ascii="Times New Roman" w:hAnsi="Times New Roman"/>
          <w:sz w:val="24"/>
        </w:rPr>
        <w:t xml:space="preserve">uld not address PSE’s </w:t>
      </w:r>
      <w:r w:rsidR="006B637C" w:rsidRPr="00364B31">
        <w:rPr>
          <w:rFonts w:ascii="Times New Roman" w:hAnsi="Times New Roman"/>
          <w:sz w:val="24"/>
        </w:rPr>
        <w:t xml:space="preserve">issue regarding earnings risk.  However, it would resolve all of Staff’s concerns with respect to future rate periods. </w:t>
      </w:r>
    </w:p>
    <w:p w:rsidR="004F6171" w:rsidRDefault="004F6171" w:rsidP="006F6249">
      <w:pPr>
        <w:keepNext/>
        <w:spacing w:after="0" w:line="480" w:lineRule="auto"/>
        <w:rPr>
          <w:rFonts w:ascii="Times New Roman" w:hAnsi="Times New Roman"/>
          <w:b/>
          <w:sz w:val="24"/>
        </w:rPr>
      </w:pPr>
      <w:r>
        <w:rPr>
          <w:rFonts w:ascii="Times New Roman" w:hAnsi="Times New Roman"/>
          <w:b/>
          <w:sz w:val="24"/>
        </w:rPr>
        <w:lastRenderedPageBreak/>
        <w:tab/>
      </w:r>
      <w:r w:rsidR="002107E8">
        <w:rPr>
          <w:rFonts w:ascii="Times New Roman" w:hAnsi="Times New Roman"/>
          <w:b/>
          <w:sz w:val="24"/>
        </w:rPr>
        <w:tab/>
      </w:r>
      <w:r>
        <w:rPr>
          <w:rFonts w:ascii="Times New Roman" w:hAnsi="Times New Roman"/>
          <w:b/>
          <w:sz w:val="24"/>
        </w:rPr>
        <w:t>e.</w:t>
      </w:r>
      <w:r>
        <w:rPr>
          <w:rFonts w:ascii="Times New Roman" w:hAnsi="Times New Roman"/>
          <w:b/>
          <w:sz w:val="24"/>
        </w:rPr>
        <w:tab/>
        <w:t>Adjustment 13.10, Regulatory Assets &amp; Liabilities</w:t>
      </w:r>
    </w:p>
    <w:p w:rsidR="00675E20" w:rsidRPr="00DB4FCC" w:rsidRDefault="00364B31" w:rsidP="00364B31">
      <w:pPr>
        <w:pStyle w:val="BodyTextIndent"/>
        <w:numPr>
          <w:ilvl w:val="0"/>
          <w:numId w:val="1"/>
        </w:numPr>
      </w:pPr>
      <w:r>
        <w:tab/>
      </w:r>
      <w:r w:rsidR="00E8744B">
        <w:t xml:space="preserve">A number of </w:t>
      </w:r>
      <w:r w:rsidR="00DB4FCC">
        <w:t xml:space="preserve">regulatory assets and liabilities </w:t>
      </w:r>
      <w:r w:rsidR="00426B8C">
        <w:t xml:space="preserve">are </w:t>
      </w:r>
      <w:r w:rsidR="00DB4FCC">
        <w:t>included in this adjustment</w:t>
      </w:r>
      <w:r w:rsidR="002F3539">
        <w:t xml:space="preserve">.  Several are uncontested </w:t>
      </w:r>
      <w:r w:rsidR="00DB4FCC">
        <w:t>because they were addressed</w:t>
      </w:r>
      <w:r w:rsidR="00675E20">
        <w:t xml:space="preserve"> by the Commission in prior</w:t>
      </w:r>
      <w:r w:rsidR="00DB4FCC">
        <w:t xml:space="preserve"> proceedings.</w:t>
      </w:r>
      <w:r w:rsidR="00DB4FCC">
        <w:rPr>
          <w:rStyle w:val="FootnoteReference"/>
        </w:rPr>
        <w:footnoteReference w:id="226"/>
      </w:r>
      <w:r w:rsidR="002F3539">
        <w:t xml:space="preserve">  </w:t>
      </w:r>
      <w:r w:rsidR="0057374D">
        <w:t>In addition, Staff</w:t>
      </w:r>
      <w:r w:rsidR="00E21D90">
        <w:t>’s</w:t>
      </w:r>
      <w:r w:rsidR="0057374D">
        <w:t xml:space="preserve"> </w:t>
      </w:r>
      <w:r w:rsidR="00E8744B">
        <w:t xml:space="preserve">adjustment </w:t>
      </w:r>
      <w:r w:rsidR="000A0207">
        <w:t>for RECs</w:t>
      </w:r>
      <w:r w:rsidR="002F3539">
        <w:t xml:space="preserve"> </w:t>
      </w:r>
      <w:r w:rsidR="00675E20">
        <w:t xml:space="preserve">is </w:t>
      </w:r>
      <w:r w:rsidR="00A8500B">
        <w:t>withdrawn</w:t>
      </w:r>
      <w:r w:rsidR="00675E20">
        <w:t xml:space="preserve"> </w:t>
      </w:r>
      <w:r w:rsidR="00A8500B">
        <w:t xml:space="preserve">under </w:t>
      </w:r>
      <w:r w:rsidR="00675E20">
        <w:t>the</w:t>
      </w:r>
      <w:r w:rsidR="00881F0E">
        <w:t xml:space="preserve"> Multiparty Settlement</w:t>
      </w:r>
      <w:r w:rsidR="00675E20">
        <w:t>.</w:t>
      </w:r>
      <w:r w:rsidR="00E8744B">
        <w:rPr>
          <w:rStyle w:val="FootnoteReference"/>
        </w:rPr>
        <w:footnoteReference w:id="227"/>
      </w:r>
      <w:r w:rsidR="00E21D90">
        <w:t xml:space="preserve">  </w:t>
      </w:r>
      <w:r w:rsidR="00426B8C">
        <w:t xml:space="preserve">The contested elements of this adjustment </w:t>
      </w:r>
      <w:r w:rsidR="00675E20">
        <w:t>are addressed below.</w:t>
      </w:r>
      <w:r w:rsidR="00675E20">
        <w:rPr>
          <w:rStyle w:val="FootnoteReference"/>
        </w:rPr>
        <w:footnoteReference w:id="228"/>
      </w:r>
    </w:p>
    <w:p w:rsidR="00B30601" w:rsidRDefault="00B30601" w:rsidP="00364B31">
      <w:pPr>
        <w:keepNext/>
        <w:spacing w:after="0" w:line="480" w:lineRule="auto"/>
        <w:rPr>
          <w:rFonts w:ascii="Times New Roman" w:hAnsi="Times New Roman" w:cs="Times New Roman"/>
          <w:b/>
          <w:sz w:val="24"/>
          <w:szCs w:val="24"/>
        </w:rPr>
      </w:pPr>
      <w:r>
        <w:rPr>
          <w:rFonts w:ascii="Times New Roman" w:hAnsi="Times New Roman"/>
          <w:b/>
          <w:sz w:val="24"/>
        </w:rPr>
        <w:tab/>
      </w:r>
      <w:r>
        <w:rPr>
          <w:rFonts w:ascii="Times New Roman" w:hAnsi="Times New Roman"/>
          <w:b/>
          <w:sz w:val="24"/>
        </w:rPr>
        <w:tab/>
      </w:r>
      <w:r w:rsidR="002F3539">
        <w:rPr>
          <w:rFonts w:ascii="Times New Roman" w:hAnsi="Times New Roman"/>
          <w:b/>
          <w:sz w:val="24"/>
        </w:rPr>
        <w:tab/>
        <w:t>i</w:t>
      </w:r>
      <w:r>
        <w:rPr>
          <w:rFonts w:ascii="Times New Roman" w:hAnsi="Times New Roman" w:cs="Times New Roman"/>
          <w:b/>
          <w:sz w:val="24"/>
          <w:szCs w:val="24"/>
        </w:rPr>
        <w:t>.</w:t>
      </w:r>
      <w:r>
        <w:rPr>
          <w:rFonts w:ascii="Times New Roman" w:hAnsi="Times New Roman" w:cs="Times New Roman"/>
          <w:b/>
          <w:sz w:val="24"/>
          <w:szCs w:val="24"/>
        </w:rPr>
        <w:tab/>
      </w:r>
      <w:r w:rsidR="002107E8">
        <w:rPr>
          <w:rFonts w:ascii="Times New Roman" w:hAnsi="Times New Roman" w:cs="Times New Roman"/>
          <w:b/>
          <w:sz w:val="24"/>
          <w:szCs w:val="24"/>
        </w:rPr>
        <w:t>Colstrip 1&amp;2 Dedication Fee Amortization</w:t>
      </w:r>
    </w:p>
    <w:p w:rsidR="00DB4FCC" w:rsidRPr="00364B31" w:rsidRDefault="00364B31" w:rsidP="00364B31">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26B8C" w:rsidRPr="00364B31">
        <w:rPr>
          <w:rFonts w:ascii="Times New Roman" w:hAnsi="Times New Roman"/>
          <w:sz w:val="24"/>
          <w:szCs w:val="24"/>
        </w:rPr>
        <w:t>The issue concern</w:t>
      </w:r>
      <w:r w:rsidR="007A32DE" w:rsidRPr="00364B31">
        <w:rPr>
          <w:rFonts w:ascii="Times New Roman" w:hAnsi="Times New Roman"/>
          <w:sz w:val="24"/>
          <w:szCs w:val="24"/>
        </w:rPr>
        <w:t>s the amortization period of a</w:t>
      </w:r>
      <w:r w:rsidR="00426B8C" w:rsidRPr="00364B31">
        <w:rPr>
          <w:rFonts w:ascii="Times New Roman" w:hAnsi="Times New Roman"/>
          <w:sz w:val="24"/>
          <w:szCs w:val="24"/>
        </w:rPr>
        <w:t xml:space="preserve"> $5 million dedication fee paid to t</w:t>
      </w:r>
      <w:r w:rsidR="00DE1609">
        <w:rPr>
          <w:rFonts w:ascii="Times New Roman" w:hAnsi="Times New Roman"/>
          <w:sz w:val="24"/>
          <w:szCs w:val="24"/>
        </w:rPr>
        <w:t>he coal supplier at the time a</w:t>
      </w:r>
      <w:r w:rsidR="00426B8C" w:rsidRPr="00364B31">
        <w:rPr>
          <w:rFonts w:ascii="Times New Roman" w:hAnsi="Times New Roman"/>
          <w:sz w:val="24"/>
          <w:szCs w:val="24"/>
        </w:rPr>
        <w:t xml:space="preserve"> 2007 co</w:t>
      </w:r>
      <w:r w:rsidR="00C35118">
        <w:rPr>
          <w:rFonts w:ascii="Times New Roman" w:hAnsi="Times New Roman"/>
          <w:sz w:val="24"/>
          <w:szCs w:val="24"/>
        </w:rPr>
        <w:t xml:space="preserve">al purchase and sale agreement </w:t>
      </w:r>
      <w:r w:rsidR="00DE1609">
        <w:rPr>
          <w:rFonts w:ascii="Times New Roman" w:hAnsi="Times New Roman"/>
          <w:sz w:val="24"/>
          <w:szCs w:val="24"/>
        </w:rPr>
        <w:t>was enter</w:t>
      </w:r>
      <w:r w:rsidR="00426B8C" w:rsidRPr="00364B31">
        <w:rPr>
          <w:rFonts w:ascii="Times New Roman" w:hAnsi="Times New Roman"/>
          <w:sz w:val="24"/>
          <w:szCs w:val="24"/>
        </w:rPr>
        <w:t>e</w:t>
      </w:r>
      <w:r w:rsidR="007A32DE" w:rsidRPr="00364B31">
        <w:rPr>
          <w:rFonts w:ascii="Times New Roman" w:hAnsi="Times New Roman"/>
          <w:sz w:val="24"/>
          <w:szCs w:val="24"/>
        </w:rPr>
        <w:t>d</w:t>
      </w:r>
      <w:r w:rsidR="00DE1609">
        <w:rPr>
          <w:rFonts w:ascii="Times New Roman" w:hAnsi="Times New Roman"/>
          <w:sz w:val="24"/>
          <w:szCs w:val="24"/>
        </w:rPr>
        <w:t xml:space="preserve"> by PSE, PPL Montana LLC and Western Energy Company</w:t>
      </w:r>
      <w:r w:rsidR="009F154C">
        <w:rPr>
          <w:rFonts w:ascii="Times New Roman" w:hAnsi="Times New Roman"/>
          <w:sz w:val="24"/>
          <w:szCs w:val="24"/>
        </w:rPr>
        <w:t>.</w:t>
      </w:r>
      <w:r w:rsidR="00426B8C" w:rsidRPr="00364B31">
        <w:rPr>
          <w:rFonts w:ascii="Times New Roman" w:hAnsi="Times New Roman"/>
          <w:sz w:val="24"/>
          <w:szCs w:val="24"/>
        </w:rPr>
        <w:t xml:space="preserve">  PSE a</w:t>
      </w:r>
      <w:r w:rsidR="00DE1609">
        <w:rPr>
          <w:rFonts w:ascii="Times New Roman" w:hAnsi="Times New Roman"/>
          <w:sz w:val="24"/>
          <w:szCs w:val="24"/>
        </w:rPr>
        <w:t>mortizes the</w:t>
      </w:r>
      <w:r w:rsidR="00426B8C" w:rsidRPr="00364B31">
        <w:rPr>
          <w:rFonts w:ascii="Times New Roman" w:hAnsi="Times New Roman"/>
          <w:sz w:val="24"/>
          <w:szCs w:val="24"/>
        </w:rPr>
        <w:t xml:space="preserve"> payment over nine years beginning January </w:t>
      </w:r>
      <w:r w:rsidR="005019EC" w:rsidRPr="00364B31">
        <w:rPr>
          <w:rFonts w:ascii="Times New Roman" w:hAnsi="Times New Roman"/>
          <w:sz w:val="24"/>
          <w:szCs w:val="24"/>
        </w:rPr>
        <w:t xml:space="preserve">1, </w:t>
      </w:r>
      <w:r w:rsidR="00426B8C" w:rsidRPr="00364B31">
        <w:rPr>
          <w:rFonts w:ascii="Times New Roman" w:hAnsi="Times New Roman"/>
          <w:sz w:val="24"/>
          <w:szCs w:val="24"/>
        </w:rPr>
        <w:t>201</w:t>
      </w:r>
      <w:r w:rsidR="005019EC" w:rsidRPr="00364B31">
        <w:rPr>
          <w:rFonts w:ascii="Times New Roman" w:hAnsi="Times New Roman"/>
          <w:sz w:val="24"/>
          <w:szCs w:val="24"/>
        </w:rPr>
        <w:t>1,</w:t>
      </w:r>
      <w:r w:rsidR="007A32DE" w:rsidRPr="00364B31">
        <w:rPr>
          <w:rFonts w:ascii="Times New Roman" w:hAnsi="Times New Roman"/>
          <w:sz w:val="24"/>
          <w:szCs w:val="24"/>
        </w:rPr>
        <w:t xml:space="preserve"> arguing that </w:t>
      </w:r>
      <w:r w:rsidR="00DE1609">
        <w:rPr>
          <w:rFonts w:ascii="Times New Roman" w:hAnsi="Times New Roman"/>
          <w:sz w:val="24"/>
          <w:szCs w:val="24"/>
        </w:rPr>
        <w:t xml:space="preserve">the dedication fee </w:t>
      </w:r>
      <w:r w:rsidR="007A32DE" w:rsidRPr="00364B31">
        <w:rPr>
          <w:rFonts w:ascii="Times New Roman" w:hAnsi="Times New Roman"/>
          <w:sz w:val="24"/>
          <w:szCs w:val="24"/>
        </w:rPr>
        <w:t xml:space="preserve">relates to coal sales </w:t>
      </w:r>
      <w:r w:rsidR="00C1664F" w:rsidRPr="00364B31">
        <w:rPr>
          <w:rFonts w:ascii="Times New Roman" w:hAnsi="Times New Roman"/>
          <w:sz w:val="24"/>
          <w:szCs w:val="24"/>
        </w:rPr>
        <w:t xml:space="preserve">on </w:t>
      </w:r>
      <w:r w:rsidR="005019EC" w:rsidRPr="00364B31">
        <w:rPr>
          <w:rFonts w:ascii="Times New Roman" w:hAnsi="Times New Roman"/>
          <w:sz w:val="24"/>
          <w:szCs w:val="24"/>
        </w:rPr>
        <w:t>and after that date</w:t>
      </w:r>
      <w:r w:rsidR="00C1664F" w:rsidRPr="00364B31">
        <w:rPr>
          <w:rFonts w:ascii="Times New Roman" w:hAnsi="Times New Roman"/>
          <w:sz w:val="24"/>
          <w:szCs w:val="24"/>
        </w:rPr>
        <w:t>.</w:t>
      </w:r>
      <w:r w:rsidR="00426B8C" w:rsidRPr="00C1664F">
        <w:rPr>
          <w:rStyle w:val="FootnoteReference"/>
          <w:rFonts w:ascii="Times New Roman" w:hAnsi="Times New Roman"/>
          <w:sz w:val="24"/>
          <w:szCs w:val="24"/>
        </w:rPr>
        <w:footnoteReference w:id="229"/>
      </w:r>
      <w:r w:rsidR="00426B8C" w:rsidRPr="00364B31">
        <w:rPr>
          <w:rFonts w:ascii="Times New Roman" w:hAnsi="Times New Roman"/>
          <w:sz w:val="24"/>
          <w:szCs w:val="24"/>
        </w:rPr>
        <w:t xml:space="preserve">  </w:t>
      </w:r>
    </w:p>
    <w:p w:rsidR="005019EC" w:rsidRDefault="00364B31" w:rsidP="00364B31">
      <w:pPr>
        <w:pStyle w:val="BodyTextIndent"/>
        <w:numPr>
          <w:ilvl w:val="0"/>
          <w:numId w:val="1"/>
        </w:numPr>
      </w:pPr>
      <w:r>
        <w:tab/>
      </w:r>
      <w:r w:rsidR="005019EC">
        <w:t>However, the contract became effective on January 1, 2</w:t>
      </w:r>
      <w:r w:rsidR="002F3539">
        <w:t>010.  Coal deliveries started then</w:t>
      </w:r>
      <w:r w:rsidR="005019EC">
        <w:t xml:space="preserve"> and continue through December 31, 2019, the earliest contract termination date.  Thus,</w:t>
      </w:r>
      <w:r w:rsidR="009F154C">
        <w:t xml:space="preserve"> Staff </w:t>
      </w:r>
      <w:r w:rsidR="00E21D90">
        <w:t>applies a ten-year amortization schedule because ten years</w:t>
      </w:r>
      <w:r w:rsidR="005019EC">
        <w:t xml:space="preserve"> is the life of the contract.  In doing so, S</w:t>
      </w:r>
      <w:r w:rsidR="009F154C">
        <w:t xml:space="preserve">taff </w:t>
      </w:r>
      <w:r w:rsidR="005019EC">
        <w:t>matches exactly the period of commitment by the parties to the agreement and the period over which ratepayers receive benefits.</w:t>
      </w:r>
      <w:r w:rsidR="00803FFA">
        <w:rPr>
          <w:rStyle w:val="FootnoteReference"/>
        </w:rPr>
        <w:footnoteReference w:id="230"/>
      </w:r>
    </w:p>
    <w:p w:rsidR="005019EC" w:rsidRPr="00C1664F" w:rsidRDefault="00364B31" w:rsidP="00364B31">
      <w:pPr>
        <w:pStyle w:val="BodyTextIndent"/>
        <w:numPr>
          <w:ilvl w:val="0"/>
          <w:numId w:val="1"/>
        </w:numPr>
      </w:pPr>
      <w:r>
        <w:tab/>
      </w:r>
      <w:r w:rsidR="005019EC">
        <w:t xml:space="preserve">Staff’s proposal is also consistent with other </w:t>
      </w:r>
      <w:r w:rsidR="009F154C">
        <w:t xml:space="preserve">approved </w:t>
      </w:r>
      <w:r w:rsidR="005019EC">
        <w:t>amortizati</w:t>
      </w:r>
      <w:r w:rsidR="009F154C">
        <w:t>ons</w:t>
      </w:r>
      <w:r w:rsidR="00ED65EE">
        <w:t>.</w:t>
      </w:r>
      <w:r w:rsidR="005019EC">
        <w:rPr>
          <w:rStyle w:val="FootnoteReference"/>
        </w:rPr>
        <w:footnoteReference w:id="231"/>
      </w:r>
      <w:r w:rsidR="005019EC">
        <w:t xml:space="preserve"> </w:t>
      </w:r>
      <w:r w:rsidR="00ED65EE">
        <w:t xml:space="preserve"> </w:t>
      </w:r>
      <w:r w:rsidR="007A32DE">
        <w:t xml:space="preserve">For example, </w:t>
      </w:r>
      <w:r w:rsidR="005019EC">
        <w:t>West</w:t>
      </w:r>
      <w:r w:rsidR="00A25B57">
        <w:t xml:space="preserve"> C</w:t>
      </w:r>
      <w:r w:rsidR="005019EC">
        <w:t xml:space="preserve">oast Pipeline Capacity regulatory deferrals in Dockets UE-082013 and UE-100503 </w:t>
      </w:r>
      <w:r w:rsidR="007A32DE">
        <w:t xml:space="preserve">were </w:t>
      </w:r>
      <w:r w:rsidR="005019EC">
        <w:t>amortize</w:t>
      </w:r>
      <w:r w:rsidR="007A32DE">
        <w:t>d</w:t>
      </w:r>
      <w:r w:rsidR="005019EC">
        <w:t xml:space="preserve"> o</w:t>
      </w:r>
      <w:r w:rsidR="007A32DE">
        <w:t xml:space="preserve">ver the lives of the </w:t>
      </w:r>
      <w:r w:rsidR="005019EC">
        <w:t>contracts.  In</w:t>
      </w:r>
      <w:r w:rsidR="007A32DE">
        <w:t xml:space="preserve"> the current case, PSE uses the </w:t>
      </w:r>
      <w:r w:rsidR="005019EC">
        <w:t xml:space="preserve">contract life to amortize the Chelan PUD capacity reservation payment in Adjustment 13.09.  There is no reason not to use a similar methodology for the </w:t>
      </w:r>
      <w:r w:rsidR="005019EC" w:rsidRPr="00896EC2">
        <w:t xml:space="preserve">Colstrip </w:t>
      </w:r>
      <w:r w:rsidR="007A32DE">
        <w:t>dedication fee</w:t>
      </w:r>
      <w:r w:rsidR="005019EC" w:rsidRPr="007340A1">
        <w:t>.</w:t>
      </w:r>
    </w:p>
    <w:p w:rsidR="00DB4FCC" w:rsidRDefault="00DB4FCC" w:rsidP="00DB4FCC">
      <w:pPr>
        <w:spacing w:after="0" w:line="240" w:lineRule="auto"/>
        <w:ind w:left="2880" w:hanging="720"/>
        <w:rPr>
          <w:rFonts w:ascii="Times New Roman" w:hAnsi="Times New Roman" w:cs="Times New Roman"/>
          <w:b/>
          <w:sz w:val="24"/>
          <w:szCs w:val="24"/>
        </w:rPr>
      </w:pPr>
      <w:r w:rsidRPr="00DB4FCC">
        <w:rPr>
          <w:rFonts w:ascii="Times New Roman" w:hAnsi="Times New Roman" w:cs="Times New Roman"/>
          <w:b/>
          <w:sz w:val="24"/>
          <w:szCs w:val="24"/>
        </w:rPr>
        <w:lastRenderedPageBreak/>
        <w:t>ii.</w:t>
      </w:r>
      <w:r w:rsidRPr="00DB4FCC">
        <w:rPr>
          <w:rFonts w:ascii="Times New Roman" w:hAnsi="Times New Roman" w:cs="Times New Roman"/>
          <w:b/>
          <w:sz w:val="24"/>
          <w:szCs w:val="24"/>
        </w:rPr>
        <w:tab/>
      </w:r>
      <w:r w:rsidR="00316884">
        <w:rPr>
          <w:rFonts w:ascii="Times New Roman" w:hAnsi="Times New Roman" w:cs="Times New Roman"/>
          <w:b/>
          <w:sz w:val="24"/>
          <w:szCs w:val="24"/>
        </w:rPr>
        <w:t xml:space="preserve">Contract </w:t>
      </w:r>
      <w:r w:rsidR="00316884" w:rsidRPr="00DB4FCC">
        <w:rPr>
          <w:rFonts w:ascii="Times New Roman" w:hAnsi="Times New Roman" w:cs="Times New Roman"/>
          <w:b/>
          <w:sz w:val="24"/>
          <w:szCs w:val="24"/>
        </w:rPr>
        <w:t>Ma</w:t>
      </w:r>
      <w:r w:rsidR="00316884">
        <w:rPr>
          <w:rFonts w:ascii="Times New Roman" w:hAnsi="Times New Roman" w:cs="Times New Roman"/>
          <w:b/>
          <w:sz w:val="24"/>
          <w:szCs w:val="24"/>
        </w:rPr>
        <w:t>jor Maintenance Amortization</w:t>
      </w:r>
    </w:p>
    <w:p w:rsidR="00A76A3B" w:rsidRDefault="00A76A3B" w:rsidP="00A76A3B">
      <w:pPr>
        <w:spacing w:after="0" w:line="240" w:lineRule="auto"/>
        <w:rPr>
          <w:rFonts w:ascii="Times New Roman" w:hAnsi="Times New Roman" w:cs="Times New Roman"/>
          <w:b/>
          <w:sz w:val="24"/>
          <w:szCs w:val="24"/>
        </w:rPr>
      </w:pPr>
    </w:p>
    <w:p w:rsidR="00C07345" w:rsidRDefault="00364B31" w:rsidP="00364B31">
      <w:pPr>
        <w:pStyle w:val="BodyTextIndent"/>
        <w:numPr>
          <w:ilvl w:val="0"/>
          <w:numId w:val="1"/>
        </w:numPr>
      </w:pPr>
      <w:r>
        <w:tab/>
      </w:r>
      <w:r w:rsidR="00A76A3B" w:rsidRPr="00A76A3B">
        <w:t>T</w:t>
      </w:r>
      <w:r w:rsidR="00A76A3B" w:rsidRPr="00A76A3B">
        <w:rPr>
          <w:rFonts w:eastAsia="SimSun"/>
          <w:lang w:eastAsia="zh-CN"/>
        </w:rPr>
        <w:t>he Company includes amortization and deferrals of major maintenance associated with Long Term Service Agreements (“LTSA”) and Contract Service Agreements (“CSA”) at their test year amounts</w:t>
      </w:r>
      <w:r w:rsidR="009F154C">
        <w:rPr>
          <w:rFonts w:eastAsia="SimSun"/>
          <w:lang w:eastAsia="zh-CN"/>
        </w:rPr>
        <w:t>,</w:t>
      </w:r>
      <w:r w:rsidR="00A76A3B" w:rsidRPr="00A76A3B">
        <w:rPr>
          <w:rFonts w:eastAsia="SimSun"/>
          <w:lang w:eastAsia="zh-CN"/>
        </w:rPr>
        <w:t xml:space="preserve"> with </w:t>
      </w:r>
      <w:r w:rsidR="00803FFA">
        <w:rPr>
          <w:rFonts w:eastAsia="SimSun"/>
          <w:lang w:eastAsia="zh-CN"/>
        </w:rPr>
        <w:t xml:space="preserve">their </w:t>
      </w:r>
      <w:r w:rsidR="00A76A3B" w:rsidRPr="00A76A3B">
        <w:rPr>
          <w:rFonts w:eastAsia="SimSun"/>
          <w:lang w:eastAsia="zh-CN"/>
        </w:rPr>
        <w:t xml:space="preserve">inclusion in the </w:t>
      </w:r>
      <w:r w:rsidR="00A76A3B">
        <w:rPr>
          <w:rFonts w:eastAsia="SimSun"/>
          <w:lang w:eastAsia="zh-CN"/>
        </w:rPr>
        <w:t xml:space="preserve">PCA </w:t>
      </w:r>
      <w:r w:rsidR="00A76A3B" w:rsidRPr="00A76A3B">
        <w:rPr>
          <w:rFonts w:eastAsia="SimSun"/>
          <w:lang w:eastAsia="zh-CN"/>
        </w:rPr>
        <w:t>baseline rate as a variable cost.</w:t>
      </w:r>
      <w:r w:rsidR="0057374D">
        <w:rPr>
          <w:rStyle w:val="FootnoteReference"/>
          <w:rFonts w:eastAsia="SimSun"/>
          <w:lang w:eastAsia="zh-CN"/>
        </w:rPr>
        <w:footnoteReference w:id="232"/>
      </w:r>
      <w:r w:rsidR="00C07345" w:rsidRPr="00C07345">
        <w:t xml:space="preserve"> </w:t>
      </w:r>
      <w:r w:rsidR="00C07345">
        <w:t xml:space="preserve"> On a prospectiv</w:t>
      </w:r>
      <w:r w:rsidR="006F0BAB">
        <w:t xml:space="preserve">e basis, the costs </w:t>
      </w:r>
      <w:r w:rsidR="007A32DE">
        <w:t>of new major maintenance</w:t>
      </w:r>
      <w:r w:rsidR="00C07345">
        <w:t>, as regulatory assets, will be added in the period that they occurred and will be amortized until the next major maintenance.</w:t>
      </w:r>
    </w:p>
    <w:p w:rsidR="00C07345" w:rsidRDefault="00364B31" w:rsidP="00364B31">
      <w:pPr>
        <w:pStyle w:val="BodyTextIndent"/>
        <w:numPr>
          <w:ilvl w:val="0"/>
          <w:numId w:val="1"/>
        </w:numPr>
      </w:pPr>
      <w:r>
        <w:tab/>
      </w:r>
      <w:r w:rsidR="00BE57D8">
        <w:t xml:space="preserve">PSE’s proposal </w:t>
      </w:r>
      <w:r w:rsidR="00C07345">
        <w:t xml:space="preserve">departs from the agreed treatment </w:t>
      </w:r>
      <w:r w:rsidR="006F0BAB">
        <w:t>in</w:t>
      </w:r>
      <w:r w:rsidR="007A32DE">
        <w:t xml:space="preserve"> the PCA, under which</w:t>
      </w:r>
      <w:r w:rsidR="00C07345">
        <w:t xml:space="preserve"> the amortization expenses and balances of regulatory assets and li</w:t>
      </w:r>
      <w:r w:rsidR="007A32DE">
        <w:t xml:space="preserve">abilities are adjusted to </w:t>
      </w:r>
      <w:r w:rsidR="00C07345">
        <w:t>rate y</w:t>
      </w:r>
      <w:r w:rsidR="00FC4A70">
        <w:t xml:space="preserve">ear amounts </w:t>
      </w:r>
      <w:r w:rsidR="00C07345">
        <w:t>c</w:t>
      </w:r>
      <w:r w:rsidR="007A32DE">
        <w:t xml:space="preserve">onsistent with other power cost </w:t>
      </w:r>
      <w:r w:rsidR="00C07345">
        <w:t>expenses and rate base.</w:t>
      </w:r>
      <w:r w:rsidR="00C07345">
        <w:rPr>
          <w:rStyle w:val="FootnoteReference"/>
        </w:rPr>
        <w:footnoteReference w:id="233"/>
      </w:r>
      <w:r w:rsidR="00C07345">
        <w:t xml:space="preserve">  Therefore, Staff recommends that the costs of </w:t>
      </w:r>
      <w:r w:rsidR="00C07345" w:rsidRPr="00C07345">
        <w:t xml:space="preserve">major maintenance under an LTSA or CSA </w:t>
      </w:r>
      <w:r w:rsidR="00C07345">
        <w:t xml:space="preserve">should be treated </w:t>
      </w:r>
      <w:r w:rsidR="007A32DE">
        <w:t>similarly:</w:t>
      </w:r>
      <w:r w:rsidR="00C07345">
        <w:t xml:space="preserve">  rate year expenses and balances should be used for ratemaking purposes.</w:t>
      </w:r>
    </w:p>
    <w:p w:rsidR="006F0BAB" w:rsidRDefault="00364B31" w:rsidP="00364B31">
      <w:pPr>
        <w:pStyle w:val="BodyTextIndent"/>
        <w:numPr>
          <w:ilvl w:val="0"/>
          <w:numId w:val="1"/>
        </w:numPr>
      </w:pPr>
      <w:r>
        <w:tab/>
      </w:r>
      <w:r w:rsidR="00803FFA">
        <w:t xml:space="preserve">PSE claims </w:t>
      </w:r>
      <w:r w:rsidR="006F0BAB">
        <w:t xml:space="preserve">Staff’s proposal </w:t>
      </w:r>
      <w:r w:rsidR="00E538BA">
        <w:t xml:space="preserve">makes it unlikely the Company </w:t>
      </w:r>
      <w:r w:rsidR="00BE57D8">
        <w:t xml:space="preserve">will </w:t>
      </w:r>
      <w:r w:rsidR="006F0BAB">
        <w:t>recover its costs that are being amortized over two years</w:t>
      </w:r>
      <w:r w:rsidR="00E538BA">
        <w:t>.</w:t>
      </w:r>
      <w:r w:rsidR="00E538BA">
        <w:rPr>
          <w:rStyle w:val="FootnoteReference"/>
        </w:rPr>
        <w:footnoteReference w:id="234"/>
      </w:r>
      <w:r w:rsidR="00E538BA">
        <w:t xml:space="preserve">  The Company</w:t>
      </w:r>
      <w:r w:rsidR="00E538BA" w:rsidRPr="00E538BA">
        <w:t xml:space="preserve"> </w:t>
      </w:r>
      <w:r w:rsidR="00E538BA">
        <w:t xml:space="preserve">supports this contention only with a theoretical discussion about </w:t>
      </w:r>
      <w:r w:rsidR="00ED65EE">
        <w:t xml:space="preserve">the </w:t>
      </w:r>
      <w:r w:rsidR="00E538BA">
        <w:t>length of adjudicative proceedings.</w:t>
      </w:r>
      <w:r w:rsidR="007A32DE">
        <w:t xml:space="preserve">  No </w:t>
      </w:r>
      <w:r w:rsidR="004A2F54">
        <w:t>anal</w:t>
      </w:r>
      <w:r w:rsidR="007A32DE">
        <w:t xml:space="preserve">ysis was provided </w:t>
      </w:r>
      <w:r w:rsidR="009E3A24">
        <w:t>show</w:t>
      </w:r>
      <w:r w:rsidR="007A32DE">
        <w:t>ing</w:t>
      </w:r>
      <w:r w:rsidR="009E3A24">
        <w:t xml:space="preserve"> </w:t>
      </w:r>
      <w:r w:rsidR="004A2F54">
        <w:t xml:space="preserve">that the PCA does not operate </w:t>
      </w:r>
      <w:r w:rsidR="009E3A24">
        <w:t xml:space="preserve">appropriately </w:t>
      </w:r>
      <w:r w:rsidR="004A2F54">
        <w:t>with respect to all production-related regulatory assets and liabilities.</w:t>
      </w:r>
      <w:r w:rsidR="00FC4A70">
        <w:t xml:space="preserve">  Modifying</w:t>
      </w:r>
      <w:r w:rsidR="009E3A24">
        <w:t xml:space="preserve"> </w:t>
      </w:r>
      <w:r w:rsidR="00FC4A70">
        <w:t>the PCA, as the Company proposes, will introduce uncertain costs and create inconsistency with the existing regulatory assets and liabilities.</w:t>
      </w:r>
    </w:p>
    <w:p w:rsidR="004A2F54" w:rsidRDefault="00364B31" w:rsidP="00364B31">
      <w:pPr>
        <w:pStyle w:val="Answer-Testimony"/>
        <w:numPr>
          <w:ilvl w:val="0"/>
          <w:numId w:val="1"/>
        </w:numPr>
      </w:pPr>
      <w:r>
        <w:tab/>
      </w:r>
      <w:r w:rsidR="00BE57D8">
        <w:t xml:space="preserve">PSE agrees </w:t>
      </w:r>
      <w:r w:rsidR="004A2F54">
        <w:t>that the majority of the test year amounts will be fully amortized by the rate year,</w:t>
      </w:r>
      <w:r w:rsidR="007A32DE">
        <w:t xml:space="preserve"> but </w:t>
      </w:r>
      <w:r w:rsidR="009E3A24">
        <w:t>downplay</w:t>
      </w:r>
      <w:r w:rsidR="007A32DE">
        <w:t xml:space="preserve">s this fact by assuming </w:t>
      </w:r>
      <w:r w:rsidR="004A2F54">
        <w:t>there will be other maintenance ev</w:t>
      </w:r>
      <w:r w:rsidR="00BE57D8">
        <w:t xml:space="preserve">ents with costs that </w:t>
      </w:r>
      <w:r w:rsidR="00BE57D8">
        <w:lastRenderedPageBreak/>
        <w:t xml:space="preserve">mirror </w:t>
      </w:r>
      <w:r w:rsidR="004A2F54">
        <w:t>test year costs.</w:t>
      </w:r>
      <w:r w:rsidR="004A2F54">
        <w:rPr>
          <w:rStyle w:val="FootnoteReference"/>
        </w:rPr>
        <w:footnoteReference w:id="235"/>
      </w:r>
      <w:r w:rsidR="004A2F54">
        <w:t xml:space="preserve">  However, no proof was offered either that test year </w:t>
      </w:r>
      <w:r w:rsidR="009E3A24">
        <w:t>costs will</w:t>
      </w:r>
      <w:r w:rsidR="004A2F54">
        <w:t xml:space="preserve"> replicate the costs</w:t>
      </w:r>
      <w:r w:rsidR="00BE57D8">
        <w:t xml:space="preserve"> of subsequent maintenance </w:t>
      </w:r>
      <w:r w:rsidR="004A2F54">
        <w:t>or that inter</w:t>
      </w:r>
      <w:r w:rsidR="00BE57D8">
        <w:t xml:space="preserve">vals between maintenance </w:t>
      </w:r>
      <w:r w:rsidR="004A2F54">
        <w:t>are certain.  In fact,</w:t>
      </w:r>
      <w:r w:rsidR="00BE57D8">
        <w:t xml:space="preserve"> </w:t>
      </w:r>
      <w:r w:rsidR="00867F5D">
        <w:t xml:space="preserve">inspection, </w:t>
      </w:r>
      <w:r w:rsidR="004A2F54">
        <w:t>repair or replacement of key compo</w:t>
      </w:r>
      <w:r w:rsidR="00BE57D8">
        <w:t>nents of combustion turbine</w:t>
      </w:r>
      <w:r w:rsidR="00867F5D">
        <w:t xml:space="preserve">s </w:t>
      </w:r>
      <w:r w:rsidR="00E21D90">
        <w:t>varies</w:t>
      </w:r>
      <w:r w:rsidR="009E3A24">
        <w:t xml:space="preserve"> in </w:t>
      </w:r>
      <w:r w:rsidR="00BE57D8">
        <w:t xml:space="preserve">interval because the </w:t>
      </w:r>
      <w:r w:rsidR="004A2F54">
        <w:t>time between inspections depends on the numbe</w:t>
      </w:r>
      <w:r w:rsidR="00BE57D8">
        <w:t xml:space="preserve">r of starts and </w:t>
      </w:r>
      <w:r w:rsidR="004A2F54">
        <w:t>operating hours.</w:t>
      </w:r>
      <w:r w:rsidR="00FC4A70">
        <w:rPr>
          <w:rStyle w:val="FootnoteReference"/>
        </w:rPr>
        <w:footnoteReference w:id="236"/>
      </w:r>
      <w:r w:rsidR="004A2F54">
        <w:t xml:space="preserve"> </w:t>
      </w:r>
    </w:p>
    <w:p w:rsidR="00DB4FCC" w:rsidRDefault="00364B31" w:rsidP="00364B31">
      <w:pPr>
        <w:pStyle w:val="Answer-Testimony"/>
        <w:numPr>
          <w:ilvl w:val="0"/>
          <w:numId w:val="1"/>
        </w:numPr>
        <w:rPr>
          <w:b/>
        </w:rPr>
      </w:pPr>
      <w:r>
        <w:tab/>
      </w:r>
      <w:r w:rsidR="009E3A24">
        <w:t xml:space="preserve">Finally, the Commission should reject PSE’s proposal </w:t>
      </w:r>
      <w:r w:rsidR="00867F5D">
        <w:t>that new major maintenance</w:t>
      </w:r>
      <w:r w:rsidR="009E3A24">
        <w:t xml:space="preserve"> should be added as regulatory assets once completed.  This </w:t>
      </w:r>
      <w:r w:rsidR="0091287B">
        <w:t>proposal implies that PSE has</w:t>
      </w:r>
      <w:r w:rsidR="009E3A24">
        <w:t xml:space="preserve"> blanket authority to </w:t>
      </w:r>
      <w:r w:rsidR="0091287B">
        <w:t>designate as a regulatory asset the in-between-rate case deferred costs of major</w:t>
      </w:r>
      <w:r w:rsidR="00BE57D8">
        <w:t xml:space="preserve"> maintenance</w:t>
      </w:r>
      <w:r w:rsidR="0091287B">
        <w:t>.  To the contrary, l</w:t>
      </w:r>
      <w:r w:rsidR="00E21D90">
        <w:t>ike any other regulatory asset and liability</w:t>
      </w:r>
      <w:r w:rsidR="009E3A24">
        <w:t xml:space="preserve">, </w:t>
      </w:r>
      <w:r w:rsidR="0091287B">
        <w:t xml:space="preserve">deferred costs of major maintenance should first receive Commission </w:t>
      </w:r>
      <w:r w:rsidR="009E3A24">
        <w:t>a</w:t>
      </w:r>
      <w:r w:rsidR="0091287B">
        <w:t>pproval for designation as a regulatory asset</w:t>
      </w:r>
      <w:r w:rsidR="009E3A24">
        <w:t xml:space="preserve"> in a general rate case or similar proceeding. </w:t>
      </w:r>
      <w:r w:rsidR="0091287B">
        <w:t xml:space="preserve"> </w:t>
      </w:r>
      <w:r w:rsidR="009E3A24">
        <w:t>Outside of a rate case, the defer</w:t>
      </w:r>
      <w:r w:rsidR="0091287B">
        <w:t xml:space="preserve">ral methodology pursuant to Generally Accepted Accounting Principles </w:t>
      </w:r>
      <w:r w:rsidR="009F154C">
        <w:t xml:space="preserve">(“GAAP”) </w:t>
      </w:r>
      <w:r w:rsidR="0091287B">
        <w:t>applies</w:t>
      </w:r>
      <w:r w:rsidR="009E3A24">
        <w:t>.</w:t>
      </w:r>
      <w:r w:rsidR="0091287B">
        <w:rPr>
          <w:rStyle w:val="FootnoteReference"/>
        </w:rPr>
        <w:footnoteReference w:id="237"/>
      </w:r>
    </w:p>
    <w:p w:rsidR="00DB4FCC" w:rsidRDefault="00DB4FCC" w:rsidP="00553850">
      <w:pPr>
        <w:keepNext/>
        <w:spacing w:after="0" w:line="480" w:lineRule="auto"/>
        <w:ind w:left="2880" w:hanging="720"/>
        <w:rPr>
          <w:rFonts w:ascii="Times New Roman" w:hAnsi="Times New Roman" w:cs="Times New Roman"/>
          <w:b/>
          <w:sz w:val="24"/>
          <w:szCs w:val="24"/>
        </w:rPr>
      </w:pPr>
      <w:r w:rsidRPr="00DB4FCC">
        <w:rPr>
          <w:rFonts w:ascii="Times New Roman" w:hAnsi="Times New Roman" w:cs="Times New Roman"/>
          <w:b/>
          <w:sz w:val="24"/>
          <w:szCs w:val="24"/>
        </w:rPr>
        <w:t>iii.</w:t>
      </w:r>
      <w:r w:rsidRPr="00DB4FCC">
        <w:rPr>
          <w:rFonts w:ascii="Times New Roman" w:hAnsi="Times New Roman" w:cs="Times New Roman"/>
          <w:b/>
          <w:sz w:val="24"/>
          <w:szCs w:val="24"/>
        </w:rPr>
        <w:tab/>
        <w:t>LSR Deferred Costs</w:t>
      </w:r>
    </w:p>
    <w:p w:rsidR="00E00EAC" w:rsidRPr="00364B31" w:rsidRDefault="00364B31" w:rsidP="00364B31">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6942E3" w:rsidRPr="00364B31">
        <w:rPr>
          <w:rFonts w:ascii="Times New Roman" w:hAnsi="Times New Roman"/>
          <w:sz w:val="24"/>
          <w:szCs w:val="24"/>
        </w:rPr>
        <w:t xml:space="preserve">This Staff adjustment </w:t>
      </w:r>
      <w:r w:rsidR="00E00EAC" w:rsidRPr="00364B31">
        <w:rPr>
          <w:rFonts w:ascii="Times New Roman" w:hAnsi="Times New Roman"/>
          <w:sz w:val="24"/>
          <w:szCs w:val="24"/>
        </w:rPr>
        <w:t xml:space="preserve">amortizes over four years </w:t>
      </w:r>
      <w:r w:rsidR="006942E3" w:rsidRPr="00364B31">
        <w:rPr>
          <w:rFonts w:ascii="Times New Roman" w:hAnsi="Times New Roman"/>
          <w:sz w:val="24"/>
          <w:szCs w:val="24"/>
        </w:rPr>
        <w:t>the estimated rate year expense and net rate base amount for deferred c</w:t>
      </w:r>
      <w:r w:rsidR="00F91EED" w:rsidRPr="00364B31">
        <w:rPr>
          <w:rFonts w:ascii="Times New Roman" w:hAnsi="Times New Roman"/>
          <w:sz w:val="24"/>
          <w:szCs w:val="24"/>
        </w:rPr>
        <w:t xml:space="preserve">osts of </w:t>
      </w:r>
      <w:r w:rsidR="00450C95" w:rsidRPr="00364B31">
        <w:rPr>
          <w:rFonts w:ascii="Times New Roman" w:hAnsi="Times New Roman"/>
          <w:sz w:val="24"/>
          <w:szCs w:val="24"/>
        </w:rPr>
        <w:t>LSR</w:t>
      </w:r>
      <w:r w:rsidR="006942E3" w:rsidRPr="00364B31">
        <w:rPr>
          <w:rFonts w:ascii="Times New Roman" w:hAnsi="Times New Roman"/>
          <w:sz w:val="24"/>
          <w:szCs w:val="24"/>
        </w:rPr>
        <w:t xml:space="preserve">.  The costs of the project from the in-service date (February 29, 2012) to the date </w:t>
      </w:r>
      <w:r w:rsidR="00711D59" w:rsidRPr="00364B31">
        <w:rPr>
          <w:rFonts w:ascii="Times New Roman" w:hAnsi="Times New Roman"/>
          <w:sz w:val="24"/>
          <w:szCs w:val="24"/>
        </w:rPr>
        <w:t xml:space="preserve">the Commission’s order becomes effective </w:t>
      </w:r>
      <w:r w:rsidR="006942E3" w:rsidRPr="00364B31">
        <w:rPr>
          <w:rFonts w:ascii="Times New Roman" w:hAnsi="Times New Roman"/>
          <w:sz w:val="24"/>
          <w:szCs w:val="24"/>
        </w:rPr>
        <w:t xml:space="preserve">are </w:t>
      </w:r>
      <w:r w:rsidR="00993019">
        <w:rPr>
          <w:rFonts w:ascii="Times New Roman" w:hAnsi="Times New Roman"/>
          <w:sz w:val="24"/>
          <w:szCs w:val="24"/>
        </w:rPr>
        <w:t xml:space="preserve">being </w:t>
      </w:r>
      <w:r w:rsidR="006942E3" w:rsidRPr="00364B31">
        <w:rPr>
          <w:rFonts w:ascii="Times New Roman" w:hAnsi="Times New Roman"/>
          <w:sz w:val="24"/>
          <w:szCs w:val="24"/>
        </w:rPr>
        <w:t xml:space="preserve">deferred </w:t>
      </w:r>
      <w:r w:rsidR="00993019">
        <w:rPr>
          <w:rFonts w:ascii="Times New Roman" w:hAnsi="Times New Roman"/>
          <w:sz w:val="24"/>
          <w:szCs w:val="24"/>
        </w:rPr>
        <w:t>by authority of</w:t>
      </w:r>
      <w:r w:rsidR="006942E3" w:rsidRPr="00364B31">
        <w:rPr>
          <w:rFonts w:ascii="Times New Roman" w:hAnsi="Times New Roman"/>
          <w:sz w:val="24"/>
          <w:szCs w:val="24"/>
        </w:rPr>
        <w:t xml:space="preserve"> RCW 80.80.060(6).  Staff’s adjustment avoid</w:t>
      </w:r>
      <w:r w:rsidR="00E00EAC" w:rsidRPr="00364B31">
        <w:rPr>
          <w:rFonts w:ascii="Times New Roman" w:hAnsi="Times New Roman"/>
          <w:sz w:val="24"/>
          <w:szCs w:val="24"/>
        </w:rPr>
        <w:t>s</w:t>
      </w:r>
      <w:r w:rsidR="006942E3" w:rsidRPr="00364B31">
        <w:rPr>
          <w:rFonts w:ascii="Times New Roman" w:hAnsi="Times New Roman"/>
          <w:sz w:val="24"/>
          <w:szCs w:val="24"/>
        </w:rPr>
        <w:t xml:space="preserve"> further build-up of a regulatory asset than if the deferral occurs over the twenty-four month period other</w:t>
      </w:r>
      <w:r w:rsidR="00F91EED" w:rsidRPr="00364B31">
        <w:rPr>
          <w:rFonts w:ascii="Times New Roman" w:hAnsi="Times New Roman"/>
          <w:sz w:val="24"/>
          <w:szCs w:val="24"/>
        </w:rPr>
        <w:t>wise allowed by that provision</w:t>
      </w:r>
      <w:r w:rsidR="006942E3" w:rsidRPr="00364B31">
        <w:rPr>
          <w:rFonts w:ascii="Times New Roman" w:hAnsi="Times New Roman"/>
          <w:sz w:val="24"/>
          <w:szCs w:val="24"/>
        </w:rPr>
        <w:t>.</w:t>
      </w:r>
      <w:r w:rsidR="00450C95" w:rsidRPr="00F91EED">
        <w:rPr>
          <w:rStyle w:val="FootnoteReference"/>
          <w:rFonts w:ascii="Times New Roman" w:hAnsi="Times New Roman"/>
          <w:sz w:val="24"/>
          <w:szCs w:val="24"/>
        </w:rPr>
        <w:footnoteReference w:id="238"/>
      </w:r>
      <w:r w:rsidR="006942E3" w:rsidRPr="00364B31">
        <w:rPr>
          <w:rFonts w:ascii="Times New Roman" w:hAnsi="Times New Roman"/>
          <w:sz w:val="24"/>
          <w:szCs w:val="24"/>
        </w:rPr>
        <w:t xml:space="preserve">  Staff</w:t>
      </w:r>
      <w:r w:rsidR="00F91EED" w:rsidRPr="00364B31">
        <w:rPr>
          <w:rFonts w:ascii="Times New Roman" w:hAnsi="Times New Roman"/>
          <w:sz w:val="24"/>
          <w:szCs w:val="24"/>
        </w:rPr>
        <w:t xml:space="preserve">’s </w:t>
      </w:r>
      <w:r w:rsidR="00E00EAC" w:rsidRPr="00364B31">
        <w:rPr>
          <w:rFonts w:ascii="Times New Roman" w:hAnsi="Times New Roman"/>
          <w:sz w:val="24"/>
          <w:szCs w:val="24"/>
        </w:rPr>
        <w:t>ad</w:t>
      </w:r>
      <w:r w:rsidR="00F91EED" w:rsidRPr="00364B31">
        <w:rPr>
          <w:rFonts w:ascii="Times New Roman" w:hAnsi="Times New Roman"/>
          <w:sz w:val="24"/>
          <w:szCs w:val="24"/>
        </w:rPr>
        <w:t xml:space="preserve">justment uses </w:t>
      </w:r>
      <w:r w:rsidR="00E00EAC" w:rsidRPr="00364B31">
        <w:rPr>
          <w:rFonts w:ascii="Times New Roman" w:hAnsi="Times New Roman"/>
          <w:sz w:val="24"/>
          <w:szCs w:val="24"/>
        </w:rPr>
        <w:t>estimates provided by PSE</w:t>
      </w:r>
      <w:r w:rsidR="00F91EED" w:rsidRPr="00364B31">
        <w:rPr>
          <w:rFonts w:ascii="Times New Roman" w:hAnsi="Times New Roman"/>
          <w:sz w:val="24"/>
          <w:szCs w:val="24"/>
        </w:rPr>
        <w:t xml:space="preserve">, </w:t>
      </w:r>
      <w:r w:rsidR="00E21D90">
        <w:rPr>
          <w:rFonts w:ascii="Times New Roman" w:hAnsi="Times New Roman"/>
          <w:sz w:val="24"/>
          <w:szCs w:val="24"/>
        </w:rPr>
        <w:t>excluding</w:t>
      </w:r>
      <w:r w:rsidR="00450C95" w:rsidRPr="00364B31">
        <w:rPr>
          <w:rFonts w:ascii="Times New Roman" w:hAnsi="Times New Roman"/>
          <w:sz w:val="24"/>
          <w:szCs w:val="24"/>
        </w:rPr>
        <w:t xml:space="preserve"> </w:t>
      </w:r>
      <w:r w:rsidR="00E00EAC" w:rsidRPr="00364B31">
        <w:rPr>
          <w:rFonts w:ascii="Times New Roman" w:hAnsi="Times New Roman"/>
          <w:sz w:val="24"/>
          <w:szCs w:val="24"/>
        </w:rPr>
        <w:t>estimated property tax</w:t>
      </w:r>
      <w:r w:rsidR="00450C95" w:rsidRPr="00364B31">
        <w:rPr>
          <w:rFonts w:ascii="Times New Roman" w:hAnsi="Times New Roman"/>
          <w:sz w:val="24"/>
          <w:szCs w:val="24"/>
        </w:rPr>
        <w:t xml:space="preserve">es consistent with </w:t>
      </w:r>
      <w:r w:rsidR="00E00EAC" w:rsidRPr="00364B31">
        <w:rPr>
          <w:rFonts w:ascii="Times New Roman" w:hAnsi="Times New Roman"/>
          <w:sz w:val="24"/>
          <w:szCs w:val="24"/>
        </w:rPr>
        <w:t>Adj</w:t>
      </w:r>
      <w:r w:rsidR="00E21D90">
        <w:rPr>
          <w:rFonts w:ascii="Times New Roman" w:hAnsi="Times New Roman"/>
          <w:sz w:val="24"/>
          <w:szCs w:val="24"/>
        </w:rPr>
        <w:t>ustment 13.02, LSR</w:t>
      </w:r>
      <w:r w:rsidR="00E00EAC" w:rsidRPr="00364B31">
        <w:rPr>
          <w:rFonts w:ascii="Times New Roman" w:hAnsi="Times New Roman"/>
          <w:sz w:val="24"/>
          <w:szCs w:val="24"/>
        </w:rPr>
        <w:t xml:space="preserve"> and Adjustment 14.11, Property Tax.</w:t>
      </w:r>
    </w:p>
    <w:p w:rsidR="00E00EAC" w:rsidRDefault="00364B31" w:rsidP="00364B31">
      <w:pPr>
        <w:pStyle w:val="BodyTextIndent"/>
        <w:numPr>
          <w:ilvl w:val="0"/>
          <w:numId w:val="1"/>
        </w:numPr>
      </w:pPr>
      <w:r>
        <w:lastRenderedPageBreak/>
        <w:tab/>
      </w:r>
      <w:r w:rsidR="00E00EAC">
        <w:t>In rebuttal, PSE accepted the Staff adjustment (other than the exclusion of property taxes), using the same estimates and four-y</w:t>
      </w:r>
      <w:r w:rsidR="009F154C">
        <w:t>ear amortization</w:t>
      </w:r>
      <w:r w:rsidR="00E00EAC">
        <w:t>.</w:t>
      </w:r>
      <w:r w:rsidR="00316884">
        <w:rPr>
          <w:rStyle w:val="FootnoteReference"/>
        </w:rPr>
        <w:footnoteReference w:id="239"/>
      </w:r>
      <w:r w:rsidR="00E00EAC">
        <w:t xml:space="preserve">  </w:t>
      </w:r>
      <w:r w:rsidR="00B52A2F">
        <w:t>Not content to stop</w:t>
      </w:r>
      <w:r w:rsidR="00ED65EE">
        <w:t xml:space="preserve"> there</w:t>
      </w:r>
      <w:r w:rsidR="00B52A2F">
        <w:t xml:space="preserve">, </w:t>
      </w:r>
      <w:r w:rsidR="00711D59">
        <w:t xml:space="preserve">however, </w:t>
      </w:r>
      <w:r w:rsidR="00E00EAC">
        <w:t>PSE</w:t>
      </w:r>
      <w:r w:rsidR="00E00EAC" w:rsidRPr="008909AC">
        <w:t xml:space="preserve"> </w:t>
      </w:r>
      <w:r w:rsidR="00B52A2F">
        <w:t xml:space="preserve">also </w:t>
      </w:r>
      <w:r w:rsidR="00E00EAC">
        <w:t xml:space="preserve">alleges </w:t>
      </w:r>
      <w:r w:rsidR="00E00EAC" w:rsidRPr="008909AC">
        <w:t xml:space="preserve">a </w:t>
      </w:r>
      <w:r w:rsidR="00E00EAC">
        <w:t>“</w:t>
      </w:r>
      <w:r w:rsidR="00E00EAC" w:rsidRPr="008909AC">
        <w:t>major inconsistency</w:t>
      </w:r>
      <w:r w:rsidR="00E00EAC">
        <w:t>”</w:t>
      </w:r>
      <w:r w:rsidR="007C4F8A">
        <w:t xml:space="preserve"> between Staff A</w:t>
      </w:r>
      <w:r w:rsidR="00E00EAC" w:rsidRPr="008909AC">
        <w:t xml:space="preserve">djustment </w:t>
      </w:r>
      <w:r w:rsidR="007C4F8A">
        <w:t xml:space="preserve">13.02 </w:t>
      </w:r>
      <w:r w:rsidR="00E00EAC" w:rsidRPr="008909AC">
        <w:t>for the LSR plant addit</w:t>
      </w:r>
      <w:r w:rsidR="00B52A2F">
        <w:t xml:space="preserve">ion and this adjustment for </w:t>
      </w:r>
      <w:r w:rsidR="00E00EAC" w:rsidRPr="008909AC">
        <w:t>LSR Deferral.</w:t>
      </w:r>
      <w:r w:rsidR="007C4F8A">
        <w:rPr>
          <w:rStyle w:val="FootnoteReference"/>
        </w:rPr>
        <w:footnoteReference w:id="240"/>
      </w:r>
      <w:r w:rsidR="007C4F8A">
        <w:t xml:space="preserve">  The Company also devotes substantial testimony to the “contradictory and conflictin</w:t>
      </w:r>
      <w:r w:rsidR="00ED65EE">
        <w:t>g” application of the “</w:t>
      </w:r>
      <w:r w:rsidR="007C4F8A">
        <w:t>known and measurable</w:t>
      </w:r>
      <w:r w:rsidR="00ED65EE">
        <w:t>”</w:t>
      </w:r>
      <w:r w:rsidR="007C4F8A">
        <w:t xml:space="preserve"> ra</w:t>
      </w:r>
      <w:r w:rsidR="00867F5D">
        <w:t xml:space="preserve">temaking concept in Commission </w:t>
      </w:r>
      <w:r w:rsidR="007C4F8A">
        <w:t>prior decisions.</w:t>
      </w:r>
      <w:r w:rsidR="007C4F8A">
        <w:rPr>
          <w:rStyle w:val="FootnoteReference"/>
        </w:rPr>
        <w:footnoteReference w:id="241"/>
      </w:r>
    </w:p>
    <w:p w:rsidR="006942E3" w:rsidRDefault="00364B31" w:rsidP="00364B31">
      <w:pPr>
        <w:pStyle w:val="BodyTextIndent"/>
        <w:numPr>
          <w:ilvl w:val="0"/>
          <w:numId w:val="1"/>
        </w:numPr>
      </w:pPr>
      <w:r>
        <w:tab/>
      </w:r>
      <w:r w:rsidR="007C4F8A">
        <w:t>PSE ignores the fact that est</w:t>
      </w:r>
      <w:r w:rsidR="00867F5D">
        <w:t xml:space="preserve">imates must be used </w:t>
      </w:r>
      <w:r w:rsidR="00993019">
        <w:t xml:space="preserve">for this adjustment </w:t>
      </w:r>
      <w:r w:rsidR="009F154C">
        <w:t xml:space="preserve">because </w:t>
      </w:r>
      <w:r w:rsidR="00E21D90">
        <w:t xml:space="preserve">LSR </w:t>
      </w:r>
      <w:r w:rsidR="007C4F8A">
        <w:t>co</w:t>
      </w:r>
      <w:r w:rsidR="00711D59">
        <w:t>sts s</w:t>
      </w:r>
      <w:r w:rsidR="00AC743E">
        <w:t>ubject to deferral were</w:t>
      </w:r>
      <w:r w:rsidR="00711D59">
        <w:t xml:space="preserve"> </w:t>
      </w:r>
      <w:r w:rsidR="007C4F8A">
        <w:t xml:space="preserve">incurred </w:t>
      </w:r>
      <w:r w:rsidR="00993019">
        <w:t xml:space="preserve">after all evidence was admitted </w:t>
      </w:r>
      <w:r w:rsidR="007C4F8A">
        <w:t>in this case.  As a result, strict application of the “known</w:t>
      </w:r>
      <w:r w:rsidR="00711D59">
        <w:t xml:space="preserve"> and measurable” standard could not occur </w:t>
      </w:r>
      <w:r w:rsidR="00AC743E">
        <w:t>before the record closed</w:t>
      </w:r>
      <w:r w:rsidR="007C4F8A">
        <w:t>.</w:t>
      </w:r>
    </w:p>
    <w:p w:rsidR="00450C95" w:rsidRDefault="00364B31" w:rsidP="00364B31">
      <w:pPr>
        <w:pStyle w:val="BodyTextIndent"/>
        <w:numPr>
          <w:ilvl w:val="0"/>
          <w:numId w:val="1"/>
        </w:numPr>
      </w:pPr>
      <w:r>
        <w:tab/>
      </w:r>
      <w:r w:rsidR="007C4F8A">
        <w:t>This</w:t>
      </w:r>
      <w:r w:rsidR="00711D59">
        <w:t xml:space="preserve"> circumstance</w:t>
      </w:r>
      <w:r w:rsidR="007C4F8A">
        <w:t>, however, is remedied</w:t>
      </w:r>
      <w:r w:rsidR="00711D59">
        <w:t xml:space="preserve"> by </w:t>
      </w:r>
      <w:r w:rsidR="00867F5D">
        <w:t>RCW 80.80.080(6)</w:t>
      </w:r>
      <w:r w:rsidR="00450C95">
        <w:t xml:space="preserve">, which </w:t>
      </w:r>
      <w:r w:rsidR="00711D59">
        <w:t>PSE</w:t>
      </w:r>
      <w:r w:rsidR="00B52A2F">
        <w:t xml:space="preserve"> agrees</w:t>
      </w:r>
      <w:r w:rsidR="00B52A2F">
        <w:rPr>
          <w:rStyle w:val="FootnoteReference"/>
        </w:rPr>
        <w:footnoteReference w:id="242"/>
      </w:r>
      <w:r w:rsidR="00B52A2F">
        <w:t xml:space="preserve"> </w:t>
      </w:r>
      <w:r w:rsidR="00450C95">
        <w:t xml:space="preserve">provides certainty </w:t>
      </w:r>
      <w:r w:rsidR="00B52A2F">
        <w:t xml:space="preserve">that only actual costs incurred between </w:t>
      </w:r>
      <w:r w:rsidR="00993019">
        <w:t xml:space="preserve">the </w:t>
      </w:r>
      <w:r w:rsidR="00BE57D8">
        <w:t xml:space="preserve">commercial </w:t>
      </w:r>
      <w:r w:rsidR="00B52A2F">
        <w:t xml:space="preserve">start-up of LSR and the </w:t>
      </w:r>
      <w:r w:rsidR="00867F5D">
        <w:t xml:space="preserve">effective date of the </w:t>
      </w:r>
      <w:r w:rsidR="00B52A2F">
        <w:t xml:space="preserve">Commission’s </w:t>
      </w:r>
      <w:r w:rsidR="00F91EED">
        <w:t xml:space="preserve">final </w:t>
      </w:r>
      <w:r w:rsidR="00B52A2F">
        <w:t>order can be deferred</w:t>
      </w:r>
      <w:r w:rsidR="00450C95">
        <w:t>:</w:t>
      </w:r>
    </w:p>
    <w:p w:rsidR="007C4F8A" w:rsidRDefault="00450C95" w:rsidP="00450C95">
      <w:pPr>
        <w:pStyle w:val="BodyTextIndent"/>
        <w:spacing w:line="240" w:lineRule="auto"/>
        <w:ind w:firstLine="0"/>
      </w:pPr>
      <w:r>
        <w:t xml:space="preserve">An electrical company may account for and defer for later consideration by the commission </w:t>
      </w:r>
      <w:r w:rsidRPr="006B637C">
        <w:rPr>
          <w:i/>
        </w:rPr>
        <w:t>costs incurred</w:t>
      </w:r>
      <w:r>
        <w:t xml:space="preserve"> in connection with a long-term financial commitment, including operating and maintenance costs, depreciation, taxes, and cost of invested capital.  </w:t>
      </w:r>
      <w:r w:rsidRPr="006B637C">
        <w:rPr>
          <w:i/>
        </w:rPr>
        <w:t>The deferral begins with the date on which the power plant begins commercial operation</w:t>
      </w:r>
      <w:r w:rsidRPr="00450C95">
        <w:rPr>
          <w:b/>
        </w:rPr>
        <w:t xml:space="preserve"> </w:t>
      </w:r>
      <w:r>
        <w:t xml:space="preserve">or the effective date of the power purchase agreement and continues for a period not to exceed twenty-four months; provided that if during such period the company files a general rate case or other proceeding for the recovery of such costs, </w:t>
      </w:r>
      <w:r w:rsidRPr="006B637C">
        <w:rPr>
          <w:i/>
        </w:rPr>
        <w:t>deferral ends on the effective date of the final decision by the commission</w:t>
      </w:r>
      <w:r>
        <w:t xml:space="preserve"> in such proceeding.  (Emphasis added.)</w:t>
      </w:r>
    </w:p>
    <w:p w:rsidR="00450C95" w:rsidRDefault="00450C95" w:rsidP="00450C95">
      <w:pPr>
        <w:pStyle w:val="BodyTextIndent"/>
        <w:spacing w:line="240" w:lineRule="auto"/>
      </w:pPr>
    </w:p>
    <w:p w:rsidR="00DB4FCC" w:rsidRPr="00DB4FCC" w:rsidRDefault="00711D59" w:rsidP="00B52A2F">
      <w:pPr>
        <w:pStyle w:val="BodyTextIndent"/>
        <w:ind w:left="0" w:firstLine="0"/>
        <w:rPr>
          <w:b/>
        </w:rPr>
      </w:pPr>
      <w:r>
        <w:t>Thus, t</w:t>
      </w:r>
      <w:r w:rsidR="00867F5D">
        <w:t xml:space="preserve">he Commission should </w:t>
      </w:r>
      <w:r w:rsidR="00B52A2F">
        <w:t xml:space="preserve">order PSE in its compliance filing to </w:t>
      </w:r>
      <w:r w:rsidR="00BE57D8">
        <w:t>re</w:t>
      </w:r>
      <w:r w:rsidR="00B52A2F">
        <w:t>calculate this adjustment with only actual and allowable costs incurred</w:t>
      </w:r>
      <w:r>
        <w:t xml:space="preserve"> between the date LSR began </w:t>
      </w:r>
      <w:r w:rsidR="00B52A2F">
        <w:t>commercial operation</w:t>
      </w:r>
      <w:r>
        <w:t xml:space="preserve"> </w:t>
      </w:r>
      <w:r>
        <w:lastRenderedPageBreak/>
        <w:t>and the effective date of the</w:t>
      </w:r>
      <w:r w:rsidR="00BE57D8">
        <w:t xml:space="preserve"> </w:t>
      </w:r>
      <w:r>
        <w:t>final order</w:t>
      </w:r>
      <w:r w:rsidR="00B52A2F">
        <w:t>.</w:t>
      </w:r>
      <w:r>
        <w:rPr>
          <w:rStyle w:val="FootnoteReference"/>
        </w:rPr>
        <w:footnoteReference w:id="243"/>
      </w:r>
      <w:r w:rsidR="00316884">
        <w:t xml:space="preserve">  If PSE cannot comply due to time constraints, the Commission may condition compliance on PSE’s asymmetrical true-up proposal.</w:t>
      </w:r>
      <w:r w:rsidR="00316884">
        <w:rPr>
          <w:rStyle w:val="FootnoteReference"/>
        </w:rPr>
        <w:footnoteReference w:id="244"/>
      </w:r>
      <w:r w:rsidR="00316884">
        <w:t xml:space="preserve">  </w:t>
      </w:r>
    </w:p>
    <w:p w:rsidR="004F6171" w:rsidRDefault="002107E8" w:rsidP="00C60C81">
      <w:pPr>
        <w:spacing w:after="0" w:line="480" w:lineRule="auto"/>
        <w:rPr>
          <w:rFonts w:ascii="Times New Roman" w:hAnsi="Times New Roman"/>
          <w:b/>
          <w:sz w:val="24"/>
        </w:rPr>
      </w:pPr>
      <w:r>
        <w:rPr>
          <w:rFonts w:ascii="Times New Roman" w:hAnsi="Times New Roman"/>
          <w:b/>
          <w:sz w:val="24"/>
        </w:rPr>
        <w:tab/>
      </w:r>
      <w:r>
        <w:rPr>
          <w:rFonts w:ascii="Times New Roman" w:hAnsi="Times New Roman"/>
          <w:b/>
          <w:sz w:val="24"/>
        </w:rPr>
        <w:tab/>
      </w:r>
      <w:r w:rsidR="00F606BB">
        <w:rPr>
          <w:rFonts w:ascii="Times New Roman" w:hAnsi="Times New Roman"/>
          <w:b/>
          <w:sz w:val="24"/>
        </w:rPr>
        <w:t>f</w:t>
      </w:r>
      <w:r w:rsidR="004F6171">
        <w:rPr>
          <w:rFonts w:ascii="Times New Roman" w:hAnsi="Times New Roman"/>
          <w:b/>
          <w:sz w:val="24"/>
        </w:rPr>
        <w:t>.</w:t>
      </w:r>
      <w:r w:rsidR="004F6171">
        <w:rPr>
          <w:rFonts w:ascii="Times New Roman" w:hAnsi="Times New Roman"/>
          <w:b/>
          <w:sz w:val="24"/>
        </w:rPr>
        <w:tab/>
        <w:t>Adjustment 13.11, Production Adjustment</w:t>
      </w:r>
    </w:p>
    <w:p w:rsidR="00B30601" w:rsidRDefault="00364B31" w:rsidP="00364B31">
      <w:pPr>
        <w:pStyle w:val="BodyTextIndent"/>
        <w:numPr>
          <w:ilvl w:val="0"/>
          <w:numId w:val="1"/>
        </w:numPr>
      </w:pPr>
      <w:r>
        <w:tab/>
      </w:r>
      <w:r w:rsidR="00AD1305">
        <w:t xml:space="preserve">This </w:t>
      </w:r>
      <w:r w:rsidR="004A213E" w:rsidRPr="00121CDC">
        <w:t>a</w:t>
      </w:r>
      <w:r w:rsidR="00F91EED">
        <w:t>djustment is required</w:t>
      </w:r>
      <w:r w:rsidR="00BA4061">
        <w:t xml:space="preserve"> </w:t>
      </w:r>
      <w:r w:rsidR="00E310D2">
        <w:t xml:space="preserve">when </w:t>
      </w:r>
      <w:r w:rsidR="004A213E" w:rsidRPr="00121CDC">
        <w:t>major producti</w:t>
      </w:r>
      <w:r w:rsidR="00AD1305">
        <w:t xml:space="preserve">on plant </w:t>
      </w:r>
      <w:r w:rsidR="004A213E" w:rsidRPr="00121CDC">
        <w:t>ou</w:t>
      </w:r>
      <w:r w:rsidR="00AD1305">
        <w:t>tside the test year is</w:t>
      </w:r>
      <w:r w:rsidR="00F91EED">
        <w:t xml:space="preserve"> added to</w:t>
      </w:r>
      <w:r w:rsidR="004A213E" w:rsidRPr="00121CDC">
        <w:t xml:space="preserve"> rate base and the results of opera</w:t>
      </w:r>
      <w:r w:rsidR="00BA4061">
        <w:t>tions</w:t>
      </w:r>
      <w:r w:rsidR="004A213E" w:rsidRPr="00121CDC">
        <w:t>.</w:t>
      </w:r>
      <w:r w:rsidR="00B30601">
        <w:rPr>
          <w:rStyle w:val="FootnoteReference"/>
        </w:rPr>
        <w:footnoteReference w:id="245"/>
      </w:r>
      <w:r w:rsidR="00F91EED">
        <w:t xml:space="preserve">  The methodology </w:t>
      </w:r>
      <w:r w:rsidR="00B30601" w:rsidRPr="00B30601">
        <w:t>is undisputed</w:t>
      </w:r>
      <w:r w:rsidR="00AD1305">
        <w:t xml:space="preserve">, but the </w:t>
      </w:r>
      <w:r w:rsidR="00F91EED">
        <w:t xml:space="preserve">adjustment </w:t>
      </w:r>
      <w:r w:rsidR="00F91EED">
        <w:rPr>
          <w:lang w:eastAsia="zh-CN"/>
        </w:rPr>
        <w:t xml:space="preserve">should be </w:t>
      </w:r>
      <w:r w:rsidR="00F91EED" w:rsidRPr="00B30601">
        <w:rPr>
          <w:lang w:eastAsia="zh-CN"/>
        </w:rPr>
        <w:t xml:space="preserve">updated based on </w:t>
      </w:r>
      <w:r w:rsidR="00F91EED">
        <w:rPr>
          <w:lang w:eastAsia="zh-CN"/>
        </w:rPr>
        <w:t>the</w:t>
      </w:r>
      <w:r w:rsidR="00F91EED" w:rsidRPr="00B30601">
        <w:rPr>
          <w:lang w:eastAsia="zh-CN"/>
        </w:rPr>
        <w:t xml:space="preserve"> Commission</w:t>
      </w:r>
      <w:r w:rsidR="00AD1305">
        <w:rPr>
          <w:lang w:eastAsia="zh-CN"/>
        </w:rPr>
        <w:t xml:space="preserve">’s decision on </w:t>
      </w:r>
      <w:r w:rsidR="00F91EED">
        <w:t xml:space="preserve">other power cost </w:t>
      </w:r>
      <w:r w:rsidR="00F91EED" w:rsidRPr="00B30601">
        <w:t>adjustments.</w:t>
      </w:r>
      <w:r w:rsidR="00B30601">
        <w:rPr>
          <w:rStyle w:val="FootnoteReference"/>
        </w:rPr>
        <w:footnoteReference w:id="246"/>
      </w:r>
      <w:r w:rsidR="00B30601" w:rsidRPr="00B30601">
        <w:t xml:space="preserve">  </w:t>
      </w:r>
    </w:p>
    <w:p w:rsidR="004F6171" w:rsidRPr="00C60C81" w:rsidRDefault="004F6171" w:rsidP="00B31A27">
      <w:pPr>
        <w:keepNext/>
        <w:spacing w:after="0" w:line="480" w:lineRule="auto"/>
        <w:ind w:firstLine="720"/>
        <w:rPr>
          <w:rFonts w:ascii="Times New Roman" w:hAnsi="Times New Roman" w:cs="Times New Roman"/>
          <w:sz w:val="24"/>
          <w:szCs w:val="24"/>
        </w:rPr>
      </w:pPr>
      <w:r>
        <w:rPr>
          <w:rFonts w:ascii="Times New Roman" w:hAnsi="Times New Roman"/>
          <w:b/>
          <w:sz w:val="24"/>
        </w:rPr>
        <w:t>2.</w:t>
      </w:r>
      <w:r>
        <w:rPr>
          <w:rFonts w:ascii="Times New Roman" w:hAnsi="Times New Roman"/>
          <w:b/>
          <w:sz w:val="24"/>
        </w:rPr>
        <w:tab/>
        <w:t>Contested Electricity and Natural Gas Adjustments</w:t>
      </w:r>
    </w:p>
    <w:p w:rsidR="008E0D31" w:rsidRDefault="004F6171" w:rsidP="005B0718">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Adjustments 13.02 and 6.04, Federal Income Tax</w:t>
      </w:r>
      <w:r w:rsidR="00553850">
        <w:rPr>
          <w:rFonts w:ascii="Times New Roman" w:hAnsi="Times New Roman" w:cs="Times New Roman"/>
          <w:b/>
          <w:sz w:val="24"/>
          <w:szCs w:val="24"/>
        </w:rPr>
        <w:t>-</w:t>
      </w:r>
      <w:r w:rsidR="005B0718">
        <w:rPr>
          <w:rFonts w:ascii="Times New Roman" w:hAnsi="Times New Roman" w:cs="Times New Roman"/>
          <w:b/>
          <w:sz w:val="24"/>
          <w:szCs w:val="24"/>
        </w:rPr>
        <w:t>Tax Accounting Method Change for Repairs and Retirements</w:t>
      </w:r>
    </w:p>
    <w:p w:rsidR="00681046" w:rsidRDefault="00681046" w:rsidP="008E0D31">
      <w:pPr>
        <w:spacing w:after="0" w:line="240" w:lineRule="auto"/>
        <w:ind w:left="720"/>
        <w:rPr>
          <w:rFonts w:ascii="Times New Roman" w:hAnsi="Times New Roman" w:cs="Times New Roman"/>
          <w:b/>
          <w:sz w:val="24"/>
          <w:szCs w:val="24"/>
        </w:rPr>
      </w:pPr>
    </w:p>
    <w:p w:rsidR="00681046" w:rsidRDefault="00681046" w:rsidP="00681046">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ab/>
      </w:r>
      <w:r w:rsidR="00B06133">
        <w:rPr>
          <w:rFonts w:ascii="Times New Roman" w:hAnsi="Times New Roman"/>
          <w:sz w:val="24"/>
          <w:szCs w:val="24"/>
        </w:rPr>
        <w:t xml:space="preserve">PSE </w:t>
      </w:r>
      <w:r w:rsidRPr="00681046">
        <w:rPr>
          <w:rFonts w:ascii="Times New Roman" w:hAnsi="Times New Roman"/>
          <w:sz w:val="24"/>
          <w:szCs w:val="24"/>
        </w:rPr>
        <w:t xml:space="preserve">proposes to change the </w:t>
      </w:r>
      <w:r w:rsidR="00B06133">
        <w:rPr>
          <w:rFonts w:ascii="Times New Roman" w:hAnsi="Times New Roman"/>
          <w:sz w:val="24"/>
          <w:szCs w:val="24"/>
        </w:rPr>
        <w:t xml:space="preserve">federal income </w:t>
      </w:r>
      <w:r w:rsidRPr="00681046">
        <w:rPr>
          <w:rFonts w:ascii="Times New Roman" w:hAnsi="Times New Roman"/>
          <w:sz w:val="24"/>
          <w:szCs w:val="24"/>
        </w:rPr>
        <w:t>tax tr</w:t>
      </w:r>
      <w:r>
        <w:rPr>
          <w:rFonts w:ascii="Times New Roman" w:hAnsi="Times New Roman"/>
          <w:sz w:val="24"/>
          <w:szCs w:val="24"/>
        </w:rPr>
        <w:t xml:space="preserve">eatment from </w:t>
      </w:r>
      <w:r w:rsidR="00B06133">
        <w:rPr>
          <w:rFonts w:ascii="Times New Roman" w:hAnsi="Times New Roman"/>
          <w:sz w:val="24"/>
          <w:szCs w:val="24"/>
        </w:rPr>
        <w:t xml:space="preserve">flow-through to normalization for </w:t>
      </w:r>
      <w:r>
        <w:rPr>
          <w:rFonts w:ascii="Times New Roman" w:hAnsi="Times New Roman"/>
          <w:sz w:val="24"/>
          <w:szCs w:val="24"/>
        </w:rPr>
        <w:t>capitalized property taxes, injuries and damages, and bad debts</w:t>
      </w:r>
      <w:r w:rsidR="00B06133">
        <w:rPr>
          <w:rFonts w:ascii="Times New Roman" w:hAnsi="Times New Roman"/>
          <w:sz w:val="24"/>
          <w:szCs w:val="24"/>
        </w:rPr>
        <w:t>.  Staff witness Mr. Ralph Smith examined t</w:t>
      </w:r>
      <w:r w:rsidR="00294206">
        <w:rPr>
          <w:rFonts w:ascii="Times New Roman" w:hAnsi="Times New Roman"/>
          <w:sz w:val="24"/>
          <w:szCs w:val="24"/>
        </w:rPr>
        <w:t xml:space="preserve">his proposal and </w:t>
      </w:r>
      <w:r w:rsidR="00AD1305">
        <w:rPr>
          <w:rFonts w:ascii="Times New Roman" w:hAnsi="Times New Roman"/>
          <w:sz w:val="24"/>
          <w:szCs w:val="24"/>
        </w:rPr>
        <w:t>concurred</w:t>
      </w:r>
      <w:r w:rsidR="00B06133">
        <w:rPr>
          <w:rFonts w:ascii="Times New Roman" w:hAnsi="Times New Roman"/>
          <w:sz w:val="24"/>
          <w:szCs w:val="24"/>
        </w:rPr>
        <w:t>.</w:t>
      </w:r>
      <w:r w:rsidR="00B06133">
        <w:rPr>
          <w:rStyle w:val="FootnoteReference"/>
          <w:rFonts w:ascii="Times New Roman" w:hAnsi="Times New Roman"/>
          <w:sz w:val="24"/>
          <w:szCs w:val="24"/>
        </w:rPr>
        <w:footnoteReference w:id="247"/>
      </w:r>
      <w:r w:rsidR="002421B7">
        <w:rPr>
          <w:rFonts w:ascii="Times New Roman" w:hAnsi="Times New Roman"/>
          <w:sz w:val="24"/>
          <w:szCs w:val="24"/>
        </w:rPr>
        <w:t xml:space="preserve">  </w:t>
      </w:r>
      <w:r w:rsidR="001F6FB6">
        <w:rPr>
          <w:rFonts w:ascii="Times New Roman" w:hAnsi="Times New Roman"/>
          <w:sz w:val="24"/>
          <w:szCs w:val="24"/>
        </w:rPr>
        <w:t xml:space="preserve">Mr. Smith </w:t>
      </w:r>
      <w:r w:rsidR="002421B7">
        <w:rPr>
          <w:rFonts w:ascii="Times New Roman" w:hAnsi="Times New Roman"/>
          <w:sz w:val="24"/>
          <w:szCs w:val="24"/>
        </w:rPr>
        <w:t>also agreed with PSE</w:t>
      </w:r>
      <w:r w:rsidR="001F6FB6">
        <w:rPr>
          <w:rFonts w:ascii="Times New Roman" w:hAnsi="Times New Roman"/>
          <w:sz w:val="24"/>
          <w:szCs w:val="24"/>
        </w:rPr>
        <w:t>’s treatment of bonus tax depreciation impacts on accumulated def</w:t>
      </w:r>
      <w:r w:rsidR="002421B7">
        <w:rPr>
          <w:rFonts w:ascii="Times New Roman" w:hAnsi="Times New Roman"/>
          <w:sz w:val="24"/>
          <w:szCs w:val="24"/>
        </w:rPr>
        <w:t>erred income taxes (“ADIT”)</w:t>
      </w:r>
      <w:r w:rsidR="001F6FB6">
        <w:rPr>
          <w:rFonts w:ascii="Times New Roman" w:hAnsi="Times New Roman"/>
          <w:sz w:val="24"/>
          <w:szCs w:val="24"/>
        </w:rPr>
        <w:t>.</w:t>
      </w:r>
      <w:r w:rsidR="001F6FB6">
        <w:rPr>
          <w:rStyle w:val="FootnoteReference"/>
          <w:rFonts w:ascii="Times New Roman" w:hAnsi="Times New Roman"/>
          <w:sz w:val="24"/>
          <w:szCs w:val="24"/>
        </w:rPr>
        <w:footnoteReference w:id="248"/>
      </w:r>
    </w:p>
    <w:p w:rsidR="00B06133" w:rsidRDefault="00B06133" w:rsidP="00DA0B38">
      <w:pPr>
        <w:pStyle w:val="ListParagraph"/>
        <w:widowControl w:val="0"/>
        <w:numPr>
          <w:ilvl w:val="0"/>
          <w:numId w:val="1"/>
        </w:numPr>
        <w:spacing w:line="480" w:lineRule="auto"/>
        <w:rPr>
          <w:rFonts w:ascii="Times New Roman" w:hAnsi="Times New Roman"/>
          <w:sz w:val="24"/>
          <w:szCs w:val="24"/>
        </w:rPr>
      </w:pPr>
      <w:r>
        <w:rPr>
          <w:rFonts w:ascii="Times New Roman" w:hAnsi="Times New Roman"/>
          <w:sz w:val="24"/>
          <w:szCs w:val="24"/>
        </w:rPr>
        <w:tab/>
        <w:t xml:space="preserve">However, </w:t>
      </w:r>
      <w:r w:rsidR="00310BDF" w:rsidRPr="00B06133">
        <w:rPr>
          <w:rFonts w:ascii="Times New Roman" w:hAnsi="Times New Roman"/>
          <w:sz w:val="24"/>
          <w:szCs w:val="24"/>
        </w:rPr>
        <w:t>before the test year</w:t>
      </w:r>
      <w:r w:rsidR="00310BDF">
        <w:rPr>
          <w:rFonts w:ascii="Times New Roman" w:hAnsi="Times New Roman"/>
          <w:sz w:val="24"/>
          <w:szCs w:val="24"/>
        </w:rPr>
        <w:t xml:space="preserve">, PSE applied for </w:t>
      </w:r>
      <w:r w:rsidR="00310BDF" w:rsidRPr="00B06133">
        <w:rPr>
          <w:rFonts w:ascii="Times New Roman" w:hAnsi="Times New Roman"/>
          <w:sz w:val="24"/>
          <w:szCs w:val="24"/>
        </w:rPr>
        <w:t xml:space="preserve">and the Internal Revenue Service (“IRS”) granted </w:t>
      </w:r>
      <w:r>
        <w:rPr>
          <w:rFonts w:ascii="Times New Roman" w:hAnsi="Times New Roman"/>
          <w:sz w:val="24"/>
          <w:szCs w:val="24"/>
        </w:rPr>
        <w:t>a</w:t>
      </w:r>
      <w:r w:rsidRPr="00B06133">
        <w:rPr>
          <w:rFonts w:ascii="Times New Roman" w:hAnsi="Times New Roman"/>
          <w:sz w:val="24"/>
          <w:szCs w:val="24"/>
        </w:rPr>
        <w:t xml:space="preserve"> significant cha</w:t>
      </w:r>
      <w:r w:rsidR="00AD1305">
        <w:rPr>
          <w:rFonts w:ascii="Times New Roman" w:hAnsi="Times New Roman"/>
          <w:sz w:val="24"/>
          <w:szCs w:val="24"/>
        </w:rPr>
        <w:t xml:space="preserve">nge in tax accounting for </w:t>
      </w:r>
      <w:r w:rsidRPr="00B06133">
        <w:rPr>
          <w:rFonts w:ascii="Times New Roman" w:hAnsi="Times New Roman"/>
          <w:sz w:val="24"/>
          <w:szCs w:val="24"/>
        </w:rPr>
        <w:t xml:space="preserve">repairs </w:t>
      </w:r>
      <w:r w:rsidR="00310BDF">
        <w:rPr>
          <w:rFonts w:ascii="Times New Roman" w:hAnsi="Times New Roman"/>
          <w:sz w:val="24"/>
          <w:szCs w:val="24"/>
        </w:rPr>
        <w:t>deductions.  This change</w:t>
      </w:r>
      <w:r w:rsidRPr="00B06133">
        <w:rPr>
          <w:rFonts w:ascii="Times New Roman" w:hAnsi="Times New Roman"/>
          <w:sz w:val="24"/>
          <w:szCs w:val="24"/>
        </w:rPr>
        <w:t xml:space="preserve"> increas</w:t>
      </w:r>
      <w:r w:rsidR="00294206">
        <w:rPr>
          <w:rFonts w:ascii="Times New Roman" w:hAnsi="Times New Roman"/>
          <w:sz w:val="24"/>
          <w:szCs w:val="24"/>
        </w:rPr>
        <w:t xml:space="preserve">ed </w:t>
      </w:r>
      <w:r w:rsidR="00310BDF" w:rsidRPr="00B06133">
        <w:rPr>
          <w:rFonts w:ascii="Times New Roman" w:hAnsi="Times New Roman"/>
          <w:sz w:val="24"/>
          <w:szCs w:val="24"/>
        </w:rPr>
        <w:t>significantly</w:t>
      </w:r>
      <w:r w:rsidR="00310BDF">
        <w:rPr>
          <w:rFonts w:ascii="Times New Roman" w:hAnsi="Times New Roman"/>
          <w:sz w:val="24"/>
          <w:szCs w:val="24"/>
        </w:rPr>
        <w:t xml:space="preserve"> </w:t>
      </w:r>
      <w:r w:rsidR="001F6FB6">
        <w:rPr>
          <w:rFonts w:ascii="Times New Roman" w:hAnsi="Times New Roman"/>
          <w:sz w:val="24"/>
          <w:szCs w:val="24"/>
        </w:rPr>
        <w:t xml:space="preserve">ADIT </w:t>
      </w:r>
      <w:r w:rsidR="00B934D7">
        <w:rPr>
          <w:rFonts w:ascii="Times New Roman" w:hAnsi="Times New Roman"/>
          <w:sz w:val="24"/>
          <w:szCs w:val="24"/>
        </w:rPr>
        <w:t xml:space="preserve">by </w:t>
      </w:r>
      <w:r w:rsidR="001F6FB6">
        <w:rPr>
          <w:rFonts w:ascii="Times New Roman" w:hAnsi="Times New Roman"/>
          <w:sz w:val="24"/>
          <w:szCs w:val="24"/>
        </w:rPr>
        <w:t xml:space="preserve">a known and measurable amount </w:t>
      </w:r>
      <w:r w:rsidRPr="00B06133">
        <w:rPr>
          <w:rFonts w:ascii="Times New Roman" w:hAnsi="Times New Roman"/>
          <w:sz w:val="24"/>
          <w:szCs w:val="24"/>
        </w:rPr>
        <w:t>before and</w:t>
      </w:r>
      <w:r w:rsidR="00294206">
        <w:rPr>
          <w:rFonts w:ascii="Times New Roman" w:hAnsi="Times New Roman"/>
          <w:sz w:val="24"/>
          <w:szCs w:val="24"/>
        </w:rPr>
        <w:t xml:space="preserve"> during the test year</w:t>
      </w:r>
      <w:r w:rsidRPr="00B06133">
        <w:rPr>
          <w:rFonts w:ascii="Times New Roman" w:hAnsi="Times New Roman"/>
          <w:sz w:val="24"/>
          <w:szCs w:val="24"/>
        </w:rPr>
        <w:t xml:space="preserve">.  </w:t>
      </w:r>
      <w:r w:rsidR="00294206">
        <w:rPr>
          <w:rFonts w:ascii="Times New Roman" w:hAnsi="Times New Roman"/>
          <w:sz w:val="24"/>
          <w:szCs w:val="24"/>
        </w:rPr>
        <w:t xml:space="preserve">A closely related change in </w:t>
      </w:r>
      <w:r w:rsidR="001F6FB6">
        <w:rPr>
          <w:rFonts w:ascii="Times New Roman" w:hAnsi="Times New Roman"/>
          <w:sz w:val="24"/>
          <w:szCs w:val="24"/>
        </w:rPr>
        <w:t xml:space="preserve">tax accounting </w:t>
      </w:r>
      <w:r w:rsidR="00294206">
        <w:rPr>
          <w:rFonts w:ascii="Times New Roman" w:hAnsi="Times New Roman"/>
          <w:sz w:val="24"/>
          <w:szCs w:val="24"/>
        </w:rPr>
        <w:t xml:space="preserve">PSE made </w:t>
      </w:r>
      <w:r w:rsidR="001F6FB6">
        <w:rPr>
          <w:rFonts w:ascii="Times New Roman" w:hAnsi="Times New Roman"/>
          <w:sz w:val="24"/>
          <w:szCs w:val="24"/>
        </w:rPr>
        <w:t xml:space="preserve">for retirements </w:t>
      </w:r>
      <w:r w:rsidR="00294206">
        <w:rPr>
          <w:rFonts w:ascii="Times New Roman" w:hAnsi="Times New Roman"/>
          <w:sz w:val="24"/>
          <w:szCs w:val="24"/>
        </w:rPr>
        <w:t>also had a known and measur</w:t>
      </w:r>
      <w:r w:rsidR="002421B7">
        <w:rPr>
          <w:rFonts w:ascii="Times New Roman" w:hAnsi="Times New Roman"/>
          <w:sz w:val="24"/>
          <w:szCs w:val="24"/>
        </w:rPr>
        <w:t xml:space="preserve">able impact in the test year.  </w:t>
      </w:r>
      <w:r w:rsidR="00294206">
        <w:rPr>
          <w:rFonts w:ascii="Times New Roman" w:hAnsi="Times New Roman"/>
          <w:sz w:val="24"/>
          <w:szCs w:val="24"/>
        </w:rPr>
        <w:t xml:space="preserve">Therefore, as Mr. Smith recommends, PSE’s rate base </w:t>
      </w:r>
      <w:r w:rsidR="00294206">
        <w:rPr>
          <w:rFonts w:ascii="Times New Roman" w:hAnsi="Times New Roman"/>
          <w:sz w:val="24"/>
          <w:szCs w:val="24"/>
        </w:rPr>
        <w:lastRenderedPageBreak/>
        <w:t xml:space="preserve">should be reduced by the net impact </w:t>
      </w:r>
      <w:r w:rsidR="002421B7">
        <w:rPr>
          <w:rFonts w:ascii="Times New Roman" w:hAnsi="Times New Roman"/>
          <w:sz w:val="24"/>
          <w:szCs w:val="24"/>
        </w:rPr>
        <w:t>of these tax accounting changes, as follows:</w:t>
      </w:r>
      <w:r w:rsidR="003B3A0B">
        <w:rPr>
          <w:rStyle w:val="FootnoteReference"/>
          <w:rFonts w:ascii="Times New Roman" w:hAnsi="Times New Roman"/>
          <w:sz w:val="24"/>
          <w:szCs w:val="24"/>
        </w:rPr>
        <w:footnoteReference w:id="249"/>
      </w:r>
      <w:r w:rsidR="009C368C">
        <w:rPr>
          <w:rFonts w:ascii="Times New Roman" w:hAnsi="Times New Roman"/>
          <w:sz w:val="24"/>
          <w:szCs w:val="24"/>
        </w:rPr>
        <w:t xml:space="preserve"> </w:t>
      </w:r>
    </w:p>
    <w:p w:rsidR="009C368C" w:rsidRPr="009C368C" w:rsidRDefault="009C368C" w:rsidP="009C368C">
      <w:pPr>
        <w:spacing w:after="0" w:line="240" w:lineRule="auto"/>
        <w:ind w:left="2880" w:firstLine="720"/>
        <w:rPr>
          <w:rFonts w:ascii="Times New Roman" w:hAnsi="Times New Roman"/>
          <w:sz w:val="24"/>
          <w:szCs w:val="24"/>
        </w:rPr>
      </w:pPr>
      <w:r w:rsidRPr="009C368C">
        <w:rPr>
          <w:rFonts w:ascii="Times New Roman" w:hAnsi="Times New Roman"/>
          <w:sz w:val="24"/>
          <w:szCs w:val="24"/>
          <w:u w:val="single"/>
        </w:rPr>
        <w:t>Electric</w:t>
      </w:r>
      <w:r w:rsidRPr="009C368C">
        <w:rPr>
          <w:rFonts w:ascii="Times New Roman" w:hAnsi="Times New Roman"/>
          <w:sz w:val="24"/>
          <w:szCs w:val="24"/>
        </w:rPr>
        <w:tab/>
      </w:r>
      <w:r w:rsidRPr="009C368C">
        <w:rPr>
          <w:rFonts w:ascii="Times New Roman" w:hAnsi="Times New Roman"/>
          <w:sz w:val="24"/>
          <w:szCs w:val="24"/>
        </w:rPr>
        <w:tab/>
      </w:r>
      <w:r w:rsidRPr="009C368C">
        <w:rPr>
          <w:rFonts w:ascii="Times New Roman" w:hAnsi="Times New Roman"/>
          <w:sz w:val="24"/>
          <w:szCs w:val="24"/>
          <w:u w:val="single"/>
        </w:rPr>
        <w:t>Gas</w:t>
      </w:r>
      <w:r w:rsidRPr="009C368C">
        <w:rPr>
          <w:rFonts w:ascii="Times New Roman" w:hAnsi="Times New Roman"/>
          <w:sz w:val="24"/>
          <w:szCs w:val="24"/>
        </w:rPr>
        <w:tab/>
      </w:r>
      <w:r w:rsidRPr="009C368C">
        <w:rPr>
          <w:rFonts w:ascii="Times New Roman" w:hAnsi="Times New Roman"/>
          <w:sz w:val="24"/>
          <w:szCs w:val="24"/>
        </w:rPr>
        <w:tab/>
      </w:r>
      <w:r w:rsidRPr="009C368C">
        <w:rPr>
          <w:rFonts w:ascii="Times New Roman" w:hAnsi="Times New Roman"/>
          <w:sz w:val="24"/>
          <w:szCs w:val="24"/>
        </w:rPr>
        <w:tab/>
        <w:t>Total</w:t>
      </w:r>
    </w:p>
    <w:p w:rsidR="009C368C" w:rsidRDefault="009C368C" w:rsidP="009C368C">
      <w:pPr>
        <w:spacing w:after="0" w:line="240" w:lineRule="auto"/>
        <w:ind w:left="720"/>
        <w:rPr>
          <w:rFonts w:ascii="Times New Roman" w:hAnsi="Times New Roman"/>
          <w:sz w:val="24"/>
          <w:szCs w:val="24"/>
        </w:rPr>
      </w:pPr>
    </w:p>
    <w:p w:rsidR="009C368C" w:rsidRPr="009C368C" w:rsidRDefault="009C368C" w:rsidP="009C368C">
      <w:pPr>
        <w:spacing w:after="0" w:line="240" w:lineRule="auto"/>
        <w:ind w:left="720"/>
        <w:rPr>
          <w:rFonts w:ascii="Times New Roman" w:hAnsi="Times New Roman"/>
          <w:sz w:val="24"/>
          <w:szCs w:val="24"/>
        </w:rPr>
      </w:pPr>
      <w:r w:rsidRPr="009C368C">
        <w:rPr>
          <w:rFonts w:ascii="Times New Roman" w:hAnsi="Times New Roman"/>
          <w:sz w:val="24"/>
          <w:szCs w:val="24"/>
        </w:rPr>
        <w:t>Account 282 Repairs</w:t>
      </w:r>
      <w:r w:rsidRPr="009C368C">
        <w:rPr>
          <w:rFonts w:ascii="Times New Roman" w:hAnsi="Times New Roman"/>
          <w:sz w:val="24"/>
          <w:szCs w:val="24"/>
        </w:rPr>
        <w:tab/>
      </w:r>
      <w:r w:rsidRPr="009C368C">
        <w:rPr>
          <w:rFonts w:ascii="Times New Roman" w:hAnsi="Times New Roman"/>
          <w:sz w:val="24"/>
          <w:szCs w:val="24"/>
        </w:rPr>
        <w:tab/>
        <w:t>$41,842,225</w:t>
      </w:r>
      <w:r w:rsidRPr="009C368C">
        <w:rPr>
          <w:rFonts w:ascii="Times New Roman" w:hAnsi="Times New Roman"/>
          <w:sz w:val="24"/>
          <w:szCs w:val="24"/>
        </w:rPr>
        <w:tab/>
      </w:r>
      <w:r w:rsidRPr="009C368C">
        <w:rPr>
          <w:rFonts w:ascii="Times New Roman" w:hAnsi="Times New Roman"/>
          <w:sz w:val="24"/>
          <w:szCs w:val="24"/>
        </w:rPr>
        <w:tab/>
        <w:t>$24,996,849</w:t>
      </w:r>
      <w:r w:rsidRPr="009C368C">
        <w:rPr>
          <w:rFonts w:ascii="Times New Roman" w:hAnsi="Times New Roman"/>
          <w:sz w:val="24"/>
          <w:szCs w:val="24"/>
        </w:rPr>
        <w:tab/>
      </w:r>
      <w:r w:rsidRPr="009C368C">
        <w:rPr>
          <w:rFonts w:ascii="Times New Roman" w:hAnsi="Times New Roman"/>
          <w:sz w:val="24"/>
          <w:szCs w:val="24"/>
        </w:rPr>
        <w:tab/>
        <w:t>$66,839,074</w:t>
      </w:r>
    </w:p>
    <w:p w:rsidR="009C368C" w:rsidRPr="009C368C" w:rsidRDefault="009C368C" w:rsidP="009C368C">
      <w:pPr>
        <w:spacing w:after="0" w:line="240" w:lineRule="auto"/>
        <w:ind w:left="720"/>
        <w:rPr>
          <w:rFonts w:ascii="Times New Roman" w:hAnsi="Times New Roman"/>
          <w:sz w:val="24"/>
          <w:szCs w:val="24"/>
        </w:rPr>
      </w:pPr>
      <w:r w:rsidRPr="009C368C">
        <w:rPr>
          <w:rFonts w:ascii="Times New Roman" w:hAnsi="Times New Roman"/>
          <w:sz w:val="24"/>
          <w:szCs w:val="24"/>
        </w:rPr>
        <w:t>Account 282 Retirements</w:t>
      </w:r>
      <w:r w:rsidRPr="009C368C">
        <w:rPr>
          <w:rFonts w:ascii="Times New Roman" w:hAnsi="Times New Roman"/>
          <w:sz w:val="24"/>
          <w:szCs w:val="24"/>
        </w:rPr>
        <w:tab/>
        <w:t>($427,903)</w:t>
      </w:r>
      <w:r w:rsidRPr="009C368C">
        <w:rPr>
          <w:rFonts w:ascii="Times New Roman" w:hAnsi="Times New Roman"/>
          <w:sz w:val="24"/>
          <w:szCs w:val="24"/>
        </w:rPr>
        <w:tab/>
      </w:r>
      <w:r w:rsidRPr="009C368C">
        <w:rPr>
          <w:rFonts w:ascii="Times New Roman" w:hAnsi="Times New Roman"/>
          <w:sz w:val="24"/>
          <w:szCs w:val="24"/>
        </w:rPr>
        <w:tab/>
        <w:t>($432,511)</w:t>
      </w:r>
      <w:r w:rsidRPr="009C368C">
        <w:rPr>
          <w:rFonts w:ascii="Times New Roman" w:hAnsi="Times New Roman"/>
          <w:sz w:val="24"/>
          <w:szCs w:val="24"/>
        </w:rPr>
        <w:tab/>
      </w:r>
      <w:r w:rsidRPr="009C368C">
        <w:rPr>
          <w:rFonts w:ascii="Times New Roman" w:hAnsi="Times New Roman"/>
          <w:sz w:val="24"/>
          <w:szCs w:val="24"/>
        </w:rPr>
        <w:tab/>
        <w:t>($860,454)</w:t>
      </w:r>
    </w:p>
    <w:p w:rsidR="009C368C" w:rsidRDefault="009C368C" w:rsidP="009C368C">
      <w:pPr>
        <w:spacing w:after="0" w:line="240" w:lineRule="auto"/>
        <w:ind w:left="720"/>
        <w:rPr>
          <w:rFonts w:ascii="Times New Roman" w:hAnsi="Times New Roman"/>
          <w:sz w:val="24"/>
          <w:szCs w:val="24"/>
        </w:rPr>
      </w:pPr>
      <w:r w:rsidRPr="009C368C">
        <w:rPr>
          <w:rFonts w:ascii="Times New Roman" w:hAnsi="Times New Roman"/>
          <w:sz w:val="24"/>
          <w:szCs w:val="24"/>
        </w:rPr>
        <w:t>Total</w:t>
      </w:r>
      <w:r w:rsidRPr="009C368C">
        <w:rPr>
          <w:rFonts w:ascii="Times New Roman" w:hAnsi="Times New Roman"/>
          <w:sz w:val="24"/>
          <w:szCs w:val="24"/>
        </w:rPr>
        <w:tab/>
      </w:r>
      <w:r w:rsidRPr="009C368C">
        <w:rPr>
          <w:rFonts w:ascii="Times New Roman" w:hAnsi="Times New Roman"/>
          <w:sz w:val="24"/>
          <w:szCs w:val="24"/>
        </w:rPr>
        <w:tab/>
      </w:r>
      <w:r w:rsidRPr="009C368C">
        <w:rPr>
          <w:rFonts w:ascii="Times New Roman" w:hAnsi="Times New Roman"/>
          <w:sz w:val="24"/>
          <w:szCs w:val="24"/>
        </w:rPr>
        <w:tab/>
      </w:r>
      <w:r w:rsidRPr="009C368C">
        <w:rPr>
          <w:rFonts w:ascii="Times New Roman" w:hAnsi="Times New Roman"/>
          <w:sz w:val="24"/>
          <w:szCs w:val="24"/>
        </w:rPr>
        <w:tab/>
        <w:t>$41,414,322</w:t>
      </w:r>
      <w:r w:rsidRPr="009C368C">
        <w:rPr>
          <w:rFonts w:ascii="Times New Roman" w:hAnsi="Times New Roman"/>
          <w:sz w:val="24"/>
          <w:szCs w:val="24"/>
        </w:rPr>
        <w:tab/>
      </w:r>
      <w:r w:rsidRPr="009C368C">
        <w:rPr>
          <w:rFonts w:ascii="Times New Roman" w:hAnsi="Times New Roman"/>
          <w:sz w:val="24"/>
          <w:szCs w:val="24"/>
        </w:rPr>
        <w:tab/>
        <w:t>$24,564,298</w:t>
      </w:r>
      <w:r w:rsidRPr="009C368C">
        <w:rPr>
          <w:rFonts w:ascii="Times New Roman" w:hAnsi="Times New Roman"/>
          <w:sz w:val="24"/>
          <w:szCs w:val="24"/>
        </w:rPr>
        <w:tab/>
      </w:r>
      <w:r w:rsidRPr="009C368C">
        <w:rPr>
          <w:rFonts w:ascii="Times New Roman" w:hAnsi="Times New Roman"/>
          <w:sz w:val="24"/>
          <w:szCs w:val="24"/>
        </w:rPr>
        <w:tab/>
        <w:t>$65,978,620</w:t>
      </w:r>
    </w:p>
    <w:p w:rsidR="009C368C" w:rsidRPr="009C368C" w:rsidRDefault="009C368C" w:rsidP="009C368C">
      <w:pPr>
        <w:spacing w:after="0" w:line="240" w:lineRule="auto"/>
        <w:ind w:left="720"/>
        <w:rPr>
          <w:rFonts w:ascii="Times New Roman" w:hAnsi="Times New Roman"/>
          <w:sz w:val="24"/>
          <w:szCs w:val="24"/>
        </w:rPr>
      </w:pPr>
    </w:p>
    <w:p w:rsidR="009C368C" w:rsidRPr="009C368C" w:rsidRDefault="009C368C" w:rsidP="009C368C">
      <w:pPr>
        <w:spacing w:after="0" w:line="240" w:lineRule="auto"/>
        <w:ind w:left="720"/>
        <w:rPr>
          <w:rFonts w:ascii="Times New Roman" w:hAnsi="Times New Roman"/>
          <w:b/>
          <w:sz w:val="24"/>
          <w:szCs w:val="24"/>
        </w:rPr>
      </w:pPr>
      <w:r w:rsidRPr="009C368C">
        <w:rPr>
          <w:rFonts w:ascii="Times New Roman" w:hAnsi="Times New Roman"/>
          <w:b/>
          <w:sz w:val="24"/>
          <w:szCs w:val="24"/>
        </w:rPr>
        <w:t>i.</w:t>
      </w:r>
      <w:r w:rsidRPr="009C368C">
        <w:rPr>
          <w:rFonts w:ascii="Times New Roman" w:hAnsi="Times New Roman"/>
          <w:b/>
          <w:sz w:val="24"/>
          <w:szCs w:val="24"/>
        </w:rPr>
        <w:tab/>
        <w:t>Background</w:t>
      </w:r>
    </w:p>
    <w:p w:rsidR="009C368C" w:rsidRDefault="009C368C" w:rsidP="009C368C">
      <w:pPr>
        <w:pStyle w:val="ListParagraph"/>
        <w:rPr>
          <w:rFonts w:ascii="Times New Roman" w:hAnsi="Times New Roman"/>
          <w:sz w:val="24"/>
          <w:szCs w:val="24"/>
        </w:rPr>
      </w:pPr>
    </w:p>
    <w:p w:rsidR="00661A97" w:rsidRPr="009C368C" w:rsidRDefault="00310BDF" w:rsidP="00310BDF">
      <w:pPr>
        <w:pStyle w:val="ListParagraph"/>
        <w:numPr>
          <w:ilvl w:val="0"/>
          <w:numId w:val="1"/>
        </w:numPr>
        <w:spacing w:line="480" w:lineRule="auto"/>
        <w:rPr>
          <w:rFonts w:ascii="Times New Roman" w:hAnsi="Times New Roman"/>
          <w:sz w:val="24"/>
          <w:szCs w:val="24"/>
        </w:rPr>
      </w:pPr>
      <w:r w:rsidRPr="009C368C">
        <w:rPr>
          <w:rFonts w:ascii="Times New Roman" w:hAnsi="Times New Roman"/>
          <w:sz w:val="24"/>
          <w:szCs w:val="24"/>
        </w:rPr>
        <w:tab/>
      </w:r>
      <w:r w:rsidR="00C30071" w:rsidRPr="009C368C">
        <w:rPr>
          <w:rFonts w:ascii="Times New Roman" w:hAnsi="Times New Roman"/>
          <w:sz w:val="24"/>
          <w:szCs w:val="24"/>
        </w:rPr>
        <w:t>On December 30, 2008, PSE requested permission from the IRS to change its tax accounting method for the treatment of repairs</w:t>
      </w:r>
      <w:r w:rsidRPr="009C368C">
        <w:rPr>
          <w:rFonts w:ascii="Times New Roman" w:hAnsi="Times New Roman"/>
          <w:sz w:val="24"/>
          <w:szCs w:val="24"/>
        </w:rPr>
        <w:t xml:space="preserve"> deductions</w:t>
      </w:r>
      <w:r w:rsidR="00C30071" w:rsidRPr="009C368C">
        <w:rPr>
          <w:rFonts w:ascii="Times New Roman" w:hAnsi="Times New Roman"/>
          <w:sz w:val="24"/>
          <w:szCs w:val="24"/>
        </w:rPr>
        <w:t>.</w:t>
      </w:r>
      <w:r w:rsidR="00C30071" w:rsidRPr="00C30071">
        <w:rPr>
          <w:rStyle w:val="FootnoteReference"/>
          <w:rFonts w:ascii="Times New Roman" w:hAnsi="Times New Roman"/>
          <w:sz w:val="24"/>
          <w:szCs w:val="24"/>
        </w:rPr>
        <w:footnoteReference w:id="250"/>
      </w:r>
      <w:r w:rsidR="00661A97" w:rsidRPr="009C368C">
        <w:rPr>
          <w:rFonts w:ascii="Times New Roman" w:hAnsi="Times New Roman"/>
          <w:sz w:val="24"/>
          <w:szCs w:val="24"/>
        </w:rPr>
        <w:t xml:space="preserve">  </w:t>
      </w:r>
      <w:r w:rsidRPr="009C368C">
        <w:rPr>
          <w:rFonts w:ascii="Times New Roman" w:hAnsi="Times New Roman"/>
          <w:sz w:val="24"/>
          <w:szCs w:val="24"/>
        </w:rPr>
        <w:t xml:space="preserve">The IRS approved the </w:t>
      </w:r>
      <w:r w:rsidR="00F125AC" w:rsidRPr="009C368C">
        <w:rPr>
          <w:rFonts w:ascii="Times New Roman" w:hAnsi="Times New Roman"/>
          <w:sz w:val="24"/>
          <w:szCs w:val="24"/>
        </w:rPr>
        <w:t>request</w:t>
      </w:r>
      <w:r w:rsidR="00C30071" w:rsidRPr="009C368C">
        <w:rPr>
          <w:rFonts w:ascii="Times New Roman" w:hAnsi="Times New Roman"/>
          <w:sz w:val="24"/>
          <w:szCs w:val="24"/>
        </w:rPr>
        <w:t xml:space="preserve"> on August 20, 2009, and on September 15, 2009, PSE signed a consent letter </w:t>
      </w:r>
      <w:r w:rsidR="00F125AC" w:rsidRPr="009C368C">
        <w:rPr>
          <w:rFonts w:ascii="Times New Roman" w:hAnsi="Times New Roman"/>
          <w:sz w:val="24"/>
          <w:szCs w:val="24"/>
        </w:rPr>
        <w:t xml:space="preserve">making </w:t>
      </w:r>
      <w:r w:rsidR="00C30071" w:rsidRPr="009C368C">
        <w:rPr>
          <w:rFonts w:ascii="Times New Roman" w:hAnsi="Times New Roman"/>
          <w:sz w:val="24"/>
          <w:szCs w:val="24"/>
        </w:rPr>
        <w:t>the new meth</w:t>
      </w:r>
      <w:r w:rsidRPr="009C368C">
        <w:rPr>
          <w:rFonts w:ascii="Times New Roman" w:hAnsi="Times New Roman"/>
          <w:sz w:val="24"/>
          <w:szCs w:val="24"/>
        </w:rPr>
        <w:t xml:space="preserve">od </w:t>
      </w:r>
      <w:r w:rsidR="00C30071" w:rsidRPr="009C368C">
        <w:rPr>
          <w:rFonts w:ascii="Times New Roman" w:hAnsi="Times New Roman"/>
          <w:sz w:val="24"/>
          <w:szCs w:val="24"/>
        </w:rPr>
        <w:t>effective</w:t>
      </w:r>
      <w:r w:rsidR="00661A97" w:rsidRPr="009C368C">
        <w:rPr>
          <w:rFonts w:ascii="Times New Roman" w:hAnsi="Times New Roman"/>
          <w:sz w:val="24"/>
          <w:szCs w:val="24"/>
        </w:rPr>
        <w:t xml:space="preserve"> </w:t>
      </w:r>
      <w:r w:rsidR="00F125AC" w:rsidRPr="009C368C">
        <w:rPr>
          <w:rFonts w:ascii="Times New Roman" w:hAnsi="Times New Roman"/>
          <w:sz w:val="24"/>
          <w:szCs w:val="24"/>
        </w:rPr>
        <w:t xml:space="preserve">for </w:t>
      </w:r>
      <w:r w:rsidR="00661A97" w:rsidRPr="009C368C">
        <w:rPr>
          <w:rFonts w:ascii="Times New Roman" w:hAnsi="Times New Roman"/>
          <w:sz w:val="24"/>
          <w:szCs w:val="24"/>
        </w:rPr>
        <w:t>2008 and subsequent years</w:t>
      </w:r>
      <w:r w:rsidR="00C30071" w:rsidRPr="009C368C">
        <w:rPr>
          <w:rFonts w:ascii="Times New Roman" w:hAnsi="Times New Roman"/>
          <w:sz w:val="24"/>
          <w:szCs w:val="24"/>
        </w:rPr>
        <w:t>.</w:t>
      </w:r>
      <w:r w:rsidR="00C30071" w:rsidRPr="00C30071">
        <w:rPr>
          <w:rStyle w:val="FootnoteReference"/>
          <w:rFonts w:ascii="Times New Roman" w:hAnsi="Times New Roman"/>
          <w:sz w:val="24"/>
          <w:szCs w:val="24"/>
        </w:rPr>
        <w:footnoteReference w:id="251"/>
      </w:r>
      <w:r w:rsidR="00C30071" w:rsidRPr="009C368C">
        <w:rPr>
          <w:rFonts w:ascii="Times New Roman" w:hAnsi="Times New Roman"/>
          <w:sz w:val="24"/>
          <w:szCs w:val="24"/>
        </w:rPr>
        <w:t xml:space="preserve">  On its 2008, 2009 and 2010 income tax returns</w:t>
      </w:r>
      <w:r w:rsidRPr="009C368C">
        <w:rPr>
          <w:rFonts w:ascii="Times New Roman" w:hAnsi="Times New Roman"/>
          <w:sz w:val="24"/>
          <w:szCs w:val="24"/>
        </w:rPr>
        <w:t>,</w:t>
      </w:r>
      <w:r w:rsidR="00C30071" w:rsidRPr="009C368C">
        <w:rPr>
          <w:rFonts w:ascii="Times New Roman" w:hAnsi="Times New Roman"/>
          <w:sz w:val="24"/>
          <w:szCs w:val="24"/>
        </w:rPr>
        <w:t xml:space="preserve"> PSE took</w:t>
      </w:r>
      <w:r w:rsidR="003B3A0B" w:rsidRPr="009C368C">
        <w:rPr>
          <w:rFonts w:ascii="Times New Roman" w:hAnsi="Times New Roman"/>
          <w:sz w:val="24"/>
          <w:szCs w:val="24"/>
        </w:rPr>
        <w:t xml:space="preserve"> deductions </w:t>
      </w:r>
      <w:r w:rsidR="00AD1305" w:rsidRPr="009C368C">
        <w:rPr>
          <w:rFonts w:ascii="Times New Roman" w:hAnsi="Times New Roman"/>
          <w:sz w:val="24"/>
          <w:szCs w:val="24"/>
        </w:rPr>
        <w:t xml:space="preserve">using the </w:t>
      </w:r>
      <w:r w:rsidR="00C30071" w:rsidRPr="009C368C">
        <w:rPr>
          <w:rFonts w:ascii="Times New Roman" w:hAnsi="Times New Roman"/>
          <w:sz w:val="24"/>
          <w:szCs w:val="24"/>
        </w:rPr>
        <w:t>new tax accountin</w:t>
      </w:r>
      <w:r w:rsidR="00AD1305" w:rsidRPr="009C368C">
        <w:rPr>
          <w:rFonts w:ascii="Times New Roman" w:hAnsi="Times New Roman"/>
          <w:sz w:val="24"/>
          <w:szCs w:val="24"/>
        </w:rPr>
        <w:t xml:space="preserve">g </w:t>
      </w:r>
      <w:r w:rsidR="00C30071" w:rsidRPr="009C368C">
        <w:rPr>
          <w:rFonts w:ascii="Times New Roman" w:hAnsi="Times New Roman"/>
          <w:sz w:val="24"/>
          <w:szCs w:val="24"/>
        </w:rPr>
        <w:t xml:space="preserve">that produced larger </w:t>
      </w:r>
      <w:r w:rsidR="003B3A0B" w:rsidRPr="009C368C">
        <w:rPr>
          <w:rFonts w:ascii="Times New Roman" w:hAnsi="Times New Roman"/>
          <w:sz w:val="24"/>
          <w:szCs w:val="24"/>
        </w:rPr>
        <w:t xml:space="preserve">repairs </w:t>
      </w:r>
      <w:r w:rsidR="00C30071" w:rsidRPr="009C368C">
        <w:rPr>
          <w:rFonts w:ascii="Times New Roman" w:hAnsi="Times New Roman"/>
          <w:sz w:val="24"/>
          <w:szCs w:val="24"/>
        </w:rPr>
        <w:t>ded</w:t>
      </w:r>
      <w:r w:rsidR="00F125AC" w:rsidRPr="009C368C">
        <w:rPr>
          <w:rFonts w:ascii="Times New Roman" w:hAnsi="Times New Roman"/>
          <w:sz w:val="24"/>
          <w:szCs w:val="24"/>
        </w:rPr>
        <w:t xml:space="preserve">uctions than the </w:t>
      </w:r>
      <w:r w:rsidRPr="009C368C">
        <w:rPr>
          <w:rFonts w:ascii="Times New Roman" w:hAnsi="Times New Roman"/>
          <w:sz w:val="24"/>
          <w:szCs w:val="24"/>
        </w:rPr>
        <w:t>prior method</w:t>
      </w:r>
      <w:r w:rsidR="00C30071" w:rsidRPr="009C368C">
        <w:rPr>
          <w:rFonts w:ascii="Times New Roman" w:hAnsi="Times New Roman"/>
          <w:sz w:val="24"/>
          <w:szCs w:val="24"/>
        </w:rPr>
        <w:t>.</w:t>
      </w:r>
      <w:r w:rsidR="00C30071" w:rsidRPr="00C30071">
        <w:rPr>
          <w:rStyle w:val="FootnoteReference"/>
          <w:rFonts w:ascii="Times New Roman" w:hAnsi="Times New Roman"/>
          <w:sz w:val="24"/>
          <w:szCs w:val="24"/>
        </w:rPr>
        <w:footnoteReference w:id="252"/>
      </w:r>
      <w:r w:rsidR="003B3A0B" w:rsidRPr="009C368C">
        <w:rPr>
          <w:rFonts w:ascii="Times New Roman" w:hAnsi="Times New Roman"/>
          <w:sz w:val="24"/>
          <w:szCs w:val="24"/>
        </w:rPr>
        <w:t xml:space="preserve">  PSE</w:t>
      </w:r>
      <w:r w:rsidR="00C30071" w:rsidRPr="009C368C">
        <w:rPr>
          <w:rFonts w:ascii="Times New Roman" w:hAnsi="Times New Roman"/>
          <w:sz w:val="24"/>
          <w:szCs w:val="24"/>
        </w:rPr>
        <w:t>’s 2008 income tax return also reflect</w:t>
      </w:r>
      <w:r w:rsidRPr="009C368C">
        <w:rPr>
          <w:rFonts w:ascii="Times New Roman" w:hAnsi="Times New Roman"/>
          <w:sz w:val="24"/>
          <w:szCs w:val="24"/>
        </w:rPr>
        <w:t>ed the cumulative impact of the</w:t>
      </w:r>
      <w:r w:rsidR="00C30071" w:rsidRPr="009C368C">
        <w:rPr>
          <w:rFonts w:ascii="Times New Roman" w:hAnsi="Times New Roman"/>
          <w:sz w:val="24"/>
          <w:szCs w:val="24"/>
        </w:rPr>
        <w:t xml:space="preserve"> tax accounting method change.</w:t>
      </w:r>
      <w:r w:rsidR="00C30071" w:rsidRPr="00C30071">
        <w:rPr>
          <w:rStyle w:val="FootnoteReference"/>
          <w:rFonts w:ascii="Times New Roman" w:hAnsi="Times New Roman"/>
          <w:sz w:val="24"/>
          <w:szCs w:val="24"/>
        </w:rPr>
        <w:footnoteReference w:id="253"/>
      </w:r>
      <w:r w:rsidR="00C30071" w:rsidRPr="009C368C">
        <w:rPr>
          <w:rFonts w:ascii="Times New Roman" w:hAnsi="Times New Roman"/>
          <w:sz w:val="24"/>
          <w:szCs w:val="24"/>
        </w:rPr>
        <w:t xml:space="preserve">  The larger repairs deductions had an equal and offsetting impact on current and deferred income tax expense, and increased ADIT, which is a reduction to rate base.</w:t>
      </w:r>
      <w:r w:rsidR="00C30071" w:rsidRPr="00C30071">
        <w:rPr>
          <w:rStyle w:val="FootnoteReference"/>
          <w:rFonts w:ascii="Times New Roman" w:hAnsi="Times New Roman"/>
          <w:sz w:val="24"/>
          <w:szCs w:val="24"/>
        </w:rPr>
        <w:footnoteReference w:id="254"/>
      </w:r>
      <w:r w:rsidR="00C30071" w:rsidRPr="009C368C">
        <w:rPr>
          <w:rFonts w:ascii="Times New Roman" w:hAnsi="Times New Roman"/>
          <w:sz w:val="24"/>
          <w:szCs w:val="24"/>
        </w:rPr>
        <w:t xml:space="preserve">  All of these </w:t>
      </w:r>
      <w:r w:rsidR="003B3A0B" w:rsidRPr="009C368C">
        <w:rPr>
          <w:rFonts w:ascii="Times New Roman" w:hAnsi="Times New Roman"/>
          <w:sz w:val="24"/>
          <w:szCs w:val="24"/>
        </w:rPr>
        <w:t>events</w:t>
      </w:r>
      <w:r w:rsidR="00C30071" w:rsidRPr="009C368C">
        <w:rPr>
          <w:rFonts w:ascii="Times New Roman" w:hAnsi="Times New Roman"/>
          <w:sz w:val="24"/>
          <w:szCs w:val="24"/>
        </w:rPr>
        <w:t xml:space="preserve"> occurred before or during the test year.</w:t>
      </w:r>
    </w:p>
    <w:p w:rsidR="004F6171"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1E2E03" w:rsidRPr="009C368C">
        <w:rPr>
          <w:rFonts w:ascii="Times New Roman" w:hAnsi="Times New Roman"/>
          <w:sz w:val="24"/>
          <w:szCs w:val="24"/>
        </w:rPr>
        <w:t xml:space="preserve">The increase in </w:t>
      </w:r>
      <w:r w:rsidR="00C30071" w:rsidRPr="009C368C">
        <w:rPr>
          <w:rFonts w:ascii="Times New Roman" w:hAnsi="Times New Roman"/>
          <w:sz w:val="24"/>
          <w:szCs w:val="24"/>
        </w:rPr>
        <w:t>ADIT from the change in tax accounting for only the repairs dedu</w:t>
      </w:r>
      <w:r w:rsidR="00661A97" w:rsidRPr="009C368C">
        <w:rPr>
          <w:rFonts w:ascii="Times New Roman" w:hAnsi="Times New Roman"/>
          <w:sz w:val="24"/>
          <w:szCs w:val="24"/>
        </w:rPr>
        <w:t xml:space="preserve">ctions </w:t>
      </w:r>
      <w:r w:rsidR="003B3A0B" w:rsidRPr="009C368C">
        <w:rPr>
          <w:rFonts w:ascii="Times New Roman" w:hAnsi="Times New Roman"/>
          <w:sz w:val="24"/>
          <w:szCs w:val="24"/>
        </w:rPr>
        <w:t>is</w:t>
      </w:r>
      <w:r w:rsidR="00C30071" w:rsidRPr="009C368C">
        <w:rPr>
          <w:rFonts w:ascii="Times New Roman" w:hAnsi="Times New Roman"/>
          <w:sz w:val="24"/>
          <w:szCs w:val="24"/>
        </w:rPr>
        <w:t xml:space="preserve"> $</w:t>
      </w:r>
      <w:r w:rsidR="00661A97" w:rsidRPr="009C368C">
        <w:rPr>
          <w:rFonts w:ascii="Times New Roman" w:hAnsi="Times New Roman"/>
          <w:sz w:val="24"/>
          <w:szCs w:val="24"/>
        </w:rPr>
        <w:t xml:space="preserve">41,842,225 for electric </w:t>
      </w:r>
      <w:r w:rsidR="00C30071" w:rsidRPr="009C368C">
        <w:rPr>
          <w:rFonts w:ascii="Times New Roman" w:hAnsi="Times New Roman"/>
          <w:sz w:val="24"/>
          <w:szCs w:val="24"/>
        </w:rPr>
        <w:t xml:space="preserve">operations </w:t>
      </w:r>
      <w:r w:rsidR="00661A97" w:rsidRPr="009C368C">
        <w:rPr>
          <w:rFonts w:ascii="Times New Roman" w:hAnsi="Times New Roman"/>
          <w:sz w:val="24"/>
          <w:szCs w:val="24"/>
        </w:rPr>
        <w:t>and</w:t>
      </w:r>
      <w:r w:rsidR="00F125AC" w:rsidRPr="009C368C">
        <w:rPr>
          <w:rFonts w:ascii="Times New Roman" w:hAnsi="Times New Roman"/>
          <w:sz w:val="24"/>
          <w:szCs w:val="24"/>
        </w:rPr>
        <w:t xml:space="preserve"> $24,996,849 for gas operations thr</w:t>
      </w:r>
      <w:r w:rsidR="00C30071" w:rsidRPr="009C368C">
        <w:rPr>
          <w:rFonts w:ascii="Times New Roman" w:hAnsi="Times New Roman"/>
          <w:sz w:val="24"/>
          <w:szCs w:val="24"/>
        </w:rPr>
        <w:t>ough December 31, 2010, the end of the test year</w:t>
      </w:r>
      <w:r w:rsidR="00F125AC" w:rsidRPr="009C368C">
        <w:rPr>
          <w:rFonts w:ascii="Times New Roman" w:hAnsi="Times New Roman"/>
          <w:sz w:val="24"/>
          <w:szCs w:val="24"/>
        </w:rPr>
        <w:t>.</w:t>
      </w:r>
      <w:r w:rsidR="00F125AC">
        <w:rPr>
          <w:rStyle w:val="FootnoteReference"/>
          <w:rFonts w:ascii="Times New Roman" w:hAnsi="Times New Roman"/>
          <w:sz w:val="24"/>
          <w:szCs w:val="24"/>
        </w:rPr>
        <w:footnoteReference w:id="255"/>
      </w:r>
      <w:r w:rsidR="00F125AC" w:rsidRPr="009C368C">
        <w:rPr>
          <w:rFonts w:ascii="Times New Roman" w:hAnsi="Times New Roman"/>
          <w:sz w:val="24"/>
          <w:szCs w:val="24"/>
        </w:rPr>
        <w:t xml:space="preserve">  </w:t>
      </w:r>
      <w:r w:rsidR="001E2E03" w:rsidRPr="009C368C">
        <w:rPr>
          <w:rFonts w:ascii="Times New Roman" w:hAnsi="Times New Roman"/>
          <w:sz w:val="24"/>
          <w:szCs w:val="24"/>
        </w:rPr>
        <w:t>PSE’s 2010 rate base</w:t>
      </w:r>
      <w:r w:rsidR="00B934D7" w:rsidRPr="009C368C">
        <w:rPr>
          <w:rFonts w:ascii="Times New Roman" w:hAnsi="Times New Roman"/>
          <w:sz w:val="24"/>
          <w:szCs w:val="24"/>
        </w:rPr>
        <w:t>, therefore,</w:t>
      </w:r>
      <w:r w:rsidR="00AD1305" w:rsidRPr="009C368C">
        <w:rPr>
          <w:rFonts w:ascii="Times New Roman" w:hAnsi="Times New Roman"/>
          <w:sz w:val="24"/>
          <w:szCs w:val="24"/>
        </w:rPr>
        <w:t xml:space="preserve"> should be decreased by these amounts</w:t>
      </w:r>
      <w:r w:rsidR="001E2E03" w:rsidRPr="009C368C">
        <w:rPr>
          <w:rFonts w:ascii="Times New Roman" w:hAnsi="Times New Roman"/>
          <w:sz w:val="24"/>
          <w:szCs w:val="24"/>
        </w:rPr>
        <w:t xml:space="preserve">, after they are netted against the related impacts from the change in tax accounting for </w:t>
      </w:r>
      <w:r w:rsidR="001E2E03" w:rsidRPr="009C368C">
        <w:rPr>
          <w:rFonts w:ascii="Times New Roman" w:hAnsi="Times New Roman"/>
          <w:sz w:val="24"/>
          <w:szCs w:val="24"/>
        </w:rPr>
        <w:lastRenderedPageBreak/>
        <w:t>retirements.</w:t>
      </w:r>
      <w:r w:rsidR="001E2E03">
        <w:rPr>
          <w:rStyle w:val="FootnoteReference"/>
          <w:rFonts w:ascii="Times New Roman" w:hAnsi="Times New Roman"/>
          <w:sz w:val="24"/>
          <w:szCs w:val="24"/>
        </w:rPr>
        <w:footnoteReference w:id="256"/>
      </w:r>
      <w:r w:rsidR="001E2E03" w:rsidRPr="009C368C">
        <w:rPr>
          <w:rFonts w:ascii="Times New Roman" w:hAnsi="Times New Roman"/>
          <w:sz w:val="24"/>
          <w:szCs w:val="24"/>
        </w:rPr>
        <w:t xml:space="preserve">  </w:t>
      </w:r>
      <w:r w:rsidR="00F125AC" w:rsidRPr="009C368C">
        <w:rPr>
          <w:rFonts w:ascii="Times New Roman" w:hAnsi="Times New Roman"/>
          <w:sz w:val="24"/>
          <w:szCs w:val="24"/>
        </w:rPr>
        <w:t xml:space="preserve">However, </w:t>
      </w:r>
      <w:r w:rsidR="00C30071" w:rsidRPr="009C368C">
        <w:rPr>
          <w:rFonts w:ascii="Times New Roman" w:hAnsi="Times New Roman"/>
          <w:sz w:val="24"/>
          <w:szCs w:val="24"/>
        </w:rPr>
        <w:t xml:space="preserve">the Company has not reflected </w:t>
      </w:r>
      <w:r w:rsidR="00F125AC" w:rsidRPr="009C368C">
        <w:rPr>
          <w:rFonts w:ascii="Times New Roman" w:hAnsi="Times New Roman"/>
          <w:sz w:val="24"/>
          <w:szCs w:val="24"/>
        </w:rPr>
        <w:t xml:space="preserve">the benefit of </w:t>
      </w:r>
      <w:r w:rsidR="00AD1305" w:rsidRPr="009C368C">
        <w:rPr>
          <w:rFonts w:ascii="Times New Roman" w:hAnsi="Times New Roman"/>
          <w:sz w:val="24"/>
          <w:szCs w:val="24"/>
        </w:rPr>
        <w:t xml:space="preserve">any rate base reduction in this </w:t>
      </w:r>
      <w:r w:rsidR="00C30071" w:rsidRPr="009C368C">
        <w:rPr>
          <w:rFonts w:ascii="Times New Roman" w:hAnsi="Times New Roman"/>
          <w:sz w:val="24"/>
          <w:szCs w:val="24"/>
        </w:rPr>
        <w:t>case.</w:t>
      </w:r>
      <w:r w:rsidR="00C30071" w:rsidRPr="00C30071">
        <w:rPr>
          <w:rStyle w:val="FootnoteReference"/>
          <w:rFonts w:ascii="Times New Roman" w:hAnsi="Times New Roman"/>
          <w:sz w:val="24"/>
          <w:szCs w:val="24"/>
        </w:rPr>
        <w:footnoteReference w:id="257"/>
      </w:r>
      <w:r w:rsidR="00C95D96" w:rsidRPr="009C368C">
        <w:rPr>
          <w:rFonts w:ascii="Times New Roman" w:hAnsi="Times New Roman"/>
          <w:sz w:val="24"/>
          <w:szCs w:val="24"/>
        </w:rPr>
        <w:t xml:space="preserve"> </w:t>
      </w:r>
      <w:r w:rsidR="001E2E03" w:rsidRPr="009C368C">
        <w:rPr>
          <w:rFonts w:ascii="Times New Roman" w:hAnsi="Times New Roman"/>
          <w:sz w:val="24"/>
          <w:szCs w:val="24"/>
        </w:rPr>
        <w:t xml:space="preserve">  </w:t>
      </w:r>
      <w:r w:rsidR="00AD1305" w:rsidRPr="009C368C">
        <w:rPr>
          <w:rFonts w:ascii="Times New Roman" w:hAnsi="Times New Roman"/>
          <w:sz w:val="24"/>
          <w:szCs w:val="24"/>
        </w:rPr>
        <w:t>PSE</w:t>
      </w:r>
      <w:r w:rsidR="001E2E03" w:rsidRPr="009C368C">
        <w:rPr>
          <w:rFonts w:ascii="Times New Roman" w:hAnsi="Times New Roman"/>
          <w:sz w:val="24"/>
          <w:szCs w:val="24"/>
        </w:rPr>
        <w:t xml:space="preserve">’s justification for denying ratepayers these </w:t>
      </w:r>
      <w:r w:rsidR="00E46214">
        <w:rPr>
          <w:rFonts w:ascii="Times New Roman" w:hAnsi="Times New Roman"/>
          <w:sz w:val="24"/>
          <w:szCs w:val="24"/>
        </w:rPr>
        <w:t xml:space="preserve">significant </w:t>
      </w:r>
      <w:r w:rsidR="001E2E03" w:rsidRPr="009C368C">
        <w:rPr>
          <w:rFonts w:ascii="Times New Roman" w:hAnsi="Times New Roman"/>
          <w:sz w:val="24"/>
          <w:szCs w:val="24"/>
        </w:rPr>
        <w:t>benefits is</w:t>
      </w:r>
      <w:r w:rsidR="003B3A0B" w:rsidRPr="009C368C">
        <w:rPr>
          <w:rFonts w:ascii="Times New Roman" w:hAnsi="Times New Roman"/>
          <w:sz w:val="24"/>
          <w:szCs w:val="24"/>
        </w:rPr>
        <w:t xml:space="preserve"> baseless.</w:t>
      </w:r>
    </w:p>
    <w:p w:rsidR="003B3A0B" w:rsidRDefault="003B3A0B" w:rsidP="003B3A0B">
      <w:pPr>
        <w:spacing w:after="0" w:line="240" w:lineRule="auto"/>
        <w:ind w:left="2880" w:hanging="720"/>
        <w:rPr>
          <w:rFonts w:ascii="Times New Roman" w:hAnsi="Times New Roman" w:cs="Times New Roman"/>
          <w:b/>
          <w:sz w:val="24"/>
          <w:szCs w:val="24"/>
        </w:rPr>
      </w:pPr>
      <w:r w:rsidRPr="003B3A0B">
        <w:rPr>
          <w:rFonts w:ascii="Times New Roman" w:hAnsi="Times New Roman" w:cs="Times New Roman"/>
          <w:b/>
          <w:sz w:val="24"/>
          <w:szCs w:val="24"/>
        </w:rPr>
        <w:t>ii.</w:t>
      </w:r>
      <w:r w:rsidRPr="003B3A0B">
        <w:rPr>
          <w:rFonts w:ascii="Times New Roman" w:hAnsi="Times New Roman" w:cs="Times New Roman"/>
          <w:b/>
          <w:sz w:val="24"/>
          <w:szCs w:val="24"/>
        </w:rPr>
        <w:tab/>
        <w:t>The Company’s Position Ignores the Plain Reading of Prior Commission Decisions that Require the Impact of the Repairs Deduction Change in Tax Accounting to Reduce Rate Base</w:t>
      </w:r>
    </w:p>
    <w:p w:rsidR="003B3A0B" w:rsidRDefault="003B3A0B" w:rsidP="003B3A0B">
      <w:pPr>
        <w:spacing w:after="0" w:line="240" w:lineRule="auto"/>
        <w:rPr>
          <w:rFonts w:ascii="Times New Roman" w:hAnsi="Times New Roman" w:cs="Times New Roman"/>
          <w:b/>
          <w:sz w:val="24"/>
          <w:szCs w:val="24"/>
        </w:rPr>
      </w:pPr>
    </w:p>
    <w:p w:rsidR="00AA1CF5"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A1CF5" w:rsidRPr="009C368C">
        <w:rPr>
          <w:rFonts w:ascii="Times New Roman" w:hAnsi="Times New Roman"/>
          <w:sz w:val="24"/>
          <w:szCs w:val="24"/>
        </w:rPr>
        <w:t xml:space="preserve">PSE proposes to not reflect any of the increase in ADIT on the basis that the IRS has not yet completed an audit of PSE’s deductions for repairs under the new tax accounting method.  </w:t>
      </w:r>
      <w:r w:rsidR="005D4677" w:rsidRPr="009C368C">
        <w:rPr>
          <w:rFonts w:ascii="Times New Roman" w:hAnsi="Times New Roman"/>
          <w:sz w:val="24"/>
          <w:szCs w:val="24"/>
        </w:rPr>
        <w:t>PSE</w:t>
      </w:r>
      <w:r w:rsidR="00161EA0" w:rsidRPr="009C368C">
        <w:rPr>
          <w:rFonts w:ascii="Times New Roman" w:hAnsi="Times New Roman"/>
          <w:sz w:val="24"/>
          <w:szCs w:val="24"/>
        </w:rPr>
        <w:t xml:space="preserve">’s position </w:t>
      </w:r>
      <w:r w:rsidR="00AA1CF5" w:rsidRPr="009C368C">
        <w:rPr>
          <w:rFonts w:ascii="Times New Roman" w:hAnsi="Times New Roman"/>
          <w:sz w:val="24"/>
          <w:szCs w:val="24"/>
        </w:rPr>
        <w:t xml:space="preserve">relies </w:t>
      </w:r>
      <w:r w:rsidR="00E46214">
        <w:rPr>
          <w:rFonts w:ascii="Times New Roman" w:hAnsi="Times New Roman"/>
          <w:sz w:val="24"/>
          <w:szCs w:val="24"/>
        </w:rPr>
        <w:t xml:space="preserve">entirely </w:t>
      </w:r>
      <w:r w:rsidR="00AA1CF5" w:rsidRPr="009C368C">
        <w:rPr>
          <w:rFonts w:ascii="Times New Roman" w:hAnsi="Times New Roman"/>
          <w:sz w:val="24"/>
          <w:szCs w:val="24"/>
        </w:rPr>
        <w:t>upon Commiss</w:t>
      </w:r>
      <w:r w:rsidR="005D4677" w:rsidRPr="009C368C">
        <w:rPr>
          <w:rFonts w:ascii="Times New Roman" w:hAnsi="Times New Roman"/>
          <w:sz w:val="24"/>
          <w:szCs w:val="24"/>
        </w:rPr>
        <w:t xml:space="preserve">ion </w:t>
      </w:r>
      <w:r w:rsidR="00AA1CF5" w:rsidRPr="009C368C">
        <w:rPr>
          <w:rFonts w:ascii="Times New Roman" w:hAnsi="Times New Roman"/>
          <w:sz w:val="24"/>
          <w:szCs w:val="24"/>
        </w:rPr>
        <w:t xml:space="preserve">Order 11 </w:t>
      </w:r>
      <w:r w:rsidR="005D4677" w:rsidRPr="009C368C">
        <w:rPr>
          <w:rFonts w:ascii="Times New Roman" w:hAnsi="Times New Roman"/>
          <w:sz w:val="24"/>
          <w:szCs w:val="24"/>
        </w:rPr>
        <w:t>in its</w:t>
      </w:r>
      <w:r w:rsidR="00AA1CF5" w:rsidRPr="009C368C">
        <w:rPr>
          <w:rFonts w:ascii="Times New Roman" w:hAnsi="Times New Roman"/>
          <w:sz w:val="24"/>
          <w:szCs w:val="24"/>
        </w:rPr>
        <w:t xml:space="preserve"> 2009 general rate case.</w:t>
      </w:r>
      <w:r w:rsidR="00AA1CF5" w:rsidRPr="00AA1CF5">
        <w:rPr>
          <w:rStyle w:val="FootnoteReference"/>
          <w:rFonts w:ascii="Times New Roman" w:hAnsi="Times New Roman"/>
          <w:sz w:val="24"/>
          <w:szCs w:val="24"/>
        </w:rPr>
        <w:footnoteReference w:id="258"/>
      </w:r>
      <w:r w:rsidR="00AA1CF5" w:rsidRPr="009C368C">
        <w:rPr>
          <w:rFonts w:ascii="Times New Roman" w:hAnsi="Times New Roman"/>
          <w:sz w:val="24"/>
          <w:szCs w:val="24"/>
        </w:rPr>
        <w:t xml:space="preserve">  The Company </w:t>
      </w:r>
      <w:r w:rsidR="00A03A52" w:rsidRPr="009C368C">
        <w:rPr>
          <w:rFonts w:ascii="Times New Roman" w:hAnsi="Times New Roman"/>
          <w:sz w:val="24"/>
          <w:szCs w:val="24"/>
        </w:rPr>
        <w:t xml:space="preserve">grossly </w:t>
      </w:r>
      <w:r w:rsidR="00AA1CF5" w:rsidRPr="009C368C">
        <w:rPr>
          <w:rFonts w:ascii="Times New Roman" w:hAnsi="Times New Roman"/>
          <w:sz w:val="24"/>
          <w:szCs w:val="24"/>
        </w:rPr>
        <w:t>mischaracterizes that order</w:t>
      </w:r>
      <w:r w:rsidR="005D4677" w:rsidRPr="009C368C">
        <w:rPr>
          <w:rFonts w:ascii="Times New Roman" w:hAnsi="Times New Roman"/>
          <w:sz w:val="24"/>
          <w:szCs w:val="24"/>
        </w:rPr>
        <w:t xml:space="preserve"> and, therefore, its position should be rejected</w:t>
      </w:r>
      <w:r w:rsidR="00AA1CF5" w:rsidRPr="009C368C">
        <w:rPr>
          <w:rFonts w:ascii="Times New Roman" w:hAnsi="Times New Roman"/>
          <w:sz w:val="24"/>
          <w:szCs w:val="24"/>
        </w:rPr>
        <w:t>.</w:t>
      </w:r>
    </w:p>
    <w:p w:rsidR="0015750F"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15750F" w:rsidRPr="009C368C">
        <w:rPr>
          <w:rFonts w:ascii="Times New Roman" w:hAnsi="Times New Roman"/>
          <w:sz w:val="24"/>
          <w:szCs w:val="24"/>
        </w:rPr>
        <w:t xml:space="preserve">In PSE’s 2009 general rate case, the Federal Executive Agencies </w:t>
      </w:r>
      <w:r w:rsidR="005D4677" w:rsidRPr="009C368C">
        <w:rPr>
          <w:rFonts w:ascii="Times New Roman" w:hAnsi="Times New Roman"/>
          <w:sz w:val="24"/>
          <w:szCs w:val="24"/>
        </w:rPr>
        <w:t xml:space="preserve">(“FEA”) </w:t>
      </w:r>
      <w:r w:rsidR="0015750F" w:rsidRPr="009C368C">
        <w:rPr>
          <w:rFonts w:ascii="Times New Roman" w:hAnsi="Times New Roman"/>
          <w:sz w:val="24"/>
          <w:szCs w:val="24"/>
        </w:rPr>
        <w:t xml:space="preserve">argued that rate base should be reduced to reflect the impact on ADIT of the change in tax accounting for repairs deductions approved </w:t>
      </w:r>
      <w:r w:rsidR="00A03A52" w:rsidRPr="009C368C">
        <w:rPr>
          <w:rFonts w:ascii="Times New Roman" w:hAnsi="Times New Roman"/>
          <w:sz w:val="24"/>
          <w:szCs w:val="24"/>
        </w:rPr>
        <w:t>by the IRS.  PSE opposed the</w:t>
      </w:r>
      <w:r w:rsidR="0015750F" w:rsidRPr="009C368C">
        <w:rPr>
          <w:rFonts w:ascii="Times New Roman" w:hAnsi="Times New Roman"/>
          <w:sz w:val="24"/>
          <w:szCs w:val="24"/>
        </w:rPr>
        <w:t xml:space="preserve"> adjustment because the IRS had not yet audited the Company’s implementation of the new method and because IRS approval of the new method had not occurred until “long after the end of the test period” in that case.</w:t>
      </w:r>
      <w:r w:rsidR="005D4677" w:rsidRPr="009C368C">
        <w:rPr>
          <w:rFonts w:ascii="Times New Roman" w:hAnsi="Times New Roman"/>
          <w:sz w:val="24"/>
          <w:szCs w:val="24"/>
        </w:rPr>
        <w:t xml:space="preserve">  The Commission rejected FEA’s adjustment, stating:</w:t>
      </w:r>
    </w:p>
    <w:p w:rsidR="005D4677" w:rsidRPr="005D4677" w:rsidRDefault="005D4677" w:rsidP="005D4677">
      <w:pPr>
        <w:spacing w:after="0" w:line="240" w:lineRule="auto"/>
        <w:ind w:left="720"/>
        <w:rPr>
          <w:rFonts w:ascii="Times New Roman" w:hAnsi="Times New Roman" w:cs="Times New Roman"/>
          <w:sz w:val="24"/>
          <w:szCs w:val="24"/>
        </w:rPr>
      </w:pPr>
      <w:r w:rsidRPr="005D4677">
        <w:rPr>
          <w:rFonts w:ascii="Times New Roman" w:hAnsi="Times New Roman" w:cs="Times New Roman"/>
          <w:sz w:val="24"/>
          <w:szCs w:val="24"/>
        </w:rPr>
        <w:t xml:space="preserve">We accordingly reject FEA’s adjustment in this case as an inappropriate pro forma adjustment.  The final disposition with the IRS is not known and </w:t>
      </w:r>
      <w:r w:rsidRPr="005D4677">
        <w:rPr>
          <w:rFonts w:ascii="Times New Roman" w:eastAsia="Times New Roman" w:hAnsi="Times New Roman" w:cs="Times New Roman"/>
          <w:sz w:val="24"/>
          <w:szCs w:val="24"/>
          <w:lang w:eastAsia="zh-CN"/>
        </w:rPr>
        <w:t>the tax impact is in an</w:t>
      </w:r>
      <w:r w:rsidRPr="005D4677">
        <w:rPr>
          <w:rFonts w:ascii="Times New Roman" w:hAnsi="Times New Roman" w:cs="Times New Roman"/>
          <w:sz w:val="24"/>
          <w:szCs w:val="24"/>
        </w:rPr>
        <w:t>y</w:t>
      </w:r>
      <w:r w:rsidRPr="005D4677">
        <w:rPr>
          <w:rFonts w:ascii="Times New Roman" w:eastAsia="Times New Roman" w:hAnsi="Times New Roman" w:cs="Times New Roman"/>
          <w:sz w:val="24"/>
          <w:szCs w:val="24"/>
          <w:lang w:eastAsia="zh-CN"/>
        </w:rPr>
        <w:t xml:space="preserve"> event subsequent to the test-year.</w:t>
      </w:r>
      <w:r>
        <w:rPr>
          <w:rStyle w:val="FootnoteReference"/>
          <w:rFonts w:ascii="Times New Roman" w:eastAsia="Times New Roman" w:hAnsi="Times New Roman"/>
          <w:sz w:val="24"/>
          <w:szCs w:val="24"/>
          <w:lang w:eastAsia="zh-CN"/>
        </w:rPr>
        <w:footnoteReference w:id="259"/>
      </w:r>
      <w:r w:rsidRPr="005D4677">
        <w:rPr>
          <w:rFonts w:ascii="Times New Roman" w:eastAsia="Times New Roman" w:hAnsi="Times New Roman" w:cs="Times New Roman"/>
          <w:sz w:val="24"/>
          <w:szCs w:val="24"/>
          <w:lang w:eastAsia="zh-CN"/>
        </w:rPr>
        <w:t xml:space="preserve"> </w:t>
      </w:r>
      <w:r w:rsidRPr="005D4677">
        <w:rPr>
          <w:rFonts w:ascii="Times New Roman" w:hAnsi="Times New Roman" w:cs="Times New Roman"/>
          <w:sz w:val="24"/>
          <w:szCs w:val="24"/>
        </w:rPr>
        <w:t xml:space="preserve"> </w:t>
      </w:r>
    </w:p>
    <w:p w:rsidR="00AA1CF5" w:rsidRDefault="00AA1CF5" w:rsidP="005D4677">
      <w:pPr>
        <w:spacing w:after="0" w:line="240" w:lineRule="auto"/>
      </w:pPr>
    </w:p>
    <w:p w:rsidR="005D4677" w:rsidRDefault="00161EA0" w:rsidP="005D467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Therefore, a critical factor in the Commission’ decision was the fact that the tax impact of the new </w:t>
      </w:r>
      <w:r w:rsidR="00E46214">
        <w:rPr>
          <w:rFonts w:ascii="Times New Roman" w:hAnsi="Times New Roman" w:cs="Times New Roman"/>
          <w:sz w:val="24"/>
          <w:szCs w:val="24"/>
        </w:rPr>
        <w:t xml:space="preserve">tax accounting </w:t>
      </w:r>
      <w:r>
        <w:rPr>
          <w:rFonts w:ascii="Times New Roman" w:hAnsi="Times New Roman" w:cs="Times New Roman"/>
          <w:sz w:val="24"/>
          <w:szCs w:val="24"/>
        </w:rPr>
        <w:t>method for re</w:t>
      </w:r>
      <w:r w:rsidR="00E46214">
        <w:rPr>
          <w:rFonts w:ascii="Times New Roman" w:hAnsi="Times New Roman" w:cs="Times New Roman"/>
          <w:sz w:val="24"/>
          <w:szCs w:val="24"/>
        </w:rPr>
        <w:t xml:space="preserve">pairs deductions occurred </w:t>
      </w:r>
      <w:r w:rsidR="00A03A52">
        <w:rPr>
          <w:rFonts w:ascii="Times New Roman" w:hAnsi="Times New Roman" w:cs="Times New Roman"/>
          <w:sz w:val="24"/>
          <w:szCs w:val="24"/>
        </w:rPr>
        <w:t xml:space="preserve">“long after” </w:t>
      </w:r>
      <w:r>
        <w:rPr>
          <w:rFonts w:ascii="Times New Roman" w:hAnsi="Times New Roman" w:cs="Times New Roman"/>
          <w:sz w:val="24"/>
          <w:szCs w:val="24"/>
        </w:rPr>
        <w:t>the test year.  No such circumstance is presented in the current case where the tax impact of PSE’s repairs deductions is irrefutably an event that occurred before and during the test year.</w:t>
      </w:r>
    </w:p>
    <w:p w:rsidR="00161EA0"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lastRenderedPageBreak/>
        <w:tab/>
      </w:r>
      <w:r w:rsidR="00161EA0" w:rsidRPr="009C368C">
        <w:rPr>
          <w:rFonts w:ascii="Times New Roman" w:hAnsi="Times New Roman"/>
          <w:sz w:val="24"/>
          <w:szCs w:val="24"/>
        </w:rPr>
        <w:t xml:space="preserve">Moreover, </w:t>
      </w:r>
      <w:r w:rsidR="007452E3" w:rsidRPr="009C368C">
        <w:rPr>
          <w:rFonts w:ascii="Times New Roman" w:hAnsi="Times New Roman"/>
          <w:sz w:val="24"/>
          <w:szCs w:val="24"/>
        </w:rPr>
        <w:t xml:space="preserve">following PSE’s 2009 rate case, </w:t>
      </w:r>
      <w:r w:rsidR="00161EA0" w:rsidRPr="009C368C">
        <w:rPr>
          <w:rFonts w:ascii="Times New Roman" w:hAnsi="Times New Roman"/>
          <w:sz w:val="24"/>
          <w:szCs w:val="24"/>
        </w:rPr>
        <w:t xml:space="preserve">the Commission clearly addressed and </w:t>
      </w:r>
      <w:r w:rsidR="00865AE8" w:rsidRPr="009C368C">
        <w:rPr>
          <w:rFonts w:ascii="Times New Roman" w:hAnsi="Times New Roman"/>
          <w:sz w:val="24"/>
          <w:szCs w:val="24"/>
        </w:rPr>
        <w:t xml:space="preserve">expressly </w:t>
      </w:r>
      <w:r w:rsidR="00161EA0" w:rsidRPr="009C368C">
        <w:rPr>
          <w:rFonts w:ascii="Times New Roman" w:hAnsi="Times New Roman"/>
          <w:sz w:val="24"/>
          <w:szCs w:val="24"/>
        </w:rPr>
        <w:t xml:space="preserve">rejected the argument that a completed IRS audit is required before </w:t>
      </w:r>
      <w:r w:rsidR="00844538" w:rsidRPr="009C368C">
        <w:rPr>
          <w:rFonts w:ascii="Times New Roman" w:hAnsi="Times New Roman"/>
          <w:sz w:val="24"/>
          <w:szCs w:val="24"/>
        </w:rPr>
        <w:t xml:space="preserve">rate base can be reduced to reflect the impact on ADIT of the change in tax accounting for repairs deductions.  </w:t>
      </w:r>
      <w:r w:rsidR="00161EA0" w:rsidRPr="009C368C">
        <w:rPr>
          <w:rFonts w:ascii="Times New Roman" w:hAnsi="Times New Roman"/>
          <w:sz w:val="24"/>
          <w:szCs w:val="24"/>
        </w:rPr>
        <w:t xml:space="preserve"> </w:t>
      </w:r>
      <w:r w:rsidR="00E46214">
        <w:rPr>
          <w:rFonts w:ascii="Times New Roman" w:hAnsi="Times New Roman"/>
          <w:sz w:val="24"/>
          <w:szCs w:val="24"/>
        </w:rPr>
        <w:t>T</w:t>
      </w:r>
      <w:r w:rsidR="007452E3" w:rsidRPr="009C368C">
        <w:rPr>
          <w:rFonts w:ascii="Times New Roman" w:hAnsi="Times New Roman"/>
          <w:sz w:val="24"/>
          <w:szCs w:val="24"/>
        </w:rPr>
        <w:t xml:space="preserve">he Commission stated that the </w:t>
      </w:r>
      <w:r w:rsidR="00A03A52" w:rsidRPr="009C368C">
        <w:rPr>
          <w:rFonts w:ascii="Times New Roman" w:hAnsi="Times New Roman"/>
          <w:sz w:val="24"/>
          <w:szCs w:val="24"/>
        </w:rPr>
        <w:t>“sole issue”</w:t>
      </w:r>
      <w:r w:rsidR="00C35118" w:rsidRPr="009C368C">
        <w:rPr>
          <w:rFonts w:ascii="Times New Roman" w:hAnsi="Times New Roman"/>
          <w:sz w:val="24"/>
          <w:szCs w:val="24"/>
        </w:rPr>
        <w:t xml:space="preserve"> </w:t>
      </w:r>
      <w:r w:rsidR="007452E3" w:rsidRPr="009C368C">
        <w:rPr>
          <w:rFonts w:ascii="Times New Roman" w:hAnsi="Times New Roman"/>
          <w:sz w:val="24"/>
          <w:szCs w:val="24"/>
        </w:rPr>
        <w:t xml:space="preserve">is </w:t>
      </w:r>
      <w:r w:rsidR="00C61885">
        <w:rPr>
          <w:rFonts w:ascii="Times New Roman" w:hAnsi="Times New Roman"/>
          <w:sz w:val="24"/>
          <w:szCs w:val="24"/>
        </w:rPr>
        <w:t xml:space="preserve">not the timing of a completed IRS audit, but, rather, </w:t>
      </w:r>
      <w:r w:rsidR="007452E3" w:rsidRPr="009C368C">
        <w:rPr>
          <w:rFonts w:ascii="Times New Roman" w:hAnsi="Times New Roman"/>
          <w:sz w:val="24"/>
          <w:szCs w:val="24"/>
        </w:rPr>
        <w:t>t</w:t>
      </w:r>
      <w:r w:rsidR="0085769C" w:rsidRPr="009C368C">
        <w:rPr>
          <w:rFonts w:ascii="Times New Roman" w:hAnsi="Times New Roman"/>
          <w:sz w:val="24"/>
          <w:szCs w:val="24"/>
        </w:rPr>
        <w:t>he timing of the impact</w:t>
      </w:r>
      <w:r w:rsidR="007452E3" w:rsidRPr="009C368C">
        <w:rPr>
          <w:rFonts w:ascii="Times New Roman" w:hAnsi="Times New Roman"/>
          <w:sz w:val="24"/>
          <w:szCs w:val="24"/>
        </w:rPr>
        <w:t xml:space="preserve"> and </w:t>
      </w:r>
      <w:r w:rsidR="0085769C" w:rsidRPr="009C368C">
        <w:rPr>
          <w:rFonts w:ascii="Times New Roman" w:hAnsi="Times New Roman"/>
          <w:sz w:val="24"/>
          <w:szCs w:val="24"/>
        </w:rPr>
        <w:t xml:space="preserve">the </w:t>
      </w:r>
      <w:r w:rsidR="007452E3" w:rsidRPr="009C368C">
        <w:rPr>
          <w:rFonts w:ascii="Times New Roman" w:hAnsi="Times New Roman"/>
          <w:sz w:val="24"/>
          <w:szCs w:val="24"/>
        </w:rPr>
        <w:t>magnitude of the impact on rate base:</w:t>
      </w:r>
    </w:p>
    <w:p w:rsidR="0085769C" w:rsidRPr="0085769C" w:rsidRDefault="0085769C" w:rsidP="0085769C">
      <w:pPr>
        <w:pStyle w:val="PSEQuote"/>
        <w:spacing w:before="0" w:after="0"/>
        <w:ind w:left="720"/>
      </w:pPr>
      <w:r>
        <w:t xml:space="preserve">The parties do not dispute that PacifiCorp is expensing certain repair costs that it previously capitalized for tax purposes.  Because the Company creates a book-tax difference by continuing to capitalize these costs, the parties also agree that the amount should be normalized.  </w:t>
      </w:r>
      <w:r w:rsidRPr="0085769C">
        <w:rPr>
          <w:i/>
        </w:rPr>
        <w:t>Therefore, the sole issue is the timing of recognition and magni</w:t>
      </w:r>
      <w:r>
        <w:rPr>
          <w:i/>
        </w:rPr>
        <w:t>tude of the impact on rate base</w:t>
      </w:r>
      <w:r>
        <w:t>. . . .</w:t>
      </w:r>
    </w:p>
    <w:p w:rsidR="0085769C" w:rsidRPr="0085769C" w:rsidRDefault="0085769C" w:rsidP="0085769C">
      <w:pPr>
        <w:pStyle w:val="PSEQuote"/>
        <w:ind w:left="720"/>
        <w:rPr>
          <w:i/>
        </w:rPr>
      </w:pPr>
      <w:r w:rsidRPr="0085769C">
        <w:rPr>
          <w:i/>
        </w:rPr>
        <w:t>PacifiCorp argues that the Commission denied an adjustment in the 2009 Puget Sound Energy (PSE) rate case that is identical to the adjustment Staff proposed here.  The Company’s reliance on that case is misplaced.  In the PSE case, we rejected the argument that no adjustment could be made to rate base until after an IRS audit because the amount was not known and measurable.</w:t>
      </w:r>
      <w:r>
        <w:t xml:space="preserve">  Here, according to the Company, the accumulated deferred income tax liability balance as of December 31, 2009, is $28,927,370.  </w:t>
      </w:r>
      <w:r w:rsidRPr="0085769C">
        <w:rPr>
          <w:i/>
        </w:rPr>
        <w:t>Thus,</w:t>
      </w:r>
      <w:r>
        <w:t xml:space="preserve"> </w:t>
      </w:r>
      <w:r w:rsidRPr="0085769C">
        <w:rPr>
          <w:i/>
        </w:rPr>
        <w:t>the amount is both known and measurable.  In addition, the IRS allowed the tax treatment in the PSE case long after the end of the test year.  Here, in sharp contrast, the IRS allowed the tax treatment during the test year.</w:t>
      </w:r>
    </w:p>
    <w:p w:rsidR="0085769C" w:rsidRDefault="0085769C" w:rsidP="0085769C">
      <w:pPr>
        <w:pStyle w:val="PSEQuote"/>
        <w:spacing w:before="0" w:after="0"/>
        <w:ind w:left="720"/>
      </w:pPr>
      <w:r>
        <w:t xml:space="preserve">We conclude that Staff is correct and we should accept its adjustment to reduce rate base by $28,927,370, which reflects the impact of the full year of the change.  </w:t>
      </w:r>
      <w:r w:rsidRPr="0085769C">
        <w:rPr>
          <w:i/>
        </w:rPr>
        <w:t xml:space="preserve">The repairs deduction is an ongoing difference in accounting that will be in effect for the same period as the rates set in this proceeding.  The change is known and measurable.  </w:t>
      </w:r>
      <w:r>
        <w:t>Accordingly, it is reasonable to normalize and reflect the impact as if it were in effect for the entire period.  The impact of this adjustment reduces the revenue requirement by $1,822,309 in addition to the $1.7 million the Company has already recognized.</w:t>
      </w:r>
      <w:r>
        <w:rPr>
          <w:rStyle w:val="FootnoteReference"/>
        </w:rPr>
        <w:footnoteReference w:id="260"/>
      </w:r>
      <w:r>
        <w:t xml:space="preserve"> </w:t>
      </w:r>
    </w:p>
    <w:p w:rsidR="0085769C" w:rsidRPr="00161EA0" w:rsidRDefault="0085769C" w:rsidP="009F3429">
      <w:pPr>
        <w:spacing w:after="0" w:line="240" w:lineRule="auto"/>
        <w:rPr>
          <w:rFonts w:ascii="Times New Roman" w:hAnsi="Times New Roman" w:cs="Times New Roman"/>
          <w:sz w:val="24"/>
          <w:szCs w:val="24"/>
        </w:rPr>
      </w:pPr>
    </w:p>
    <w:p w:rsidR="00AA1CF5" w:rsidRDefault="009F3429" w:rsidP="00C85CF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Accordingly, absence of a completed IRS audit </w:t>
      </w:r>
      <w:r w:rsidRPr="009F3429">
        <w:rPr>
          <w:rFonts w:ascii="Times New Roman" w:hAnsi="Times New Roman" w:cs="Times New Roman"/>
          <w:sz w:val="24"/>
          <w:szCs w:val="24"/>
        </w:rPr>
        <w:t xml:space="preserve">is not adequate justification for </w:t>
      </w:r>
      <w:r>
        <w:rPr>
          <w:rFonts w:ascii="Times New Roman" w:hAnsi="Times New Roman" w:cs="Times New Roman"/>
          <w:sz w:val="24"/>
          <w:szCs w:val="24"/>
        </w:rPr>
        <w:t xml:space="preserve">PSE to </w:t>
      </w:r>
      <w:r w:rsidRPr="009F3429">
        <w:rPr>
          <w:rFonts w:ascii="Times New Roman" w:hAnsi="Times New Roman" w:cs="Times New Roman"/>
          <w:sz w:val="24"/>
          <w:szCs w:val="24"/>
        </w:rPr>
        <w:t>igno</w:t>
      </w:r>
      <w:r>
        <w:rPr>
          <w:rFonts w:ascii="Times New Roman" w:hAnsi="Times New Roman" w:cs="Times New Roman"/>
          <w:sz w:val="24"/>
          <w:szCs w:val="24"/>
        </w:rPr>
        <w:t xml:space="preserve">re the </w:t>
      </w:r>
      <w:r w:rsidR="00C61885">
        <w:rPr>
          <w:rFonts w:ascii="Times New Roman" w:hAnsi="Times New Roman" w:cs="Times New Roman"/>
          <w:sz w:val="24"/>
          <w:szCs w:val="24"/>
        </w:rPr>
        <w:t xml:space="preserve">known and measurable </w:t>
      </w:r>
      <w:r w:rsidRPr="009F3429">
        <w:rPr>
          <w:rFonts w:ascii="Times New Roman" w:hAnsi="Times New Roman" w:cs="Times New Roman"/>
          <w:sz w:val="24"/>
          <w:szCs w:val="24"/>
        </w:rPr>
        <w:t xml:space="preserve">impacts </w:t>
      </w:r>
      <w:r w:rsidR="00C61885">
        <w:rPr>
          <w:rFonts w:ascii="Times New Roman" w:hAnsi="Times New Roman" w:cs="Times New Roman"/>
          <w:sz w:val="24"/>
          <w:szCs w:val="24"/>
        </w:rPr>
        <w:t xml:space="preserve">on ADIT </w:t>
      </w:r>
      <w:r w:rsidR="00C85CF9">
        <w:rPr>
          <w:rFonts w:ascii="Times New Roman" w:hAnsi="Times New Roman" w:cs="Times New Roman"/>
          <w:sz w:val="24"/>
          <w:szCs w:val="24"/>
        </w:rPr>
        <w:t>that occurred</w:t>
      </w:r>
      <w:r w:rsidR="00C85CF9" w:rsidRPr="009F3429">
        <w:rPr>
          <w:rFonts w:ascii="Times New Roman" w:hAnsi="Times New Roman" w:cs="Times New Roman"/>
          <w:sz w:val="24"/>
          <w:szCs w:val="24"/>
        </w:rPr>
        <w:t xml:space="preserve"> during</w:t>
      </w:r>
      <w:r w:rsidR="00C85CF9">
        <w:rPr>
          <w:rFonts w:ascii="Times New Roman" w:hAnsi="Times New Roman" w:cs="Times New Roman"/>
          <w:sz w:val="24"/>
          <w:szCs w:val="24"/>
        </w:rPr>
        <w:t xml:space="preserve"> the 2010 test year as a result of </w:t>
      </w:r>
      <w:r>
        <w:rPr>
          <w:rFonts w:ascii="Times New Roman" w:hAnsi="Times New Roman" w:cs="Times New Roman"/>
          <w:sz w:val="24"/>
          <w:szCs w:val="24"/>
        </w:rPr>
        <w:t>the new tax accountin</w:t>
      </w:r>
      <w:r w:rsidR="00A03A52">
        <w:rPr>
          <w:rFonts w:ascii="Times New Roman" w:hAnsi="Times New Roman" w:cs="Times New Roman"/>
          <w:sz w:val="24"/>
          <w:szCs w:val="24"/>
        </w:rPr>
        <w:t>g method</w:t>
      </w:r>
      <w:r w:rsidR="00C85CF9">
        <w:rPr>
          <w:rFonts w:ascii="Times New Roman" w:hAnsi="Times New Roman" w:cs="Times New Roman"/>
          <w:sz w:val="24"/>
          <w:szCs w:val="24"/>
        </w:rPr>
        <w:t xml:space="preserve"> for repairs deductions.</w:t>
      </w:r>
    </w:p>
    <w:p w:rsidR="00C85CF9" w:rsidRDefault="009C368C" w:rsidP="009C368C">
      <w:pPr>
        <w:pStyle w:val="ListParagraph"/>
        <w:numPr>
          <w:ilvl w:val="0"/>
          <w:numId w:val="1"/>
        </w:numPr>
        <w:spacing w:line="480" w:lineRule="auto"/>
      </w:pPr>
      <w:r>
        <w:rPr>
          <w:rFonts w:ascii="Times New Roman" w:hAnsi="Times New Roman"/>
          <w:sz w:val="24"/>
          <w:szCs w:val="24"/>
        </w:rPr>
        <w:tab/>
      </w:r>
      <w:r w:rsidR="00C85CF9" w:rsidRPr="009C368C">
        <w:rPr>
          <w:rFonts w:ascii="Times New Roman" w:hAnsi="Times New Roman"/>
          <w:sz w:val="24"/>
          <w:szCs w:val="24"/>
        </w:rPr>
        <w:t xml:space="preserve">Indeed, </w:t>
      </w:r>
      <w:r w:rsidR="00081757" w:rsidRPr="009C368C">
        <w:rPr>
          <w:rFonts w:ascii="Times New Roman" w:hAnsi="Times New Roman"/>
          <w:sz w:val="24"/>
          <w:szCs w:val="24"/>
        </w:rPr>
        <w:t>PSE’s rate case is based upon income tax expense inf</w:t>
      </w:r>
      <w:r w:rsidR="00A03A52" w:rsidRPr="009C368C">
        <w:rPr>
          <w:rFonts w:ascii="Times New Roman" w:hAnsi="Times New Roman"/>
          <w:sz w:val="24"/>
          <w:szCs w:val="24"/>
        </w:rPr>
        <w:t>ormation for the 2010 test year</w:t>
      </w:r>
      <w:r w:rsidR="00081757" w:rsidRPr="009C368C">
        <w:rPr>
          <w:rFonts w:ascii="Times New Roman" w:hAnsi="Times New Roman"/>
          <w:sz w:val="24"/>
          <w:szCs w:val="24"/>
        </w:rPr>
        <w:t xml:space="preserve"> and all of its other ADIT balances are based on 2010 information.  However, </w:t>
      </w:r>
      <w:r w:rsidR="00C85CF9" w:rsidRPr="009C368C">
        <w:rPr>
          <w:rFonts w:ascii="Times New Roman" w:hAnsi="Times New Roman"/>
          <w:sz w:val="24"/>
          <w:szCs w:val="24"/>
        </w:rPr>
        <w:t>Mr. Marcelia a</w:t>
      </w:r>
      <w:r w:rsidR="00081757" w:rsidRPr="009C368C">
        <w:rPr>
          <w:rFonts w:ascii="Times New Roman" w:hAnsi="Times New Roman"/>
          <w:sz w:val="24"/>
          <w:szCs w:val="24"/>
        </w:rPr>
        <w:t>dmitted that none of PSE</w:t>
      </w:r>
      <w:r w:rsidR="00C85CF9" w:rsidRPr="009C368C">
        <w:rPr>
          <w:rFonts w:ascii="Times New Roman" w:hAnsi="Times New Roman"/>
          <w:sz w:val="24"/>
          <w:szCs w:val="24"/>
        </w:rPr>
        <w:t xml:space="preserve">’s income tax calculations for 2008, 2009 or 2010 have been subject to </w:t>
      </w:r>
      <w:r w:rsidR="00C85CF9" w:rsidRPr="009C368C">
        <w:rPr>
          <w:rFonts w:ascii="Times New Roman" w:hAnsi="Times New Roman"/>
          <w:sz w:val="24"/>
          <w:szCs w:val="24"/>
        </w:rPr>
        <w:lastRenderedPageBreak/>
        <w:t>a completed IRS audit.</w:t>
      </w:r>
      <w:r w:rsidR="00C85CF9" w:rsidRPr="00C85CF9">
        <w:rPr>
          <w:rStyle w:val="FootnoteReference"/>
          <w:rFonts w:ascii="Times New Roman" w:hAnsi="Times New Roman"/>
          <w:sz w:val="24"/>
          <w:szCs w:val="24"/>
        </w:rPr>
        <w:footnoteReference w:id="261"/>
      </w:r>
      <w:r w:rsidR="00081757" w:rsidRPr="009C368C">
        <w:rPr>
          <w:rFonts w:ascii="Times New Roman" w:hAnsi="Times New Roman"/>
          <w:sz w:val="24"/>
          <w:szCs w:val="24"/>
        </w:rPr>
        <w:t xml:space="preserve">  </w:t>
      </w:r>
      <w:r w:rsidR="00C85CF9" w:rsidRPr="009C368C">
        <w:rPr>
          <w:rFonts w:ascii="Times New Roman" w:hAnsi="Times New Roman"/>
          <w:sz w:val="24"/>
          <w:szCs w:val="24"/>
        </w:rPr>
        <w:t>Thus, if the requirement for an IRS audit were to be applied as the criteria for ratemaking recognition, none of PSE’s claimed inco</w:t>
      </w:r>
      <w:r w:rsidR="00081757" w:rsidRPr="009C368C">
        <w:rPr>
          <w:rFonts w:ascii="Times New Roman" w:hAnsi="Times New Roman"/>
          <w:sz w:val="24"/>
          <w:szCs w:val="24"/>
        </w:rPr>
        <w:t>me tax expenses would qualify.</w:t>
      </w:r>
      <w:r w:rsidR="00C85CF9" w:rsidRPr="009C368C">
        <w:rPr>
          <w:rFonts w:ascii="Times New Roman" w:hAnsi="Times New Roman"/>
          <w:sz w:val="24"/>
          <w:szCs w:val="24"/>
        </w:rPr>
        <w:t xml:space="preserve">  This would essentially result in no allowance for federal income tax expense in th</w:t>
      </w:r>
      <w:r w:rsidR="00081757" w:rsidRPr="009C368C">
        <w:rPr>
          <w:rFonts w:ascii="Times New Roman" w:hAnsi="Times New Roman"/>
          <w:sz w:val="24"/>
          <w:szCs w:val="24"/>
        </w:rPr>
        <w:t>is rate case</w:t>
      </w:r>
      <w:r w:rsidR="00C85CF9" w:rsidRPr="009C368C">
        <w:rPr>
          <w:rFonts w:ascii="Times New Roman" w:hAnsi="Times New Roman"/>
          <w:sz w:val="24"/>
          <w:szCs w:val="24"/>
        </w:rPr>
        <w:t>.</w:t>
      </w:r>
      <w:r w:rsidR="00081757" w:rsidRPr="009C368C">
        <w:rPr>
          <w:rFonts w:ascii="Times New Roman" w:hAnsi="Times New Roman"/>
          <w:sz w:val="24"/>
          <w:szCs w:val="24"/>
        </w:rPr>
        <w:t xml:space="preserve">   Clearly, requiring a completed IRS audit as PSE suggests is not a good standard for evaluating utility income tax issues in any rate case.</w:t>
      </w:r>
      <w:r w:rsidR="00081757">
        <w:rPr>
          <w:rStyle w:val="FootnoteReference"/>
          <w:rFonts w:ascii="Times New Roman" w:hAnsi="Times New Roman"/>
          <w:sz w:val="24"/>
          <w:szCs w:val="24"/>
        </w:rPr>
        <w:footnoteReference w:id="262"/>
      </w:r>
      <w:r w:rsidR="00081757">
        <w:t xml:space="preserve">  </w:t>
      </w:r>
    </w:p>
    <w:p w:rsidR="00346B81"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346B81" w:rsidRPr="009C368C">
        <w:rPr>
          <w:rFonts w:ascii="Times New Roman" w:hAnsi="Times New Roman"/>
          <w:sz w:val="24"/>
          <w:szCs w:val="24"/>
        </w:rPr>
        <w:t>PSE is also not the only utility to have made a change in its tax accounting for repairs.  Other utilities have made similar changes, including, as noted above, PacifiCorp.</w:t>
      </w:r>
      <w:r w:rsidR="00346B81" w:rsidRPr="00346B81">
        <w:rPr>
          <w:rStyle w:val="FootnoteReference"/>
          <w:rFonts w:ascii="Times New Roman" w:hAnsi="Times New Roman"/>
          <w:sz w:val="24"/>
          <w:szCs w:val="24"/>
        </w:rPr>
        <w:footnoteReference w:id="263"/>
      </w:r>
      <w:r w:rsidR="00346B81" w:rsidRPr="009C368C">
        <w:rPr>
          <w:rFonts w:ascii="Times New Roman" w:hAnsi="Times New Roman"/>
          <w:sz w:val="24"/>
          <w:szCs w:val="24"/>
        </w:rPr>
        <w:t xml:space="preserve">  Mr. Marcelia admitted that the full impact of the tax accounting change for PacifiCorp was recognized for ratemaking purposes as a known and measurable increase in ADIT which reduced PacifiCorp’s rate base.</w:t>
      </w:r>
      <w:r w:rsidR="00346B81" w:rsidRPr="00346B81">
        <w:rPr>
          <w:rStyle w:val="FootnoteReference"/>
          <w:rFonts w:ascii="Times New Roman" w:hAnsi="Times New Roman"/>
          <w:sz w:val="24"/>
          <w:szCs w:val="24"/>
        </w:rPr>
        <w:footnoteReference w:id="264"/>
      </w:r>
      <w:r w:rsidR="00346B81" w:rsidRPr="009C368C">
        <w:rPr>
          <w:rFonts w:ascii="Times New Roman" w:hAnsi="Times New Roman"/>
          <w:sz w:val="24"/>
          <w:szCs w:val="24"/>
        </w:rPr>
        <w:t xml:space="preserve">  Moreover, PacifiCorp’s publicly available financial statements proved that PacifiCorp was under IRS audit for a number of years and </w:t>
      </w:r>
      <w:r w:rsidR="00C61885">
        <w:rPr>
          <w:rFonts w:ascii="Times New Roman" w:hAnsi="Times New Roman"/>
          <w:sz w:val="24"/>
          <w:szCs w:val="24"/>
        </w:rPr>
        <w:t xml:space="preserve">that </w:t>
      </w:r>
      <w:r w:rsidR="00346B81" w:rsidRPr="009C368C">
        <w:rPr>
          <w:rFonts w:ascii="Times New Roman" w:hAnsi="Times New Roman"/>
          <w:sz w:val="24"/>
          <w:szCs w:val="24"/>
        </w:rPr>
        <w:t>the IRS audits relating to PacifiCorp’s repairs deductions had not been completed at the time the Commission issued its final order in the PacifiCorp rate case.</w:t>
      </w:r>
      <w:r w:rsidR="00346B81" w:rsidRPr="00346B81">
        <w:rPr>
          <w:rStyle w:val="FootnoteReference"/>
          <w:rFonts w:ascii="Times New Roman" w:hAnsi="Times New Roman"/>
          <w:sz w:val="24"/>
          <w:szCs w:val="24"/>
        </w:rPr>
        <w:footnoteReference w:id="265"/>
      </w:r>
      <w:r w:rsidR="00C61885">
        <w:rPr>
          <w:rFonts w:ascii="Times New Roman" w:hAnsi="Times New Roman"/>
          <w:sz w:val="24"/>
          <w:szCs w:val="24"/>
        </w:rPr>
        <w:t xml:space="preserve">  Clearly, the lack of </w:t>
      </w:r>
      <w:r w:rsidR="00346B81" w:rsidRPr="009C368C">
        <w:rPr>
          <w:rFonts w:ascii="Times New Roman" w:hAnsi="Times New Roman"/>
          <w:sz w:val="24"/>
          <w:szCs w:val="24"/>
        </w:rPr>
        <w:t xml:space="preserve">completed IRS audits for PacifiCorp was not a factor </w:t>
      </w:r>
      <w:r w:rsidR="005A606B" w:rsidRPr="009C368C">
        <w:rPr>
          <w:rFonts w:ascii="Times New Roman" w:hAnsi="Times New Roman"/>
          <w:sz w:val="24"/>
          <w:szCs w:val="24"/>
        </w:rPr>
        <w:t xml:space="preserve">for the Commission </w:t>
      </w:r>
      <w:r w:rsidR="00346B81" w:rsidRPr="009C368C">
        <w:rPr>
          <w:rFonts w:ascii="Times New Roman" w:hAnsi="Times New Roman"/>
          <w:sz w:val="24"/>
          <w:szCs w:val="24"/>
        </w:rPr>
        <w:t>in making the known and measurable adjustment to ADIT for the impact of the repairs deductions.</w:t>
      </w:r>
    </w:p>
    <w:p w:rsidR="0000741A"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60BB5" w:rsidRPr="009C368C">
        <w:rPr>
          <w:rFonts w:ascii="Times New Roman" w:hAnsi="Times New Roman"/>
          <w:sz w:val="24"/>
          <w:szCs w:val="24"/>
        </w:rPr>
        <w:t xml:space="preserve">PSE’s </w:t>
      </w:r>
      <w:r w:rsidR="00382A20" w:rsidRPr="009C368C">
        <w:rPr>
          <w:rFonts w:ascii="Times New Roman" w:hAnsi="Times New Roman"/>
          <w:sz w:val="24"/>
          <w:szCs w:val="24"/>
        </w:rPr>
        <w:t xml:space="preserve">audited </w:t>
      </w:r>
      <w:r w:rsidR="005A606B" w:rsidRPr="009C368C">
        <w:rPr>
          <w:rFonts w:ascii="Times New Roman" w:hAnsi="Times New Roman"/>
          <w:sz w:val="24"/>
          <w:szCs w:val="24"/>
        </w:rPr>
        <w:t xml:space="preserve">financial statements </w:t>
      </w:r>
      <w:r w:rsidR="0000741A" w:rsidRPr="009C368C">
        <w:rPr>
          <w:rFonts w:ascii="Times New Roman" w:hAnsi="Times New Roman"/>
          <w:sz w:val="24"/>
          <w:szCs w:val="24"/>
        </w:rPr>
        <w:t xml:space="preserve">are also revealing </w:t>
      </w:r>
      <w:r w:rsidR="005A606B" w:rsidRPr="009C368C">
        <w:rPr>
          <w:rFonts w:ascii="Times New Roman" w:hAnsi="Times New Roman"/>
          <w:sz w:val="24"/>
          <w:szCs w:val="24"/>
        </w:rPr>
        <w:t xml:space="preserve">on this issue.  </w:t>
      </w:r>
      <w:r w:rsidR="000E4722" w:rsidRPr="009C368C">
        <w:rPr>
          <w:rFonts w:ascii="Times New Roman" w:hAnsi="Times New Roman"/>
          <w:sz w:val="24"/>
          <w:szCs w:val="24"/>
        </w:rPr>
        <w:t>PSE issued financial statements for 2008, 2009 and 2010 in compliance with GAAP.</w:t>
      </w:r>
      <w:r w:rsidR="000E4722" w:rsidRPr="005A606B">
        <w:rPr>
          <w:rStyle w:val="FootnoteReference"/>
          <w:rFonts w:ascii="Times New Roman" w:hAnsi="Times New Roman"/>
          <w:sz w:val="24"/>
          <w:szCs w:val="24"/>
        </w:rPr>
        <w:footnoteReference w:id="266"/>
      </w:r>
      <w:r w:rsidR="000E4722" w:rsidRPr="009C368C">
        <w:rPr>
          <w:rFonts w:ascii="Times New Roman" w:hAnsi="Times New Roman"/>
          <w:sz w:val="24"/>
          <w:szCs w:val="24"/>
        </w:rPr>
        <w:t xml:space="preserve">  </w:t>
      </w:r>
      <w:r w:rsidR="00A60BB5" w:rsidRPr="009C368C">
        <w:rPr>
          <w:rFonts w:ascii="Times New Roman" w:hAnsi="Times New Roman"/>
          <w:sz w:val="24"/>
          <w:szCs w:val="24"/>
        </w:rPr>
        <w:t xml:space="preserve">The requirement to comply </w:t>
      </w:r>
      <w:r w:rsidR="00382A20" w:rsidRPr="009C368C">
        <w:rPr>
          <w:rFonts w:ascii="Times New Roman" w:hAnsi="Times New Roman"/>
          <w:sz w:val="24"/>
          <w:szCs w:val="24"/>
        </w:rPr>
        <w:t>with GAAP</w:t>
      </w:r>
      <w:r w:rsidR="009441E3" w:rsidRPr="009C368C">
        <w:rPr>
          <w:rFonts w:ascii="Times New Roman" w:hAnsi="Times New Roman"/>
          <w:sz w:val="24"/>
          <w:szCs w:val="24"/>
        </w:rPr>
        <w:t xml:space="preserve"> </w:t>
      </w:r>
      <w:r w:rsidR="00A60BB5" w:rsidRPr="009C368C">
        <w:rPr>
          <w:rFonts w:ascii="Times New Roman" w:hAnsi="Times New Roman"/>
          <w:sz w:val="24"/>
          <w:szCs w:val="24"/>
        </w:rPr>
        <w:t>is to ensure that PSE’s</w:t>
      </w:r>
      <w:r w:rsidR="000E4722" w:rsidRPr="009C368C">
        <w:rPr>
          <w:rFonts w:ascii="Times New Roman" w:hAnsi="Times New Roman"/>
          <w:sz w:val="24"/>
          <w:szCs w:val="24"/>
        </w:rPr>
        <w:t xml:space="preserve"> financial statements were presented </w:t>
      </w:r>
      <w:r w:rsidR="00A60BB5" w:rsidRPr="009C368C">
        <w:rPr>
          <w:rFonts w:ascii="Times New Roman" w:hAnsi="Times New Roman"/>
          <w:sz w:val="24"/>
          <w:szCs w:val="24"/>
        </w:rPr>
        <w:t xml:space="preserve">fairly </w:t>
      </w:r>
      <w:r w:rsidR="000E4722" w:rsidRPr="009C368C">
        <w:rPr>
          <w:rFonts w:ascii="Times New Roman" w:hAnsi="Times New Roman"/>
          <w:sz w:val="24"/>
          <w:szCs w:val="24"/>
        </w:rPr>
        <w:t xml:space="preserve">and the reporting </w:t>
      </w:r>
      <w:r w:rsidR="009441E3" w:rsidRPr="009C368C">
        <w:rPr>
          <w:rFonts w:ascii="Times New Roman" w:hAnsi="Times New Roman"/>
          <w:sz w:val="24"/>
          <w:szCs w:val="24"/>
        </w:rPr>
        <w:lastRenderedPageBreak/>
        <w:t xml:space="preserve">quantified </w:t>
      </w:r>
      <w:r w:rsidR="00A60BB5" w:rsidRPr="009C368C">
        <w:rPr>
          <w:rFonts w:ascii="Times New Roman" w:hAnsi="Times New Roman"/>
          <w:sz w:val="24"/>
          <w:szCs w:val="24"/>
        </w:rPr>
        <w:t xml:space="preserve">sufficiently </w:t>
      </w:r>
      <w:r w:rsidR="009441E3" w:rsidRPr="009C368C">
        <w:rPr>
          <w:rFonts w:ascii="Times New Roman" w:hAnsi="Times New Roman"/>
          <w:sz w:val="24"/>
          <w:szCs w:val="24"/>
        </w:rPr>
        <w:t>in all material respects</w:t>
      </w:r>
      <w:r w:rsidR="00382A20" w:rsidRPr="009C368C">
        <w:rPr>
          <w:rFonts w:ascii="Times New Roman" w:hAnsi="Times New Roman"/>
          <w:sz w:val="24"/>
          <w:szCs w:val="24"/>
        </w:rPr>
        <w:t>.</w:t>
      </w:r>
      <w:r w:rsidR="00382A20" w:rsidRPr="005A606B">
        <w:rPr>
          <w:rStyle w:val="FootnoteReference"/>
          <w:rFonts w:ascii="Times New Roman" w:hAnsi="Times New Roman"/>
          <w:sz w:val="24"/>
          <w:szCs w:val="24"/>
        </w:rPr>
        <w:footnoteReference w:id="267"/>
      </w:r>
      <w:r w:rsidR="000E4722" w:rsidRPr="009C368C">
        <w:rPr>
          <w:rFonts w:ascii="Times New Roman" w:hAnsi="Times New Roman"/>
          <w:sz w:val="24"/>
          <w:szCs w:val="24"/>
        </w:rPr>
        <w:t xml:space="preserve">  </w:t>
      </w:r>
      <w:r w:rsidR="00382A20" w:rsidRPr="009C368C">
        <w:rPr>
          <w:rFonts w:ascii="Times New Roman" w:hAnsi="Times New Roman"/>
          <w:sz w:val="24"/>
          <w:szCs w:val="24"/>
        </w:rPr>
        <w:t xml:space="preserve">GAAP </w:t>
      </w:r>
      <w:r w:rsidR="001E27D7" w:rsidRPr="009C368C">
        <w:rPr>
          <w:rFonts w:ascii="Times New Roman" w:hAnsi="Times New Roman"/>
          <w:sz w:val="24"/>
          <w:szCs w:val="24"/>
        </w:rPr>
        <w:t xml:space="preserve">also </w:t>
      </w:r>
      <w:r w:rsidR="00382A20" w:rsidRPr="009C368C">
        <w:rPr>
          <w:rFonts w:ascii="Times New Roman" w:hAnsi="Times New Roman"/>
          <w:sz w:val="24"/>
          <w:szCs w:val="24"/>
        </w:rPr>
        <w:t>requires the identification and disclosure of “uncertain” tax positions.</w:t>
      </w:r>
      <w:r w:rsidR="00382A20" w:rsidRPr="005A606B">
        <w:rPr>
          <w:rStyle w:val="FootnoteReference"/>
          <w:rFonts w:ascii="Times New Roman" w:hAnsi="Times New Roman"/>
          <w:sz w:val="24"/>
          <w:szCs w:val="24"/>
        </w:rPr>
        <w:footnoteReference w:id="268"/>
      </w:r>
      <w:r w:rsidR="00A60BB5" w:rsidRPr="009C368C">
        <w:rPr>
          <w:rFonts w:ascii="Times New Roman" w:hAnsi="Times New Roman"/>
          <w:sz w:val="24"/>
          <w:szCs w:val="24"/>
        </w:rPr>
        <w:t xml:space="preserve">  </w:t>
      </w:r>
    </w:p>
    <w:p w:rsidR="00A60BB5"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9441E3" w:rsidRPr="009C368C">
        <w:rPr>
          <w:rFonts w:ascii="Times New Roman" w:hAnsi="Times New Roman"/>
          <w:sz w:val="24"/>
          <w:szCs w:val="24"/>
        </w:rPr>
        <w:t xml:space="preserve">PSE </w:t>
      </w:r>
      <w:r w:rsidR="00A03A52" w:rsidRPr="009C368C">
        <w:rPr>
          <w:rFonts w:ascii="Times New Roman" w:hAnsi="Times New Roman"/>
          <w:sz w:val="24"/>
          <w:szCs w:val="24"/>
        </w:rPr>
        <w:t xml:space="preserve">conducted an extensive and </w:t>
      </w:r>
      <w:r w:rsidR="00A60BB5" w:rsidRPr="009C368C">
        <w:rPr>
          <w:rFonts w:ascii="Times New Roman" w:hAnsi="Times New Roman"/>
          <w:sz w:val="24"/>
          <w:szCs w:val="24"/>
        </w:rPr>
        <w:t>detailed</w:t>
      </w:r>
      <w:r w:rsidR="00A03A52" w:rsidRPr="009C368C">
        <w:rPr>
          <w:rFonts w:ascii="Times New Roman" w:hAnsi="Times New Roman"/>
          <w:sz w:val="24"/>
          <w:szCs w:val="24"/>
        </w:rPr>
        <w:t xml:space="preserve"> evaluation of its tax positions</w:t>
      </w:r>
      <w:r w:rsidR="00A60BB5" w:rsidRPr="009C368C">
        <w:rPr>
          <w:rFonts w:ascii="Times New Roman" w:hAnsi="Times New Roman"/>
          <w:sz w:val="24"/>
          <w:szCs w:val="24"/>
        </w:rPr>
        <w:t xml:space="preserve"> and </w:t>
      </w:r>
      <w:r w:rsidR="009441E3" w:rsidRPr="009C368C">
        <w:rPr>
          <w:rFonts w:ascii="Times New Roman" w:hAnsi="Times New Roman"/>
          <w:sz w:val="24"/>
          <w:szCs w:val="24"/>
        </w:rPr>
        <w:t xml:space="preserve">concluded that </w:t>
      </w:r>
      <w:r w:rsidR="0000741A" w:rsidRPr="009C368C">
        <w:rPr>
          <w:rFonts w:ascii="Times New Roman" w:hAnsi="Times New Roman"/>
          <w:sz w:val="24"/>
          <w:szCs w:val="24"/>
        </w:rPr>
        <w:t>there were no uncer</w:t>
      </w:r>
      <w:r w:rsidR="00A03A52" w:rsidRPr="009C368C">
        <w:rPr>
          <w:rFonts w:ascii="Times New Roman" w:hAnsi="Times New Roman"/>
          <w:sz w:val="24"/>
          <w:szCs w:val="24"/>
        </w:rPr>
        <w:t xml:space="preserve">tain tax positions </w:t>
      </w:r>
      <w:r w:rsidR="0000741A" w:rsidRPr="009C368C">
        <w:rPr>
          <w:rFonts w:ascii="Times New Roman" w:hAnsi="Times New Roman"/>
          <w:sz w:val="24"/>
          <w:szCs w:val="24"/>
        </w:rPr>
        <w:t>reportable under GAAP</w:t>
      </w:r>
      <w:r w:rsidR="00C61885">
        <w:rPr>
          <w:rFonts w:ascii="Times New Roman" w:hAnsi="Times New Roman"/>
          <w:sz w:val="24"/>
          <w:szCs w:val="24"/>
        </w:rPr>
        <w:t xml:space="preserve"> for any period</w:t>
      </w:r>
      <w:r w:rsidR="00A60BB5" w:rsidRPr="009C368C">
        <w:rPr>
          <w:rFonts w:ascii="Times New Roman" w:hAnsi="Times New Roman"/>
          <w:sz w:val="24"/>
          <w:szCs w:val="24"/>
        </w:rPr>
        <w:t xml:space="preserve"> covering the first quarter of 2009 through the fourth quarter of 2011</w:t>
      </w:r>
      <w:r w:rsidR="009441E3" w:rsidRPr="009C368C">
        <w:rPr>
          <w:rFonts w:ascii="Times New Roman" w:hAnsi="Times New Roman"/>
          <w:sz w:val="24"/>
          <w:szCs w:val="24"/>
        </w:rPr>
        <w:t>.</w:t>
      </w:r>
      <w:r w:rsidR="009441E3" w:rsidRPr="005A606B">
        <w:rPr>
          <w:rStyle w:val="FootnoteReference"/>
          <w:rFonts w:ascii="Times New Roman" w:hAnsi="Times New Roman"/>
          <w:sz w:val="24"/>
          <w:szCs w:val="24"/>
        </w:rPr>
        <w:footnoteReference w:id="269"/>
      </w:r>
      <w:r w:rsidR="00A60BB5" w:rsidRPr="009C368C">
        <w:rPr>
          <w:rFonts w:ascii="Times New Roman" w:hAnsi="Times New Roman"/>
          <w:sz w:val="24"/>
          <w:szCs w:val="24"/>
        </w:rPr>
        <w:t xml:space="preserve">  PSE’s </w:t>
      </w:r>
      <w:r w:rsidR="0000741A" w:rsidRPr="009C368C">
        <w:rPr>
          <w:rFonts w:ascii="Times New Roman" w:hAnsi="Times New Roman"/>
          <w:sz w:val="24"/>
          <w:szCs w:val="24"/>
        </w:rPr>
        <w:t xml:space="preserve">independent auditors audited the financial statements and </w:t>
      </w:r>
      <w:r w:rsidR="005A606B" w:rsidRPr="009C368C">
        <w:rPr>
          <w:rFonts w:ascii="Times New Roman" w:hAnsi="Times New Roman"/>
          <w:sz w:val="24"/>
          <w:szCs w:val="24"/>
        </w:rPr>
        <w:t>co</w:t>
      </w:r>
      <w:r w:rsidR="0000741A" w:rsidRPr="009C368C">
        <w:rPr>
          <w:rFonts w:ascii="Times New Roman" w:hAnsi="Times New Roman"/>
          <w:sz w:val="24"/>
          <w:szCs w:val="24"/>
        </w:rPr>
        <w:t>ncurred with PSE’s analysis</w:t>
      </w:r>
      <w:r w:rsidR="005A606B" w:rsidRPr="009C368C">
        <w:rPr>
          <w:rFonts w:ascii="Times New Roman" w:hAnsi="Times New Roman"/>
          <w:sz w:val="24"/>
          <w:szCs w:val="24"/>
        </w:rPr>
        <w:t>.</w:t>
      </w:r>
      <w:r w:rsidR="005A606B" w:rsidRPr="005A606B">
        <w:rPr>
          <w:rStyle w:val="FootnoteReference"/>
          <w:rFonts w:ascii="Times New Roman" w:hAnsi="Times New Roman"/>
          <w:sz w:val="24"/>
          <w:szCs w:val="24"/>
        </w:rPr>
        <w:footnoteReference w:id="270"/>
      </w:r>
      <w:r w:rsidR="0000741A" w:rsidRPr="009C368C">
        <w:rPr>
          <w:rFonts w:ascii="Times New Roman" w:hAnsi="Times New Roman"/>
          <w:sz w:val="24"/>
          <w:szCs w:val="24"/>
        </w:rPr>
        <w:t xml:space="preserve"> </w:t>
      </w:r>
      <w:r w:rsidR="00C61885">
        <w:rPr>
          <w:rFonts w:ascii="Times New Roman" w:hAnsi="Times New Roman"/>
          <w:sz w:val="24"/>
          <w:szCs w:val="24"/>
        </w:rPr>
        <w:t xml:space="preserve"> </w:t>
      </w:r>
      <w:r w:rsidR="0000741A" w:rsidRPr="009C368C">
        <w:rPr>
          <w:rFonts w:ascii="Times New Roman" w:hAnsi="Times New Roman"/>
          <w:sz w:val="24"/>
          <w:szCs w:val="24"/>
        </w:rPr>
        <w:t>Therefore, there is a glaring inconsistency between PSE’s financial reporting, which reflects that none of the repairs deductions is an “uncertain” tax position, and its ratemaking position, which assumes that all of the repairs deductions are “uncertain” and cannot be “known and measureable” for ratemaking purposes unless and until the IRS completes an audit of the 2010 tax year</w:t>
      </w:r>
      <w:r w:rsidR="00C61885">
        <w:rPr>
          <w:rFonts w:ascii="Times New Roman" w:hAnsi="Times New Roman"/>
          <w:sz w:val="24"/>
          <w:szCs w:val="24"/>
        </w:rPr>
        <w:t xml:space="preserve"> and approves the Company’s calculations</w:t>
      </w:r>
      <w:r w:rsidR="0000741A" w:rsidRPr="009C368C">
        <w:rPr>
          <w:rFonts w:ascii="Times New Roman" w:hAnsi="Times New Roman"/>
          <w:sz w:val="24"/>
          <w:szCs w:val="24"/>
        </w:rPr>
        <w:t xml:space="preserve">.  </w:t>
      </w:r>
    </w:p>
    <w:p w:rsidR="0044313A"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4313A" w:rsidRPr="009C368C">
        <w:rPr>
          <w:rFonts w:ascii="Times New Roman" w:hAnsi="Times New Roman"/>
          <w:sz w:val="24"/>
          <w:szCs w:val="24"/>
        </w:rPr>
        <w:t xml:space="preserve">Mr. Marcelia </w:t>
      </w:r>
      <w:r w:rsidR="00C61885">
        <w:rPr>
          <w:rFonts w:ascii="Times New Roman" w:hAnsi="Times New Roman"/>
          <w:sz w:val="24"/>
          <w:szCs w:val="24"/>
        </w:rPr>
        <w:t xml:space="preserve">also </w:t>
      </w:r>
      <w:r w:rsidR="0044313A" w:rsidRPr="009C368C">
        <w:rPr>
          <w:rFonts w:ascii="Times New Roman" w:hAnsi="Times New Roman"/>
          <w:sz w:val="24"/>
          <w:szCs w:val="24"/>
        </w:rPr>
        <w:t>agreed that the Commission has adopted FERC accounting by rule.</w:t>
      </w:r>
      <w:r w:rsidR="0044313A">
        <w:rPr>
          <w:rStyle w:val="FootnoteReference"/>
          <w:rFonts w:ascii="Times New Roman" w:hAnsi="Times New Roman"/>
          <w:sz w:val="24"/>
          <w:szCs w:val="24"/>
        </w:rPr>
        <w:footnoteReference w:id="271"/>
      </w:r>
      <w:r w:rsidR="0044313A" w:rsidRPr="009C368C">
        <w:rPr>
          <w:rFonts w:ascii="Times New Roman" w:hAnsi="Times New Roman"/>
          <w:sz w:val="24"/>
          <w:szCs w:val="24"/>
        </w:rPr>
        <w:t xml:space="preserve">  U</w:t>
      </w:r>
      <w:r w:rsidR="009E5B39" w:rsidRPr="009C368C">
        <w:rPr>
          <w:rFonts w:ascii="Times New Roman" w:hAnsi="Times New Roman"/>
          <w:sz w:val="24"/>
          <w:szCs w:val="24"/>
        </w:rPr>
        <w:t>nder normal FERC accounting</w:t>
      </w:r>
      <w:r w:rsidR="0044313A" w:rsidRPr="009C368C">
        <w:rPr>
          <w:rFonts w:ascii="Times New Roman" w:hAnsi="Times New Roman"/>
          <w:sz w:val="24"/>
          <w:szCs w:val="24"/>
        </w:rPr>
        <w:t>,</w:t>
      </w:r>
      <w:r w:rsidR="009E5B39" w:rsidRPr="009C368C">
        <w:rPr>
          <w:rFonts w:ascii="Times New Roman" w:hAnsi="Times New Roman"/>
          <w:sz w:val="24"/>
          <w:szCs w:val="24"/>
        </w:rPr>
        <w:t xml:space="preserve"> the entire effect of in</w:t>
      </w:r>
      <w:r w:rsidR="00C61885">
        <w:rPr>
          <w:rFonts w:ascii="Times New Roman" w:hAnsi="Times New Roman"/>
          <w:sz w:val="24"/>
          <w:szCs w:val="24"/>
        </w:rPr>
        <w:t xml:space="preserve">come tax deductions on </w:t>
      </w:r>
      <w:r w:rsidR="009E5B39" w:rsidRPr="009C368C">
        <w:rPr>
          <w:rFonts w:ascii="Times New Roman" w:hAnsi="Times New Roman"/>
          <w:sz w:val="24"/>
          <w:szCs w:val="24"/>
        </w:rPr>
        <w:t>ADIT is deducted from rate base.</w:t>
      </w:r>
      <w:r w:rsidR="009E5B39" w:rsidRPr="009E5B39">
        <w:rPr>
          <w:rStyle w:val="FootnoteReference"/>
          <w:rFonts w:ascii="Times New Roman" w:hAnsi="Times New Roman"/>
          <w:sz w:val="24"/>
          <w:szCs w:val="24"/>
        </w:rPr>
        <w:footnoteReference w:id="272"/>
      </w:r>
      <w:r w:rsidR="009E5B39" w:rsidRPr="009C368C">
        <w:rPr>
          <w:rFonts w:ascii="Times New Roman" w:hAnsi="Times New Roman"/>
          <w:sz w:val="24"/>
          <w:szCs w:val="24"/>
        </w:rPr>
        <w:t xml:space="preserve">  FERC also has no requirement that an IRS audit be completed for the ADIT balances to be deducted from rate base.</w:t>
      </w:r>
      <w:r w:rsidR="009E5B39">
        <w:rPr>
          <w:rStyle w:val="FootnoteReference"/>
          <w:rFonts w:ascii="Times New Roman" w:hAnsi="Times New Roman"/>
          <w:sz w:val="24"/>
          <w:szCs w:val="24"/>
        </w:rPr>
        <w:footnoteReference w:id="273"/>
      </w:r>
      <w:r w:rsidR="009E5B39" w:rsidRPr="009C368C">
        <w:rPr>
          <w:rFonts w:ascii="Times New Roman" w:hAnsi="Times New Roman"/>
          <w:sz w:val="24"/>
          <w:szCs w:val="24"/>
        </w:rPr>
        <w:t xml:space="preserve">  </w:t>
      </w:r>
    </w:p>
    <w:p w:rsidR="00346B81"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4313A" w:rsidRPr="009C368C">
        <w:rPr>
          <w:rFonts w:ascii="Times New Roman" w:hAnsi="Times New Roman"/>
          <w:sz w:val="24"/>
          <w:szCs w:val="24"/>
        </w:rPr>
        <w:t xml:space="preserve">Mr. Marcelia attempted to characterize the Commission’s </w:t>
      </w:r>
      <w:r w:rsidR="00A03A52" w:rsidRPr="009C368C">
        <w:rPr>
          <w:rFonts w:ascii="Times New Roman" w:hAnsi="Times New Roman"/>
          <w:sz w:val="24"/>
          <w:szCs w:val="24"/>
        </w:rPr>
        <w:t xml:space="preserve">order in PSE’s 2009 </w:t>
      </w:r>
      <w:r w:rsidR="0044313A" w:rsidRPr="009C368C">
        <w:rPr>
          <w:rFonts w:ascii="Times New Roman" w:hAnsi="Times New Roman"/>
          <w:sz w:val="24"/>
          <w:szCs w:val="24"/>
        </w:rPr>
        <w:t>rate case as an intentional deviation from normal FERC accounting.</w:t>
      </w:r>
      <w:r w:rsidR="009E5B39" w:rsidRPr="009E5B39">
        <w:rPr>
          <w:rStyle w:val="FootnoteReference"/>
          <w:rFonts w:ascii="Times New Roman" w:hAnsi="Times New Roman"/>
          <w:sz w:val="24"/>
          <w:szCs w:val="24"/>
        </w:rPr>
        <w:footnoteReference w:id="274"/>
      </w:r>
      <w:r w:rsidR="009E5B39" w:rsidRPr="009C368C">
        <w:rPr>
          <w:rFonts w:ascii="Times New Roman" w:hAnsi="Times New Roman"/>
          <w:sz w:val="24"/>
          <w:szCs w:val="24"/>
        </w:rPr>
        <w:t xml:space="preserve">  </w:t>
      </w:r>
      <w:r w:rsidR="0044313A" w:rsidRPr="009C368C">
        <w:rPr>
          <w:rFonts w:ascii="Times New Roman" w:hAnsi="Times New Roman"/>
          <w:sz w:val="24"/>
          <w:szCs w:val="24"/>
        </w:rPr>
        <w:t>However, h</w:t>
      </w:r>
      <w:r w:rsidR="009E5B39" w:rsidRPr="009C368C">
        <w:rPr>
          <w:rFonts w:ascii="Times New Roman" w:hAnsi="Times New Roman"/>
          <w:sz w:val="24"/>
          <w:szCs w:val="24"/>
        </w:rPr>
        <w:t xml:space="preserve">e </w:t>
      </w:r>
      <w:r w:rsidR="00B934D7" w:rsidRPr="009C368C">
        <w:rPr>
          <w:rFonts w:ascii="Times New Roman" w:hAnsi="Times New Roman"/>
          <w:sz w:val="24"/>
          <w:szCs w:val="24"/>
        </w:rPr>
        <w:t>agreed</w:t>
      </w:r>
      <w:r w:rsidR="009E5B39" w:rsidRPr="009C368C">
        <w:rPr>
          <w:rFonts w:ascii="Times New Roman" w:hAnsi="Times New Roman"/>
          <w:sz w:val="24"/>
          <w:szCs w:val="24"/>
        </w:rPr>
        <w:t xml:space="preserve"> that there is </w:t>
      </w:r>
      <w:r w:rsidR="009E5B39" w:rsidRPr="009C368C">
        <w:rPr>
          <w:rFonts w:ascii="Times New Roman" w:hAnsi="Times New Roman"/>
          <w:sz w:val="24"/>
          <w:szCs w:val="24"/>
        </w:rPr>
        <w:lastRenderedPageBreak/>
        <w:t xml:space="preserve">no specific statement in the Commission’s </w:t>
      </w:r>
      <w:r w:rsidR="00A03A52" w:rsidRPr="009C368C">
        <w:rPr>
          <w:rFonts w:ascii="Times New Roman" w:hAnsi="Times New Roman"/>
          <w:sz w:val="24"/>
          <w:szCs w:val="24"/>
        </w:rPr>
        <w:t xml:space="preserve">order from that case </w:t>
      </w:r>
      <w:r w:rsidR="009E5B39" w:rsidRPr="009C368C">
        <w:rPr>
          <w:rFonts w:ascii="Times New Roman" w:hAnsi="Times New Roman"/>
          <w:sz w:val="24"/>
          <w:szCs w:val="24"/>
        </w:rPr>
        <w:t>that stated that the Commission was deviating from normal FERC accounting.</w:t>
      </w:r>
      <w:r w:rsidR="009E5B39" w:rsidRPr="009E5B39">
        <w:rPr>
          <w:rStyle w:val="FootnoteReference"/>
          <w:rFonts w:ascii="Times New Roman" w:hAnsi="Times New Roman"/>
          <w:sz w:val="24"/>
          <w:szCs w:val="24"/>
        </w:rPr>
        <w:footnoteReference w:id="275"/>
      </w:r>
      <w:r w:rsidR="009E5B39" w:rsidRPr="009C368C">
        <w:rPr>
          <w:rFonts w:ascii="Times New Roman" w:hAnsi="Times New Roman"/>
          <w:sz w:val="24"/>
          <w:szCs w:val="24"/>
        </w:rPr>
        <w:t xml:space="preserve">  </w:t>
      </w:r>
    </w:p>
    <w:p w:rsidR="00D25FE2" w:rsidRPr="009C368C" w:rsidRDefault="009C368C" w:rsidP="009C368C">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4313A" w:rsidRPr="009C368C">
        <w:rPr>
          <w:rFonts w:ascii="Times New Roman" w:hAnsi="Times New Roman"/>
          <w:sz w:val="24"/>
          <w:szCs w:val="24"/>
        </w:rPr>
        <w:t xml:space="preserve">Mr. Marcelia </w:t>
      </w:r>
      <w:r w:rsidR="00B934D7" w:rsidRPr="009C368C">
        <w:rPr>
          <w:rFonts w:ascii="Times New Roman" w:hAnsi="Times New Roman"/>
          <w:sz w:val="24"/>
          <w:szCs w:val="24"/>
        </w:rPr>
        <w:t>also admitted that, if the Commission applied to PSE in the cur</w:t>
      </w:r>
      <w:r w:rsidR="00C61885">
        <w:rPr>
          <w:rFonts w:ascii="Times New Roman" w:hAnsi="Times New Roman"/>
          <w:sz w:val="24"/>
          <w:szCs w:val="24"/>
        </w:rPr>
        <w:t xml:space="preserve">rent case the same treatment </w:t>
      </w:r>
      <w:r w:rsidR="00A03A52" w:rsidRPr="009C368C">
        <w:rPr>
          <w:rFonts w:ascii="Times New Roman" w:hAnsi="Times New Roman"/>
          <w:sz w:val="24"/>
          <w:szCs w:val="24"/>
        </w:rPr>
        <w:t xml:space="preserve">that </w:t>
      </w:r>
      <w:r w:rsidR="00B934D7" w:rsidRPr="009C368C">
        <w:rPr>
          <w:rFonts w:ascii="Times New Roman" w:hAnsi="Times New Roman"/>
          <w:sz w:val="24"/>
          <w:szCs w:val="24"/>
        </w:rPr>
        <w:t xml:space="preserve">it applied in PacifiCorp’s last general rate case, </w:t>
      </w:r>
      <w:r w:rsidR="00C61885">
        <w:rPr>
          <w:rFonts w:ascii="Times New Roman" w:hAnsi="Times New Roman"/>
          <w:sz w:val="24"/>
          <w:szCs w:val="24"/>
        </w:rPr>
        <w:t xml:space="preserve">then </w:t>
      </w:r>
      <w:r w:rsidR="00B934D7" w:rsidRPr="009C368C">
        <w:rPr>
          <w:rFonts w:ascii="Times New Roman" w:hAnsi="Times New Roman"/>
          <w:sz w:val="24"/>
          <w:szCs w:val="24"/>
        </w:rPr>
        <w:t>all recorded ADIT related to repairs deductions would be deducted from PSE’s rate base</w:t>
      </w:r>
      <w:r w:rsidR="00C61885">
        <w:rPr>
          <w:rFonts w:ascii="Times New Roman" w:hAnsi="Times New Roman"/>
          <w:sz w:val="24"/>
          <w:szCs w:val="24"/>
        </w:rPr>
        <w:t xml:space="preserve"> as a known and measurable adjustment</w:t>
      </w:r>
      <w:r w:rsidR="00D25FE2" w:rsidRPr="009C368C">
        <w:rPr>
          <w:rFonts w:ascii="Times New Roman" w:hAnsi="Times New Roman"/>
          <w:sz w:val="24"/>
          <w:szCs w:val="24"/>
        </w:rPr>
        <w:t>.  As he stated</w:t>
      </w:r>
      <w:r w:rsidR="00B934D7" w:rsidRPr="009C368C">
        <w:rPr>
          <w:rFonts w:ascii="Times New Roman" w:hAnsi="Times New Roman"/>
          <w:sz w:val="24"/>
          <w:szCs w:val="24"/>
        </w:rPr>
        <w:t>:  “If you made a finding that is known and measurable for PSE, your result will look somewhat similar to PacifiCorp.”</w:t>
      </w:r>
      <w:r w:rsidR="00B934D7" w:rsidRPr="00D25FE2">
        <w:rPr>
          <w:rStyle w:val="FootnoteReference"/>
          <w:rFonts w:ascii="Times New Roman" w:hAnsi="Times New Roman"/>
          <w:sz w:val="24"/>
          <w:szCs w:val="24"/>
        </w:rPr>
        <w:footnoteReference w:id="276"/>
      </w:r>
      <w:r w:rsidR="00B934D7" w:rsidRPr="009C368C">
        <w:rPr>
          <w:rFonts w:ascii="Times New Roman" w:hAnsi="Times New Roman"/>
          <w:sz w:val="24"/>
          <w:szCs w:val="24"/>
        </w:rPr>
        <w:t xml:space="preserve">  </w:t>
      </w:r>
    </w:p>
    <w:p w:rsidR="003B3A0B" w:rsidRPr="009C368C" w:rsidRDefault="009C368C" w:rsidP="009C368C">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ab/>
      </w:r>
      <w:r w:rsidR="00B934D7" w:rsidRPr="009C368C">
        <w:rPr>
          <w:rFonts w:ascii="Times New Roman" w:hAnsi="Times New Roman"/>
          <w:sz w:val="24"/>
          <w:szCs w:val="24"/>
        </w:rPr>
        <w:t xml:space="preserve">Based on the overwhelming evidence in the current case, and consistent with the Commission’s prior decisions, the impact of PSE’s repairs deductions </w:t>
      </w:r>
      <w:r w:rsidR="00D25FE2" w:rsidRPr="009C368C">
        <w:rPr>
          <w:rFonts w:ascii="Times New Roman" w:hAnsi="Times New Roman"/>
          <w:sz w:val="24"/>
          <w:szCs w:val="24"/>
        </w:rPr>
        <w:t xml:space="preserve">on ADIT </w:t>
      </w:r>
      <w:r w:rsidR="00B934D7" w:rsidRPr="009C368C">
        <w:rPr>
          <w:rFonts w:ascii="Times New Roman" w:hAnsi="Times New Roman"/>
          <w:sz w:val="24"/>
          <w:szCs w:val="24"/>
        </w:rPr>
        <w:t xml:space="preserve">through the 2010 test year </w:t>
      </w:r>
      <w:r w:rsidR="00B934D7" w:rsidRPr="009C368C">
        <w:rPr>
          <w:rFonts w:ascii="Times New Roman" w:hAnsi="Times New Roman"/>
          <w:i/>
          <w:sz w:val="24"/>
          <w:szCs w:val="24"/>
        </w:rPr>
        <w:t xml:space="preserve">is </w:t>
      </w:r>
      <w:r w:rsidR="00B934D7" w:rsidRPr="009C368C">
        <w:rPr>
          <w:rFonts w:ascii="Times New Roman" w:hAnsi="Times New Roman"/>
          <w:sz w:val="24"/>
          <w:szCs w:val="24"/>
        </w:rPr>
        <w:t>known and measurab</w:t>
      </w:r>
      <w:r w:rsidR="00A03A52" w:rsidRPr="009C368C">
        <w:rPr>
          <w:rFonts w:ascii="Times New Roman" w:hAnsi="Times New Roman"/>
          <w:sz w:val="24"/>
          <w:szCs w:val="24"/>
        </w:rPr>
        <w:t xml:space="preserve">le </w:t>
      </w:r>
      <w:r w:rsidR="00B934D7" w:rsidRPr="009C368C">
        <w:rPr>
          <w:rFonts w:ascii="Times New Roman" w:hAnsi="Times New Roman"/>
          <w:sz w:val="24"/>
          <w:szCs w:val="24"/>
        </w:rPr>
        <w:t>and</w:t>
      </w:r>
      <w:r w:rsidR="00A03A52" w:rsidRPr="009C368C">
        <w:rPr>
          <w:rFonts w:ascii="Times New Roman" w:hAnsi="Times New Roman"/>
          <w:sz w:val="24"/>
          <w:szCs w:val="24"/>
        </w:rPr>
        <w:t>,</w:t>
      </w:r>
      <w:r w:rsidR="00B934D7" w:rsidRPr="009C368C">
        <w:rPr>
          <w:rFonts w:ascii="Times New Roman" w:hAnsi="Times New Roman"/>
          <w:sz w:val="24"/>
          <w:szCs w:val="24"/>
        </w:rPr>
        <w:t xml:space="preserve"> therefore</w:t>
      </w:r>
      <w:r w:rsidR="00A03A52" w:rsidRPr="009C368C">
        <w:rPr>
          <w:rFonts w:ascii="Times New Roman" w:hAnsi="Times New Roman"/>
          <w:sz w:val="24"/>
          <w:szCs w:val="24"/>
        </w:rPr>
        <w:t>,</w:t>
      </w:r>
      <w:r w:rsidR="00B934D7" w:rsidRPr="009C368C">
        <w:rPr>
          <w:rFonts w:ascii="Times New Roman" w:hAnsi="Times New Roman"/>
          <w:sz w:val="24"/>
          <w:szCs w:val="24"/>
        </w:rPr>
        <w:t xml:space="preserve"> must be reflected as a rate base </w:t>
      </w:r>
      <w:r w:rsidR="00D25FE2" w:rsidRPr="009C368C">
        <w:rPr>
          <w:rFonts w:ascii="Times New Roman" w:hAnsi="Times New Roman"/>
          <w:sz w:val="24"/>
          <w:szCs w:val="24"/>
        </w:rPr>
        <w:t>deduction</w:t>
      </w:r>
      <w:r w:rsidR="00A03A52" w:rsidRPr="009C368C">
        <w:rPr>
          <w:rFonts w:ascii="Times New Roman" w:hAnsi="Times New Roman"/>
          <w:sz w:val="24"/>
          <w:szCs w:val="24"/>
        </w:rPr>
        <w:t xml:space="preserve"> net of the related tax accounting change for retirements</w:t>
      </w:r>
      <w:r w:rsidR="00B934D7" w:rsidRPr="009C368C">
        <w:rPr>
          <w:rFonts w:ascii="Times New Roman" w:hAnsi="Times New Roman"/>
          <w:sz w:val="24"/>
          <w:szCs w:val="24"/>
        </w:rPr>
        <w:t>.</w:t>
      </w:r>
      <w:r w:rsidR="00D25FE2" w:rsidRPr="009C368C">
        <w:rPr>
          <w:rFonts w:ascii="Times New Roman" w:hAnsi="Times New Roman"/>
          <w:sz w:val="24"/>
          <w:szCs w:val="24"/>
        </w:rPr>
        <w:t xml:space="preserve">  It would be improper and unfair to ratepayers to ignore this significant source of non-investor supplied capital in establishing PSE’s revenue requirement in the current case.</w:t>
      </w:r>
    </w:p>
    <w:p w:rsidR="004F6171" w:rsidRDefault="004F6171" w:rsidP="00B934D7">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ab/>
        <w:t>b.</w:t>
      </w:r>
      <w:r>
        <w:rPr>
          <w:rFonts w:ascii="Times New Roman" w:hAnsi="Times New Roman" w:cs="Times New Roman"/>
          <w:b/>
          <w:sz w:val="24"/>
          <w:szCs w:val="24"/>
        </w:rPr>
        <w:tab/>
      </w:r>
      <w:r w:rsidR="004307A9">
        <w:rPr>
          <w:rFonts w:ascii="Times New Roman" w:hAnsi="Times New Roman" w:cs="Times New Roman"/>
          <w:b/>
          <w:sz w:val="24"/>
          <w:szCs w:val="24"/>
        </w:rPr>
        <w:t>Adjustments 14.05 and 6.05, Tax Benefit of Pro Forma Interest</w:t>
      </w:r>
    </w:p>
    <w:p w:rsidR="00BF17A3" w:rsidRDefault="0013245A" w:rsidP="0013245A">
      <w:pPr>
        <w:pStyle w:val="Answer-Testimony"/>
        <w:numPr>
          <w:ilvl w:val="0"/>
          <w:numId w:val="1"/>
        </w:numPr>
        <w:rPr>
          <w:b/>
        </w:rPr>
      </w:pPr>
      <w:r>
        <w:tab/>
      </w:r>
      <w:r w:rsidR="00BF17A3">
        <w:t xml:space="preserve">These </w:t>
      </w:r>
      <w:r w:rsidR="00BF17A3" w:rsidRPr="00CD5EF2">
        <w:t>adjustment</w:t>
      </w:r>
      <w:r w:rsidR="00BF17A3">
        <w:t>s assure that customers receive the tax benefit associated with the interest on debt used to support rate base.</w:t>
      </w:r>
      <w:r w:rsidR="00BA4061">
        <w:t xml:space="preserve">  </w:t>
      </w:r>
      <w:r w:rsidR="00426B8C">
        <w:t xml:space="preserve">Staff and PSE </w:t>
      </w:r>
      <w:r w:rsidR="00BF17A3">
        <w:t>adjust</w:t>
      </w:r>
      <w:r w:rsidR="00426B8C">
        <w:t xml:space="preserve">ments </w:t>
      </w:r>
      <w:r w:rsidR="00BF17A3" w:rsidRPr="006F141D">
        <w:t>diffe</w:t>
      </w:r>
      <w:r w:rsidR="00BF17A3">
        <w:t>r</w:t>
      </w:r>
      <w:r w:rsidR="00BF17A3" w:rsidRPr="006F141D">
        <w:t xml:space="preserve"> </w:t>
      </w:r>
      <w:r w:rsidR="00BF17A3">
        <w:t>only because of dif</w:t>
      </w:r>
      <w:r w:rsidR="00BF17A3" w:rsidRPr="006F141D">
        <w:t>ference</w:t>
      </w:r>
      <w:r w:rsidR="00BF17A3">
        <w:t>s</w:t>
      </w:r>
      <w:r w:rsidR="00BF17A3" w:rsidRPr="006F141D">
        <w:t xml:space="preserve"> </w:t>
      </w:r>
      <w:r w:rsidR="00BF17A3" w:rsidRPr="00ED5C4C">
        <w:t xml:space="preserve">in </w:t>
      </w:r>
      <w:r w:rsidR="00BF17A3">
        <w:t xml:space="preserve">rate base resulting from other adjustments and differences in the </w:t>
      </w:r>
      <w:r w:rsidR="00BF17A3" w:rsidRPr="00ED5C4C">
        <w:t xml:space="preserve">weighted </w:t>
      </w:r>
      <w:r w:rsidR="00BF17A3">
        <w:t>cost of debt recommended by their respective cost of capital expert.</w:t>
      </w:r>
    </w:p>
    <w:p w:rsidR="00527850" w:rsidRDefault="004307A9" w:rsidP="00257D2C">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b/>
          <w:sz w:val="24"/>
          <w:szCs w:val="24"/>
        </w:rPr>
        <w:tab/>
        <w:t>Adjustments 14.06 and 6.06, Miscellaneous Operating Expense</w:t>
      </w:r>
    </w:p>
    <w:p w:rsidR="00527850" w:rsidRPr="0013245A" w:rsidRDefault="0013245A" w:rsidP="0013245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527850" w:rsidRPr="0013245A">
        <w:rPr>
          <w:rFonts w:ascii="Times New Roman" w:hAnsi="Times New Roman"/>
          <w:sz w:val="24"/>
          <w:szCs w:val="24"/>
        </w:rPr>
        <w:t>The only eleme</w:t>
      </w:r>
      <w:r w:rsidR="00F13F1C">
        <w:rPr>
          <w:rFonts w:ascii="Times New Roman" w:hAnsi="Times New Roman"/>
          <w:sz w:val="24"/>
          <w:szCs w:val="24"/>
        </w:rPr>
        <w:t xml:space="preserve">nt </w:t>
      </w:r>
      <w:r w:rsidR="00BA4061" w:rsidRPr="0013245A">
        <w:rPr>
          <w:rFonts w:ascii="Times New Roman" w:hAnsi="Times New Roman"/>
          <w:sz w:val="24"/>
          <w:szCs w:val="24"/>
        </w:rPr>
        <w:t xml:space="preserve">at issue </w:t>
      </w:r>
      <w:r w:rsidR="00BA6484">
        <w:rPr>
          <w:rFonts w:ascii="Times New Roman" w:hAnsi="Times New Roman"/>
          <w:sz w:val="24"/>
          <w:szCs w:val="24"/>
        </w:rPr>
        <w:t xml:space="preserve">in this adjustment </w:t>
      </w:r>
      <w:r w:rsidR="00BA4061" w:rsidRPr="0013245A">
        <w:rPr>
          <w:rFonts w:ascii="Times New Roman" w:hAnsi="Times New Roman"/>
          <w:sz w:val="24"/>
          <w:szCs w:val="24"/>
        </w:rPr>
        <w:t xml:space="preserve">involves </w:t>
      </w:r>
      <w:r w:rsidR="00527850" w:rsidRPr="0013245A">
        <w:rPr>
          <w:rFonts w:ascii="Times New Roman" w:hAnsi="Times New Roman"/>
          <w:sz w:val="24"/>
          <w:szCs w:val="24"/>
        </w:rPr>
        <w:t xml:space="preserve">Board of Directors </w:t>
      </w:r>
      <w:r w:rsidR="00BC10DF" w:rsidRPr="0013245A">
        <w:rPr>
          <w:rFonts w:ascii="Times New Roman" w:hAnsi="Times New Roman"/>
          <w:sz w:val="24"/>
          <w:szCs w:val="24"/>
        </w:rPr>
        <w:t xml:space="preserve">fees and </w:t>
      </w:r>
      <w:r w:rsidR="00527850" w:rsidRPr="0013245A">
        <w:rPr>
          <w:rFonts w:ascii="Times New Roman" w:hAnsi="Times New Roman"/>
          <w:sz w:val="24"/>
          <w:szCs w:val="24"/>
        </w:rPr>
        <w:t>meet</w:t>
      </w:r>
      <w:r w:rsidR="00BA4061" w:rsidRPr="0013245A">
        <w:rPr>
          <w:rFonts w:ascii="Times New Roman" w:hAnsi="Times New Roman"/>
          <w:sz w:val="24"/>
          <w:szCs w:val="24"/>
        </w:rPr>
        <w:t>ing expenses</w:t>
      </w:r>
      <w:r w:rsidR="00527850" w:rsidRPr="0013245A">
        <w:rPr>
          <w:rFonts w:ascii="Times New Roman" w:hAnsi="Times New Roman"/>
          <w:sz w:val="24"/>
          <w:szCs w:val="24"/>
        </w:rPr>
        <w:t xml:space="preserve">. </w:t>
      </w:r>
      <w:r w:rsidR="00F15936" w:rsidRPr="0013245A">
        <w:rPr>
          <w:rFonts w:ascii="Times New Roman" w:hAnsi="Times New Roman"/>
          <w:sz w:val="24"/>
          <w:szCs w:val="24"/>
        </w:rPr>
        <w:t xml:space="preserve"> </w:t>
      </w:r>
      <w:r w:rsidR="00F13F1C">
        <w:rPr>
          <w:rFonts w:ascii="Times New Roman" w:hAnsi="Times New Roman"/>
          <w:sz w:val="24"/>
          <w:szCs w:val="24"/>
        </w:rPr>
        <w:t>PSE</w:t>
      </w:r>
      <w:r w:rsidR="00527850" w:rsidRPr="0013245A">
        <w:rPr>
          <w:rFonts w:ascii="Times New Roman" w:hAnsi="Times New Roman"/>
          <w:sz w:val="24"/>
          <w:szCs w:val="24"/>
        </w:rPr>
        <w:t xml:space="preserve"> includes 90 percent of the co</w:t>
      </w:r>
      <w:r w:rsidR="00F15936" w:rsidRPr="0013245A">
        <w:rPr>
          <w:rFonts w:ascii="Times New Roman" w:hAnsi="Times New Roman"/>
          <w:sz w:val="24"/>
          <w:szCs w:val="24"/>
        </w:rPr>
        <w:t xml:space="preserve">sts based on the portion of meeting agenda </w:t>
      </w:r>
      <w:r w:rsidR="00527850" w:rsidRPr="0013245A">
        <w:rPr>
          <w:rFonts w:ascii="Times New Roman" w:hAnsi="Times New Roman"/>
          <w:sz w:val="24"/>
          <w:szCs w:val="24"/>
        </w:rPr>
        <w:t xml:space="preserve">that </w:t>
      </w:r>
      <w:r w:rsidR="00527850" w:rsidRPr="0013245A">
        <w:rPr>
          <w:rFonts w:ascii="Times New Roman" w:hAnsi="Times New Roman"/>
          <w:sz w:val="24"/>
          <w:szCs w:val="24"/>
        </w:rPr>
        <w:lastRenderedPageBreak/>
        <w:t>relate</w:t>
      </w:r>
      <w:r w:rsidR="00BA6484">
        <w:rPr>
          <w:rFonts w:ascii="Times New Roman" w:hAnsi="Times New Roman"/>
          <w:sz w:val="24"/>
          <w:szCs w:val="24"/>
        </w:rPr>
        <w:t>s</w:t>
      </w:r>
      <w:r w:rsidR="00527850" w:rsidRPr="0013245A">
        <w:rPr>
          <w:rFonts w:ascii="Times New Roman" w:hAnsi="Times New Roman"/>
          <w:sz w:val="24"/>
          <w:szCs w:val="24"/>
        </w:rPr>
        <w:t xml:space="preserve"> to utility operations.   Staff allows 50 percent of the expenses</w:t>
      </w:r>
      <w:r w:rsidR="00F15936" w:rsidRPr="0013245A">
        <w:rPr>
          <w:rFonts w:ascii="Times New Roman" w:hAnsi="Times New Roman"/>
          <w:sz w:val="24"/>
          <w:szCs w:val="24"/>
        </w:rPr>
        <w:t xml:space="preserve"> because the Board </w:t>
      </w:r>
      <w:r w:rsidR="00527850" w:rsidRPr="0013245A">
        <w:rPr>
          <w:rFonts w:ascii="Times New Roman" w:hAnsi="Times New Roman"/>
          <w:sz w:val="24"/>
          <w:szCs w:val="24"/>
        </w:rPr>
        <w:t>provides services that benefit equally ratepayers and shareholders.</w:t>
      </w:r>
      <w:r w:rsidR="00527850">
        <w:rPr>
          <w:rStyle w:val="FootnoteReference"/>
          <w:rFonts w:ascii="Times New Roman" w:hAnsi="Times New Roman"/>
          <w:sz w:val="24"/>
          <w:szCs w:val="24"/>
        </w:rPr>
        <w:footnoteReference w:id="277"/>
      </w:r>
    </w:p>
    <w:p w:rsidR="00F15936" w:rsidRPr="0013245A" w:rsidRDefault="0013245A" w:rsidP="0013245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F15936" w:rsidRPr="0013245A">
        <w:rPr>
          <w:rFonts w:ascii="Times New Roman" w:hAnsi="Times New Roman"/>
          <w:sz w:val="24"/>
          <w:szCs w:val="24"/>
        </w:rPr>
        <w:t xml:space="preserve">The Company argues that Board of Directors </w:t>
      </w:r>
      <w:r w:rsidR="00BC10DF" w:rsidRPr="0013245A">
        <w:rPr>
          <w:rFonts w:ascii="Times New Roman" w:hAnsi="Times New Roman"/>
          <w:sz w:val="24"/>
          <w:szCs w:val="24"/>
        </w:rPr>
        <w:t xml:space="preserve">fees and </w:t>
      </w:r>
      <w:r w:rsidR="00F15936" w:rsidRPr="0013245A">
        <w:rPr>
          <w:rFonts w:ascii="Times New Roman" w:hAnsi="Times New Roman"/>
          <w:sz w:val="24"/>
          <w:szCs w:val="24"/>
        </w:rPr>
        <w:t>meeting expenses are a necessary cost of business for utility</w:t>
      </w:r>
      <w:r w:rsidR="0002652C" w:rsidRPr="0013245A">
        <w:rPr>
          <w:rFonts w:ascii="Times New Roman" w:hAnsi="Times New Roman"/>
          <w:sz w:val="24"/>
          <w:szCs w:val="24"/>
        </w:rPr>
        <w:t xml:space="preserve"> operations.  PSE also notes</w:t>
      </w:r>
      <w:r w:rsidR="00F15936" w:rsidRPr="0013245A">
        <w:rPr>
          <w:rFonts w:ascii="Times New Roman" w:hAnsi="Times New Roman"/>
          <w:sz w:val="24"/>
          <w:szCs w:val="24"/>
        </w:rPr>
        <w:t xml:space="preserve"> that Staff does not claim th</w:t>
      </w:r>
      <w:r w:rsidR="00AC743E">
        <w:rPr>
          <w:rFonts w:ascii="Times New Roman" w:hAnsi="Times New Roman"/>
          <w:sz w:val="24"/>
          <w:szCs w:val="24"/>
        </w:rPr>
        <w:t>at Board expenses are excessive</w:t>
      </w:r>
      <w:r w:rsidR="00BA6484">
        <w:rPr>
          <w:rFonts w:ascii="Times New Roman" w:hAnsi="Times New Roman"/>
          <w:sz w:val="24"/>
          <w:szCs w:val="24"/>
        </w:rPr>
        <w:t>,</w:t>
      </w:r>
      <w:r w:rsidR="00F15936" w:rsidRPr="0013245A">
        <w:rPr>
          <w:rFonts w:ascii="Times New Roman" w:hAnsi="Times New Roman"/>
          <w:sz w:val="24"/>
          <w:szCs w:val="24"/>
        </w:rPr>
        <w:t xml:space="preserve"> nor did Staff challenge lower amounts of </w:t>
      </w:r>
      <w:r w:rsidR="00C3264C" w:rsidRPr="0013245A">
        <w:rPr>
          <w:rFonts w:ascii="Times New Roman" w:hAnsi="Times New Roman"/>
          <w:sz w:val="24"/>
          <w:szCs w:val="24"/>
        </w:rPr>
        <w:t xml:space="preserve">such </w:t>
      </w:r>
      <w:r w:rsidR="00F15936" w:rsidRPr="0013245A">
        <w:rPr>
          <w:rFonts w:ascii="Times New Roman" w:hAnsi="Times New Roman"/>
          <w:sz w:val="24"/>
          <w:szCs w:val="24"/>
        </w:rPr>
        <w:t>expenses in prior cases.</w:t>
      </w:r>
      <w:r w:rsidR="00F15936">
        <w:rPr>
          <w:rStyle w:val="FootnoteReference"/>
          <w:rFonts w:ascii="Times New Roman" w:hAnsi="Times New Roman"/>
          <w:sz w:val="24"/>
          <w:szCs w:val="24"/>
        </w:rPr>
        <w:footnoteReference w:id="278"/>
      </w:r>
    </w:p>
    <w:p w:rsidR="00F15936" w:rsidRPr="0013245A" w:rsidRDefault="0013245A" w:rsidP="0013245A">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ab/>
      </w:r>
      <w:r w:rsidR="0002652C" w:rsidRPr="0013245A">
        <w:rPr>
          <w:rFonts w:ascii="Times New Roman" w:hAnsi="Times New Roman"/>
          <w:sz w:val="24"/>
          <w:szCs w:val="24"/>
        </w:rPr>
        <w:t xml:space="preserve">However, PSE </w:t>
      </w:r>
      <w:r w:rsidR="00C3264C" w:rsidRPr="0013245A">
        <w:rPr>
          <w:rFonts w:ascii="Times New Roman" w:hAnsi="Times New Roman"/>
          <w:sz w:val="24"/>
          <w:szCs w:val="24"/>
        </w:rPr>
        <w:t xml:space="preserve">does </w:t>
      </w:r>
      <w:r w:rsidR="00BC10DF" w:rsidRPr="0013245A">
        <w:rPr>
          <w:rFonts w:ascii="Times New Roman" w:hAnsi="Times New Roman"/>
          <w:sz w:val="24"/>
          <w:szCs w:val="24"/>
        </w:rPr>
        <w:t xml:space="preserve">not </w:t>
      </w:r>
      <w:r w:rsidR="00C3264C" w:rsidRPr="0013245A">
        <w:rPr>
          <w:rFonts w:ascii="Times New Roman" w:hAnsi="Times New Roman"/>
          <w:sz w:val="24"/>
          <w:szCs w:val="24"/>
        </w:rPr>
        <w:t>challenge Staff’s underlying premise that ratepayers and shareho</w:t>
      </w:r>
      <w:r w:rsidR="00BA6484">
        <w:rPr>
          <w:rFonts w:ascii="Times New Roman" w:hAnsi="Times New Roman"/>
          <w:sz w:val="24"/>
          <w:szCs w:val="24"/>
        </w:rPr>
        <w:t>lders are equal beneficiaries from</w:t>
      </w:r>
      <w:r w:rsidR="00C3264C" w:rsidRPr="0013245A">
        <w:rPr>
          <w:rFonts w:ascii="Times New Roman" w:hAnsi="Times New Roman"/>
          <w:sz w:val="24"/>
          <w:szCs w:val="24"/>
        </w:rPr>
        <w:t xml:space="preserve"> Board activities.  </w:t>
      </w:r>
      <w:r w:rsidR="00BC10DF" w:rsidRPr="0013245A">
        <w:rPr>
          <w:rFonts w:ascii="Times New Roman" w:hAnsi="Times New Roman"/>
          <w:sz w:val="24"/>
          <w:szCs w:val="24"/>
        </w:rPr>
        <w:t xml:space="preserve">Indeed, the Commission’s most </w:t>
      </w:r>
      <w:r w:rsidR="00F13F1C">
        <w:rPr>
          <w:rFonts w:ascii="Times New Roman" w:hAnsi="Times New Roman"/>
          <w:sz w:val="24"/>
          <w:szCs w:val="24"/>
        </w:rPr>
        <w:t xml:space="preserve">recent treatment </w:t>
      </w:r>
      <w:r w:rsidR="0002652C" w:rsidRPr="0013245A">
        <w:rPr>
          <w:rFonts w:ascii="Times New Roman" w:hAnsi="Times New Roman"/>
          <w:sz w:val="24"/>
          <w:szCs w:val="24"/>
        </w:rPr>
        <w:t xml:space="preserve">adopts that </w:t>
      </w:r>
      <w:r w:rsidR="00BC10DF" w:rsidRPr="0013245A">
        <w:rPr>
          <w:rFonts w:ascii="Times New Roman" w:hAnsi="Times New Roman"/>
          <w:sz w:val="24"/>
          <w:szCs w:val="24"/>
        </w:rPr>
        <w:t xml:space="preserve">premise </w:t>
      </w:r>
      <w:r w:rsidR="00A25B57" w:rsidRPr="0013245A">
        <w:rPr>
          <w:rFonts w:ascii="Times New Roman" w:hAnsi="Times New Roman"/>
          <w:sz w:val="24"/>
          <w:szCs w:val="24"/>
        </w:rPr>
        <w:t>to split B</w:t>
      </w:r>
      <w:r w:rsidR="0002652C" w:rsidRPr="0013245A">
        <w:rPr>
          <w:rFonts w:ascii="Times New Roman" w:hAnsi="Times New Roman"/>
          <w:sz w:val="24"/>
          <w:szCs w:val="24"/>
        </w:rPr>
        <w:t xml:space="preserve">oard of </w:t>
      </w:r>
      <w:r w:rsidR="00A25B57" w:rsidRPr="0013245A">
        <w:rPr>
          <w:rFonts w:ascii="Times New Roman" w:hAnsi="Times New Roman"/>
          <w:sz w:val="24"/>
          <w:szCs w:val="24"/>
        </w:rPr>
        <w:t>D</w:t>
      </w:r>
      <w:r w:rsidR="0002652C" w:rsidRPr="0013245A">
        <w:rPr>
          <w:rFonts w:ascii="Times New Roman" w:hAnsi="Times New Roman"/>
          <w:sz w:val="24"/>
          <w:szCs w:val="24"/>
        </w:rPr>
        <w:t xml:space="preserve">irector expenses </w:t>
      </w:r>
      <w:r w:rsidR="00BC10DF" w:rsidRPr="0013245A">
        <w:rPr>
          <w:rFonts w:ascii="Times New Roman" w:hAnsi="Times New Roman"/>
          <w:sz w:val="24"/>
          <w:szCs w:val="24"/>
        </w:rPr>
        <w:t>equally between</w:t>
      </w:r>
      <w:r w:rsidR="00855B38" w:rsidRPr="0013245A">
        <w:rPr>
          <w:rFonts w:ascii="Times New Roman" w:hAnsi="Times New Roman"/>
          <w:sz w:val="24"/>
          <w:szCs w:val="24"/>
        </w:rPr>
        <w:t xml:space="preserve"> ratepayers and shareholders.</w:t>
      </w:r>
      <w:r w:rsidR="00855B38">
        <w:rPr>
          <w:rStyle w:val="FootnoteReference"/>
          <w:rFonts w:ascii="Times New Roman" w:hAnsi="Times New Roman"/>
          <w:sz w:val="24"/>
          <w:szCs w:val="24"/>
        </w:rPr>
        <w:footnoteReference w:id="279"/>
      </w:r>
      <w:r w:rsidR="00855B38" w:rsidRPr="0013245A">
        <w:rPr>
          <w:rFonts w:ascii="Times New Roman" w:hAnsi="Times New Roman"/>
          <w:sz w:val="24"/>
          <w:szCs w:val="24"/>
        </w:rPr>
        <w:t xml:space="preserve">  The Commission reached that decision </w:t>
      </w:r>
      <w:r w:rsidR="00855B38" w:rsidRPr="0013245A">
        <w:rPr>
          <w:rFonts w:ascii="Times New Roman" w:hAnsi="Times New Roman"/>
          <w:i/>
          <w:sz w:val="24"/>
          <w:szCs w:val="24"/>
        </w:rPr>
        <w:t>after</w:t>
      </w:r>
      <w:r w:rsidR="00855B38" w:rsidRPr="0013245A">
        <w:rPr>
          <w:rFonts w:ascii="Times New Roman" w:hAnsi="Times New Roman"/>
          <w:sz w:val="24"/>
          <w:szCs w:val="24"/>
        </w:rPr>
        <w:t xml:space="preserve"> noting that the utility must first restate </w:t>
      </w:r>
      <w:r w:rsidR="00F13F1C">
        <w:rPr>
          <w:rFonts w:ascii="Times New Roman" w:hAnsi="Times New Roman"/>
          <w:sz w:val="24"/>
          <w:szCs w:val="24"/>
        </w:rPr>
        <w:t xml:space="preserve">the test year </w:t>
      </w:r>
      <w:r w:rsidR="00FB3D42" w:rsidRPr="0013245A">
        <w:rPr>
          <w:rFonts w:ascii="Times New Roman" w:hAnsi="Times New Roman"/>
          <w:sz w:val="24"/>
          <w:szCs w:val="24"/>
        </w:rPr>
        <w:t xml:space="preserve">to exclude extravagant </w:t>
      </w:r>
      <w:r w:rsidR="00855B38" w:rsidRPr="0013245A">
        <w:rPr>
          <w:rFonts w:ascii="Times New Roman" w:hAnsi="Times New Roman"/>
          <w:sz w:val="24"/>
          <w:szCs w:val="24"/>
        </w:rPr>
        <w:t xml:space="preserve">expenses that </w:t>
      </w:r>
      <w:r w:rsidR="00BA6484">
        <w:rPr>
          <w:rFonts w:ascii="Times New Roman" w:hAnsi="Times New Roman"/>
          <w:sz w:val="24"/>
          <w:szCs w:val="24"/>
        </w:rPr>
        <w:t>provide no</w:t>
      </w:r>
      <w:r w:rsidR="00FB3D42" w:rsidRPr="0013245A">
        <w:rPr>
          <w:rFonts w:ascii="Times New Roman" w:hAnsi="Times New Roman"/>
          <w:sz w:val="24"/>
          <w:szCs w:val="24"/>
        </w:rPr>
        <w:t xml:space="preserve"> benefit </w:t>
      </w:r>
      <w:r w:rsidR="00BA6484">
        <w:rPr>
          <w:rFonts w:ascii="Times New Roman" w:hAnsi="Times New Roman"/>
          <w:sz w:val="24"/>
          <w:szCs w:val="24"/>
        </w:rPr>
        <w:t xml:space="preserve">to </w:t>
      </w:r>
      <w:r w:rsidR="00855B38" w:rsidRPr="0013245A">
        <w:rPr>
          <w:rFonts w:ascii="Times New Roman" w:hAnsi="Times New Roman"/>
          <w:sz w:val="24"/>
          <w:szCs w:val="24"/>
        </w:rPr>
        <w:t>ratepayers.</w:t>
      </w:r>
      <w:r w:rsidR="00855B38">
        <w:rPr>
          <w:rStyle w:val="FootnoteReference"/>
          <w:rFonts w:ascii="Times New Roman" w:hAnsi="Times New Roman"/>
          <w:sz w:val="24"/>
          <w:szCs w:val="24"/>
        </w:rPr>
        <w:footnoteReference w:id="280"/>
      </w:r>
      <w:r w:rsidR="00FB3D42" w:rsidRPr="0013245A">
        <w:rPr>
          <w:rFonts w:ascii="Times New Roman" w:hAnsi="Times New Roman"/>
          <w:sz w:val="24"/>
          <w:szCs w:val="24"/>
        </w:rPr>
        <w:t xml:space="preserve">  PSE has not shown </w:t>
      </w:r>
      <w:r w:rsidR="00F13F1C">
        <w:rPr>
          <w:rFonts w:ascii="Times New Roman" w:hAnsi="Times New Roman"/>
          <w:sz w:val="24"/>
          <w:szCs w:val="24"/>
        </w:rPr>
        <w:t xml:space="preserve">why this same approach </w:t>
      </w:r>
      <w:r w:rsidR="0002652C" w:rsidRPr="0013245A">
        <w:rPr>
          <w:rFonts w:ascii="Times New Roman" w:hAnsi="Times New Roman"/>
          <w:sz w:val="24"/>
          <w:szCs w:val="24"/>
        </w:rPr>
        <w:t>should not apply here.</w:t>
      </w:r>
    </w:p>
    <w:p w:rsidR="002A6DF3" w:rsidRDefault="004307A9" w:rsidP="00257D2C">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ab/>
        <w:t>d.</w:t>
      </w:r>
      <w:r>
        <w:rPr>
          <w:rFonts w:ascii="Times New Roman" w:hAnsi="Times New Roman" w:cs="Times New Roman"/>
          <w:b/>
          <w:sz w:val="24"/>
          <w:szCs w:val="24"/>
        </w:rPr>
        <w:tab/>
        <w:t>Adjustments 14.10 and 6.10, Incentive Pay</w:t>
      </w:r>
    </w:p>
    <w:p w:rsidR="00D3414C" w:rsidRPr="0013245A" w:rsidRDefault="0013245A" w:rsidP="0013245A">
      <w:pPr>
        <w:pStyle w:val="ListParagraph"/>
        <w:numPr>
          <w:ilvl w:val="0"/>
          <w:numId w:val="1"/>
        </w:numPr>
        <w:spacing w:line="480" w:lineRule="auto"/>
        <w:rPr>
          <w:rFonts w:ascii="Times New Roman" w:hAnsi="Times New Roman"/>
          <w:b/>
          <w:sz w:val="24"/>
          <w:szCs w:val="24"/>
        </w:rPr>
      </w:pPr>
      <w:r>
        <w:rPr>
          <w:rFonts w:ascii="Times New Roman" w:hAnsi="Times New Roman"/>
          <w:sz w:val="24"/>
          <w:szCs w:val="24"/>
        </w:rPr>
        <w:tab/>
      </w:r>
      <w:r w:rsidR="00D3414C" w:rsidRPr="0013245A">
        <w:rPr>
          <w:rFonts w:ascii="Times New Roman" w:hAnsi="Times New Roman"/>
          <w:sz w:val="24"/>
          <w:szCs w:val="24"/>
        </w:rPr>
        <w:t>The Company’s incentive pay plan is based on employees meetin</w:t>
      </w:r>
      <w:r w:rsidR="009230D2" w:rsidRPr="0013245A">
        <w:rPr>
          <w:rFonts w:ascii="Times New Roman" w:hAnsi="Times New Roman"/>
          <w:sz w:val="24"/>
          <w:szCs w:val="24"/>
        </w:rPr>
        <w:t>g certa</w:t>
      </w:r>
      <w:r w:rsidR="00BA4061" w:rsidRPr="0013245A">
        <w:rPr>
          <w:rFonts w:ascii="Times New Roman" w:hAnsi="Times New Roman"/>
          <w:sz w:val="24"/>
          <w:szCs w:val="24"/>
        </w:rPr>
        <w:t xml:space="preserve">in goals relating to service quality </w:t>
      </w:r>
      <w:r w:rsidR="00F13F1C">
        <w:rPr>
          <w:rFonts w:ascii="Times New Roman" w:hAnsi="Times New Roman"/>
          <w:sz w:val="24"/>
          <w:szCs w:val="24"/>
        </w:rPr>
        <w:t>and financial performance</w:t>
      </w:r>
      <w:r w:rsidR="00D3414C" w:rsidRPr="0013245A">
        <w:rPr>
          <w:rFonts w:ascii="Times New Roman" w:hAnsi="Times New Roman"/>
          <w:sz w:val="24"/>
          <w:szCs w:val="24"/>
        </w:rPr>
        <w:t xml:space="preserve">.  Staff </w:t>
      </w:r>
      <w:r w:rsidR="00BA4061" w:rsidRPr="0013245A">
        <w:rPr>
          <w:rFonts w:ascii="Times New Roman" w:hAnsi="Times New Roman"/>
          <w:sz w:val="24"/>
          <w:szCs w:val="24"/>
        </w:rPr>
        <w:t>includes</w:t>
      </w:r>
      <w:r w:rsidR="00D3414C" w:rsidRPr="0013245A">
        <w:rPr>
          <w:rFonts w:ascii="Times New Roman" w:hAnsi="Times New Roman"/>
          <w:sz w:val="24"/>
          <w:szCs w:val="24"/>
        </w:rPr>
        <w:t xml:space="preserve"> incentive </w:t>
      </w:r>
      <w:r w:rsidR="00BA4061" w:rsidRPr="0013245A">
        <w:rPr>
          <w:rFonts w:ascii="Times New Roman" w:hAnsi="Times New Roman"/>
          <w:sz w:val="24"/>
          <w:szCs w:val="24"/>
        </w:rPr>
        <w:t xml:space="preserve">pay </w:t>
      </w:r>
      <w:r w:rsidR="00D3414C" w:rsidRPr="0013245A">
        <w:rPr>
          <w:rFonts w:ascii="Times New Roman" w:hAnsi="Times New Roman"/>
          <w:sz w:val="24"/>
          <w:szCs w:val="24"/>
        </w:rPr>
        <w:t>only whe</w:t>
      </w:r>
      <w:r w:rsidR="002A456C" w:rsidRPr="0013245A">
        <w:rPr>
          <w:rFonts w:ascii="Times New Roman" w:hAnsi="Times New Roman"/>
          <w:sz w:val="24"/>
          <w:szCs w:val="24"/>
        </w:rPr>
        <w:t>n it is tied to service quality</w:t>
      </w:r>
      <w:r w:rsidR="00F13F1C">
        <w:rPr>
          <w:rFonts w:ascii="Times New Roman" w:hAnsi="Times New Roman"/>
          <w:sz w:val="24"/>
          <w:szCs w:val="24"/>
        </w:rPr>
        <w:t xml:space="preserve"> because that </w:t>
      </w:r>
      <w:r w:rsidR="00BA6484">
        <w:rPr>
          <w:rFonts w:ascii="Times New Roman" w:hAnsi="Times New Roman"/>
          <w:sz w:val="24"/>
          <w:szCs w:val="24"/>
        </w:rPr>
        <w:t xml:space="preserve">is what </w:t>
      </w:r>
      <w:r w:rsidR="00D3414C" w:rsidRPr="0013245A">
        <w:rPr>
          <w:rFonts w:ascii="Times New Roman" w:hAnsi="Times New Roman"/>
          <w:sz w:val="24"/>
          <w:szCs w:val="24"/>
        </w:rPr>
        <w:t>benefits ratepayers</w:t>
      </w:r>
      <w:r w:rsidR="00BA6484">
        <w:rPr>
          <w:rFonts w:ascii="Times New Roman" w:hAnsi="Times New Roman"/>
          <w:sz w:val="24"/>
          <w:szCs w:val="24"/>
        </w:rPr>
        <w:t>.  Staff excludes</w:t>
      </w:r>
      <w:r w:rsidR="00E47081" w:rsidRPr="0013245A">
        <w:rPr>
          <w:rFonts w:ascii="Times New Roman" w:hAnsi="Times New Roman"/>
          <w:sz w:val="24"/>
          <w:szCs w:val="24"/>
        </w:rPr>
        <w:t xml:space="preserve"> incentive pay based on financial performance whic</w:t>
      </w:r>
      <w:r w:rsidR="00AC743E">
        <w:rPr>
          <w:rFonts w:ascii="Times New Roman" w:hAnsi="Times New Roman"/>
          <w:sz w:val="24"/>
          <w:szCs w:val="24"/>
        </w:rPr>
        <w:t xml:space="preserve">h only benefits shareholders.  </w:t>
      </w:r>
      <w:r w:rsidR="00E47081" w:rsidRPr="0013245A">
        <w:rPr>
          <w:rFonts w:ascii="Times New Roman" w:hAnsi="Times New Roman"/>
          <w:sz w:val="24"/>
          <w:szCs w:val="24"/>
        </w:rPr>
        <w:t xml:space="preserve">Staff </w:t>
      </w:r>
      <w:r w:rsidR="00D3414C" w:rsidRPr="0013245A">
        <w:rPr>
          <w:rFonts w:ascii="Times New Roman" w:hAnsi="Times New Roman"/>
          <w:sz w:val="24"/>
          <w:szCs w:val="24"/>
        </w:rPr>
        <w:t>remove</w:t>
      </w:r>
      <w:r w:rsidR="00AC743E">
        <w:rPr>
          <w:rFonts w:ascii="Times New Roman" w:hAnsi="Times New Roman"/>
          <w:sz w:val="24"/>
          <w:szCs w:val="24"/>
        </w:rPr>
        <w:t>d</w:t>
      </w:r>
      <w:r w:rsidR="00D3414C" w:rsidRPr="0013245A">
        <w:rPr>
          <w:rFonts w:ascii="Times New Roman" w:hAnsi="Times New Roman"/>
          <w:sz w:val="24"/>
          <w:szCs w:val="24"/>
        </w:rPr>
        <w:t xml:space="preserve"> </w:t>
      </w:r>
      <w:r w:rsidR="00E47081" w:rsidRPr="0013245A">
        <w:rPr>
          <w:rFonts w:ascii="Times New Roman" w:hAnsi="Times New Roman"/>
          <w:sz w:val="24"/>
          <w:szCs w:val="24"/>
        </w:rPr>
        <w:t xml:space="preserve">50 percent of </w:t>
      </w:r>
      <w:r w:rsidR="00D3414C" w:rsidRPr="0013245A">
        <w:rPr>
          <w:rFonts w:ascii="Times New Roman" w:hAnsi="Times New Roman"/>
          <w:sz w:val="24"/>
          <w:szCs w:val="24"/>
        </w:rPr>
        <w:t>test year incentive pay as a prox</w:t>
      </w:r>
      <w:r w:rsidR="002A456C" w:rsidRPr="0013245A">
        <w:rPr>
          <w:rFonts w:ascii="Times New Roman" w:hAnsi="Times New Roman"/>
          <w:sz w:val="24"/>
          <w:szCs w:val="24"/>
        </w:rPr>
        <w:t xml:space="preserve">y for the amount related to </w:t>
      </w:r>
      <w:r w:rsidR="00D3414C" w:rsidRPr="0013245A">
        <w:rPr>
          <w:rFonts w:ascii="Times New Roman" w:hAnsi="Times New Roman"/>
          <w:sz w:val="24"/>
          <w:szCs w:val="24"/>
        </w:rPr>
        <w:t>financial metrics.</w:t>
      </w:r>
      <w:r w:rsidR="0013368C">
        <w:rPr>
          <w:rStyle w:val="FootnoteReference"/>
          <w:rFonts w:ascii="Times New Roman" w:hAnsi="Times New Roman"/>
          <w:sz w:val="24"/>
          <w:szCs w:val="24"/>
        </w:rPr>
        <w:footnoteReference w:id="281"/>
      </w:r>
    </w:p>
    <w:p w:rsidR="002A6DF3" w:rsidRPr="00796352" w:rsidRDefault="0013245A" w:rsidP="0013245A">
      <w:pPr>
        <w:pStyle w:val="BodyTextIndent2"/>
        <w:numPr>
          <w:ilvl w:val="0"/>
          <w:numId w:val="1"/>
        </w:numPr>
        <w:tabs>
          <w:tab w:val="left" w:pos="-3780"/>
          <w:tab w:val="left" w:pos="-3600"/>
        </w:tabs>
        <w:spacing w:after="0"/>
        <w:rPr>
          <w:rFonts w:ascii="Times New Roman" w:hAnsi="Times New Roman"/>
          <w:sz w:val="24"/>
          <w:szCs w:val="24"/>
        </w:rPr>
      </w:pPr>
      <w:r>
        <w:rPr>
          <w:rFonts w:ascii="Times New Roman" w:hAnsi="Times New Roman"/>
          <w:sz w:val="24"/>
          <w:szCs w:val="24"/>
        </w:rPr>
        <w:lastRenderedPageBreak/>
        <w:tab/>
      </w:r>
      <w:r w:rsidR="002A6DF3">
        <w:rPr>
          <w:rFonts w:ascii="Times New Roman" w:hAnsi="Times New Roman"/>
          <w:sz w:val="24"/>
          <w:szCs w:val="24"/>
        </w:rPr>
        <w:t>The Commission should adopt Staff’s adjustments for several reasons.</w:t>
      </w:r>
      <w:r w:rsidR="00B134DF">
        <w:rPr>
          <w:rStyle w:val="FootnoteReference"/>
          <w:rFonts w:ascii="Times New Roman" w:hAnsi="Times New Roman"/>
          <w:sz w:val="24"/>
          <w:szCs w:val="24"/>
        </w:rPr>
        <w:footnoteReference w:id="282"/>
      </w:r>
      <w:r w:rsidR="00935532">
        <w:rPr>
          <w:rFonts w:ascii="Times New Roman" w:hAnsi="Times New Roman"/>
          <w:sz w:val="24"/>
          <w:szCs w:val="24"/>
        </w:rPr>
        <w:t xml:space="preserve">  </w:t>
      </w:r>
      <w:r w:rsidR="002A6DF3">
        <w:rPr>
          <w:rFonts w:ascii="Times New Roman" w:hAnsi="Times New Roman"/>
          <w:sz w:val="24"/>
          <w:szCs w:val="24"/>
        </w:rPr>
        <w:t xml:space="preserve">First, Staff’s adjustments are consistent with prior Commission </w:t>
      </w:r>
      <w:r w:rsidR="002A6DF3" w:rsidRPr="00796352">
        <w:rPr>
          <w:rFonts w:ascii="Times New Roman" w:hAnsi="Times New Roman"/>
          <w:sz w:val="24"/>
          <w:szCs w:val="24"/>
        </w:rPr>
        <w:t>decisions</w:t>
      </w:r>
      <w:r w:rsidR="002A6DF3">
        <w:rPr>
          <w:rFonts w:ascii="Times New Roman" w:hAnsi="Times New Roman"/>
          <w:sz w:val="24"/>
          <w:szCs w:val="24"/>
        </w:rPr>
        <w:t>.</w:t>
      </w:r>
      <w:r w:rsidR="002A6DF3" w:rsidRPr="00796352">
        <w:rPr>
          <w:rStyle w:val="FootnoteReference"/>
          <w:rFonts w:ascii="Times New Roman" w:hAnsi="Times New Roman"/>
          <w:sz w:val="24"/>
          <w:szCs w:val="24"/>
        </w:rPr>
        <w:footnoteReference w:id="283"/>
      </w:r>
      <w:r w:rsidR="002A6DF3" w:rsidRPr="00796352">
        <w:rPr>
          <w:rFonts w:ascii="Times New Roman" w:hAnsi="Times New Roman"/>
          <w:sz w:val="24"/>
          <w:szCs w:val="24"/>
        </w:rPr>
        <w:t xml:space="preserve">  </w:t>
      </w:r>
    </w:p>
    <w:p w:rsidR="00D3414C" w:rsidRDefault="0013245A" w:rsidP="0013245A">
      <w:pPr>
        <w:pStyle w:val="BodyTextIndent2"/>
        <w:keepNext/>
        <w:numPr>
          <w:ilvl w:val="0"/>
          <w:numId w:val="1"/>
        </w:numPr>
        <w:tabs>
          <w:tab w:val="left" w:pos="-3780"/>
          <w:tab w:val="left" w:pos="-3600"/>
        </w:tabs>
        <w:spacing w:after="0"/>
        <w:rPr>
          <w:rFonts w:ascii="Times New Roman" w:hAnsi="Times New Roman"/>
          <w:sz w:val="24"/>
          <w:szCs w:val="24"/>
        </w:rPr>
      </w:pPr>
      <w:r>
        <w:rPr>
          <w:rFonts w:ascii="Times New Roman" w:hAnsi="Times New Roman"/>
          <w:sz w:val="24"/>
          <w:szCs w:val="24"/>
        </w:rPr>
        <w:tab/>
      </w:r>
      <w:r w:rsidR="002A6DF3">
        <w:rPr>
          <w:rFonts w:ascii="Times New Roman" w:hAnsi="Times New Roman"/>
          <w:sz w:val="24"/>
          <w:szCs w:val="24"/>
        </w:rPr>
        <w:t xml:space="preserve">Second, </w:t>
      </w:r>
      <w:r w:rsidR="00F13F1C">
        <w:rPr>
          <w:rFonts w:ascii="Times New Roman" w:hAnsi="Times New Roman"/>
          <w:sz w:val="24"/>
          <w:szCs w:val="24"/>
        </w:rPr>
        <w:t xml:space="preserve">a recent Commission decision requires </w:t>
      </w:r>
      <w:r w:rsidR="00935532">
        <w:rPr>
          <w:rFonts w:ascii="Times New Roman" w:hAnsi="Times New Roman"/>
          <w:sz w:val="24"/>
          <w:szCs w:val="24"/>
        </w:rPr>
        <w:t>companies</w:t>
      </w:r>
      <w:r w:rsidR="00935532" w:rsidRPr="00935532">
        <w:rPr>
          <w:rFonts w:ascii="Times New Roman" w:hAnsi="Times New Roman"/>
          <w:sz w:val="24"/>
          <w:szCs w:val="24"/>
        </w:rPr>
        <w:t xml:space="preserve"> </w:t>
      </w:r>
      <w:r w:rsidR="00F13F1C">
        <w:rPr>
          <w:rFonts w:ascii="Times New Roman" w:hAnsi="Times New Roman"/>
          <w:sz w:val="24"/>
          <w:szCs w:val="24"/>
        </w:rPr>
        <w:t xml:space="preserve">to </w:t>
      </w:r>
      <w:r w:rsidR="008E1BD5">
        <w:rPr>
          <w:rFonts w:ascii="Times New Roman" w:hAnsi="Times New Roman"/>
          <w:sz w:val="24"/>
          <w:szCs w:val="24"/>
        </w:rPr>
        <w:t>prove why</w:t>
      </w:r>
      <w:r w:rsidR="00935532" w:rsidRPr="00935532">
        <w:rPr>
          <w:rFonts w:ascii="Times New Roman" w:hAnsi="Times New Roman"/>
          <w:sz w:val="24"/>
          <w:szCs w:val="24"/>
        </w:rPr>
        <w:t xml:space="preserve"> </w:t>
      </w:r>
      <w:r w:rsidR="00935532">
        <w:rPr>
          <w:rFonts w:ascii="Times New Roman" w:hAnsi="Times New Roman"/>
          <w:sz w:val="24"/>
          <w:szCs w:val="24"/>
        </w:rPr>
        <w:t>rates should recover incentive pay related to earnings</w:t>
      </w:r>
      <w:r w:rsidR="00BA6484">
        <w:rPr>
          <w:rFonts w:ascii="Times New Roman" w:hAnsi="Times New Roman"/>
          <w:sz w:val="24"/>
          <w:szCs w:val="24"/>
        </w:rPr>
        <w:t xml:space="preserve"> because </w:t>
      </w:r>
      <w:r w:rsidR="00935532">
        <w:rPr>
          <w:rFonts w:ascii="Times New Roman" w:hAnsi="Times New Roman"/>
          <w:sz w:val="24"/>
          <w:szCs w:val="24"/>
        </w:rPr>
        <w:t>ratepayers</w:t>
      </w:r>
      <w:r w:rsidR="00935532" w:rsidRPr="00935532">
        <w:rPr>
          <w:rFonts w:ascii="Times New Roman" w:hAnsi="Times New Roman"/>
          <w:sz w:val="24"/>
          <w:szCs w:val="24"/>
        </w:rPr>
        <w:t xml:space="preserve"> already bear the </w:t>
      </w:r>
      <w:r w:rsidR="00BA4061">
        <w:rPr>
          <w:rFonts w:ascii="Times New Roman" w:hAnsi="Times New Roman"/>
          <w:sz w:val="24"/>
          <w:szCs w:val="24"/>
        </w:rPr>
        <w:t xml:space="preserve">full </w:t>
      </w:r>
      <w:r w:rsidR="00935532" w:rsidRPr="00935532">
        <w:rPr>
          <w:rFonts w:ascii="Times New Roman" w:hAnsi="Times New Roman"/>
          <w:sz w:val="24"/>
          <w:szCs w:val="24"/>
        </w:rPr>
        <w:t>b</w:t>
      </w:r>
      <w:r w:rsidR="00BA4061">
        <w:rPr>
          <w:rFonts w:ascii="Times New Roman" w:hAnsi="Times New Roman"/>
          <w:sz w:val="24"/>
          <w:szCs w:val="24"/>
        </w:rPr>
        <w:t xml:space="preserve">urden </w:t>
      </w:r>
      <w:r w:rsidR="00935532">
        <w:rPr>
          <w:rFonts w:ascii="Times New Roman" w:hAnsi="Times New Roman"/>
          <w:sz w:val="24"/>
          <w:szCs w:val="24"/>
        </w:rPr>
        <w:t>of O&amp;M</w:t>
      </w:r>
      <w:r w:rsidR="00935532" w:rsidRPr="00935532">
        <w:rPr>
          <w:rFonts w:ascii="Times New Roman" w:hAnsi="Times New Roman"/>
          <w:sz w:val="24"/>
          <w:szCs w:val="24"/>
        </w:rPr>
        <w:t>.</w:t>
      </w:r>
      <w:r w:rsidR="00935532" w:rsidRPr="00935532">
        <w:rPr>
          <w:rStyle w:val="FootnoteReference"/>
          <w:rFonts w:ascii="Times New Roman" w:hAnsi="Times New Roman"/>
          <w:sz w:val="24"/>
          <w:szCs w:val="24"/>
        </w:rPr>
        <w:footnoteReference w:id="284"/>
      </w:r>
      <w:r w:rsidR="00935532" w:rsidRPr="00935532">
        <w:rPr>
          <w:rFonts w:ascii="Times New Roman" w:hAnsi="Times New Roman"/>
          <w:sz w:val="24"/>
          <w:szCs w:val="24"/>
        </w:rPr>
        <w:t xml:space="preserve">  </w:t>
      </w:r>
      <w:r w:rsidR="00F13F1C">
        <w:rPr>
          <w:rFonts w:ascii="Times New Roman" w:hAnsi="Times New Roman"/>
          <w:sz w:val="24"/>
          <w:szCs w:val="24"/>
        </w:rPr>
        <w:t>PSE is silent on that issue</w:t>
      </w:r>
      <w:r w:rsidR="003C4B35">
        <w:rPr>
          <w:rFonts w:ascii="Times New Roman" w:hAnsi="Times New Roman"/>
          <w:sz w:val="24"/>
          <w:szCs w:val="24"/>
        </w:rPr>
        <w:t xml:space="preserve"> and only cites older precedent from its 2004 rate case when the Commission allowed recovery of incentive pay based on achieving financial measures.</w:t>
      </w:r>
      <w:r w:rsidR="003C4B35">
        <w:rPr>
          <w:rStyle w:val="FootnoteReference"/>
          <w:rFonts w:ascii="Times New Roman" w:hAnsi="Times New Roman"/>
          <w:sz w:val="24"/>
          <w:szCs w:val="24"/>
        </w:rPr>
        <w:footnoteReference w:id="285"/>
      </w:r>
      <w:r w:rsidR="003C4B35">
        <w:rPr>
          <w:rFonts w:ascii="Times New Roman" w:hAnsi="Times New Roman"/>
          <w:sz w:val="24"/>
          <w:szCs w:val="24"/>
        </w:rPr>
        <w:tab/>
      </w:r>
    </w:p>
    <w:p w:rsidR="002A456C" w:rsidRPr="003C4B35" w:rsidRDefault="0013245A" w:rsidP="003C4B35">
      <w:pPr>
        <w:pStyle w:val="BodyTextIndent2"/>
        <w:numPr>
          <w:ilvl w:val="0"/>
          <w:numId w:val="1"/>
        </w:numPr>
        <w:tabs>
          <w:tab w:val="left" w:pos="-3780"/>
          <w:tab w:val="left" w:pos="-3600"/>
        </w:tabs>
        <w:spacing w:after="0"/>
        <w:rPr>
          <w:rFonts w:ascii="Times New Roman" w:hAnsi="Times New Roman"/>
          <w:sz w:val="24"/>
          <w:szCs w:val="24"/>
        </w:rPr>
      </w:pPr>
      <w:r>
        <w:rPr>
          <w:rFonts w:ascii="Times New Roman" w:hAnsi="Times New Roman"/>
          <w:sz w:val="24"/>
          <w:szCs w:val="24"/>
        </w:rPr>
        <w:tab/>
      </w:r>
      <w:r w:rsidR="00B134DF">
        <w:rPr>
          <w:rFonts w:ascii="Times New Roman" w:hAnsi="Times New Roman"/>
          <w:sz w:val="24"/>
          <w:szCs w:val="24"/>
        </w:rPr>
        <w:t>Finally</w:t>
      </w:r>
      <w:r w:rsidR="008E1BD5" w:rsidRPr="008E1BD5">
        <w:rPr>
          <w:rFonts w:ascii="Times New Roman" w:hAnsi="Times New Roman"/>
          <w:sz w:val="24"/>
          <w:szCs w:val="24"/>
        </w:rPr>
        <w:t xml:space="preserve">, if incentive pay </w:t>
      </w:r>
      <w:r w:rsidR="00F13F1C">
        <w:rPr>
          <w:rFonts w:ascii="Times New Roman" w:hAnsi="Times New Roman"/>
          <w:sz w:val="24"/>
          <w:szCs w:val="24"/>
        </w:rPr>
        <w:t>related to earning</w:t>
      </w:r>
      <w:r w:rsidR="00BA6484">
        <w:rPr>
          <w:rFonts w:ascii="Times New Roman" w:hAnsi="Times New Roman"/>
          <w:sz w:val="24"/>
          <w:szCs w:val="24"/>
        </w:rPr>
        <w:t>s</w:t>
      </w:r>
      <w:r w:rsidR="00F13F1C">
        <w:rPr>
          <w:rFonts w:ascii="Times New Roman" w:hAnsi="Times New Roman"/>
          <w:sz w:val="24"/>
          <w:szCs w:val="24"/>
        </w:rPr>
        <w:t xml:space="preserve"> </w:t>
      </w:r>
      <w:r w:rsidR="008E1BD5" w:rsidRPr="008E1BD5">
        <w:rPr>
          <w:rFonts w:ascii="Times New Roman" w:hAnsi="Times New Roman"/>
          <w:sz w:val="24"/>
          <w:szCs w:val="24"/>
        </w:rPr>
        <w:t>is incorpora</w:t>
      </w:r>
      <w:r w:rsidR="00F13F1C">
        <w:rPr>
          <w:rFonts w:ascii="Times New Roman" w:hAnsi="Times New Roman"/>
          <w:sz w:val="24"/>
          <w:szCs w:val="24"/>
        </w:rPr>
        <w:t>ted into rates and PSE</w:t>
      </w:r>
      <w:r w:rsidR="008E1BD5" w:rsidRPr="008E1BD5">
        <w:rPr>
          <w:rFonts w:ascii="Times New Roman" w:hAnsi="Times New Roman"/>
          <w:sz w:val="24"/>
          <w:szCs w:val="24"/>
        </w:rPr>
        <w:t xml:space="preserve"> does not pay those incentives in the rate y</w:t>
      </w:r>
      <w:r w:rsidR="00BA4061">
        <w:rPr>
          <w:rFonts w:ascii="Times New Roman" w:hAnsi="Times New Roman"/>
          <w:sz w:val="24"/>
          <w:szCs w:val="24"/>
        </w:rPr>
        <w:t xml:space="preserve">ear, then ratepayers are </w:t>
      </w:r>
      <w:r w:rsidR="008E1BD5" w:rsidRPr="008E1BD5">
        <w:rPr>
          <w:rFonts w:ascii="Times New Roman" w:hAnsi="Times New Roman"/>
          <w:sz w:val="24"/>
          <w:szCs w:val="24"/>
        </w:rPr>
        <w:t xml:space="preserve">held responsible for a cost </w:t>
      </w:r>
      <w:r w:rsidR="008E1BD5">
        <w:rPr>
          <w:rFonts w:ascii="Times New Roman" w:hAnsi="Times New Roman"/>
          <w:sz w:val="24"/>
          <w:szCs w:val="24"/>
        </w:rPr>
        <w:t>that is not incurred</w:t>
      </w:r>
      <w:r w:rsidR="008E1BD5" w:rsidRPr="008E1BD5">
        <w:rPr>
          <w:rFonts w:ascii="Times New Roman" w:hAnsi="Times New Roman"/>
          <w:sz w:val="24"/>
          <w:szCs w:val="24"/>
        </w:rPr>
        <w:t>.</w:t>
      </w:r>
      <w:r w:rsidR="00BA4061">
        <w:rPr>
          <w:rFonts w:ascii="Times New Roman" w:hAnsi="Times New Roman"/>
          <w:sz w:val="24"/>
          <w:szCs w:val="24"/>
        </w:rPr>
        <w:t xml:space="preserve">  Likewise, </w:t>
      </w:r>
      <w:r w:rsidR="00B134DF">
        <w:rPr>
          <w:rFonts w:ascii="Times New Roman" w:hAnsi="Times New Roman"/>
          <w:sz w:val="24"/>
          <w:szCs w:val="24"/>
        </w:rPr>
        <w:t xml:space="preserve">any cost savings </w:t>
      </w:r>
      <w:r w:rsidR="00796352">
        <w:rPr>
          <w:rFonts w:ascii="Times New Roman" w:hAnsi="Times New Roman"/>
          <w:sz w:val="24"/>
          <w:szCs w:val="24"/>
        </w:rPr>
        <w:t>result</w:t>
      </w:r>
      <w:r w:rsidR="00B134DF">
        <w:rPr>
          <w:rFonts w:ascii="Times New Roman" w:hAnsi="Times New Roman"/>
          <w:sz w:val="24"/>
          <w:szCs w:val="24"/>
        </w:rPr>
        <w:t>ing</w:t>
      </w:r>
      <w:r w:rsidR="00796352">
        <w:rPr>
          <w:rFonts w:ascii="Times New Roman" w:hAnsi="Times New Roman"/>
          <w:sz w:val="24"/>
          <w:szCs w:val="24"/>
        </w:rPr>
        <w:t xml:space="preserve"> from </w:t>
      </w:r>
      <w:r w:rsidR="00B134DF">
        <w:rPr>
          <w:rFonts w:ascii="Times New Roman" w:hAnsi="Times New Roman"/>
          <w:sz w:val="24"/>
          <w:szCs w:val="24"/>
        </w:rPr>
        <w:t>employee cost control efforts made to achieve</w:t>
      </w:r>
      <w:r w:rsidR="002A456C">
        <w:rPr>
          <w:rFonts w:ascii="Times New Roman" w:hAnsi="Times New Roman"/>
          <w:sz w:val="24"/>
          <w:szCs w:val="24"/>
        </w:rPr>
        <w:t xml:space="preserve"> a financial metric</w:t>
      </w:r>
      <w:r w:rsidR="00B134DF">
        <w:rPr>
          <w:rFonts w:ascii="Times New Roman" w:hAnsi="Times New Roman"/>
          <w:sz w:val="24"/>
          <w:szCs w:val="24"/>
        </w:rPr>
        <w:t xml:space="preserve"> do</w:t>
      </w:r>
      <w:r w:rsidR="00796352">
        <w:rPr>
          <w:rFonts w:ascii="Times New Roman" w:hAnsi="Times New Roman"/>
          <w:sz w:val="24"/>
          <w:szCs w:val="24"/>
        </w:rPr>
        <w:t xml:space="preserve"> not accrue to ratepayers until the next general rate case.  Only shareholders receive those benefits in the short term.</w:t>
      </w:r>
      <w:r w:rsidR="00B134DF">
        <w:rPr>
          <w:rFonts w:ascii="Times New Roman" w:hAnsi="Times New Roman"/>
          <w:sz w:val="24"/>
          <w:szCs w:val="24"/>
        </w:rPr>
        <w:t xml:space="preserve">  </w:t>
      </w:r>
    </w:p>
    <w:p w:rsidR="00B134DF" w:rsidRDefault="0013245A" w:rsidP="0013245A">
      <w:pPr>
        <w:pStyle w:val="BodyTextIndent2"/>
        <w:numPr>
          <w:ilvl w:val="0"/>
          <w:numId w:val="1"/>
        </w:numPr>
        <w:tabs>
          <w:tab w:val="left" w:pos="-3780"/>
          <w:tab w:val="left" w:pos="-3600"/>
        </w:tabs>
        <w:spacing w:after="0"/>
        <w:rPr>
          <w:rFonts w:ascii="Times New Roman" w:hAnsi="Times New Roman" w:cs="Times New Roman"/>
          <w:sz w:val="24"/>
          <w:szCs w:val="24"/>
        </w:rPr>
      </w:pPr>
      <w:r>
        <w:rPr>
          <w:rFonts w:ascii="Times New Roman" w:hAnsi="Times New Roman"/>
          <w:sz w:val="24"/>
          <w:szCs w:val="24"/>
        </w:rPr>
        <w:tab/>
      </w:r>
      <w:r w:rsidR="002A456C">
        <w:rPr>
          <w:rFonts w:ascii="Times New Roman" w:hAnsi="Times New Roman"/>
          <w:sz w:val="24"/>
          <w:szCs w:val="24"/>
        </w:rPr>
        <w:t xml:space="preserve">PSE </w:t>
      </w:r>
      <w:r w:rsidR="00DF00A8">
        <w:rPr>
          <w:rFonts w:ascii="Times New Roman" w:hAnsi="Times New Roman"/>
          <w:sz w:val="24"/>
          <w:szCs w:val="24"/>
        </w:rPr>
        <w:t>argues that the Commission has h</w:t>
      </w:r>
      <w:r w:rsidR="00684826">
        <w:rPr>
          <w:rFonts w:ascii="Times New Roman" w:hAnsi="Times New Roman"/>
          <w:sz w:val="24"/>
          <w:szCs w:val="24"/>
        </w:rPr>
        <w:t xml:space="preserve">eld that the relevant inquiry </w:t>
      </w:r>
      <w:r w:rsidR="00DF00A8">
        <w:rPr>
          <w:rFonts w:ascii="Times New Roman" w:hAnsi="Times New Roman"/>
          <w:sz w:val="24"/>
          <w:szCs w:val="24"/>
        </w:rPr>
        <w:t xml:space="preserve">is </w:t>
      </w:r>
      <w:r w:rsidR="00DF00A8">
        <w:rPr>
          <w:rFonts w:ascii="Times New Roman" w:hAnsi="Times New Roman" w:cs="Times New Roman"/>
          <w:sz w:val="24"/>
          <w:szCs w:val="24"/>
        </w:rPr>
        <w:t xml:space="preserve">only whether </w:t>
      </w:r>
      <w:r w:rsidR="00DF00A8" w:rsidRPr="00DF00A8">
        <w:rPr>
          <w:rFonts w:ascii="Times New Roman" w:hAnsi="Times New Roman" w:cs="Times New Roman"/>
          <w:sz w:val="24"/>
          <w:szCs w:val="24"/>
        </w:rPr>
        <w:t>compensation exceeds the market average, is unreasonable, and offers benefits to ratepayers.</w:t>
      </w:r>
      <w:r w:rsidR="00DF00A8">
        <w:rPr>
          <w:rStyle w:val="FootnoteReference"/>
          <w:rFonts w:ascii="Times New Roman" w:hAnsi="Times New Roman"/>
          <w:sz w:val="24"/>
          <w:szCs w:val="24"/>
        </w:rPr>
        <w:footnoteReference w:id="286"/>
      </w:r>
      <w:r w:rsidR="00DF00A8" w:rsidRPr="00DF00A8">
        <w:rPr>
          <w:rFonts w:ascii="Times New Roman" w:hAnsi="Times New Roman" w:cs="Times New Roman"/>
          <w:sz w:val="24"/>
          <w:szCs w:val="24"/>
        </w:rPr>
        <w:t xml:space="preserve"> </w:t>
      </w:r>
      <w:r w:rsidR="00371F1C">
        <w:rPr>
          <w:rFonts w:ascii="Times New Roman" w:hAnsi="Times New Roman" w:cs="Times New Roman"/>
          <w:sz w:val="24"/>
          <w:szCs w:val="24"/>
        </w:rPr>
        <w:t xml:space="preserve"> </w:t>
      </w:r>
      <w:r w:rsidR="00DF00A8">
        <w:rPr>
          <w:rFonts w:ascii="Times New Roman" w:hAnsi="Times New Roman" w:cs="Times New Roman"/>
          <w:sz w:val="24"/>
          <w:szCs w:val="24"/>
        </w:rPr>
        <w:t xml:space="preserve">However, the incentive plan </w:t>
      </w:r>
      <w:r w:rsidR="00144DE4">
        <w:rPr>
          <w:rFonts w:ascii="Times New Roman" w:hAnsi="Times New Roman" w:cs="Times New Roman"/>
          <w:sz w:val="24"/>
          <w:szCs w:val="24"/>
        </w:rPr>
        <w:t xml:space="preserve">there </w:t>
      </w:r>
      <w:r w:rsidR="00DF00A8">
        <w:rPr>
          <w:rFonts w:ascii="Times New Roman" w:hAnsi="Times New Roman" w:cs="Times New Roman"/>
          <w:sz w:val="24"/>
          <w:szCs w:val="24"/>
        </w:rPr>
        <w:t>at issue did not evaluat</w:t>
      </w:r>
      <w:r w:rsidR="00BA6484">
        <w:rPr>
          <w:rFonts w:ascii="Times New Roman" w:hAnsi="Times New Roman" w:cs="Times New Roman"/>
          <w:sz w:val="24"/>
          <w:szCs w:val="24"/>
        </w:rPr>
        <w:t>e employees on the basis of</w:t>
      </w:r>
      <w:r w:rsidR="00DF00A8">
        <w:rPr>
          <w:rFonts w:ascii="Times New Roman" w:hAnsi="Times New Roman" w:cs="Times New Roman"/>
          <w:sz w:val="24"/>
          <w:szCs w:val="24"/>
        </w:rPr>
        <w:t xml:space="preserve"> fina</w:t>
      </w:r>
      <w:r w:rsidR="00684826">
        <w:rPr>
          <w:rFonts w:ascii="Times New Roman" w:hAnsi="Times New Roman" w:cs="Times New Roman"/>
          <w:sz w:val="24"/>
          <w:szCs w:val="24"/>
        </w:rPr>
        <w:t>ncial performance</w:t>
      </w:r>
      <w:r w:rsidR="00DF00A8">
        <w:rPr>
          <w:rFonts w:ascii="Times New Roman" w:hAnsi="Times New Roman" w:cs="Times New Roman"/>
          <w:sz w:val="24"/>
          <w:szCs w:val="24"/>
        </w:rPr>
        <w:t>.</w:t>
      </w:r>
      <w:r w:rsidR="00DF00A8">
        <w:rPr>
          <w:rStyle w:val="FootnoteReference"/>
          <w:rFonts w:ascii="Times New Roman" w:hAnsi="Times New Roman"/>
          <w:sz w:val="24"/>
          <w:szCs w:val="24"/>
        </w:rPr>
        <w:footnoteReference w:id="287"/>
      </w:r>
      <w:r w:rsidR="0011251E">
        <w:rPr>
          <w:rFonts w:ascii="Times New Roman" w:hAnsi="Times New Roman" w:cs="Times New Roman"/>
          <w:sz w:val="24"/>
          <w:szCs w:val="24"/>
        </w:rPr>
        <w:t xml:space="preserve">  </w:t>
      </w:r>
      <w:r w:rsidR="00684826">
        <w:rPr>
          <w:rFonts w:ascii="Times New Roman" w:hAnsi="Times New Roman" w:cs="Times New Roman"/>
          <w:sz w:val="24"/>
          <w:szCs w:val="24"/>
        </w:rPr>
        <w:t>A</w:t>
      </w:r>
      <w:r w:rsidR="00C95B11">
        <w:rPr>
          <w:rFonts w:ascii="Times New Roman" w:hAnsi="Times New Roman" w:cs="Times New Roman"/>
          <w:sz w:val="24"/>
          <w:szCs w:val="24"/>
        </w:rPr>
        <w:t xml:space="preserve"> separate plan for executives </w:t>
      </w:r>
      <w:r w:rsidR="00BA4061">
        <w:rPr>
          <w:rFonts w:ascii="Times New Roman" w:hAnsi="Times New Roman" w:cs="Times New Roman"/>
          <w:sz w:val="24"/>
          <w:szCs w:val="24"/>
        </w:rPr>
        <w:t xml:space="preserve">that </w:t>
      </w:r>
      <w:r w:rsidR="00C95B11">
        <w:rPr>
          <w:rFonts w:ascii="Times New Roman" w:hAnsi="Times New Roman" w:cs="Times New Roman"/>
          <w:sz w:val="24"/>
          <w:szCs w:val="24"/>
        </w:rPr>
        <w:t>awarded incentive pay based on finan</w:t>
      </w:r>
      <w:r w:rsidR="00684826">
        <w:rPr>
          <w:rFonts w:ascii="Times New Roman" w:hAnsi="Times New Roman" w:cs="Times New Roman"/>
          <w:sz w:val="24"/>
          <w:szCs w:val="24"/>
        </w:rPr>
        <w:t xml:space="preserve">cial performance </w:t>
      </w:r>
      <w:r w:rsidR="00C95B11">
        <w:rPr>
          <w:rFonts w:ascii="Times New Roman" w:hAnsi="Times New Roman" w:cs="Times New Roman"/>
          <w:sz w:val="24"/>
          <w:szCs w:val="24"/>
        </w:rPr>
        <w:t>was paid for</w:t>
      </w:r>
      <w:r w:rsidR="003C4B35">
        <w:rPr>
          <w:rFonts w:ascii="Times New Roman" w:hAnsi="Times New Roman" w:cs="Times New Roman"/>
          <w:sz w:val="24"/>
          <w:szCs w:val="24"/>
        </w:rPr>
        <w:t xml:space="preserve"> </w:t>
      </w:r>
      <w:r w:rsidR="00BA6484">
        <w:rPr>
          <w:rFonts w:ascii="Times New Roman" w:hAnsi="Times New Roman" w:cs="Times New Roman"/>
          <w:sz w:val="24"/>
          <w:szCs w:val="24"/>
        </w:rPr>
        <w:t xml:space="preserve">exclusively </w:t>
      </w:r>
      <w:r w:rsidR="003C4B35">
        <w:rPr>
          <w:rFonts w:ascii="Times New Roman" w:hAnsi="Times New Roman" w:cs="Times New Roman"/>
          <w:sz w:val="24"/>
          <w:szCs w:val="24"/>
        </w:rPr>
        <w:t>by shareholders</w:t>
      </w:r>
      <w:r w:rsidR="00C95B11">
        <w:rPr>
          <w:rFonts w:ascii="Times New Roman" w:hAnsi="Times New Roman" w:cs="Times New Roman"/>
          <w:sz w:val="24"/>
          <w:szCs w:val="24"/>
        </w:rPr>
        <w:t>.</w:t>
      </w:r>
      <w:r w:rsidR="00C95B11">
        <w:rPr>
          <w:rStyle w:val="FootnoteReference"/>
          <w:rFonts w:ascii="Times New Roman" w:hAnsi="Times New Roman"/>
          <w:sz w:val="24"/>
          <w:szCs w:val="24"/>
        </w:rPr>
        <w:footnoteReference w:id="288"/>
      </w:r>
      <w:r w:rsidR="00C95B11">
        <w:rPr>
          <w:rFonts w:ascii="Times New Roman" w:hAnsi="Times New Roman" w:cs="Times New Roman"/>
          <w:sz w:val="24"/>
          <w:szCs w:val="24"/>
        </w:rPr>
        <w:t xml:space="preserve">  Staff’s adjustments for PSE are</w:t>
      </w:r>
      <w:r w:rsidR="00BA6484">
        <w:rPr>
          <w:rFonts w:ascii="Times New Roman" w:hAnsi="Times New Roman" w:cs="Times New Roman"/>
          <w:sz w:val="24"/>
          <w:szCs w:val="24"/>
        </w:rPr>
        <w:t>, therefore,</w:t>
      </w:r>
      <w:r w:rsidR="00C95B11">
        <w:rPr>
          <w:rFonts w:ascii="Times New Roman" w:hAnsi="Times New Roman" w:cs="Times New Roman"/>
          <w:sz w:val="24"/>
          <w:szCs w:val="24"/>
        </w:rPr>
        <w:t xml:space="preserve"> entirely consistent with recent Commission precedent.</w:t>
      </w:r>
    </w:p>
    <w:p w:rsidR="0011251E" w:rsidRDefault="0013245A" w:rsidP="0013245A">
      <w:pPr>
        <w:pStyle w:val="BodyTextIndent2"/>
        <w:numPr>
          <w:ilvl w:val="0"/>
          <w:numId w:val="1"/>
        </w:numPr>
        <w:tabs>
          <w:tab w:val="left" w:pos="-3780"/>
          <w:tab w:val="left" w:pos="-3600"/>
        </w:tabs>
        <w:spacing w:after="0"/>
        <w:rPr>
          <w:rFonts w:ascii="Times New Roman" w:hAnsi="Times New Roman" w:cs="Times New Roman"/>
          <w:sz w:val="24"/>
          <w:szCs w:val="24"/>
        </w:rPr>
      </w:pPr>
      <w:r>
        <w:rPr>
          <w:rFonts w:ascii="Times New Roman" w:hAnsi="Times New Roman" w:cs="Times New Roman"/>
          <w:sz w:val="24"/>
          <w:szCs w:val="24"/>
        </w:rPr>
        <w:lastRenderedPageBreak/>
        <w:tab/>
      </w:r>
      <w:r w:rsidR="002A456C">
        <w:rPr>
          <w:rFonts w:ascii="Times New Roman" w:hAnsi="Times New Roman" w:cs="Times New Roman"/>
          <w:sz w:val="24"/>
          <w:szCs w:val="24"/>
        </w:rPr>
        <w:t xml:space="preserve">In fact, PSE’s </w:t>
      </w:r>
      <w:r w:rsidR="0011251E">
        <w:rPr>
          <w:rFonts w:ascii="Times New Roman" w:hAnsi="Times New Roman" w:cs="Times New Roman"/>
          <w:sz w:val="24"/>
          <w:szCs w:val="24"/>
        </w:rPr>
        <w:t>incentive plan is heavily skewed toward financial performance over service quality performanc</w:t>
      </w:r>
      <w:r w:rsidR="009230D2">
        <w:rPr>
          <w:rFonts w:ascii="Times New Roman" w:hAnsi="Times New Roman" w:cs="Times New Roman"/>
          <w:sz w:val="24"/>
          <w:szCs w:val="24"/>
        </w:rPr>
        <w:t xml:space="preserve">e.  For example, if PSE </w:t>
      </w:r>
      <w:r w:rsidR="0011251E">
        <w:rPr>
          <w:rFonts w:ascii="Times New Roman" w:hAnsi="Times New Roman" w:cs="Times New Roman"/>
          <w:sz w:val="24"/>
          <w:szCs w:val="24"/>
        </w:rPr>
        <w:t xml:space="preserve">achieves 8 out of 10 SQIs and 90 percent of the financial metric, the incentive payout is 40 percent.  </w:t>
      </w:r>
      <w:r w:rsidR="009230D2">
        <w:rPr>
          <w:rFonts w:ascii="Times New Roman" w:hAnsi="Times New Roman" w:cs="Times New Roman"/>
          <w:sz w:val="24"/>
          <w:szCs w:val="24"/>
        </w:rPr>
        <w:t xml:space="preserve">If the same SQIs are met and financial achievement goes up </w:t>
      </w:r>
      <w:r w:rsidR="00BA4061">
        <w:rPr>
          <w:rFonts w:ascii="Times New Roman" w:hAnsi="Times New Roman" w:cs="Times New Roman"/>
          <w:sz w:val="24"/>
          <w:szCs w:val="24"/>
        </w:rPr>
        <w:t xml:space="preserve">only 5 percent </w:t>
      </w:r>
      <w:r w:rsidR="009230D2">
        <w:rPr>
          <w:rFonts w:ascii="Times New Roman" w:hAnsi="Times New Roman" w:cs="Times New Roman"/>
          <w:sz w:val="24"/>
          <w:szCs w:val="24"/>
        </w:rPr>
        <w:t xml:space="preserve">to 95 percent, the incentive payout rises </w:t>
      </w:r>
      <w:r w:rsidR="00144DE4">
        <w:rPr>
          <w:rFonts w:ascii="Times New Roman" w:hAnsi="Times New Roman" w:cs="Times New Roman"/>
          <w:sz w:val="24"/>
          <w:szCs w:val="24"/>
        </w:rPr>
        <w:t xml:space="preserve">20 percent </w:t>
      </w:r>
      <w:r w:rsidR="009230D2">
        <w:rPr>
          <w:rFonts w:ascii="Times New Roman" w:hAnsi="Times New Roman" w:cs="Times New Roman"/>
          <w:sz w:val="24"/>
          <w:szCs w:val="24"/>
        </w:rPr>
        <w:t xml:space="preserve">to 60 percent.  However, if PSE </w:t>
      </w:r>
      <w:r w:rsidR="0011251E">
        <w:rPr>
          <w:rFonts w:ascii="Times New Roman" w:hAnsi="Times New Roman" w:cs="Times New Roman"/>
          <w:sz w:val="24"/>
          <w:szCs w:val="24"/>
        </w:rPr>
        <w:t xml:space="preserve">achieves 9 out of 10 SQIs with </w:t>
      </w:r>
      <w:r w:rsidR="009230D2">
        <w:rPr>
          <w:rFonts w:ascii="Times New Roman" w:hAnsi="Times New Roman" w:cs="Times New Roman"/>
          <w:sz w:val="24"/>
          <w:szCs w:val="24"/>
        </w:rPr>
        <w:t>90 percent of financial performance met, the payout goes up only 5 percent.</w:t>
      </w:r>
      <w:r w:rsidR="009230D2">
        <w:rPr>
          <w:rStyle w:val="FootnoteReference"/>
          <w:rFonts w:ascii="Times New Roman" w:hAnsi="Times New Roman"/>
          <w:sz w:val="24"/>
          <w:szCs w:val="24"/>
        </w:rPr>
        <w:footnoteReference w:id="289"/>
      </w:r>
      <w:r w:rsidR="009230D2">
        <w:rPr>
          <w:rFonts w:ascii="Times New Roman" w:hAnsi="Times New Roman" w:cs="Times New Roman"/>
          <w:sz w:val="24"/>
          <w:szCs w:val="24"/>
        </w:rPr>
        <w:t xml:space="preserve">  Even if </w:t>
      </w:r>
      <w:r w:rsidR="003C4B35">
        <w:rPr>
          <w:rFonts w:ascii="Times New Roman" w:hAnsi="Times New Roman" w:cs="Times New Roman"/>
          <w:sz w:val="24"/>
          <w:szCs w:val="24"/>
        </w:rPr>
        <w:t xml:space="preserve">only </w:t>
      </w:r>
      <w:r w:rsidR="009230D2">
        <w:rPr>
          <w:rFonts w:ascii="Times New Roman" w:hAnsi="Times New Roman" w:cs="Times New Roman"/>
          <w:sz w:val="24"/>
          <w:szCs w:val="24"/>
        </w:rPr>
        <w:t>5 of 10 SQIs are met</w:t>
      </w:r>
      <w:r w:rsidR="002E111B">
        <w:rPr>
          <w:rFonts w:ascii="Times New Roman" w:hAnsi="Times New Roman" w:cs="Times New Roman"/>
          <w:sz w:val="24"/>
          <w:szCs w:val="24"/>
        </w:rPr>
        <w:t xml:space="preserve">, there is incentive pay </w:t>
      </w:r>
      <w:r w:rsidR="008334C4">
        <w:rPr>
          <w:rFonts w:ascii="Times New Roman" w:hAnsi="Times New Roman" w:cs="Times New Roman"/>
          <w:sz w:val="24"/>
          <w:szCs w:val="24"/>
        </w:rPr>
        <w:t xml:space="preserve">if less than 90 percent of </w:t>
      </w:r>
      <w:r w:rsidR="002E111B">
        <w:rPr>
          <w:rFonts w:ascii="Times New Roman" w:hAnsi="Times New Roman" w:cs="Times New Roman"/>
          <w:sz w:val="24"/>
          <w:szCs w:val="24"/>
        </w:rPr>
        <w:t xml:space="preserve">the </w:t>
      </w:r>
      <w:r w:rsidR="008334C4">
        <w:rPr>
          <w:rFonts w:ascii="Times New Roman" w:hAnsi="Times New Roman" w:cs="Times New Roman"/>
          <w:sz w:val="24"/>
          <w:szCs w:val="24"/>
        </w:rPr>
        <w:t>financial metric is satisfied.</w:t>
      </w:r>
      <w:r w:rsidR="00794EE1">
        <w:rPr>
          <w:rFonts w:ascii="Times New Roman" w:hAnsi="Times New Roman" w:cs="Times New Roman"/>
          <w:sz w:val="24"/>
          <w:szCs w:val="24"/>
        </w:rPr>
        <w:t xml:space="preserve">  </w:t>
      </w:r>
    </w:p>
    <w:p w:rsidR="00EF373D" w:rsidRPr="00935532" w:rsidRDefault="0013245A" w:rsidP="0013245A">
      <w:pPr>
        <w:pStyle w:val="BodyTextIndent2"/>
        <w:numPr>
          <w:ilvl w:val="0"/>
          <w:numId w:val="1"/>
        </w:numPr>
        <w:tabs>
          <w:tab w:val="left" w:pos="-3780"/>
          <w:tab w:val="left" w:pos="-3600"/>
        </w:tabs>
        <w:spacing w:after="0"/>
        <w:rPr>
          <w:rFonts w:ascii="Times New Roman" w:hAnsi="Times New Roman" w:cs="Times New Roman"/>
          <w:sz w:val="24"/>
          <w:szCs w:val="24"/>
        </w:rPr>
      </w:pPr>
      <w:r>
        <w:rPr>
          <w:rFonts w:ascii="Times New Roman" w:hAnsi="Times New Roman" w:cs="Times New Roman"/>
          <w:sz w:val="24"/>
          <w:szCs w:val="24"/>
        </w:rPr>
        <w:tab/>
      </w:r>
      <w:r w:rsidR="008334C4">
        <w:rPr>
          <w:rFonts w:ascii="Times New Roman" w:hAnsi="Times New Roman" w:cs="Times New Roman"/>
          <w:sz w:val="24"/>
          <w:szCs w:val="24"/>
        </w:rPr>
        <w:t>Thus, Staff’s approach to disallow 50 percent of the cost of the incentive plan is not arbitrary, as PSE alleges.</w:t>
      </w:r>
      <w:r w:rsidR="008334C4">
        <w:rPr>
          <w:rStyle w:val="FootnoteReference"/>
          <w:rFonts w:ascii="Times New Roman" w:hAnsi="Times New Roman"/>
          <w:sz w:val="24"/>
          <w:szCs w:val="24"/>
        </w:rPr>
        <w:footnoteReference w:id="290"/>
      </w:r>
      <w:r w:rsidR="008334C4">
        <w:rPr>
          <w:rFonts w:ascii="Times New Roman" w:hAnsi="Times New Roman" w:cs="Times New Roman"/>
          <w:sz w:val="24"/>
          <w:szCs w:val="24"/>
        </w:rPr>
        <w:t xml:space="preserve">  It is a reasonable approach that is fair </w:t>
      </w:r>
      <w:r w:rsidR="00144DE4">
        <w:rPr>
          <w:rFonts w:ascii="Times New Roman" w:hAnsi="Times New Roman" w:cs="Times New Roman"/>
          <w:sz w:val="24"/>
          <w:szCs w:val="24"/>
        </w:rPr>
        <w:t xml:space="preserve">to </w:t>
      </w:r>
      <w:r w:rsidR="008334C4">
        <w:rPr>
          <w:rFonts w:ascii="Times New Roman" w:hAnsi="Times New Roman" w:cs="Times New Roman"/>
          <w:sz w:val="24"/>
          <w:szCs w:val="24"/>
        </w:rPr>
        <w:t xml:space="preserve">ratepayers and shareholders, in the absence </w:t>
      </w:r>
      <w:r w:rsidR="002A456C">
        <w:rPr>
          <w:rFonts w:ascii="Times New Roman" w:hAnsi="Times New Roman" w:cs="Times New Roman"/>
          <w:sz w:val="24"/>
          <w:szCs w:val="24"/>
        </w:rPr>
        <w:t xml:space="preserve">of evidence from the Company delineating </w:t>
      </w:r>
      <w:r w:rsidR="008334C4">
        <w:rPr>
          <w:rFonts w:ascii="Times New Roman" w:hAnsi="Times New Roman" w:cs="Times New Roman"/>
          <w:sz w:val="24"/>
          <w:szCs w:val="24"/>
        </w:rPr>
        <w:t>cost tied to financial performance versus service quality performance.</w:t>
      </w:r>
    </w:p>
    <w:p w:rsidR="004307A9" w:rsidRDefault="004307A9" w:rsidP="00257D2C">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ab/>
        <w:t>e.</w:t>
      </w:r>
      <w:r>
        <w:rPr>
          <w:rFonts w:ascii="Times New Roman" w:hAnsi="Times New Roman" w:cs="Times New Roman"/>
          <w:b/>
          <w:sz w:val="24"/>
          <w:szCs w:val="24"/>
        </w:rPr>
        <w:tab/>
        <w:t>Adjustments 14.11 and 6.11, Property Tax</w:t>
      </w:r>
    </w:p>
    <w:p w:rsidR="00CE70D8" w:rsidRPr="0013245A" w:rsidRDefault="0013245A" w:rsidP="0013245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CE70D8" w:rsidRPr="0013245A">
        <w:rPr>
          <w:rFonts w:ascii="Times New Roman" w:hAnsi="Times New Roman"/>
          <w:sz w:val="24"/>
          <w:szCs w:val="24"/>
        </w:rPr>
        <w:t xml:space="preserve">These adjustments determine the appropriate </w:t>
      </w:r>
      <w:r w:rsidR="002E111B" w:rsidRPr="0013245A">
        <w:rPr>
          <w:rFonts w:ascii="Times New Roman" w:hAnsi="Times New Roman"/>
          <w:sz w:val="24"/>
          <w:szCs w:val="24"/>
        </w:rPr>
        <w:t xml:space="preserve">amount of property tax </w:t>
      </w:r>
      <w:r w:rsidR="00CE70D8" w:rsidRPr="0013245A">
        <w:rPr>
          <w:rFonts w:ascii="Times New Roman" w:hAnsi="Times New Roman"/>
          <w:sz w:val="24"/>
          <w:szCs w:val="24"/>
        </w:rPr>
        <w:t xml:space="preserve">to recover in rates.  PSE’s adjustments estimate the property taxes it expects to pay for property owned </w:t>
      </w:r>
      <w:r w:rsidR="00CE70D8" w:rsidRPr="0013245A">
        <w:rPr>
          <w:rFonts w:ascii="Times New Roman" w:hAnsi="Times New Roman"/>
          <w:i/>
          <w:sz w:val="24"/>
          <w:szCs w:val="24"/>
        </w:rPr>
        <w:t xml:space="preserve">at the end </w:t>
      </w:r>
      <w:r w:rsidR="00CE70D8" w:rsidRPr="0013245A">
        <w:rPr>
          <w:rFonts w:ascii="Times New Roman" w:hAnsi="Times New Roman"/>
          <w:sz w:val="24"/>
          <w:szCs w:val="24"/>
        </w:rPr>
        <w:t>of the test year.  Staff</w:t>
      </w:r>
      <w:r w:rsidR="00196E3E" w:rsidRPr="0013245A">
        <w:rPr>
          <w:rFonts w:ascii="Times New Roman" w:hAnsi="Times New Roman"/>
          <w:sz w:val="24"/>
          <w:szCs w:val="24"/>
        </w:rPr>
        <w:t>’s adjustments</w:t>
      </w:r>
      <w:r w:rsidR="00CE70D8" w:rsidRPr="0013245A">
        <w:rPr>
          <w:rFonts w:ascii="Times New Roman" w:hAnsi="Times New Roman"/>
          <w:sz w:val="24"/>
          <w:szCs w:val="24"/>
        </w:rPr>
        <w:t xml:space="preserve"> allow the Company to recover the actual amount of property tax payable for property owned by PSE </w:t>
      </w:r>
      <w:r w:rsidR="00CE70D8" w:rsidRPr="0013245A">
        <w:rPr>
          <w:rFonts w:ascii="Times New Roman" w:hAnsi="Times New Roman"/>
          <w:i/>
          <w:sz w:val="24"/>
          <w:szCs w:val="24"/>
        </w:rPr>
        <w:t>at the start of</w:t>
      </w:r>
      <w:r w:rsidR="00CE70D8" w:rsidRPr="0013245A">
        <w:rPr>
          <w:rFonts w:ascii="Times New Roman" w:hAnsi="Times New Roman"/>
          <w:sz w:val="24"/>
          <w:szCs w:val="24"/>
        </w:rPr>
        <w:t xml:space="preserve"> the test year. </w:t>
      </w:r>
    </w:p>
    <w:p w:rsidR="00CE70D8" w:rsidRPr="0013245A" w:rsidRDefault="0013245A" w:rsidP="0013245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rPr>
        <w:tab/>
      </w:r>
      <w:r w:rsidR="00CE70D8" w:rsidRPr="0013245A">
        <w:rPr>
          <w:rFonts w:ascii="Times New Roman" w:hAnsi="Times New Roman"/>
          <w:sz w:val="24"/>
        </w:rPr>
        <w:t>T</w:t>
      </w:r>
      <w:r w:rsidR="00CE70D8" w:rsidRPr="0013245A">
        <w:rPr>
          <w:rFonts w:ascii="Times New Roman" w:hAnsi="Times New Roman"/>
          <w:sz w:val="24"/>
          <w:szCs w:val="24"/>
        </w:rPr>
        <w:t>he Commission addressed the issue of property taxes during the Company’s 2009 general rate case:</w:t>
      </w:r>
    </w:p>
    <w:p w:rsidR="00CE70D8" w:rsidRPr="00CE70D8" w:rsidRDefault="00CE70D8" w:rsidP="0008459D">
      <w:pPr>
        <w:tabs>
          <w:tab w:val="left" w:pos="-1440"/>
        </w:tabs>
        <w:spacing w:after="0"/>
        <w:ind w:left="720"/>
        <w:rPr>
          <w:rFonts w:ascii="Times New Roman" w:hAnsi="Times New Roman" w:cs="Times New Roman"/>
          <w:sz w:val="24"/>
          <w:szCs w:val="24"/>
        </w:rPr>
      </w:pPr>
      <w:r w:rsidRPr="00CE70D8">
        <w:rPr>
          <w:rFonts w:ascii="Times New Roman" w:hAnsi="Times New Roman" w:cs="Times New Roman"/>
          <w:sz w:val="24"/>
          <w:szCs w:val="24"/>
        </w:rPr>
        <w:t>We find Staff’s property tax adjustment, using test year actual tax rates and DOR centrally assessed values, is appropriate.  We reject PSE’s proposal to use estimated levy rates that will not be known until sometime later this year and may vary significantly from the Company’s estimates.</w:t>
      </w:r>
      <w:r w:rsidRPr="00CE70D8">
        <w:rPr>
          <w:rStyle w:val="FootnoteReference"/>
          <w:rFonts w:ascii="Times New Roman" w:hAnsi="Times New Roman"/>
          <w:sz w:val="24"/>
          <w:szCs w:val="24"/>
        </w:rPr>
        <w:footnoteReference w:id="291"/>
      </w:r>
    </w:p>
    <w:p w:rsidR="00CE70D8" w:rsidRPr="00CE70D8" w:rsidRDefault="00CE70D8" w:rsidP="0008459D">
      <w:pPr>
        <w:tabs>
          <w:tab w:val="left" w:pos="-1440"/>
        </w:tabs>
        <w:spacing w:after="0"/>
        <w:ind w:left="720"/>
        <w:rPr>
          <w:rFonts w:ascii="Times New Roman" w:hAnsi="Times New Roman" w:cs="Times New Roman"/>
          <w:b/>
          <w:sz w:val="24"/>
          <w:szCs w:val="24"/>
        </w:rPr>
      </w:pPr>
    </w:p>
    <w:p w:rsidR="00CE70D8" w:rsidRPr="00CE70D8" w:rsidRDefault="00CE70D8" w:rsidP="0008459D">
      <w:pPr>
        <w:tabs>
          <w:tab w:val="left" w:pos="-1440"/>
        </w:tabs>
        <w:spacing w:after="0" w:line="480" w:lineRule="auto"/>
        <w:rPr>
          <w:rFonts w:ascii="Times New Roman" w:hAnsi="Times New Roman" w:cs="Times New Roman"/>
          <w:sz w:val="24"/>
          <w:szCs w:val="24"/>
        </w:rPr>
      </w:pPr>
      <w:r w:rsidRPr="00CE70D8">
        <w:rPr>
          <w:rFonts w:ascii="Times New Roman" w:hAnsi="Times New Roman" w:cs="Times New Roman"/>
          <w:sz w:val="24"/>
          <w:szCs w:val="24"/>
        </w:rPr>
        <w:lastRenderedPageBreak/>
        <w:t>Staff’s adjustment</w:t>
      </w:r>
      <w:r w:rsidR="00196E3E">
        <w:rPr>
          <w:rFonts w:ascii="Times New Roman" w:hAnsi="Times New Roman" w:cs="Times New Roman"/>
          <w:sz w:val="24"/>
          <w:szCs w:val="24"/>
        </w:rPr>
        <w:t xml:space="preserve">s follow this </w:t>
      </w:r>
      <w:r w:rsidRPr="00CE70D8">
        <w:rPr>
          <w:rFonts w:ascii="Times New Roman" w:hAnsi="Times New Roman" w:cs="Times New Roman"/>
          <w:sz w:val="24"/>
          <w:szCs w:val="24"/>
        </w:rPr>
        <w:t>decision.  They represent PSE’s actual tax liability for all property owned by PSE as of the January 1, 2010 lien date, based on the actual, centrally-assessed valuation</w:t>
      </w:r>
      <w:r w:rsidR="00196E3E">
        <w:rPr>
          <w:rFonts w:ascii="Times New Roman" w:hAnsi="Times New Roman" w:cs="Times New Roman"/>
          <w:sz w:val="24"/>
          <w:szCs w:val="24"/>
        </w:rPr>
        <w:t>s</w:t>
      </w:r>
      <w:r w:rsidRPr="00CE70D8">
        <w:rPr>
          <w:rFonts w:ascii="Times New Roman" w:hAnsi="Times New Roman" w:cs="Times New Roman"/>
          <w:sz w:val="24"/>
          <w:szCs w:val="24"/>
        </w:rPr>
        <w:t xml:space="preserve"> of th</w:t>
      </w:r>
      <w:r w:rsidR="00196E3E">
        <w:rPr>
          <w:rFonts w:ascii="Times New Roman" w:hAnsi="Times New Roman" w:cs="Times New Roman"/>
          <w:sz w:val="24"/>
          <w:szCs w:val="24"/>
        </w:rPr>
        <w:t xml:space="preserve">e Department of Revenue </w:t>
      </w:r>
      <w:r w:rsidRPr="00CE70D8">
        <w:rPr>
          <w:rFonts w:ascii="Times New Roman" w:hAnsi="Times New Roman" w:cs="Times New Roman"/>
          <w:sz w:val="24"/>
          <w:szCs w:val="24"/>
        </w:rPr>
        <w:t>and the actual levy rates announced by taxing districts.</w:t>
      </w:r>
      <w:r w:rsidRPr="00CE70D8">
        <w:rPr>
          <w:rStyle w:val="FootnoteReference"/>
          <w:rFonts w:ascii="Times New Roman" w:hAnsi="Times New Roman"/>
          <w:sz w:val="24"/>
          <w:szCs w:val="24"/>
        </w:rPr>
        <w:footnoteReference w:id="292"/>
      </w:r>
      <w:r w:rsidRPr="00CE70D8">
        <w:rPr>
          <w:rFonts w:ascii="Times New Roman" w:hAnsi="Times New Roman" w:cs="Times New Roman"/>
          <w:sz w:val="24"/>
          <w:szCs w:val="24"/>
        </w:rPr>
        <w:t xml:space="preserve">  </w:t>
      </w:r>
      <w:r w:rsidR="00196E3E">
        <w:rPr>
          <w:rFonts w:ascii="Times New Roman" w:hAnsi="Times New Roman" w:cs="Times New Roman"/>
          <w:sz w:val="24"/>
          <w:szCs w:val="24"/>
        </w:rPr>
        <w:t xml:space="preserve">In doing so, </w:t>
      </w:r>
      <w:r w:rsidR="00196E3E" w:rsidRPr="00A26A83">
        <w:rPr>
          <w:rFonts w:ascii="Times New Roman" w:hAnsi="Times New Roman"/>
          <w:sz w:val="24"/>
          <w:szCs w:val="24"/>
        </w:rPr>
        <w:t>Staff</w:t>
      </w:r>
      <w:r w:rsidR="00196E3E">
        <w:rPr>
          <w:rFonts w:ascii="Times New Roman" w:hAnsi="Times New Roman"/>
          <w:sz w:val="24"/>
          <w:szCs w:val="24"/>
        </w:rPr>
        <w:t>’s adjustments</w:t>
      </w:r>
      <w:r w:rsidR="00196E3E" w:rsidRPr="00A26A83">
        <w:rPr>
          <w:rFonts w:ascii="Times New Roman" w:hAnsi="Times New Roman"/>
          <w:sz w:val="24"/>
          <w:szCs w:val="24"/>
        </w:rPr>
        <w:t xml:space="preserve"> fairly compensate the Company</w:t>
      </w:r>
      <w:r w:rsidR="00196E3E">
        <w:rPr>
          <w:rFonts w:ascii="Times New Roman" w:hAnsi="Times New Roman"/>
          <w:sz w:val="24"/>
          <w:szCs w:val="24"/>
        </w:rPr>
        <w:t xml:space="preserve"> for property taxes payable on </w:t>
      </w:r>
      <w:r w:rsidR="00196E3E" w:rsidRPr="00A26A83">
        <w:rPr>
          <w:rFonts w:ascii="Times New Roman" w:hAnsi="Times New Roman"/>
          <w:sz w:val="24"/>
          <w:szCs w:val="24"/>
        </w:rPr>
        <w:t>property owned during the test year.</w:t>
      </w:r>
      <w:r w:rsidR="007702A8">
        <w:rPr>
          <w:rStyle w:val="FootnoteReference"/>
          <w:rFonts w:ascii="Times New Roman" w:hAnsi="Times New Roman"/>
          <w:sz w:val="24"/>
          <w:szCs w:val="24"/>
        </w:rPr>
        <w:footnoteReference w:id="293"/>
      </w:r>
      <w:r w:rsidR="00196E3E" w:rsidRPr="00A26A83">
        <w:rPr>
          <w:rFonts w:ascii="Times New Roman" w:hAnsi="Times New Roman"/>
          <w:sz w:val="24"/>
          <w:szCs w:val="24"/>
        </w:rPr>
        <w:t xml:space="preserve">  </w:t>
      </w:r>
    </w:p>
    <w:p w:rsidR="00CE70D8" w:rsidRPr="0013245A" w:rsidRDefault="0013245A" w:rsidP="0013245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CE70D8" w:rsidRPr="0013245A">
        <w:rPr>
          <w:rFonts w:ascii="Times New Roman" w:hAnsi="Times New Roman"/>
          <w:sz w:val="24"/>
          <w:szCs w:val="24"/>
        </w:rPr>
        <w:t xml:space="preserve">In contrast, PSE’s adjustments </w:t>
      </w:r>
      <w:r w:rsidR="00196E3E" w:rsidRPr="0013245A">
        <w:rPr>
          <w:rFonts w:ascii="Times New Roman" w:hAnsi="Times New Roman"/>
          <w:sz w:val="24"/>
          <w:szCs w:val="24"/>
        </w:rPr>
        <w:t xml:space="preserve">are </w:t>
      </w:r>
      <w:r w:rsidR="00CE70D8" w:rsidRPr="0013245A">
        <w:rPr>
          <w:rFonts w:ascii="Times New Roman" w:hAnsi="Times New Roman"/>
          <w:sz w:val="24"/>
          <w:szCs w:val="24"/>
        </w:rPr>
        <w:t>based on a January 1, 2011 lien date</w:t>
      </w:r>
      <w:r w:rsidR="00CE70D8" w:rsidRPr="00CE70D8">
        <w:rPr>
          <w:rStyle w:val="FootnoteReference"/>
          <w:rFonts w:ascii="Times New Roman" w:hAnsi="Times New Roman"/>
          <w:sz w:val="24"/>
          <w:szCs w:val="24"/>
        </w:rPr>
        <w:footnoteReference w:id="294"/>
      </w:r>
      <w:r w:rsidR="00196E3E" w:rsidRPr="0013245A">
        <w:rPr>
          <w:rFonts w:ascii="Times New Roman" w:hAnsi="Times New Roman"/>
          <w:sz w:val="24"/>
          <w:szCs w:val="24"/>
        </w:rPr>
        <w:t xml:space="preserve"> and, thus, use </w:t>
      </w:r>
      <w:r w:rsidR="00CE70D8" w:rsidRPr="0013245A">
        <w:rPr>
          <w:rFonts w:ascii="Times New Roman" w:hAnsi="Times New Roman"/>
          <w:sz w:val="24"/>
          <w:szCs w:val="24"/>
        </w:rPr>
        <w:t>forecasts of property taxes that rely on estimates of property value, system ratio,</w:t>
      </w:r>
      <w:r w:rsidR="00CE70D8" w:rsidRPr="00CE70D8">
        <w:rPr>
          <w:rStyle w:val="FootnoteReference"/>
          <w:rFonts w:ascii="Times New Roman" w:hAnsi="Times New Roman"/>
          <w:sz w:val="24"/>
          <w:szCs w:val="24"/>
        </w:rPr>
        <w:footnoteReference w:id="295"/>
      </w:r>
      <w:r w:rsidR="00CE70D8" w:rsidRPr="0013245A">
        <w:rPr>
          <w:rFonts w:ascii="Times New Roman" w:hAnsi="Times New Roman"/>
          <w:sz w:val="24"/>
          <w:szCs w:val="24"/>
        </w:rPr>
        <w:t xml:space="preserve"> and levy rates.</w:t>
      </w:r>
      <w:r w:rsidR="00CE70D8" w:rsidRPr="00CE70D8">
        <w:rPr>
          <w:rStyle w:val="FootnoteReference"/>
          <w:rFonts w:ascii="Times New Roman" w:hAnsi="Times New Roman"/>
          <w:sz w:val="24"/>
          <w:szCs w:val="24"/>
        </w:rPr>
        <w:footnoteReference w:id="296"/>
      </w:r>
      <w:r w:rsidR="00CE70D8" w:rsidRPr="0013245A">
        <w:rPr>
          <w:rFonts w:ascii="Times New Roman" w:hAnsi="Times New Roman"/>
          <w:sz w:val="24"/>
          <w:szCs w:val="24"/>
        </w:rPr>
        <w:t xml:space="preserve">  PSE’s approach violates the Commission’s test that new tax rates can be pro formed only when they are fixed by the taxing authorities and, thereby, become </w:t>
      </w:r>
      <w:r w:rsidR="00196E3E" w:rsidRPr="0013245A">
        <w:rPr>
          <w:rFonts w:ascii="Times New Roman" w:hAnsi="Times New Roman"/>
          <w:sz w:val="24"/>
          <w:szCs w:val="24"/>
        </w:rPr>
        <w:t xml:space="preserve">known and </w:t>
      </w:r>
      <w:r w:rsidR="00CE70D8" w:rsidRPr="0013245A">
        <w:rPr>
          <w:rFonts w:ascii="Times New Roman" w:hAnsi="Times New Roman"/>
          <w:sz w:val="24"/>
          <w:szCs w:val="24"/>
        </w:rPr>
        <w:t>measurable.</w:t>
      </w:r>
      <w:r w:rsidR="00BA6484">
        <w:rPr>
          <w:rFonts w:ascii="Times New Roman" w:hAnsi="Times New Roman"/>
          <w:sz w:val="24"/>
          <w:szCs w:val="24"/>
        </w:rPr>
        <w:t xml:space="preserve">  In fact, </w:t>
      </w:r>
      <w:r w:rsidR="00F36AC6">
        <w:rPr>
          <w:rFonts w:ascii="Times New Roman" w:hAnsi="Times New Roman"/>
          <w:sz w:val="24"/>
          <w:szCs w:val="24"/>
        </w:rPr>
        <w:t>PSE has consistently overestimated its gas and electric property tax obligations.</w:t>
      </w:r>
      <w:r w:rsidR="00F36AC6">
        <w:rPr>
          <w:rStyle w:val="FootnoteReference"/>
          <w:rFonts w:ascii="Times New Roman" w:hAnsi="Times New Roman"/>
          <w:sz w:val="24"/>
          <w:szCs w:val="24"/>
        </w:rPr>
        <w:footnoteReference w:id="297"/>
      </w:r>
    </w:p>
    <w:p w:rsidR="001A12B6" w:rsidRPr="0013245A" w:rsidRDefault="0013245A" w:rsidP="0013245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101031" w:rsidRPr="0013245A">
        <w:rPr>
          <w:rFonts w:ascii="Times New Roman" w:hAnsi="Times New Roman"/>
          <w:sz w:val="24"/>
          <w:szCs w:val="24"/>
        </w:rPr>
        <w:t>PSE alleges that the Commission’s established method for property taxes violates the matching principle because it fails to match the costs in the test year with assets owned in the test year.</w:t>
      </w:r>
      <w:r w:rsidR="00101031" w:rsidRPr="007702A8">
        <w:rPr>
          <w:rStyle w:val="FootnoteReference"/>
          <w:rFonts w:ascii="Times New Roman" w:hAnsi="Times New Roman"/>
          <w:sz w:val="24"/>
          <w:szCs w:val="24"/>
        </w:rPr>
        <w:footnoteReference w:id="298"/>
      </w:r>
      <w:r w:rsidR="00101031" w:rsidRPr="0013245A">
        <w:rPr>
          <w:rFonts w:ascii="Times New Roman" w:hAnsi="Times New Roman"/>
          <w:sz w:val="24"/>
          <w:szCs w:val="24"/>
        </w:rPr>
        <w:t xml:space="preserve">  In support of this argument, PSE asserts that it is inappropriate to ignore acquisitions or retirements of property that occur during the 2010 test year.</w:t>
      </w:r>
      <w:r w:rsidR="00101031" w:rsidRPr="007702A8">
        <w:rPr>
          <w:rStyle w:val="FootnoteReference"/>
          <w:rFonts w:ascii="Times New Roman" w:hAnsi="Times New Roman"/>
          <w:sz w:val="24"/>
          <w:szCs w:val="24"/>
        </w:rPr>
        <w:footnoteReference w:id="299"/>
      </w:r>
      <w:r w:rsidR="00101031" w:rsidRPr="0013245A">
        <w:rPr>
          <w:rFonts w:ascii="Times New Roman" w:hAnsi="Times New Roman"/>
          <w:sz w:val="24"/>
          <w:szCs w:val="24"/>
        </w:rPr>
        <w:t xml:space="preserve">  </w:t>
      </w:r>
      <w:r w:rsidR="002E111B" w:rsidRPr="0013245A">
        <w:rPr>
          <w:rFonts w:ascii="Times New Roman" w:hAnsi="Times New Roman"/>
          <w:sz w:val="24"/>
          <w:szCs w:val="24"/>
        </w:rPr>
        <w:t>Staff disagrees</w:t>
      </w:r>
      <w:r w:rsidR="00101031" w:rsidRPr="0013245A">
        <w:rPr>
          <w:rFonts w:ascii="Times New Roman" w:hAnsi="Times New Roman"/>
          <w:sz w:val="24"/>
          <w:szCs w:val="24"/>
        </w:rPr>
        <w:t>.  Acquisitions and retirements of property during the test year do not affect the amount PSE must pay in property taxes during the following year.</w:t>
      </w:r>
      <w:r w:rsidR="00101031" w:rsidRPr="007702A8">
        <w:rPr>
          <w:rStyle w:val="FootnoteReference"/>
          <w:rFonts w:ascii="Times New Roman" w:hAnsi="Times New Roman"/>
          <w:sz w:val="24"/>
          <w:szCs w:val="24"/>
        </w:rPr>
        <w:footnoteReference w:id="300"/>
      </w:r>
      <w:r w:rsidR="00101031" w:rsidRPr="0013245A">
        <w:rPr>
          <w:rFonts w:ascii="Times New Roman" w:hAnsi="Times New Roman"/>
          <w:sz w:val="24"/>
          <w:szCs w:val="24"/>
        </w:rPr>
        <w:t xml:space="preserve">  Therefore, it is appropriate to regard these changes as outside of the test year for rate making purposes, as Staff adjustments have done.</w:t>
      </w:r>
      <w:r w:rsidR="00101031" w:rsidRPr="007702A8">
        <w:rPr>
          <w:rStyle w:val="FootnoteReference"/>
          <w:rFonts w:ascii="Times New Roman" w:hAnsi="Times New Roman"/>
          <w:sz w:val="24"/>
          <w:szCs w:val="24"/>
        </w:rPr>
        <w:footnoteReference w:id="301"/>
      </w:r>
    </w:p>
    <w:p w:rsidR="004307A9" w:rsidRDefault="004307A9" w:rsidP="00DA0B38">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ab/>
        <w:t>f.</w:t>
      </w:r>
      <w:r>
        <w:rPr>
          <w:rFonts w:ascii="Times New Roman" w:hAnsi="Times New Roman" w:cs="Times New Roman"/>
          <w:b/>
          <w:sz w:val="24"/>
          <w:szCs w:val="24"/>
        </w:rPr>
        <w:tab/>
        <w:t>Adjustments 14.13 and 6.13, Directors &amp; Officers Insurance</w:t>
      </w:r>
    </w:p>
    <w:p w:rsidR="000F276F" w:rsidRDefault="0013245A" w:rsidP="0013245A">
      <w:pPr>
        <w:pStyle w:val="P25"/>
        <w:numPr>
          <w:ilvl w:val="0"/>
          <w:numId w:val="1"/>
        </w:numPr>
        <w:tabs>
          <w:tab w:val="clear" w:pos="810"/>
          <w:tab w:val="clear" w:pos="1440"/>
        </w:tabs>
        <w:outlineLvl w:val="0"/>
        <w:rPr>
          <w:rFonts w:ascii="Times New Roman" w:hAnsi="Times New Roman"/>
          <w:b w:val="0"/>
          <w:u w:val="none"/>
        </w:rPr>
      </w:pPr>
      <w:r>
        <w:rPr>
          <w:rFonts w:ascii="Times New Roman" w:hAnsi="Times New Roman" w:cs="Times New Roman"/>
          <w:b w:val="0"/>
          <w:szCs w:val="24"/>
          <w:u w:val="none"/>
        </w:rPr>
        <w:tab/>
      </w:r>
      <w:r w:rsidR="000F276F" w:rsidRPr="007115E1">
        <w:rPr>
          <w:rFonts w:ascii="Times New Roman" w:hAnsi="Times New Roman" w:cs="Times New Roman"/>
          <w:b w:val="0"/>
          <w:szCs w:val="24"/>
          <w:u w:val="none"/>
        </w:rPr>
        <w:t xml:space="preserve">The </w:t>
      </w:r>
      <w:r w:rsidR="000F276F">
        <w:rPr>
          <w:rFonts w:ascii="Times New Roman" w:hAnsi="Times New Roman" w:cs="Times New Roman"/>
          <w:b w:val="0"/>
          <w:szCs w:val="24"/>
          <w:u w:val="none"/>
        </w:rPr>
        <w:t>Company’s adjustment</w:t>
      </w:r>
      <w:r w:rsidR="002B53D7">
        <w:rPr>
          <w:rFonts w:ascii="Times New Roman" w:hAnsi="Times New Roman" w:cs="Times New Roman"/>
          <w:b w:val="0"/>
          <w:szCs w:val="24"/>
          <w:u w:val="none"/>
        </w:rPr>
        <w:t>s</w:t>
      </w:r>
      <w:r w:rsidR="000F276F">
        <w:rPr>
          <w:rFonts w:ascii="Times New Roman" w:hAnsi="Times New Roman" w:cs="Times New Roman"/>
          <w:b w:val="0"/>
          <w:szCs w:val="24"/>
          <w:u w:val="none"/>
        </w:rPr>
        <w:t xml:space="preserve"> r</w:t>
      </w:r>
      <w:r w:rsidR="002B53D7">
        <w:rPr>
          <w:rFonts w:ascii="Times New Roman" w:hAnsi="Times New Roman" w:cs="Times New Roman"/>
          <w:b w:val="0"/>
          <w:szCs w:val="24"/>
          <w:u w:val="none"/>
        </w:rPr>
        <w:t>estate</w:t>
      </w:r>
      <w:r w:rsidR="00684826">
        <w:rPr>
          <w:rFonts w:ascii="Times New Roman" w:hAnsi="Times New Roman" w:cs="Times New Roman"/>
          <w:b w:val="0"/>
          <w:szCs w:val="24"/>
          <w:u w:val="none"/>
        </w:rPr>
        <w:t xml:space="preserve"> the portion of “D&amp;O” </w:t>
      </w:r>
      <w:r w:rsidR="000A40FD">
        <w:rPr>
          <w:rFonts w:ascii="Times New Roman" w:hAnsi="Times New Roman" w:cs="Times New Roman"/>
          <w:b w:val="0"/>
          <w:szCs w:val="24"/>
          <w:u w:val="none"/>
        </w:rPr>
        <w:t>i</w:t>
      </w:r>
      <w:r w:rsidR="000F276F">
        <w:rPr>
          <w:rFonts w:ascii="Times New Roman" w:hAnsi="Times New Roman" w:cs="Times New Roman"/>
          <w:b w:val="0"/>
          <w:szCs w:val="24"/>
          <w:u w:val="none"/>
        </w:rPr>
        <w:t>nsurance that</w:t>
      </w:r>
      <w:r w:rsidR="002E111B">
        <w:rPr>
          <w:rFonts w:ascii="Times New Roman" w:hAnsi="Times New Roman" w:cs="Times New Roman"/>
          <w:b w:val="0"/>
          <w:szCs w:val="24"/>
          <w:u w:val="none"/>
        </w:rPr>
        <w:t xml:space="preserve"> should be allocated to </w:t>
      </w:r>
      <w:r w:rsidR="000F276F">
        <w:rPr>
          <w:rFonts w:ascii="Times New Roman" w:hAnsi="Times New Roman" w:cs="Times New Roman"/>
          <w:b w:val="0"/>
          <w:szCs w:val="24"/>
          <w:u w:val="none"/>
        </w:rPr>
        <w:t xml:space="preserve">subsidiaries.  </w:t>
      </w:r>
      <w:r w:rsidR="002B53D7">
        <w:rPr>
          <w:rFonts w:ascii="Times New Roman" w:hAnsi="Times New Roman"/>
          <w:b w:val="0"/>
          <w:u w:val="none"/>
        </w:rPr>
        <w:t>Staff recognizes that</w:t>
      </w:r>
      <w:r w:rsidR="000F276F">
        <w:rPr>
          <w:rFonts w:ascii="Times New Roman" w:hAnsi="Times New Roman"/>
          <w:b w:val="0"/>
          <w:u w:val="none"/>
        </w:rPr>
        <w:t xml:space="preserve"> restating adjustment, but makes an additional adjustment to remove 25 percent of </w:t>
      </w:r>
      <w:r w:rsidR="000A40FD">
        <w:rPr>
          <w:rFonts w:ascii="Times New Roman" w:hAnsi="Times New Roman"/>
          <w:b w:val="0"/>
          <w:u w:val="none"/>
        </w:rPr>
        <w:t xml:space="preserve">the </w:t>
      </w:r>
      <w:r w:rsidR="002B53D7">
        <w:rPr>
          <w:rFonts w:ascii="Times New Roman" w:hAnsi="Times New Roman"/>
          <w:b w:val="0"/>
          <w:u w:val="none"/>
        </w:rPr>
        <w:t xml:space="preserve">cost of </w:t>
      </w:r>
      <w:r w:rsidR="004001F6">
        <w:rPr>
          <w:rFonts w:ascii="Times New Roman" w:hAnsi="Times New Roman"/>
          <w:b w:val="0"/>
          <w:u w:val="none"/>
        </w:rPr>
        <w:t>premiums</w:t>
      </w:r>
      <w:r w:rsidR="00684826">
        <w:rPr>
          <w:rFonts w:ascii="Times New Roman" w:hAnsi="Times New Roman"/>
          <w:b w:val="0"/>
          <w:u w:val="none"/>
        </w:rPr>
        <w:t>, representing</w:t>
      </w:r>
      <w:r w:rsidR="00EF6FC4">
        <w:rPr>
          <w:rFonts w:ascii="Times New Roman" w:hAnsi="Times New Roman"/>
          <w:b w:val="0"/>
          <w:u w:val="none"/>
        </w:rPr>
        <w:t xml:space="preserve"> half of the premium </w:t>
      </w:r>
      <w:r w:rsidR="002E111B">
        <w:rPr>
          <w:rFonts w:ascii="Times New Roman" w:hAnsi="Times New Roman"/>
          <w:b w:val="0"/>
          <w:u w:val="none"/>
        </w:rPr>
        <w:t xml:space="preserve">expense </w:t>
      </w:r>
      <w:r w:rsidR="000F276F">
        <w:rPr>
          <w:rFonts w:ascii="Times New Roman" w:hAnsi="Times New Roman"/>
          <w:b w:val="0"/>
          <w:u w:val="none"/>
        </w:rPr>
        <w:t xml:space="preserve">related to members of the Board of Directors.  </w:t>
      </w:r>
    </w:p>
    <w:p w:rsidR="000F276F" w:rsidRDefault="0013245A" w:rsidP="0013245A">
      <w:pPr>
        <w:pStyle w:val="P25"/>
        <w:widowControl/>
        <w:numPr>
          <w:ilvl w:val="0"/>
          <w:numId w:val="1"/>
        </w:numPr>
        <w:tabs>
          <w:tab w:val="clear" w:pos="810"/>
          <w:tab w:val="clear" w:pos="1440"/>
        </w:tabs>
        <w:outlineLvl w:val="0"/>
        <w:rPr>
          <w:rFonts w:ascii="Times New Roman" w:hAnsi="Times New Roman"/>
          <w:b w:val="0"/>
          <w:u w:val="none"/>
        </w:rPr>
      </w:pPr>
      <w:r>
        <w:rPr>
          <w:rFonts w:ascii="Times New Roman" w:hAnsi="Times New Roman"/>
          <w:b w:val="0"/>
          <w:u w:val="none"/>
        </w:rPr>
        <w:tab/>
      </w:r>
      <w:r w:rsidR="00684826">
        <w:rPr>
          <w:rFonts w:ascii="Times New Roman" w:hAnsi="Times New Roman"/>
          <w:b w:val="0"/>
          <w:u w:val="none"/>
        </w:rPr>
        <w:t>T</w:t>
      </w:r>
      <w:r w:rsidR="0073589F">
        <w:rPr>
          <w:rFonts w:ascii="Times New Roman" w:hAnsi="Times New Roman"/>
          <w:b w:val="0"/>
          <w:u w:val="none"/>
        </w:rPr>
        <w:t>he Commission has previously allocated D&amp;O insurance 90 percent to ratepayers and 10 percent to shareholders.</w:t>
      </w:r>
      <w:r w:rsidR="0073589F">
        <w:rPr>
          <w:rStyle w:val="FootnoteReference"/>
          <w:rFonts w:ascii="Times New Roman" w:hAnsi="Times New Roman"/>
          <w:b w:val="0"/>
          <w:u w:val="none"/>
        </w:rPr>
        <w:footnoteReference w:id="302"/>
      </w:r>
      <w:r w:rsidR="0073589F">
        <w:rPr>
          <w:rFonts w:ascii="Times New Roman" w:hAnsi="Times New Roman"/>
          <w:b w:val="0"/>
          <w:u w:val="none"/>
        </w:rPr>
        <w:t xml:space="preserve">  However, t</w:t>
      </w:r>
      <w:r w:rsidR="000F276F">
        <w:rPr>
          <w:rFonts w:ascii="Times New Roman" w:hAnsi="Times New Roman"/>
          <w:b w:val="0"/>
          <w:u w:val="none"/>
        </w:rPr>
        <w:t xml:space="preserve">he </w:t>
      </w:r>
      <w:r w:rsidR="000F276F" w:rsidRPr="00BE74B7">
        <w:rPr>
          <w:rFonts w:ascii="Times New Roman" w:hAnsi="Times New Roman"/>
          <w:b w:val="0"/>
          <w:u w:val="none"/>
        </w:rPr>
        <w:t>Board of Directors provides services that benefit</w:t>
      </w:r>
      <w:r w:rsidR="008B5DFD">
        <w:rPr>
          <w:rFonts w:ascii="Times New Roman" w:hAnsi="Times New Roman"/>
          <w:b w:val="0"/>
          <w:u w:val="none"/>
        </w:rPr>
        <w:t xml:space="preserve"> shareholders to the same degree</w:t>
      </w:r>
      <w:r w:rsidR="009A4BB9">
        <w:rPr>
          <w:rFonts w:ascii="Times New Roman" w:hAnsi="Times New Roman"/>
          <w:b w:val="0"/>
          <w:u w:val="none"/>
        </w:rPr>
        <w:t xml:space="preserve"> as </w:t>
      </w:r>
      <w:r w:rsidR="000F276F" w:rsidRPr="00BE74B7">
        <w:rPr>
          <w:rFonts w:ascii="Times New Roman" w:hAnsi="Times New Roman"/>
          <w:b w:val="0"/>
          <w:u w:val="none"/>
        </w:rPr>
        <w:t xml:space="preserve">ratepayers. </w:t>
      </w:r>
      <w:r w:rsidR="000F276F">
        <w:rPr>
          <w:rFonts w:ascii="Times New Roman" w:hAnsi="Times New Roman"/>
          <w:b w:val="0"/>
          <w:u w:val="none"/>
        </w:rPr>
        <w:t xml:space="preserve"> Therefore, it is fair that shareholders equally share this cost that serves their financial interest in PSE.</w:t>
      </w:r>
      <w:r w:rsidR="000A40FD">
        <w:rPr>
          <w:rStyle w:val="FootnoteReference"/>
          <w:rFonts w:ascii="Times New Roman" w:hAnsi="Times New Roman"/>
          <w:b w:val="0"/>
          <w:u w:val="none"/>
        </w:rPr>
        <w:footnoteReference w:id="303"/>
      </w:r>
      <w:r w:rsidR="000F276F">
        <w:rPr>
          <w:rFonts w:ascii="Times New Roman" w:hAnsi="Times New Roman"/>
          <w:b w:val="0"/>
          <w:u w:val="none"/>
        </w:rPr>
        <w:t xml:space="preserve"> </w:t>
      </w:r>
      <w:r w:rsidR="008B5DFD">
        <w:rPr>
          <w:rFonts w:ascii="Times New Roman" w:hAnsi="Times New Roman"/>
          <w:b w:val="0"/>
          <w:u w:val="none"/>
        </w:rPr>
        <w:t xml:space="preserve"> </w:t>
      </w:r>
      <w:r w:rsidR="002B53D7">
        <w:rPr>
          <w:rFonts w:ascii="Times New Roman" w:hAnsi="Times New Roman"/>
          <w:b w:val="0"/>
          <w:u w:val="none"/>
        </w:rPr>
        <w:t xml:space="preserve">This is </w:t>
      </w:r>
      <w:r w:rsidR="000F276F" w:rsidRPr="00BE74B7">
        <w:rPr>
          <w:rFonts w:ascii="Times New Roman" w:hAnsi="Times New Roman"/>
          <w:b w:val="0"/>
          <w:u w:val="none"/>
        </w:rPr>
        <w:t xml:space="preserve">consistent with </w:t>
      </w:r>
      <w:r w:rsidR="002B53D7">
        <w:rPr>
          <w:rFonts w:ascii="Times New Roman" w:hAnsi="Times New Roman"/>
          <w:b w:val="0"/>
          <w:u w:val="none"/>
        </w:rPr>
        <w:t xml:space="preserve">Staff </w:t>
      </w:r>
      <w:r w:rsidR="008B5DFD">
        <w:rPr>
          <w:rFonts w:ascii="Times New Roman" w:hAnsi="Times New Roman"/>
          <w:b w:val="0"/>
          <w:u w:val="none"/>
        </w:rPr>
        <w:t>A</w:t>
      </w:r>
      <w:r w:rsidR="000F276F">
        <w:rPr>
          <w:rFonts w:ascii="Times New Roman" w:hAnsi="Times New Roman"/>
          <w:b w:val="0"/>
          <w:u w:val="none"/>
        </w:rPr>
        <w:t>djust</w:t>
      </w:r>
      <w:r w:rsidR="009A4BB9">
        <w:rPr>
          <w:rFonts w:ascii="Times New Roman" w:hAnsi="Times New Roman"/>
          <w:b w:val="0"/>
          <w:u w:val="none"/>
        </w:rPr>
        <w:t>ments 14.06 and 6.06G</w:t>
      </w:r>
      <w:r w:rsidR="00EF6FC4">
        <w:rPr>
          <w:rFonts w:ascii="Times New Roman" w:hAnsi="Times New Roman"/>
          <w:b w:val="0"/>
          <w:u w:val="none"/>
        </w:rPr>
        <w:t xml:space="preserve"> for Board </w:t>
      </w:r>
      <w:r w:rsidR="004001F6">
        <w:rPr>
          <w:rFonts w:ascii="Times New Roman" w:hAnsi="Times New Roman"/>
          <w:b w:val="0"/>
          <w:u w:val="none"/>
        </w:rPr>
        <w:t>fees and expenses</w:t>
      </w:r>
      <w:r w:rsidR="0073589F">
        <w:rPr>
          <w:rFonts w:ascii="Times New Roman" w:hAnsi="Times New Roman"/>
          <w:b w:val="0"/>
          <w:u w:val="none"/>
        </w:rPr>
        <w:t>, and with C</w:t>
      </w:r>
      <w:r w:rsidR="0073589F" w:rsidRPr="00BE74B7">
        <w:rPr>
          <w:rFonts w:ascii="Times New Roman" w:hAnsi="Times New Roman"/>
          <w:b w:val="0"/>
          <w:u w:val="none"/>
        </w:rPr>
        <w:t>ommission</w:t>
      </w:r>
      <w:r w:rsidR="0073589F">
        <w:rPr>
          <w:rFonts w:ascii="Times New Roman" w:hAnsi="Times New Roman"/>
          <w:b w:val="0"/>
          <w:u w:val="none"/>
        </w:rPr>
        <w:t xml:space="preserve"> precedent </w:t>
      </w:r>
      <w:r w:rsidR="00EF6FC4">
        <w:rPr>
          <w:rFonts w:ascii="Times New Roman" w:hAnsi="Times New Roman"/>
          <w:b w:val="0"/>
          <w:u w:val="none"/>
        </w:rPr>
        <w:t xml:space="preserve">that also required </w:t>
      </w:r>
      <w:r w:rsidR="0073589F">
        <w:rPr>
          <w:rFonts w:ascii="Times New Roman" w:hAnsi="Times New Roman"/>
          <w:b w:val="0"/>
          <w:u w:val="none"/>
        </w:rPr>
        <w:t>equal sharing of Board of Directors fees and expenses</w:t>
      </w:r>
      <w:r w:rsidR="0073589F" w:rsidRPr="00BE74B7">
        <w:rPr>
          <w:rFonts w:ascii="Times New Roman" w:hAnsi="Times New Roman"/>
          <w:b w:val="0"/>
          <w:u w:val="none"/>
        </w:rPr>
        <w:t>.</w:t>
      </w:r>
      <w:r w:rsidR="0073589F">
        <w:rPr>
          <w:rStyle w:val="FootnoteReference"/>
          <w:rFonts w:ascii="Times New Roman" w:hAnsi="Times New Roman"/>
          <w:b w:val="0"/>
          <w:u w:val="none"/>
        </w:rPr>
        <w:footnoteReference w:id="304"/>
      </w:r>
    </w:p>
    <w:p w:rsidR="008B5DFD" w:rsidRDefault="0013245A" w:rsidP="006D60A2">
      <w:pPr>
        <w:pStyle w:val="P25"/>
        <w:widowControl/>
        <w:numPr>
          <w:ilvl w:val="0"/>
          <w:numId w:val="1"/>
        </w:numPr>
        <w:tabs>
          <w:tab w:val="clear" w:pos="810"/>
          <w:tab w:val="clear" w:pos="1440"/>
        </w:tabs>
        <w:outlineLvl w:val="0"/>
        <w:rPr>
          <w:rFonts w:ascii="Times New Roman" w:hAnsi="Times New Roman"/>
          <w:b w:val="0"/>
          <w:u w:val="none"/>
        </w:rPr>
      </w:pPr>
      <w:r>
        <w:rPr>
          <w:rFonts w:ascii="Times New Roman" w:hAnsi="Times New Roman"/>
          <w:b w:val="0"/>
          <w:u w:val="none"/>
        </w:rPr>
        <w:tab/>
      </w:r>
      <w:r w:rsidR="00684826">
        <w:rPr>
          <w:rFonts w:ascii="Times New Roman" w:hAnsi="Times New Roman"/>
          <w:b w:val="0"/>
          <w:u w:val="none"/>
        </w:rPr>
        <w:t xml:space="preserve">PSE </w:t>
      </w:r>
      <w:r w:rsidR="004001F6">
        <w:rPr>
          <w:rFonts w:ascii="Times New Roman" w:hAnsi="Times New Roman"/>
          <w:b w:val="0"/>
          <w:u w:val="none"/>
        </w:rPr>
        <w:t>argues that D&amp;O i</w:t>
      </w:r>
      <w:r w:rsidR="008B5DFD">
        <w:rPr>
          <w:rFonts w:ascii="Times New Roman" w:hAnsi="Times New Roman"/>
          <w:b w:val="0"/>
          <w:u w:val="none"/>
        </w:rPr>
        <w:t>nsurance is a necessary cost of business that has declined since the 2009 merger.</w:t>
      </w:r>
      <w:r w:rsidR="008B5DFD">
        <w:rPr>
          <w:rStyle w:val="FootnoteReference"/>
          <w:rFonts w:ascii="Times New Roman" w:hAnsi="Times New Roman"/>
          <w:b w:val="0"/>
          <w:u w:val="none"/>
        </w:rPr>
        <w:footnoteReference w:id="305"/>
      </w:r>
      <w:r w:rsidR="00684826">
        <w:rPr>
          <w:rFonts w:ascii="Times New Roman" w:hAnsi="Times New Roman"/>
          <w:b w:val="0"/>
          <w:u w:val="none"/>
        </w:rPr>
        <w:t xml:space="preserve">  However, </w:t>
      </w:r>
      <w:r w:rsidR="003A3217">
        <w:rPr>
          <w:rFonts w:ascii="Times New Roman" w:hAnsi="Times New Roman"/>
          <w:b w:val="0"/>
          <w:u w:val="none"/>
        </w:rPr>
        <w:t xml:space="preserve">Staff does not question the level of </w:t>
      </w:r>
      <w:r w:rsidR="009A4BB9">
        <w:rPr>
          <w:rFonts w:ascii="Times New Roman" w:hAnsi="Times New Roman"/>
          <w:b w:val="0"/>
          <w:u w:val="none"/>
        </w:rPr>
        <w:t xml:space="preserve">insurance premiums </w:t>
      </w:r>
      <w:r w:rsidR="003A3217">
        <w:rPr>
          <w:rFonts w:ascii="Times New Roman" w:hAnsi="Times New Roman"/>
          <w:b w:val="0"/>
          <w:u w:val="none"/>
        </w:rPr>
        <w:t>or th</w:t>
      </w:r>
      <w:r w:rsidR="004001F6">
        <w:rPr>
          <w:rFonts w:ascii="Times New Roman" w:hAnsi="Times New Roman"/>
          <w:b w:val="0"/>
          <w:u w:val="none"/>
        </w:rPr>
        <w:t xml:space="preserve">e need for </w:t>
      </w:r>
      <w:r w:rsidR="009A4BB9">
        <w:rPr>
          <w:rFonts w:ascii="Times New Roman" w:hAnsi="Times New Roman"/>
          <w:b w:val="0"/>
          <w:u w:val="none"/>
        </w:rPr>
        <w:t>insurance</w:t>
      </w:r>
      <w:r w:rsidR="002B53D7">
        <w:rPr>
          <w:rFonts w:ascii="Times New Roman" w:hAnsi="Times New Roman"/>
          <w:b w:val="0"/>
          <w:u w:val="none"/>
        </w:rPr>
        <w:t xml:space="preserve">.  </w:t>
      </w:r>
      <w:r w:rsidR="003A3217">
        <w:rPr>
          <w:rFonts w:ascii="Times New Roman" w:hAnsi="Times New Roman"/>
          <w:b w:val="0"/>
          <w:u w:val="none"/>
        </w:rPr>
        <w:t xml:space="preserve">Staff questions </w:t>
      </w:r>
      <w:r w:rsidR="002B53D7">
        <w:rPr>
          <w:rFonts w:ascii="Times New Roman" w:hAnsi="Times New Roman"/>
          <w:b w:val="0"/>
          <w:u w:val="none"/>
        </w:rPr>
        <w:t xml:space="preserve">only </w:t>
      </w:r>
      <w:r w:rsidR="003A3217">
        <w:rPr>
          <w:rFonts w:ascii="Times New Roman" w:hAnsi="Times New Roman"/>
          <w:b w:val="0"/>
          <w:u w:val="none"/>
        </w:rPr>
        <w:t xml:space="preserve">the allocation of the expense </w:t>
      </w:r>
      <w:r w:rsidR="000A40FD">
        <w:rPr>
          <w:rFonts w:ascii="Times New Roman" w:hAnsi="Times New Roman"/>
          <w:b w:val="0"/>
          <w:u w:val="none"/>
        </w:rPr>
        <w:t xml:space="preserve">relating to </w:t>
      </w:r>
      <w:r w:rsidR="00B90B3C">
        <w:rPr>
          <w:rFonts w:ascii="Times New Roman" w:hAnsi="Times New Roman"/>
          <w:b w:val="0"/>
          <w:u w:val="none"/>
        </w:rPr>
        <w:t xml:space="preserve">the Board of </w:t>
      </w:r>
      <w:r w:rsidR="000A40FD">
        <w:rPr>
          <w:rFonts w:ascii="Times New Roman" w:hAnsi="Times New Roman"/>
          <w:b w:val="0"/>
          <w:u w:val="none"/>
        </w:rPr>
        <w:t>Directors</w:t>
      </w:r>
      <w:r w:rsidR="002B53D7">
        <w:rPr>
          <w:rFonts w:ascii="Times New Roman" w:hAnsi="Times New Roman"/>
          <w:b w:val="0"/>
          <w:u w:val="none"/>
        </w:rPr>
        <w:t>.</w:t>
      </w:r>
    </w:p>
    <w:p w:rsidR="000F276F" w:rsidRDefault="0013245A" w:rsidP="007D3D53">
      <w:pPr>
        <w:pStyle w:val="P25"/>
        <w:widowControl/>
        <w:numPr>
          <w:ilvl w:val="0"/>
          <w:numId w:val="1"/>
        </w:numPr>
        <w:tabs>
          <w:tab w:val="clear" w:pos="810"/>
          <w:tab w:val="clear" w:pos="1440"/>
        </w:tabs>
        <w:outlineLvl w:val="0"/>
        <w:rPr>
          <w:rFonts w:ascii="Times New Roman" w:hAnsi="Times New Roman"/>
          <w:b w:val="0"/>
          <w:u w:val="none"/>
        </w:rPr>
      </w:pPr>
      <w:r>
        <w:rPr>
          <w:rFonts w:ascii="Times New Roman" w:hAnsi="Times New Roman"/>
          <w:b w:val="0"/>
          <w:u w:val="none"/>
        </w:rPr>
        <w:tab/>
      </w:r>
      <w:r w:rsidR="003A3217">
        <w:rPr>
          <w:rFonts w:ascii="Times New Roman" w:hAnsi="Times New Roman"/>
          <w:b w:val="0"/>
          <w:u w:val="none"/>
        </w:rPr>
        <w:t xml:space="preserve">PSE </w:t>
      </w:r>
      <w:r w:rsidR="00EF6FC4">
        <w:rPr>
          <w:rFonts w:ascii="Times New Roman" w:hAnsi="Times New Roman"/>
          <w:b w:val="0"/>
          <w:u w:val="none"/>
        </w:rPr>
        <w:t xml:space="preserve">argues </w:t>
      </w:r>
      <w:r w:rsidR="009A4BB9">
        <w:rPr>
          <w:rFonts w:ascii="Times New Roman" w:hAnsi="Times New Roman"/>
          <w:b w:val="0"/>
          <w:u w:val="none"/>
        </w:rPr>
        <w:t xml:space="preserve">Staff’s allocation </w:t>
      </w:r>
      <w:r w:rsidR="00EF6FC4">
        <w:rPr>
          <w:rFonts w:ascii="Times New Roman" w:hAnsi="Times New Roman"/>
          <w:b w:val="0"/>
          <w:u w:val="none"/>
        </w:rPr>
        <w:t>i</w:t>
      </w:r>
      <w:r w:rsidR="002B53D7">
        <w:rPr>
          <w:rFonts w:ascii="Times New Roman" w:hAnsi="Times New Roman"/>
          <w:b w:val="0"/>
          <w:u w:val="none"/>
        </w:rPr>
        <w:t>s arbitrary</w:t>
      </w:r>
      <w:r w:rsidR="003A3217">
        <w:rPr>
          <w:rFonts w:ascii="Times New Roman" w:hAnsi="Times New Roman"/>
          <w:b w:val="0"/>
          <w:u w:val="none"/>
        </w:rPr>
        <w:t>.</w:t>
      </w:r>
      <w:r w:rsidR="003A3217">
        <w:rPr>
          <w:rStyle w:val="FootnoteReference"/>
          <w:rFonts w:ascii="Times New Roman" w:hAnsi="Times New Roman"/>
          <w:b w:val="0"/>
          <w:u w:val="none"/>
        </w:rPr>
        <w:footnoteReference w:id="306"/>
      </w:r>
      <w:r w:rsidR="009A4BB9">
        <w:rPr>
          <w:rFonts w:ascii="Times New Roman" w:hAnsi="Times New Roman"/>
          <w:b w:val="0"/>
          <w:u w:val="none"/>
        </w:rPr>
        <w:t xml:space="preserve">  However, </w:t>
      </w:r>
      <w:r w:rsidR="00501116">
        <w:rPr>
          <w:rFonts w:ascii="Times New Roman" w:hAnsi="Times New Roman"/>
          <w:b w:val="0"/>
          <w:u w:val="none"/>
        </w:rPr>
        <w:t>Staff’s appro</w:t>
      </w:r>
      <w:r w:rsidR="0073589F">
        <w:rPr>
          <w:rFonts w:ascii="Times New Roman" w:hAnsi="Times New Roman"/>
          <w:b w:val="0"/>
          <w:u w:val="none"/>
        </w:rPr>
        <w:t xml:space="preserve">ach is </w:t>
      </w:r>
      <w:r w:rsidR="00EF6FC4">
        <w:rPr>
          <w:rFonts w:ascii="Times New Roman" w:hAnsi="Times New Roman"/>
          <w:b w:val="0"/>
          <w:u w:val="none"/>
        </w:rPr>
        <w:t xml:space="preserve">consistent with Company </w:t>
      </w:r>
      <w:r w:rsidR="00501116">
        <w:rPr>
          <w:rFonts w:ascii="Times New Roman" w:hAnsi="Times New Roman"/>
          <w:b w:val="0"/>
          <w:u w:val="none"/>
        </w:rPr>
        <w:t>workpapers show</w:t>
      </w:r>
      <w:r w:rsidR="000A40FD">
        <w:rPr>
          <w:rFonts w:ascii="Times New Roman" w:hAnsi="Times New Roman"/>
          <w:b w:val="0"/>
          <w:u w:val="none"/>
        </w:rPr>
        <w:t>ing an equal</w:t>
      </w:r>
      <w:r w:rsidR="00501116">
        <w:rPr>
          <w:rFonts w:ascii="Times New Roman" w:hAnsi="Times New Roman"/>
          <w:b w:val="0"/>
          <w:u w:val="none"/>
        </w:rPr>
        <w:t xml:space="preserve"> allocation </w:t>
      </w:r>
      <w:r w:rsidR="00EF6FC4">
        <w:rPr>
          <w:rFonts w:ascii="Times New Roman" w:hAnsi="Times New Roman"/>
          <w:b w:val="0"/>
          <w:u w:val="none"/>
        </w:rPr>
        <w:t>of cost</w:t>
      </w:r>
      <w:r w:rsidR="000A40FD">
        <w:rPr>
          <w:rFonts w:ascii="Times New Roman" w:hAnsi="Times New Roman"/>
          <w:b w:val="0"/>
          <w:u w:val="none"/>
        </w:rPr>
        <w:t xml:space="preserve"> </w:t>
      </w:r>
      <w:r w:rsidR="00501116">
        <w:rPr>
          <w:rFonts w:ascii="Times New Roman" w:hAnsi="Times New Roman"/>
          <w:b w:val="0"/>
          <w:u w:val="none"/>
        </w:rPr>
        <w:t>between directors and officers.</w:t>
      </w:r>
      <w:r w:rsidR="00501116">
        <w:rPr>
          <w:rStyle w:val="FootnoteReference"/>
          <w:rFonts w:ascii="Times New Roman" w:hAnsi="Times New Roman"/>
          <w:b w:val="0"/>
          <w:u w:val="none"/>
        </w:rPr>
        <w:footnoteReference w:id="307"/>
      </w:r>
    </w:p>
    <w:p w:rsidR="000F276F" w:rsidRPr="000F276F" w:rsidRDefault="0013245A" w:rsidP="0013245A">
      <w:pPr>
        <w:pStyle w:val="P25"/>
        <w:numPr>
          <w:ilvl w:val="0"/>
          <w:numId w:val="1"/>
        </w:numPr>
        <w:tabs>
          <w:tab w:val="clear" w:pos="810"/>
          <w:tab w:val="clear" w:pos="1440"/>
        </w:tabs>
        <w:outlineLvl w:val="0"/>
        <w:rPr>
          <w:rFonts w:ascii="Times New Roman" w:hAnsi="Times New Roman" w:cs="Times New Roman"/>
          <w:szCs w:val="24"/>
        </w:rPr>
      </w:pPr>
      <w:r>
        <w:rPr>
          <w:rFonts w:ascii="Times New Roman" w:hAnsi="Times New Roman"/>
          <w:b w:val="0"/>
          <w:u w:val="none"/>
        </w:rPr>
        <w:tab/>
      </w:r>
      <w:r w:rsidR="00501116">
        <w:rPr>
          <w:rFonts w:ascii="Times New Roman" w:hAnsi="Times New Roman"/>
          <w:b w:val="0"/>
          <w:u w:val="none"/>
        </w:rPr>
        <w:t>Final</w:t>
      </w:r>
      <w:r w:rsidR="0057374D">
        <w:rPr>
          <w:rFonts w:ascii="Times New Roman" w:hAnsi="Times New Roman"/>
          <w:b w:val="0"/>
          <w:u w:val="none"/>
        </w:rPr>
        <w:t xml:space="preserve">ly, PSE </w:t>
      </w:r>
      <w:r w:rsidR="000A40FD">
        <w:rPr>
          <w:rFonts w:ascii="Times New Roman" w:hAnsi="Times New Roman"/>
          <w:b w:val="0"/>
          <w:u w:val="none"/>
        </w:rPr>
        <w:t xml:space="preserve">claims that </w:t>
      </w:r>
      <w:r w:rsidR="00501116">
        <w:rPr>
          <w:rFonts w:ascii="Times New Roman" w:hAnsi="Times New Roman"/>
          <w:b w:val="0"/>
          <w:u w:val="none"/>
        </w:rPr>
        <w:t>Staff</w:t>
      </w:r>
      <w:r w:rsidR="000A40FD">
        <w:rPr>
          <w:rFonts w:ascii="Times New Roman" w:hAnsi="Times New Roman"/>
          <w:b w:val="0"/>
          <w:u w:val="none"/>
        </w:rPr>
        <w:t>’s</w:t>
      </w:r>
      <w:r w:rsidR="00501116">
        <w:rPr>
          <w:rFonts w:ascii="Times New Roman" w:hAnsi="Times New Roman"/>
          <w:b w:val="0"/>
          <w:u w:val="none"/>
        </w:rPr>
        <w:t xml:space="preserve"> approach was rejected by the Commission in </w:t>
      </w:r>
      <w:r w:rsidR="0073589F">
        <w:rPr>
          <w:rFonts w:ascii="Times New Roman" w:hAnsi="Times New Roman"/>
          <w:b w:val="0"/>
          <w:u w:val="none"/>
        </w:rPr>
        <w:t>its</w:t>
      </w:r>
      <w:r w:rsidR="0057374D">
        <w:rPr>
          <w:rFonts w:ascii="Times New Roman" w:hAnsi="Times New Roman"/>
          <w:b w:val="0"/>
          <w:u w:val="none"/>
        </w:rPr>
        <w:t xml:space="preserve"> </w:t>
      </w:r>
      <w:r w:rsidR="00501116">
        <w:rPr>
          <w:rFonts w:ascii="Times New Roman" w:hAnsi="Times New Roman"/>
          <w:b w:val="0"/>
          <w:u w:val="none"/>
        </w:rPr>
        <w:t>2009 general rate case.</w:t>
      </w:r>
      <w:r w:rsidR="00501116">
        <w:rPr>
          <w:rStyle w:val="FootnoteReference"/>
          <w:rFonts w:ascii="Times New Roman" w:hAnsi="Times New Roman"/>
          <w:b w:val="0"/>
          <w:u w:val="none"/>
        </w:rPr>
        <w:footnoteReference w:id="308"/>
      </w:r>
      <w:r w:rsidR="00501116">
        <w:rPr>
          <w:rFonts w:ascii="Times New Roman" w:hAnsi="Times New Roman"/>
          <w:b w:val="0"/>
          <w:u w:val="none"/>
        </w:rPr>
        <w:t xml:space="preserve">  </w:t>
      </w:r>
      <w:r w:rsidR="004001F6">
        <w:rPr>
          <w:rFonts w:ascii="Times New Roman" w:hAnsi="Times New Roman"/>
          <w:b w:val="0"/>
          <w:u w:val="none"/>
        </w:rPr>
        <w:t>However, Staff’</w:t>
      </w:r>
      <w:r w:rsidR="00684826">
        <w:rPr>
          <w:rFonts w:ascii="Times New Roman" w:hAnsi="Times New Roman"/>
          <w:b w:val="0"/>
          <w:u w:val="none"/>
        </w:rPr>
        <w:t xml:space="preserve">s approach there </w:t>
      </w:r>
      <w:r w:rsidR="004001F6">
        <w:rPr>
          <w:rFonts w:ascii="Times New Roman" w:hAnsi="Times New Roman"/>
          <w:b w:val="0"/>
          <w:u w:val="none"/>
        </w:rPr>
        <w:t xml:space="preserve">was to </w:t>
      </w:r>
      <w:r w:rsidR="000F276F">
        <w:rPr>
          <w:rFonts w:ascii="Times New Roman" w:hAnsi="Times New Roman"/>
          <w:b w:val="0"/>
          <w:u w:val="none"/>
        </w:rPr>
        <w:t xml:space="preserve">disallow 50 percent of </w:t>
      </w:r>
      <w:r w:rsidR="005826D4">
        <w:rPr>
          <w:rFonts w:ascii="Times New Roman" w:hAnsi="Times New Roman"/>
          <w:b w:val="0"/>
          <w:u w:val="none"/>
        </w:rPr>
        <w:t xml:space="preserve">the </w:t>
      </w:r>
      <w:r w:rsidR="005826D4">
        <w:rPr>
          <w:rFonts w:ascii="Times New Roman" w:hAnsi="Times New Roman"/>
          <w:b w:val="0"/>
          <w:u w:val="none"/>
        </w:rPr>
        <w:lastRenderedPageBreak/>
        <w:t xml:space="preserve">premiums related to </w:t>
      </w:r>
      <w:r w:rsidR="00EF6FC4">
        <w:rPr>
          <w:rFonts w:ascii="Times New Roman" w:hAnsi="Times New Roman"/>
          <w:b w:val="0"/>
          <w:u w:val="none"/>
        </w:rPr>
        <w:t xml:space="preserve">both </w:t>
      </w:r>
      <w:r w:rsidR="005826D4">
        <w:rPr>
          <w:rFonts w:ascii="Times New Roman" w:hAnsi="Times New Roman"/>
          <w:b w:val="0"/>
          <w:u w:val="none"/>
        </w:rPr>
        <w:t>directors and officers</w:t>
      </w:r>
      <w:r w:rsidR="000F276F">
        <w:rPr>
          <w:rFonts w:ascii="Times New Roman" w:hAnsi="Times New Roman"/>
          <w:b w:val="0"/>
          <w:u w:val="none"/>
        </w:rPr>
        <w:t>.</w:t>
      </w:r>
      <w:r w:rsidR="000F276F">
        <w:rPr>
          <w:rStyle w:val="FootnoteReference"/>
          <w:rFonts w:ascii="Times New Roman" w:hAnsi="Times New Roman"/>
          <w:b w:val="0"/>
          <w:u w:val="none"/>
        </w:rPr>
        <w:footnoteReference w:id="309"/>
      </w:r>
      <w:r w:rsidR="00EF6FC4">
        <w:rPr>
          <w:rFonts w:ascii="Times New Roman" w:hAnsi="Times New Roman"/>
          <w:b w:val="0"/>
          <w:u w:val="none"/>
        </w:rPr>
        <w:t xml:space="preserve">  Here</w:t>
      </w:r>
      <w:r w:rsidR="004001F6">
        <w:rPr>
          <w:rFonts w:ascii="Times New Roman" w:hAnsi="Times New Roman"/>
          <w:b w:val="0"/>
          <w:u w:val="none"/>
        </w:rPr>
        <w:t>, Staff advocates</w:t>
      </w:r>
      <w:r w:rsidR="0057374D">
        <w:rPr>
          <w:rFonts w:ascii="Times New Roman" w:hAnsi="Times New Roman"/>
          <w:b w:val="0"/>
          <w:u w:val="none"/>
        </w:rPr>
        <w:t xml:space="preserve"> a disallowance of only half </w:t>
      </w:r>
      <w:r w:rsidR="005826D4">
        <w:rPr>
          <w:rFonts w:ascii="Times New Roman" w:hAnsi="Times New Roman"/>
          <w:b w:val="0"/>
          <w:u w:val="none"/>
        </w:rPr>
        <w:t xml:space="preserve">the </w:t>
      </w:r>
      <w:r w:rsidR="004001F6">
        <w:rPr>
          <w:rFonts w:ascii="Times New Roman" w:hAnsi="Times New Roman"/>
          <w:b w:val="0"/>
          <w:u w:val="none"/>
        </w:rPr>
        <w:t>amount</w:t>
      </w:r>
      <w:r w:rsidR="005826D4">
        <w:rPr>
          <w:rFonts w:ascii="Times New Roman" w:hAnsi="Times New Roman"/>
          <w:b w:val="0"/>
          <w:u w:val="none"/>
        </w:rPr>
        <w:t xml:space="preserve"> associated </w:t>
      </w:r>
      <w:r w:rsidR="00B90B3C">
        <w:rPr>
          <w:rFonts w:ascii="Times New Roman" w:hAnsi="Times New Roman"/>
          <w:b w:val="0"/>
          <w:u w:val="none"/>
        </w:rPr>
        <w:t xml:space="preserve">only </w:t>
      </w:r>
      <w:r w:rsidR="005826D4">
        <w:rPr>
          <w:rFonts w:ascii="Times New Roman" w:hAnsi="Times New Roman"/>
          <w:b w:val="0"/>
          <w:u w:val="none"/>
        </w:rPr>
        <w:t>with directors.</w:t>
      </w:r>
    </w:p>
    <w:p w:rsidR="007702A8" w:rsidRDefault="004307A9" w:rsidP="00DA0B38">
      <w:pPr>
        <w:keepNext/>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ab/>
        <w:t>g.</w:t>
      </w:r>
      <w:r>
        <w:rPr>
          <w:rFonts w:ascii="Times New Roman" w:hAnsi="Times New Roman" w:cs="Times New Roman"/>
          <w:b/>
          <w:sz w:val="24"/>
          <w:szCs w:val="24"/>
        </w:rPr>
        <w:tab/>
        <w:t>Adjustments 14</w:t>
      </w:r>
      <w:r w:rsidR="008C4C17">
        <w:rPr>
          <w:rFonts w:ascii="Times New Roman" w:hAnsi="Times New Roman" w:cs="Times New Roman"/>
          <w:b/>
          <w:sz w:val="24"/>
          <w:szCs w:val="24"/>
        </w:rPr>
        <w:t>.15 and 6.15, Rate Case Expense</w:t>
      </w:r>
    </w:p>
    <w:p w:rsidR="007702A8" w:rsidRPr="0013245A" w:rsidRDefault="0013245A" w:rsidP="0013245A">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7702A8" w:rsidRPr="0013245A">
        <w:rPr>
          <w:rFonts w:ascii="Times New Roman" w:hAnsi="Times New Roman"/>
          <w:sz w:val="24"/>
          <w:szCs w:val="24"/>
        </w:rPr>
        <w:t>These adjustments restate test year rate case expenses to normalized levels.  PSE’s adjustments</w:t>
      </w:r>
      <w:r w:rsidR="00C66C1C" w:rsidRPr="0013245A">
        <w:rPr>
          <w:rFonts w:ascii="Times New Roman" w:hAnsi="Times New Roman"/>
          <w:sz w:val="24"/>
          <w:szCs w:val="24"/>
        </w:rPr>
        <w:t xml:space="preserve"> consider</w:t>
      </w:r>
      <w:r w:rsidR="007702A8" w:rsidRPr="0013245A">
        <w:rPr>
          <w:rFonts w:ascii="Times New Roman" w:hAnsi="Times New Roman"/>
          <w:sz w:val="24"/>
          <w:szCs w:val="24"/>
        </w:rPr>
        <w:t xml:space="preserve"> the costs of the Company’s two most recent general rate cases and two most recent power cost only rate cases (“PCORCs”).  To calculate the normalized natural gas rate case expense, PSE averages the cost of the general rate cases, allocates 50 percent of this cost to natural gas operations, and then adjusts the number by the frequency of filings.  PSE follows th</w:t>
      </w:r>
      <w:r w:rsidR="002E111B" w:rsidRPr="0013245A">
        <w:rPr>
          <w:rFonts w:ascii="Times New Roman" w:hAnsi="Times New Roman"/>
          <w:sz w:val="24"/>
          <w:szCs w:val="24"/>
        </w:rPr>
        <w:t xml:space="preserve">e same process for calculating </w:t>
      </w:r>
      <w:r w:rsidR="007702A8" w:rsidRPr="0013245A">
        <w:rPr>
          <w:rFonts w:ascii="Times New Roman" w:hAnsi="Times New Roman"/>
          <w:sz w:val="24"/>
          <w:szCs w:val="24"/>
        </w:rPr>
        <w:t xml:space="preserve">normalized electric rate case expense, except that it adds the average PCORC cost adjusted for the frequency of those filings.  </w:t>
      </w:r>
    </w:p>
    <w:p w:rsidR="00E12919" w:rsidRPr="0013245A" w:rsidRDefault="0013245A" w:rsidP="0013245A">
      <w:pPr>
        <w:pStyle w:val="ListParagraph"/>
        <w:numPr>
          <w:ilvl w:val="0"/>
          <w:numId w:val="1"/>
        </w:numPr>
        <w:tabs>
          <w:tab w:val="left" w:pos="-1440"/>
        </w:tabs>
        <w:spacing w:line="480" w:lineRule="auto"/>
        <w:rPr>
          <w:rFonts w:ascii="Times New Roman" w:hAnsi="Times New Roman"/>
          <w:sz w:val="24"/>
          <w:szCs w:val="24"/>
        </w:rPr>
      </w:pPr>
      <w:r>
        <w:rPr>
          <w:rFonts w:ascii="Times New Roman" w:hAnsi="Times New Roman"/>
          <w:sz w:val="24"/>
          <w:szCs w:val="24"/>
        </w:rPr>
        <w:tab/>
      </w:r>
      <w:r w:rsidR="000C2472" w:rsidRPr="0013245A">
        <w:rPr>
          <w:rFonts w:ascii="Times New Roman" w:hAnsi="Times New Roman"/>
          <w:sz w:val="24"/>
          <w:szCs w:val="24"/>
        </w:rPr>
        <w:t xml:space="preserve">PSE’s </w:t>
      </w:r>
      <w:r w:rsidR="0079294B" w:rsidRPr="0013245A">
        <w:rPr>
          <w:rFonts w:ascii="Times New Roman" w:hAnsi="Times New Roman"/>
          <w:sz w:val="24"/>
          <w:szCs w:val="24"/>
        </w:rPr>
        <w:t>approach suffers from several deficiencies.  It violates the matching principle because general rate cases contain costs from multiple years.</w:t>
      </w:r>
      <w:r w:rsidR="0079294B" w:rsidRPr="0079294B">
        <w:rPr>
          <w:rStyle w:val="FootnoteReference"/>
          <w:rFonts w:ascii="Times New Roman" w:hAnsi="Times New Roman"/>
          <w:sz w:val="24"/>
          <w:szCs w:val="24"/>
        </w:rPr>
        <w:footnoteReference w:id="310"/>
      </w:r>
      <w:r w:rsidR="003C4B35">
        <w:rPr>
          <w:rFonts w:ascii="Times New Roman" w:hAnsi="Times New Roman"/>
          <w:sz w:val="24"/>
          <w:szCs w:val="24"/>
        </w:rPr>
        <w:t xml:space="preserve">  </w:t>
      </w:r>
      <w:r w:rsidR="0079294B" w:rsidRPr="0013245A">
        <w:rPr>
          <w:rFonts w:ascii="Times New Roman" w:hAnsi="Times New Roman"/>
          <w:sz w:val="24"/>
          <w:szCs w:val="24"/>
        </w:rPr>
        <w:t>It results in an unfair cross subsidy from gas ratepayers to electric ratepayers</w:t>
      </w:r>
      <w:r w:rsidR="00B90B3C">
        <w:rPr>
          <w:rFonts w:ascii="Times New Roman" w:hAnsi="Times New Roman"/>
          <w:sz w:val="24"/>
          <w:szCs w:val="24"/>
        </w:rPr>
        <w:t xml:space="preserve"> because electric costs are a disproportionately larger share of PSE’s overall costs</w:t>
      </w:r>
      <w:r w:rsidR="0079294B" w:rsidRPr="0013245A">
        <w:rPr>
          <w:rFonts w:ascii="Times New Roman" w:hAnsi="Times New Roman"/>
          <w:sz w:val="24"/>
          <w:szCs w:val="24"/>
        </w:rPr>
        <w:t>.</w:t>
      </w:r>
      <w:r w:rsidR="0079294B" w:rsidRPr="0079294B">
        <w:rPr>
          <w:rStyle w:val="FootnoteReference"/>
          <w:rFonts w:ascii="Times New Roman" w:hAnsi="Times New Roman"/>
          <w:sz w:val="24"/>
          <w:szCs w:val="24"/>
        </w:rPr>
        <w:footnoteReference w:id="311"/>
      </w:r>
      <w:r w:rsidR="003C4B35">
        <w:rPr>
          <w:rFonts w:ascii="Times New Roman" w:hAnsi="Times New Roman"/>
          <w:sz w:val="24"/>
          <w:szCs w:val="24"/>
        </w:rPr>
        <w:t xml:space="preserve">  </w:t>
      </w:r>
      <w:r w:rsidR="0079294B" w:rsidRPr="0013245A">
        <w:rPr>
          <w:rFonts w:ascii="Times New Roman" w:hAnsi="Times New Roman"/>
          <w:sz w:val="24"/>
          <w:szCs w:val="24"/>
        </w:rPr>
        <w:t xml:space="preserve">Finally, </w:t>
      </w:r>
      <w:r w:rsidR="00E12919" w:rsidRPr="0013245A">
        <w:rPr>
          <w:rFonts w:ascii="Times New Roman" w:hAnsi="Times New Roman"/>
          <w:sz w:val="24"/>
          <w:szCs w:val="24"/>
        </w:rPr>
        <w:t xml:space="preserve">it </w:t>
      </w:r>
      <w:r w:rsidR="000C2472" w:rsidRPr="0013245A">
        <w:rPr>
          <w:rFonts w:ascii="Times New Roman" w:hAnsi="Times New Roman"/>
          <w:sz w:val="24"/>
          <w:szCs w:val="24"/>
        </w:rPr>
        <w:t xml:space="preserve">includes </w:t>
      </w:r>
      <w:r w:rsidR="00E12919" w:rsidRPr="0013245A">
        <w:rPr>
          <w:rFonts w:ascii="Times New Roman" w:hAnsi="Times New Roman"/>
          <w:sz w:val="24"/>
          <w:szCs w:val="24"/>
        </w:rPr>
        <w:t xml:space="preserve">PCORC costs that have already been recovered in base rates </w:t>
      </w:r>
      <w:r w:rsidR="0096220A" w:rsidRPr="0013245A">
        <w:rPr>
          <w:rFonts w:ascii="Times New Roman" w:hAnsi="Times New Roman"/>
          <w:sz w:val="24"/>
          <w:szCs w:val="24"/>
        </w:rPr>
        <w:t xml:space="preserve">even though </w:t>
      </w:r>
      <w:r w:rsidR="000C2472" w:rsidRPr="0013245A">
        <w:rPr>
          <w:rFonts w:ascii="Times New Roman" w:hAnsi="Times New Roman"/>
          <w:sz w:val="24"/>
          <w:szCs w:val="24"/>
        </w:rPr>
        <w:t>no</w:t>
      </w:r>
      <w:r w:rsidR="0079294B" w:rsidRPr="0013245A">
        <w:rPr>
          <w:rFonts w:ascii="Times New Roman" w:hAnsi="Times New Roman"/>
          <w:sz w:val="24"/>
          <w:szCs w:val="24"/>
        </w:rPr>
        <w:t xml:space="preserve"> PCORC</w:t>
      </w:r>
      <w:r w:rsidR="0096220A" w:rsidRPr="0013245A">
        <w:rPr>
          <w:rFonts w:ascii="Times New Roman" w:hAnsi="Times New Roman"/>
          <w:sz w:val="24"/>
          <w:szCs w:val="24"/>
        </w:rPr>
        <w:t>s have been filed</w:t>
      </w:r>
      <w:r w:rsidR="000C2472" w:rsidRPr="0013245A">
        <w:rPr>
          <w:rFonts w:ascii="Times New Roman" w:hAnsi="Times New Roman"/>
          <w:sz w:val="24"/>
          <w:szCs w:val="24"/>
        </w:rPr>
        <w:t xml:space="preserve"> </w:t>
      </w:r>
      <w:r w:rsidR="0079294B" w:rsidRPr="0013245A">
        <w:rPr>
          <w:rFonts w:ascii="Times New Roman" w:hAnsi="Times New Roman"/>
          <w:sz w:val="24"/>
          <w:szCs w:val="24"/>
        </w:rPr>
        <w:t>since 2007.</w:t>
      </w:r>
      <w:r w:rsidR="0079294B" w:rsidRPr="00E12919">
        <w:rPr>
          <w:rStyle w:val="FootnoteReference"/>
          <w:rFonts w:ascii="Times New Roman" w:hAnsi="Times New Roman"/>
          <w:sz w:val="24"/>
          <w:szCs w:val="24"/>
        </w:rPr>
        <w:footnoteReference w:id="312"/>
      </w:r>
    </w:p>
    <w:p w:rsidR="001A12B6" w:rsidRPr="00B90B3C" w:rsidRDefault="0013245A" w:rsidP="00191B4B">
      <w:pPr>
        <w:pStyle w:val="ListParagraph"/>
        <w:numPr>
          <w:ilvl w:val="0"/>
          <w:numId w:val="1"/>
        </w:numPr>
        <w:tabs>
          <w:tab w:val="left" w:pos="-1440"/>
        </w:tabs>
        <w:spacing w:line="480" w:lineRule="auto"/>
        <w:rPr>
          <w:rFonts w:ascii="Times New Roman" w:hAnsi="Times New Roman"/>
          <w:sz w:val="24"/>
          <w:szCs w:val="24"/>
        </w:rPr>
      </w:pPr>
      <w:r w:rsidRPr="00B90B3C">
        <w:rPr>
          <w:rFonts w:ascii="Times New Roman" w:hAnsi="Times New Roman"/>
          <w:sz w:val="24"/>
          <w:szCs w:val="24"/>
        </w:rPr>
        <w:tab/>
      </w:r>
      <w:r w:rsidR="00E12919" w:rsidRPr="00B90B3C">
        <w:rPr>
          <w:rFonts w:ascii="Times New Roman" w:hAnsi="Times New Roman"/>
          <w:sz w:val="24"/>
          <w:szCs w:val="24"/>
        </w:rPr>
        <w:t xml:space="preserve">Thus, </w:t>
      </w:r>
      <w:r w:rsidR="007702A8" w:rsidRPr="00B90B3C">
        <w:rPr>
          <w:rFonts w:ascii="Times New Roman" w:hAnsi="Times New Roman"/>
          <w:sz w:val="24"/>
          <w:szCs w:val="24"/>
        </w:rPr>
        <w:t>Staff recommends that the Commission reject PSE’s proposed rate case</w:t>
      </w:r>
      <w:r w:rsidR="00B90B3C" w:rsidRPr="00B90B3C">
        <w:rPr>
          <w:rFonts w:ascii="Times New Roman" w:hAnsi="Times New Roman"/>
          <w:sz w:val="24"/>
          <w:szCs w:val="24"/>
        </w:rPr>
        <w:t xml:space="preserve"> expense</w:t>
      </w:r>
      <w:r w:rsidR="007702A8" w:rsidRPr="00B90B3C">
        <w:rPr>
          <w:rFonts w:ascii="Times New Roman" w:hAnsi="Times New Roman"/>
          <w:sz w:val="24"/>
          <w:szCs w:val="24"/>
        </w:rPr>
        <w:t xml:space="preserve"> adjustments in their entirety and allow the Company to recover </w:t>
      </w:r>
      <w:r w:rsidR="00B90B3C" w:rsidRPr="00B90B3C">
        <w:rPr>
          <w:rFonts w:ascii="Times New Roman" w:hAnsi="Times New Roman"/>
          <w:sz w:val="24"/>
          <w:szCs w:val="24"/>
        </w:rPr>
        <w:t xml:space="preserve">its </w:t>
      </w:r>
      <w:r w:rsidR="007702A8" w:rsidRPr="00B90B3C">
        <w:rPr>
          <w:rFonts w:ascii="Times New Roman" w:hAnsi="Times New Roman"/>
          <w:sz w:val="24"/>
          <w:szCs w:val="24"/>
        </w:rPr>
        <w:t xml:space="preserve">2010 test year rate case expenses. </w:t>
      </w:r>
      <w:r w:rsidR="00B90B3C">
        <w:rPr>
          <w:rFonts w:ascii="Times New Roman" w:hAnsi="Times New Roman"/>
          <w:sz w:val="24"/>
          <w:szCs w:val="24"/>
        </w:rPr>
        <w:t xml:space="preserve"> </w:t>
      </w:r>
      <w:r w:rsidR="00C66C1C" w:rsidRPr="00B90B3C">
        <w:rPr>
          <w:rFonts w:ascii="Times New Roman" w:hAnsi="Times New Roman"/>
          <w:sz w:val="24"/>
          <w:szCs w:val="24"/>
        </w:rPr>
        <w:t xml:space="preserve">The recovery of test year expenses provides reasonable </w:t>
      </w:r>
      <w:r w:rsidR="00D008F0" w:rsidRPr="00B90B3C">
        <w:rPr>
          <w:rFonts w:ascii="Times New Roman" w:hAnsi="Times New Roman"/>
          <w:sz w:val="24"/>
          <w:szCs w:val="24"/>
        </w:rPr>
        <w:t xml:space="preserve">and fair </w:t>
      </w:r>
      <w:r w:rsidR="00C66C1C" w:rsidRPr="00B90B3C">
        <w:rPr>
          <w:rFonts w:ascii="Times New Roman" w:hAnsi="Times New Roman"/>
          <w:sz w:val="24"/>
          <w:szCs w:val="24"/>
        </w:rPr>
        <w:t xml:space="preserve">compensation </w:t>
      </w:r>
      <w:r w:rsidR="00E12919" w:rsidRPr="00B90B3C">
        <w:rPr>
          <w:rFonts w:ascii="Times New Roman" w:hAnsi="Times New Roman"/>
          <w:sz w:val="24"/>
          <w:szCs w:val="24"/>
        </w:rPr>
        <w:t xml:space="preserve">to PSE </w:t>
      </w:r>
      <w:r w:rsidR="00C66C1C" w:rsidRPr="00B90B3C">
        <w:rPr>
          <w:rFonts w:ascii="Times New Roman" w:hAnsi="Times New Roman"/>
          <w:sz w:val="24"/>
          <w:szCs w:val="24"/>
        </w:rPr>
        <w:t xml:space="preserve">because test year values include substantial costs associated with the 2009 and 2011 general rate </w:t>
      </w:r>
      <w:r w:rsidR="00C66C1C" w:rsidRPr="00B90B3C">
        <w:rPr>
          <w:rFonts w:ascii="Times New Roman" w:hAnsi="Times New Roman"/>
          <w:sz w:val="24"/>
          <w:szCs w:val="24"/>
        </w:rPr>
        <w:lastRenderedPageBreak/>
        <w:t>cases.</w:t>
      </w:r>
      <w:r w:rsidR="00C66C1C" w:rsidRPr="00C66C1C">
        <w:rPr>
          <w:rStyle w:val="FootnoteReference"/>
          <w:rFonts w:ascii="Times New Roman" w:hAnsi="Times New Roman"/>
          <w:sz w:val="24"/>
          <w:szCs w:val="24"/>
        </w:rPr>
        <w:footnoteReference w:id="313"/>
      </w:r>
      <w:r w:rsidR="00D008F0" w:rsidRPr="00B90B3C">
        <w:rPr>
          <w:rFonts w:ascii="Times New Roman" w:hAnsi="Times New Roman"/>
          <w:sz w:val="24"/>
          <w:szCs w:val="24"/>
        </w:rPr>
        <w:t xml:space="preserve"> </w:t>
      </w:r>
      <w:r w:rsidR="00B90B3C">
        <w:rPr>
          <w:rFonts w:ascii="Times New Roman" w:hAnsi="Times New Roman"/>
          <w:sz w:val="24"/>
          <w:szCs w:val="24"/>
        </w:rPr>
        <w:t xml:space="preserve"> </w:t>
      </w:r>
      <w:r w:rsidR="00D008F0" w:rsidRPr="00B90B3C">
        <w:rPr>
          <w:rFonts w:ascii="Times New Roman" w:hAnsi="Times New Roman"/>
          <w:sz w:val="24"/>
          <w:szCs w:val="24"/>
        </w:rPr>
        <w:t>Test year costs also</w:t>
      </w:r>
      <w:r w:rsidR="001A12B6" w:rsidRPr="00B90B3C">
        <w:rPr>
          <w:rFonts w:ascii="Times New Roman" w:hAnsi="Times New Roman"/>
          <w:sz w:val="24"/>
          <w:szCs w:val="24"/>
        </w:rPr>
        <w:t xml:space="preserve"> </w:t>
      </w:r>
      <w:r w:rsidR="00C66C1C" w:rsidRPr="00B90B3C">
        <w:rPr>
          <w:rFonts w:ascii="Times New Roman" w:hAnsi="Times New Roman"/>
          <w:sz w:val="24"/>
          <w:szCs w:val="24"/>
        </w:rPr>
        <w:t>contain the costs of Do</w:t>
      </w:r>
      <w:r w:rsidR="0079294B" w:rsidRPr="00B90B3C">
        <w:rPr>
          <w:rFonts w:ascii="Times New Roman" w:hAnsi="Times New Roman"/>
          <w:sz w:val="24"/>
          <w:szCs w:val="24"/>
        </w:rPr>
        <w:t xml:space="preserve">cket UG-101644, a stand-alone natural gas rate case </w:t>
      </w:r>
      <w:r w:rsidR="00C66C1C" w:rsidRPr="00B90B3C">
        <w:rPr>
          <w:rFonts w:ascii="Times New Roman" w:hAnsi="Times New Roman"/>
          <w:sz w:val="24"/>
          <w:szCs w:val="24"/>
        </w:rPr>
        <w:t>t</w:t>
      </w:r>
      <w:r w:rsidR="0079294B" w:rsidRPr="00B90B3C">
        <w:rPr>
          <w:rFonts w:ascii="Times New Roman" w:hAnsi="Times New Roman"/>
          <w:sz w:val="24"/>
          <w:szCs w:val="24"/>
        </w:rPr>
        <w:t xml:space="preserve">hat increased PSE’s </w:t>
      </w:r>
      <w:r w:rsidR="00C66C1C" w:rsidRPr="00B90B3C">
        <w:rPr>
          <w:rFonts w:ascii="Times New Roman" w:hAnsi="Times New Roman"/>
          <w:sz w:val="24"/>
          <w:szCs w:val="24"/>
        </w:rPr>
        <w:t>rates on margin by 4.76 percent.</w:t>
      </w:r>
      <w:r w:rsidR="00C66C1C" w:rsidRPr="00C66C1C">
        <w:rPr>
          <w:rStyle w:val="FootnoteReference"/>
          <w:rFonts w:ascii="Times New Roman" w:hAnsi="Times New Roman"/>
          <w:sz w:val="24"/>
          <w:szCs w:val="24"/>
        </w:rPr>
        <w:footnoteReference w:id="314"/>
      </w:r>
      <w:r w:rsidR="00E12919" w:rsidRPr="00B90B3C">
        <w:rPr>
          <w:rFonts w:ascii="Times New Roman" w:hAnsi="Times New Roman"/>
          <w:sz w:val="24"/>
          <w:szCs w:val="24"/>
        </w:rPr>
        <w:tab/>
      </w:r>
    </w:p>
    <w:p w:rsidR="004307A9" w:rsidRPr="00FA02D3" w:rsidRDefault="00FA02D3" w:rsidP="00FA02D3">
      <w:pPr>
        <w:pStyle w:val="ListParagraph"/>
        <w:numPr>
          <w:ilvl w:val="0"/>
          <w:numId w:val="1"/>
        </w:numPr>
        <w:tabs>
          <w:tab w:val="left" w:pos="-1440"/>
        </w:tabs>
        <w:spacing w:line="480" w:lineRule="auto"/>
        <w:rPr>
          <w:rFonts w:ascii="Times New Roman" w:hAnsi="Times New Roman"/>
          <w:b/>
          <w:sz w:val="24"/>
          <w:szCs w:val="24"/>
        </w:rPr>
      </w:pPr>
      <w:r>
        <w:rPr>
          <w:rFonts w:ascii="Times New Roman" w:hAnsi="Times New Roman"/>
          <w:sz w:val="24"/>
          <w:szCs w:val="24"/>
        </w:rPr>
        <w:tab/>
      </w:r>
      <w:r w:rsidR="00E12919" w:rsidRPr="00FA02D3">
        <w:rPr>
          <w:rFonts w:ascii="Times New Roman" w:hAnsi="Times New Roman"/>
          <w:sz w:val="24"/>
          <w:szCs w:val="24"/>
        </w:rPr>
        <w:t>PSE argues that Staff’s approach would significantly increase the costs to customers when the test period is perfectly aligned with statutory processing period.</w:t>
      </w:r>
      <w:r w:rsidR="00E12919" w:rsidRPr="00191B4B">
        <w:rPr>
          <w:rStyle w:val="FootnoteReference"/>
          <w:rFonts w:ascii="Times New Roman" w:hAnsi="Times New Roman"/>
          <w:sz w:val="24"/>
          <w:szCs w:val="24"/>
        </w:rPr>
        <w:footnoteReference w:id="315"/>
      </w:r>
      <w:r w:rsidR="00E12919" w:rsidRPr="00FA02D3">
        <w:rPr>
          <w:rFonts w:ascii="Times New Roman" w:hAnsi="Times New Roman"/>
          <w:sz w:val="24"/>
          <w:szCs w:val="24"/>
        </w:rPr>
        <w:t xml:space="preserve"> </w:t>
      </w:r>
      <w:r w:rsidR="00191B4B" w:rsidRPr="00FA02D3">
        <w:rPr>
          <w:rFonts w:ascii="Times New Roman" w:hAnsi="Times New Roman"/>
          <w:sz w:val="24"/>
          <w:szCs w:val="24"/>
        </w:rPr>
        <w:t xml:space="preserve"> </w:t>
      </w:r>
      <w:r w:rsidR="00E12919" w:rsidRPr="00FA02D3">
        <w:rPr>
          <w:rFonts w:ascii="Times New Roman" w:hAnsi="Times New Roman"/>
          <w:sz w:val="24"/>
          <w:szCs w:val="24"/>
        </w:rPr>
        <w:t>Staff does not dispute this conclusion</w:t>
      </w:r>
      <w:r w:rsidR="002E111B" w:rsidRPr="00FA02D3">
        <w:rPr>
          <w:rFonts w:ascii="Times New Roman" w:hAnsi="Times New Roman"/>
          <w:sz w:val="24"/>
          <w:szCs w:val="24"/>
        </w:rPr>
        <w:t>,</w:t>
      </w:r>
      <w:r w:rsidR="00E12919" w:rsidRPr="00FA02D3">
        <w:rPr>
          <w:rFonts w:ascii="Times New Roman" w:hAnsi="Times New Roman"/>
          <w:sz w:val="24"/>
          <w:szCs w:val="24"/>
        </w:rPr>
        <w:t xml:space="preserve"> but observes that the timing of </w:t>
      </w:r>
      <w:r w:rsidR="00191B4B" w:rsidRPr="00FA02D3">
        <w:rPr>
          <w:rFonts w:ascii="Times New Roman" w:hAnsi="Times New Roman"/>
          <w:sz w:val="24"/>
          <w:szCs w:val="24"/>
        </w:rPr>
        <w:t xml:space="preserve">a </w:t>
      </w:r>
      <w:r w:rsidR="00E12919" w:rsidRPr="00FA02D3">
        <w:rPr>
          <w:rFonts w:ascii="Times New Roman" w:hAnsi="Times New Roman"/>
          <w:sz w:val="24"/>
          <w:szCs w:val="24"/>
        </w:rPr>
        <w:t xml:space="preserve">prior rate case should have little to do with the timing of the test period for the following rate case. </w:t>
      </w:r>
    </w:p>
    <w:p w:rsidR="004307A9" w:rsidRDefault="004B2CA5" w:rsidP="005B0718">
      <w:pPr>
        <w:spacing w:after="0" w:line="240" w:lineRule="auto"/>
        <w:ind w:left="2160" w:hanging="720"/>
        <w:rPr>
          <w:rFonts w:ascii="Times New Roman" w:hAnsi="Times New Roman" w:cs="Times New Roman"/>
          <w:b/>
          <w:sz w:val="24"/>
          <w:szCs w:val="24"/>
        </w:rPr>
      </w:pPr>
      <w:r>
        <w:rPr>
          <w:rFonts w:ascii="Times New Roman" w:hAnsi="Times New Roman" w:cs="Times New Roman"/>
          <w:b/>
          <w:sz w:val="24"/>
          <w:szCs w:val="24"/>
        </w:rPr>
        <w:t>h</w:t>
      </w:r>
      <w:r w:rsidR="004307A9">
        <w:rPr>
          <w:rFonts w:ascii="Times New Roman" w:hAnsi="Times New Roman" w:cs="Times New Roman"/>
          <w:b/>
          <w:sz w:val="24"/>
          <w:szCs w:val="24"/>
        </w:rPr>
        <w:t>.</w:t>
      </w:r>
      <w:r w:rsidR="004307A9">
        <w:rPr>
          <w:rFonts w:ascii="Times New Roman" w:hAnsi="Times New Roman" w:cs="Times New Roman"/>
          <w:b/>
          <w:sz w:val="24"/>
          <w:szCs w:val="24"/>
        </w:rPr>
        <w:tab/>
        <w:t>Adjustments 14.22 and 6.22, Working Capital</w:t>
      </w:r>
      <w:r w:rsidR="008C4C17">
        <w:rPr>
          <w:rFonts w:ascii="Times New Roman" w:hAnsi="Times New Roman" w:cs="Times New Roman"/>
          <w:b/>
          <w:sz w:val="24"/>
          <w:szCs w:val="24"/>
        </w:rPr>
        <w:t>-</w:t>
      </w:r>
      <w:r w:rsidR="005B0718">
        <w:rPr>
          <w:rFonts w:ascii="Times New Roman" w:hAnsi="Times New Roman" w:cs="Times New Roman"/>
          <w:b/>
          <w:sz w:val="24"/>
          <w:szCs w:val="24"/>
        </w:rPr>
        <w:t>Debit Balance in Account 236, Accrued Federal Income Taxes Payable</w:t>
      </w:r>
    </w:p>
    <w:p w:rsidR="005B0718" w:rsidRDefault="005B0718" w:rsidP="005B0718">
      <w:pPr>
        <w:spacing w:after="0" w:line="240" w:lineRule="auto"/>
        <w:ind w:left="2160" w:hanging="720"/>
        <w:rPr>
          <w:rFonts w:ascii="Times New Roman" w:hAnsi="Times New Roman" w:cs="Times New Roman"/>
          <w:b/>
          <w:sz w:val="24"/>
          <w:szCs w:val="24"/>
        </w:rPr>
      </w:pPr>
    </w:p>
    <w:p w:rsidR="00F66A10" w:rsidRPr="00F66A10" w:rsidRDefault="00FA02D3" w:rsidP="00FA02D3">
      <w:pPr>
        <w:pStyle w:val="ListParagraph"/>
        <w:numPr>
          <w:ilvl w:val="0"/>
          <w:numId w:val="1"/>
        </w:numPr>
        <w:spacing w:line="480" w:lineRule="auto"/>
        <w:rPr>
          <w:rFonts w:ascii="Times New Roman" w:hAnsi="Times New Roman"/>
          <w:sz w:val="24"/>
          <w:szCs w:val="24"/>
        </w:rPr>
      </w:pPr>
      <w:r>
        <w:rPr>
          <w:rFonts w:ascii="Times New Roman" w:eastAsia="Times New Roman" w:hAnsi="Times New Roman"/>
          <w:sz w:val="24"/>
          <w:szCs w:val="24"/>
        </w:rPr>
        <w:tab/>
      </w:r>
      <w:r w:rsidR="008E6DDE" w:rsidRPr="00FA02D3">
        <w:rPr>
          <w:rFonts w:ascii="Times New Roman" w:eastAsia="Times New Roman" w:hAnsi="Times New Roman"/>
          <w:sz w:val="24"/>
          <w:szCs w:val="24"/>
        </w:rPr>
        <w:t>These adjustments include two items, one of which is uncontested</w:t>
      </w:r>
      <w:r w:rsidR="00210D89">
        <w:rPr>
          <w:rFonts w:ascii="Times New Roman" w:eastAsia="Times New Roman" w:hAnsi="Times New Roman"/>
          <w:sz w:val="24"/>
          <w:szCs w:val="24"/>
        </w:rPr>
        <w:t>.  B</w:t>
      </w:r>
      <w:r w:rsidR="008E6DDE" w:rsidRPr="00FA02D3">
        <w:rPr>
          <w:rFonts w:ascii="Times New Roman" w:eastAsia="Times New Roman" w:hAnsi="Times New Roman"/>
          <w:sz w:val="24"/>
          <w:szCs w:val="24"/>
        </w:rPr>
        <w:t>oth Staff and PSE agree that a misclassification of two special deposit accounts should be corrected.</w:t>
      </w:r>
      <w:r w:rsidR="008E6DDE">
        <w:rPr>
          <w:rStyle w:val="FootnoteReference"/>
          <w:rFonts w:ascii="Times New Roman" w:eastAsia="Times New Roman" w:hAnsi="Times New Roman"/>
          <w:sz w:val="24"/>
          <w:szCs w:val="24"/>
        </w:rPr>
        <w:footnoteReference w:id="316"/>
      </w:r>
      <w:r w:rsidR="00E310D2" w:rsidRPr="00FA02D3">
        <w:rPr>
          <w:rFonts w:ascii="Times New Roman" w:eastAsia="Times New Roman" w:hAnsi="Times New Roman"/>
          <w:sz w:val="24"/>
          <w:szCs w:val="24"/>
        </w:rPr>
        <w:t xml:space="preserve">  </w:t>
      </w:r>
    </w:p>
    <w:p w:rsidR="00DF316E" w:rsidRDefault="00F66A10" w:rsidP="00FA02D3">
      <w:pPr>
        <w:pStyle w:val="ListParagraph"/>
        <w:numPr>
          <w:ilvl w:val="0"/>
          <w:numId w:val="1"/>
        </w:numPr>
        <w:spacing w:line="480" w:lineRule="auto"/>
        <w:rPr>
          <w:rFonts w:ascii="Times New Roman" w:hAnsi="Times New Roman"/>
          <w:sz w:val="24"/>
          <w:szCs w:val="24"/>
        </w:rPr>
      </w:pPr>
      <w:r>
        <w:rPr>
          <w:rFonts w:ascii="Times New Roman" w:eastAsia="Times New Roman" w:hAnsi="Times New Roman"/>
          <w:sz w:val="24"/>
          <w:szCs w:val="24"/>
        </w:rPr>
        <w:tab/>
      </w:r>
      <w:r w:rsidR="008E6DDE" w:rsidRPr="00FA02D3">
        <w:rPr>
          <w:rFonts w:ascii="Times New Roman" w:eastAsia="Times New Roman" w:hAnsi="Times New Roman"/>
          <w:sz w:val="24"/>
          <w:szCs w:val="24"/>
        </w:rPr>
        <w:t>The con</w:t>
      </w:r>
      <w:r w:rsidR="00E310D2" w:rsidRPr="00FA02D3">
        <w:rPr>
          <w:rFonts w:ascii="Times New Roman" w:eastAsia="Times New Roman" w:hAnsi="Times New Roman"/>
          <w:sz w:val="24"/>
          <w:szCs w:val="24"/>
        </w:rPr>
        <w:t xml:space="preserve">tested portion </w:t>
      </w:r>
      <w:r>
        <w:rPr>
          <w:rFonts w:ascii="Times New Roman" w:eastAsia="Times New Roman" w:hAnsi="Times New Roman"/>
          <w:sz w:val="24"/>
          <w:szCs w:val="24"/>
        </w:rPr>
        <w:t xml:space="preserve">involves a Company proposal to include in </w:t>
      </w:r>
      <w:r w:rsidR="008E6DDE" w:rsidRPr="00FA02D3">
        <w:rPr>
          <w:rFonts w:ascii="Times New Roman" w:eastAsia="Times New Roman" w:hAnsi="Times New Roman"/>
          <w:sz w:val="24"/>
          <w:szCs w:val="24"/>
        </w:rPr>
        <w:t>the working c</w:t>
      </w:r>
      <w:r w:rsidR="00684826">
        <w:rPr>
          <w:rFonts w:ascii="Times New Roman" w:eastAsia="Times New Roman" w:hAnsi="Times New Roman"/>
          <w:sz w:val="24"/>
          <w:szCs w:val="24"/>
        </w:rPr>
        <w:t xml:space="preserve">apital component of rate base a </w:t>
      </w:r>
      <w:r w:rsidR="00D02E01">
        <w:rPr>
          <w:rFonts w:ascii="Times New Roman" w:eastAsia="Times New Roman" w:hAnsi="Times New Roman"/>
          <w:sz w:val="24"/>
          <w:szCs w:val="24"/>
        </w:rPr>
        <w:t xml:space="preserve">2010 monthly </w:t>
      </w:r>
      <w:r>
        <w:rPr>
          <w:rFonts w:ascii="Times New Roman" w:eastAsia="Times New Roman" w:hAnsi="Times New Roman"/>
          <w:sz w:val="24"/>
          <w:szCs w:val="24"/>
        </w:rPr>
        <w:t xml:space="preserve">average </w:t>
      </w:r>
      <w:r w:rsidR="00684826">
        <w:rPr>
          <w:rFonts w:ascii="Times New Roman" w:eastAsia="Times New Roman" w:hAnsi="Times New Roman"/>
          <w:sz w:val="24"/>
          <w:szCs w:val="24"/>
        </w:rPr>
        <w:t xml:space="preserve">debit balance in </w:t>
      </w:r>
      <w:r w:rsidR="00316884" w:rsidRPr="00FA02D3">
        <w:rPr>
          <w:rFonts w:ascii="Times New Roman" w:eastAsia="Times New Roman" w:hAnsi="Times New Roman"/>
          <w:sz w:val="24"/>
          <w:szCs w:val="24"/>
        </w:rPr>
        <w:t>Account 236</w:t>
      </w:r>
      <w:r w:rsidR="008E6DDE" w:rsidRPr="00FA02D3">
        <w:rPr>
          <w:rFonts w:ascii="Times New Roman" w:eastAsia="Times New Roman" w:hAnsi="Times New Roman"/>
          <w:sz w:val="24"/>
          <w:szCs w:val="24"/>
        </w:rPr>
        <w:t xml:space="preserve"> </w:t>
      </w:r>
      <w:r>
        <w:rPr>
          <w:rFonts w:ascii="Times New Roman" w:eastAsia="Times New Roman" w:hAnsi="Times New Roman"/>
          <w:sz w:val="24"/>
          <w:szCs w:val="24"/>
        </w:rPr>
        <w:t xml:space="preserve">of $47.3 million </w:t>
      </w:r>
      <w:r w:rsidR="008E6DDE" w:rsidRPr="00FA02D3">
        <w:rPr>
          <w:rFonts w:ascii="Times New Roman" w:eastAsia="Times New Roman" w:hAnsi="Times New Roman"/>
          <w:sz w:val="24"/>
          <w:szCs w:val="24"/>
        </w:rPr>
        <w:t>for accrued federal income taxes payable.</w:t>
      </w:r>
      <w:r>
        <w:rPr>
          <w:rFonts w:ascii="Times New Roman" w:eastAsia="Times New Roman" w:hAnsi="Times New Roman"/>
          <w:sz w:val="24"/>
          <w:szCs w:val="24"/>
        </w:rPr>
        <w:t xml:space="preserve">  Staff </w:t>
      </w:r>
      <w:r w:rsidRPr="00F66A10">
        <w:rPr>
          <w:rFonts w:ascii="Times New Roman" w:eastAsia="Times New Roman" w:hAnsi="Times New Roman"/>
          <w:sz w:val="24"/>
          <w:szCs w:val="24"/>
        </w:rPr>
        <w:t xml:space="preserve">recommends that </w:t>
      </w:r>
      <w:r>
        <w:rPr>
          <w:rFonts w:ascii="Times New Roman" w:hAnsi="Times New Roman"/>
          <w:sz w:val="24"/>
          <w:szCs w:val="24"/>
        </w:rPr>
        <w:t>t</w:t>
      </w:r>
      <w:r w:rsidRPr="00F66A10">
        <w:rPr>
          <w:rFonts w:ascii="Times New Roman" w:hAnsi="Times New Roman"/>
          <w:sz w:val="24"/>
          <w:szCs w:val="24"/>
        </w:rPr>
        <w:t>he $47.3 million debit balance should be removed from rate b</w:t>
      </w:r>
      <w:r>
        <w:rPr>
          <w:rFonts w:ascii="Times New Roman" w:hAnsi="Times New Roman"/>
          <w:sz w:val="24"/>
          <w:szCs w:val="24"/>
        </w:rPr>
        <w:t>ase for the following reasons.</w:t>
      </w:r>
    </w:p>
    <w:p w:rsidR="00F66A10" w:rsidRDefault="00F66A10"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t xml:space="preserve">First, </w:t>
      </w:r>
      <w:r w:rsidR="00A348F2">
        <w:rPr>
          <w:rFonts w:ascii="Times New Roman" w:hAnsi="Times New Roman"/>
          <w:sz w:val="24"/>
          <w:szCs w:val="24"/>
        </w:rPr>
        <w:t>A</w:t>
      </w:r>
      <w:r w:rsidR="003D5240">
        <w:rPr>
          <w:rFonts w:ascii="Times New Roman" w:hAnsi="Times New Roman"/>
          <w:sz w:val="24"/>
          <w:szCs w:val="24"/>
        </w:rPr>
        <w:t xml:space="preserve">ccount 236 is a current liability account that typically </w:t>
      </w:r>
      <w:r w:rsidR="00A348F2" w:rsidRPr="00A348F2">
        <w:rPr>
          <w:rFonts w:ascii="Times New Roman" w:hAnsi="Times New Roman"/>
          <w:sz w:val="24"/>
          <w:szCs w:val="24"/>
        </w:rPr>
        <w:t>will have a credit balance, reflecting that there is a liability to make a payment for current income taxes</w:t>
      </w:r>
      <w:r w:rsidR="00A348F2">
        <w:rPr>
          <w:rFonts w:ascii="Times New Roman" w:hAnsi="Times New Roman"/>
          <w:sz w:val="24"/>
          <w:szCs w:val="24"/>
        </w:rPr>
        <w:t xml:space="preserve">.  Thus, it is </w:t>
      </w:r>
      <w:r w:rsidR="00210D89">
        <w:rPr>
          <w:rFonts w:ascii="Times New Roman" w:hAnsi="Times New Roman"/>
          <w:sz w:val="24"/>
          <w:szCs w:val="24"/>
        </w:rPr>
        <w:t xml:space="preserve">highly </w:t>
      </w:r>
      <w:r w:rsidR="00A348F2">
        <w:rPr>
          <w:rFonts w:ascii="Times New Roman" w:hAnsi="Times New Roman"/>
          <w:sz w:val="24"/>
          <w:szCs w:val="24"/>
        </w:rPr>
        <w:t>abnormal to have a debit balance in this account</w:t>
      </w:r>
      <w:r w:rsidR="003D5240">
        <w:rPr>
          <w:rFonts w:ascii="Times New Roman" w:hAnsi="Times New Roman"/>
          <w:sz w:val="24"/>
          <w:szCs w:val="24"/>
        </w:rPr>
        <w:t xml:space="preserve"> as large as the balance PSE recorded in 2010</w:t>
      </w:r>
      <w:r w:rsidR="00A348F2">
        <w:rPr>
          <w:rFonts w:ascii="Times New Roman" w:hAnsi="Times New Roman"/>
          <w:sz w:val="24"/>
          <w:szCs w:val="24"/>
        </w:rPr>
        <w:t>.</w:t>
      </w:r>
      <w:r w:rsidR="009366C1">
        <w:rPr>
          <w:rStyle w:val="FootnoteReference"/>
          <w:rFonts w:ascii="Times New Roman" w:hAnsi="Times New Roman"/>
          <w:sz w:val="24"/>
          <w:szCs w:val="24"/>
        </w:rPr>
        <w:footnoteReference w:id="317"/>
      </w:r>
    </w:p>
    <w:p w:rsidR="00A348F2" w:rsidRDefault="00A348F2" w:rsidP="00A348F2">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Pr="00A348F2">
        <w:rPr>
          <w:rFonts w:ascii="Times New Roman" w:hAnsi="Times New Roman"/>
          <w:sz w:val="24"/>
          <w:szCs w:val="24"/>
        </w:rPr>
        <w:t xml:space="preserve">Second, </w:t>
      </w:r>
      <w:r w:rsidR="00865BAA" w:rsidRPr="00865BAA">
        <w:rPr>
          <w:rFonts w:ascii="Times New Roman" w:hAnsi="Times New Roman"/>
          <w:sz w:val="24"/>
          <w:szCs w:val="24"/>
        </w:rPr>
        <w:t>PSE</w:t>
      </w:r>
      <w:r w:rsidR="00865BAA" w:rsidRPr="00A348F2">
        <w:rPr>
          <w:rFonts w:ascii="Times New Roman" w:hAnsi="Times New Roman"/>
          <w:sz w:val="24"/>
          <w:szCs w:val="24"/>
        </w:rPr>
        <w:t xml:space="preserve"> reduced Account 236 by $49.66 million on January 14, 2011</w:t>
      </w:r>
      <w:r w:rsidR="00865BAA">
        <w:rPr>
          <w:rFonts w:ascii="Times New Roman" w:hAnsi="Times New Roman"/>
          <w:sz w:val="24"/>
          <w:szCs w:val="24"/>
        </w:rPr>
        <w:t>, shortly after the test period</w:t>
      </w:r>
      <w:r w:rsidR="00865BAA" w:rsidRPr="00A348F2">
        <w:rPr>
          <w:rFonts w:ascii="Times New Roman" w:hAnsi="Times New Roman"/>
          <w:sz w:val="24"/>
          <w:szCs w:val="24"/>
        </w:rPr>
        <w:t>.</w:t>
      </w:r>
      <w:r w:rsidR="00865BAA" w:rsidRPr="00A348F2">
        <w:rPr>
          <w:rStyle w:val="FootnoteReference"/>
          <w:rFonts w:ascii="Times New Roman" w:hAnsi="Times New Roman"/>
          <w:sz w:val="24"/>
          <w:szCs w:val="24"/>
        </w:rPr>
        <w:footnoteReference w:id="318"/>
      </w:r>
      <w:r w:rsidR="00865BAA" w:rsidRPr="00A348F2">
        <w:rPr>
          <w:rFonts w:ascii="Times New Roman" w:hAnsi="Times New Roman"/>
          <w:sz w:val="24"/>
          <w:szCs w:val="24"/>
        </w:rPr>
        <w:t xml:space="preserve">  </w:t>
      </w:r>
      <w:r w:rsidR="00865BAA">
        <w:rPr>
          <w:rFonts w:ascii="Times New Roman" w:hAnsi="Times New Roman"/>
          <w:sz w:val="24"/>
          <w:szCs w:val="24"/>
        </w:rPr>
        <w:t>Therefore, the large debit balance in Account 236</w:t>
      </w:r>
      <w:r w:rsidR="00865BAA" w:rsidRPr="00865BAA">
        <w:rPr>
          <w:rFonts w:ascii="Times New Roman" w:hAnsi="Times New Roman"/>
          <w:sz w:val="24"/>
          <w:szCs w:val="24"/>
        </w:rPr>
        <w:t xml:space="preserve"> </w:t>
      </w:r>
      <w:r w:rsidR="00865BAA">
        <w:rPr>
          <w:rFonts w:ascii="Times New Roman" w:hAnsi="Times New Roman"/>
          <w:sz w:val="24"/>
          <w:szCs w:val="24"/>
        </w:rPr>
        <w:t xml:space="preserve">was </w:t>
      </w:r>
      <w:r w:rsidR="00865BAA" w:rsidRPr="00865BAA">
        <w:rPr>
          <w:rFonts w:ascii="Times New Roman" w:hAnsi="Times New Roman"/>
          <w:sz w:val="24"/>
          <w:szCs w:val="24"/>
        </w:rPr>
        <w:t>a temporary situation that occurred in the 2010 test year.</w:t>
      </w:r>
      <w:r w:rsidR="009366C1">
        <w:rPr>
          <w:rStyle w:val="FootnoteReference"/>
          <w:rFonts w:ascii="Times New Roman" w:hAnsi="Times New Roman"/>
          <w:sz w:val="24"/>
          <w:szCs w:val="24"/>
        </w:rPr>
        <w:footnoteReference w:id="319"/>
      </w:r>
      <w:r w:rsidR="00865BAA" w:rsidRPr="00865BAA">
        <w:rPr>
          <w:rFonts w:ascii="Times New Roman" w:hAnsi="Times New Roman"/>
          <w:sz w:val="24"/>
          <w:szCs w:val="24"/>
        </w:rPr>
        <w:t xml:space="preserve">  </w:t>
      </w:r>
      <w:r w:rsidRPr="00A348F2">
        <w:rPr>
          <w:rFonts w:ascii="Times New Roman" w:hAnsi="Times New Roman"/>
          <w:sz w:val="24"/>
          <w:szCs w:val="24"/>
        </w:rPr>
        <w:t xml:space="preserve"> </w:t>
      </w:r>
    </w:p>
    <w:p w:rsidR="00865BAA" w:rsidRDefault="00865BAA" w:rsidP="00A348F2">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lastRenderedPageBreak/>
        <w:tab/>
        <w:t>Third, o</w:t>
      </w:r>
      <w:r w:rsidRPr="00865BAA">
        <w:rPr>
          <w:rFonts w:ascii="Times New Roman" w:hAnsi="Times New Roman"/>
          <w:sz w:val="24"/>
          <w:szCs w:val="24"/>
        </w:rPr>
        <w:t>n a going</w:t>
      </w:r>
      <w:r>
        <w:rPr>
          <w:rFonts w:ascii="Times New Roman" w:hAnsi="Times New Roman"/>
          <w:sz w:val="24"/>
          <w:szCs w:val="24"/>
        </w:rPr>
        <w:t xml:space="preserve"> forward basis, the balance in A</w:t>
      </w:r>
      <w:r w:rsidRPr="00865BAA">
        <w:rPr>
          <w:rFonts w:ascii="Times New Roman" w:hAnsi="Times New Roman"/>
          <w:sz w:val="24"/>
          <w:szCs w:val="24"/>
        </w:rPr>
        <w:t>ccount 236 would normally be a credit showing ta</w:t>
      </w:r>
      <w:r>
        <w:rPr>
          <w:rFonts w:ascii="Times New Roman" w:hAnsi="Times New Roman"/>
          <w:sz w:val="24"/>
          <w:szCs w:val="24"/>
        </w:rPr>
        <w:t>xes payable, but PSE is in a net operating loss</w:t>
      </w:r>
      <w:r w:rsidRPr="00865BAA">
        <w:rPr>
          <w:rFonts w:ascii="Times New Roman" w:hAnsi="Times New Roman"/>
          <w:sz w:val="24"/>
          <w:szCs w:val="24"/>
        </w:rPr>
        <w:t xml:space="preserve"> </w:t>
      </w:r>
      <w:r w:rsidR="003D5240">
        <w:rPr>
          <w:rFonts w:ascii="Times New Roman" w:hAnsi="Times New Roman"/>
          <w:sz w:val="24"/>
          <w:szCs w:val="24"/>
        </w:rPr>
        <w:t xml:space="preserve">(“NOL”) </w:t>
      </w:r>
      <w:r w:rsidR="00D02E01">
        <w:rPr>
          <w:rFonts w:ascii="Times New Roman" w:hAnsi="Times New Roman"/>
          <w:sz w:val="24"/>
          <w:szCs w:val="24"/>
        </w:rPr>
        <w:t>carry-forward situation</w:t>
      </w:r>
      <w:r w:rsidRPr="00865BAA">
        <w:rPr>
          <w:rFonts w:ascii="Times New Roman" w:hAnsi="Times New Roman"/>
          <w:sz w:val="24"/>
          <w:szCs w:val="24"/>
        </w:rPr>
        <w:t xml:space="preserve"> and is not p</w:t>
      </w:r>
      <w:r>
        <w:rPr>
          <w:rFonts w:ascii="Times New Roman" w:hAnsi="Times New Roman"/>
          <w:sz w:val="24"/>
          <w:szCs w:val="24"/>
        </w:rPr>
        <w:t>aying federal income taxes.  Therefore, a</w:t>
      </w:r>
      <w:r w:rsidRPr="00865BAA">
        <w:rPr>
          <w:rFonts w:ascii="Times New Roman" w:hAnsi="Times New Roman"/>
          <w:sz w:val="24"/>
          <w:szCs w:val="24"/>
        </w:rPr>
        <w:t xml:space="preserve"> representative going forwa</w:t>
      </w:r>
      <w:r>
        <w:rPr>
          <w:rFonts w:ascii="Times New Roman" w:hAnsi="Times New Roman"/>
          <w:sz w:val="24"/>
          <w:szCs w:val="24"/>
        </w:rPr>
        <w:t>rd balance for A</w:t>
      </w:r>
      <w:r w:rsidRPr="00865BAA">
        <w:rPr>
          <w:rFonts w:ascii="Times New Roman" w:hAnsi="Times New Roman"/>
          <w:sz w:val="24"/>
          <w:szCs w:val="24"/>
        </w:rPr>
        <w:t>ccount 236 for ratemaking purposes should be zero.</w:t>
      </w:r>
      <w:r w:rsidR="00432CEB">
        <w:rPr>
          <w:rStyle w:val="FootnoteReference"/>
          <w:rFonts w:ascii="Times New Roman" w:hAnsi="Times New Roman"/>
          <w:sz w:val="24"/>
          <w:szCs w:val="24"/>
        </w:rPr>
        <w:footnoteReference w:id="320"/>
      </w:r>
    </w:p>
    <w:p w:rsidR="00464A41" w:rsidRDefault="00464A41" w:rsidP="00464A41">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D632EA">
        <w:rPr>
          <w:rFonts w:ascii="Times New Roman" w:hAnsi="Times New Roman"/>
          <w:sz w:val="24"/>
          <w:szCs w:val="24"/>
        </w:rPr>
        <w:t>On rebuttal, PSE noted</w:t>
      </w:r>
      <w:r w:rsidRPr="00464A41">
        <w:rPr>
          <w:rFonts w:ascii="Times New Roman" w:hAnsi="Times New Roman"/>
          <w:sz w:val="24"/>
          <w:szCs w:val="24"/>
        </w:rPr>
        <w:t xml:space="preserve"> that, while it </w:t>
      </w:r>
      <w:r w:rsidR="0024582A" w:rsidRPr="00464A41">
        <w:rPr>
          <w:rFonts w:ascii="Times New Roman" w:hAnsi="Times New Roman"/>
          <w:sz w:val="24"/>
          <w:szCs w:val="24"/>
        </w:rPr>
        <w:t>credited A</w:t>
      </w:r>
      <w:r w:rsidRPr="00464A41">
        <w:rPr>
          <w:rFonts w:ascii="Times New Roman" w:hAnsi="Times New Roman"/>
          <w:sz w:val="24"/>
          <w:szCs w:val="24"/>
        </w:rPr>
        <w:t xml:space="preserve">ccount 236 for $49.66 million, it debited </w:t>
      </w:r>
      <w:r w:rsidR="00D632EA" w:rsidRPr="00464A41">
        <w:rPr>
          <w:rFonts w:ascii="Times New Roman" w:hAnsi="Times New Roman"/>
          <w:sz w:val="24"/>
          <w:szCs w:val="24"/>
        </w:rPr>
        <w:t xml:space="preserve">the same amount </w:t>
      </w:r>
      <w:r w:rsidR="00D632EA">
        <w:rPr>
          <w:rFonts w:ascii="Times New Roman" w:hAnsi="Times New Roman"/>
          <w:sz w:val="24"/>
          <w:szCs w:val="24"/>
        </w:rPr>
        <w:t xml:space="preserve">in </w:t>
      </w:r>
      <w:r w:rsidRPr="00464A41">
        <w:rPr>
          <w:rFonts w:ascii="Times New Roman" w:hAnsi="Times New Roman"/>
          <w:sz w:val="24"/>
          <w:szCs w:val="24"/>
        </w:rPr>
        <w:t>Account 131, C</w:t>
      </w:r>
      <w:r w:rsidR="00D632EA">
        <w:rPr>
          <w:rFonts w:ascii="Times New Roman" w:hAnsi="Times New Roman"/>
          <w:sz w:val="24"/>
          <w:szCs w:val="24"/>
        </w:rPr>
        <w:t>ash</w:t>
      </w:r>
      <w:r w:rsidR="0024582A" w:rsidRPr="00464A41">
        <w:rPr>
          <w:rFonts w:ascii="Times New Roman" w:hAnsi="Times New Roman"/>
          <w:sz w:val="24"/>
          <w:szCs w:val="24"/>
        </w:rPr>
        <w:t xml:space="preserve">.  </w:t>
      </w:r>
      <w:r w:rsidRPr="00464A41">
        <w:rPr>
          <w:rFonts w:ascii="Times New Roman" w:hAnsi="Times New Roman"/>
          <w:sz w:val="24"/>
          <w:szCs w:val="24"/>
        </w:rPr>
        <w:t xml:space="preserve">Therefore, </w:t>
      </w:r>
      <w:r w:rsidR="00210D89">
        <w:rPr>
          <w:rFonts w:ascii="Times New Roman" w:hAnsi="Times New Roman"/>
          <w:sz w:val="24"/>
          <w:szCs w:val="24"/>
        </w:rPr>
        <w:t xml:space="preserve">according to the Company, </w:t>
      </w:r>
      <w:r w:rsidRPr="00464A41">
        <w:rPr>
          <w:rFonts w:ascii="Times New Roman" w:hAnsi="Times New Roman"/>
          <w:sz w:val="24"/>
          <w:szCs w:val="24"/>
        </w:rPr>
        <w:t>since</w:t>
      </w:r>
      <w:r w:rsidR="0024582A" w:rsidRPr="00464A41">
        <w:rPr>
          <w:rFonts w:ascii="Times New Roman" w:hAnsi="Times New Roman"/>
          <w:sz w:val="24"/>
          <w:szCs w:val="24"/>
        </w:rPr>
        <w:t xml:space="preserve"> cash i</w:t>
      </w:r>
      <w:r w:rsidRPr="00464A41">
        <w:rPr>
          <w:rFonts w:ascii="Times New Roman" w:hAnsi="Times New Roman"/>
          <w:sz w:val="24"/>
          <w:szCs w:val="24"/>
        </w:rPr>
        <w:t xml:space="preserve">s a working capital account, </w:t>
      </w:r>
      <w:r w:rsidR="0024582A" w:rsidRPr="00464A41">
        <w:rPr>
          <w:rFonts w:ascii="Times New Roman" w:hAnsi="Times New Roman"/>
          <w:sz w:val="24"/>
          <w:szCs w:val="24"/>
        </w:rPr>
        <w:t xml:space="preserve">the removal from </w:t>
      </w:r>
      <w:r w:rsidRPr="00464A41">
        <w:rPr>
          <w:rFonts w:ascii="Times New Roman" w:hAnsi="Times New Roman"/>
          <w:sz w:val="24"/>
          <w:szCs w:val="24"/>
        </w:rPr>
        <w:t>A</w:t>
      </w:r>
      <w:r w:rsidR="00D632EA">
        <w:rPr>
          <w:rFonts w:ascii="Times New Roman" w:hAnsi="Times New Roman"/>
          <w:sz w:val="24"/>
          <w:szCs w:val="24"/>
        </w:rPr>
        <w:t>ccount 236 does</w:t>
      </w:r>
      <w:r w:rsidR="0024582A" w:rsidRPr="00464A41">
        <w:rPr>
          <w:rFonts w:ascii="Times New Roman" w:hAnsi="Times New Roman"/>
          <w:sz w:val="24"/>
          <w:szCs w:val="24"/>
        </w:rPr>
        <w:t xml:space="preserve"> not affect cash working capital.</w:t>
      </w:r>
      <w:r w:rsidR="0024582A" w:rsidRPr="0024582A">
        <w:rPr>
          <w:rStyle w:val="FootnoteReference"/>
          <w:rFonts w:ascii="Times New Roman" w:hAnsi="Times New Roman"/>
          <w:sz w:val="24"/>
          <w:szCs w:val="24"/>
        </w:rPr>
        <w:footnoteReference w:id="321"/>
      </w:r>
      <w:r w:rsidR="00210D89">
        <w:rPr>
          <w:rFonts w:ascii="Times New Roman" w:hAnsi="Times New Roman"/>
          <w:sz w:val="24"/>
          <w:szCs w:val="24"/>
        </w:rPr>
        <w:t xml:space="preserve">  However, PSE ignores that it </w:t>
      </w:r>
      <w:r w:rsidRPr="00464A41">
        <w:rPr>
          <w:rFonts w:ascii="Times New Roman" w:hAnsi="Times New Roman"/>
          <w:sz w:val="24"/>
          <w:szCs w:val="24"/>
        </w:rPr>
        <w:t xml:space="preserve">would not be prudent </w:t>
      </w:r>
      <w:r w:rsidR="0024582A" w:rsidRPr="00464A41">
        <w:rPr>
          <w:rFonts w:ascii="Times New Roman" w:hAnsi="Times New Roman"/>
          <w:sz w:val="24"/>
          <w:szCs w:val="24"/>
        </w:rPr>
        <w:t>management to leave $49.66 million s</w:t>
      </w:r>
      <w:r w:rsidR="00D632EA">
        <w:rPr>
          <w:rFonts w:ascii="Times New Roman" w:hAnsi="Times New Roman"/>
          <w:sz w:val="24"/>
          <w:szCs w:val="24"/>
        </w:rPr>
        <w:t>itting in a cash account for an extended period</w:t>
      </w:r>
      <w:r w:rsidR="0024582A" w:rsidRPr="00464A41">
        <w:rPr>
          <w:rFonts w:ascii="Times New Roman" w:hAnsi="Times New Roman"/>
          <w:sz w:val="24"/>
          <w:szCs w:val="24"/>
        </w:rPr>
        <w:t>.</w:t>
      </w:r>
      <w:r>
        <w:rPr>
          <w:rStyle w:val="FootnoteReference"/>
          <w:rFonts w:ascii="Times New Roman" w:hAnsi="Times New Roman"/>
          <w:sz w:val="24"/>
          <w:szCs w:val="24"/>
        </w:rPr>
        <w:footnoteReference w:id="322"/>
      </w:r>
      <w:r w:rsidR="0024582A" w:rsidRPr="00464A41">
        <w:rPr>
          <w:rFonts w:ascii="Times New Roman" w:hAnsi="Times New Roman"/>
          <w:sz w:val="24"/>
          <w:szCs w:val="24"/>
        </w:rPr>
        <w:t xml:space="preserve">  Rather, if not s</w:t>
      </w:r>
      <w:r w:rsidR="00D632EA">
        <w:rPr>
          <w:rFonts w:ascii="Times New Roman" w:hAnsi="Times New Roman"/>
          <w:sz w:val="24"/>
          <w:szCs w:val="24"/>
        </w:rPr>
        <w:t>pent on opera</w:t>
      </w:r>
      <w:r w:rsidR="009366C1">
        <w:rPr>
          <w:rFonts w:ascii="Times New Roman" w:hAnsi="Times New Roman"/>
          <w:sz w:val="24"/>
          <w:szCs w:val="24"/>
        </w:rPr>
        <w:t>tions, that</w:t>
      </w:r>
      <w:r w:rsidR="00D632EA">
        <w:rPr>
          <w:rFonts w:ascii="Times New Roman" w:hAnsi="Times New Roman"/>
          <w:sz w:val="24"/>
          <w:szCs w:val="24"/>
        </w:rPr>
        <w:t xml:space="preserve"> amount sh</w:t>
      </w:r>
      <w:r w:rsidR="0024582A" w:rsidRPr="00464A41">
        <w:rPr>
          <w:rFonts w:ascii="Times New Roman" w:hAnsi="Times New Roman"/>
          <w:sz w:val="24"/>
          <w:szCs w:val="24"/>
        </w:rPr>
        <w:t>ould be invested temporarily to earn interest.</w:t>
      </w:r>
      <w:r>
        <w:rPr>
          <w:rStyle w:val="FootnoteReference"/>
          <w:rFonts w:ascii="Times New Roman" w:hAnsi="Times New Roman"/>
          <w:sz w:val="24"/>
          <w:szCs w:val="24"/>
        </w:rPr>
        <w:footnoteReference w:id="323"/>
      </w:r>
      <w:r w:rsidRPr="00464A41">
        <w:rPr>
          <w:rFonts w:ascii="Times New Roman" w:hAnsi="Times New Roman"/>
          <w:sz w:val="24"/>
          <w:szCs w:val="24"/>
        </w:rPr>
        <w:t xml:space="preserve">   </w:t>
      </w:r>
    </w:p>
    <w:p w:rsidR="0024582A" w:rsidRPr="00464A41" w:rsidRDefault="00464A41" w:rsidP="00464A41">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t xml:space="preserve">Moreover, </w:t>
      </w:r>
      <w:r w:rsidR="0024582A" w:rsidRPr="00464A41">
        <w:rPr>
          <w:rFonts w:ascii="Times New Roman" w:hAnsi="Times New Roman"/>
          <w:sz w:val="24"/>
          <w:szCs w:val="24"/>
        </w:rPr>
        <w:t>PSE shows total net cas</w:t>
      </w:r>
      <w:r w:rsidR="00D632EA">
        <w:rPr>
          <w:rFonts w:ascii="Times New Roman" w:hAnsi="Times New Roman"/>
          <w:sz w:val="24"/>
          <w:szCs w:val="24"/>
        </w:rPr>
        <w:t xml:space="preserve">h of $6.355 million on average per month </w:t>
      </w:r>
      <w:r>
        <w:rPr>
          <w:rFonts w:ascii="Times New Roman" w:hAnsi="Times New Roman"/>
          <w:sz w:val="24"/>
          <w:szCs w:val="24"/>
        </w:rPr>
        <w:t xml:space="preserve">for the test year, </w:t>
      </w:r>
      <w:r w:rsidR="00D02E01">
        <w:rPr>
          <w:rFonts w:ascii="Times New Roman" w:hAnsi="Times New Roman"/>
          <w:sz w:val="24"/>
          <w:szCs w:val="24"/>
        </w:rPr>
        <w:t xml:space="preserve">all but $165,000 of which is </w:t>
      </w:r>
      <w:r w:rsidR="00BF1772">
        <w:rPr>
          <w:rFonts w:ascii="Times New Roman" w:hAnsi="Times New Roman"/>
          <w:sz w:val="24"/>
          <w:szCs w:val="24"/>
        </w:rPr>
        <w:t>f</w:t>
      </w:r>
      <w:r w:rsidR="00D02E01">
        <w:rPr>
          <w:rFonts w:ascii="Times New Roman" w:hAnsi="Times New Roman"/>
          <w:sz w:val="24"/>
          <w:szCs w:val="24"/>
        </w:rPr>
        <w:t>or utility operations</w:t>
      </w:r>
      <w:r w:rsidR="0024582A" w:rsidRPr="00464A41">
        <w:rPr>
          <w:rFonts w:ascii="Times New Roman" w:hAnsi="Times New Roman"/>
          <w:sz w:val="24"/>
          <w:szCs w:val="24"/>
        </w:rPr>
        <w:t>.</w:t>
      </w:r>
      <w:r w:rsidR="0024582A" w:rsidRPr="0024582A">
        <w:rPr>
          <w:rStyle w:val="FootnoteReference"/>
          <w:rFonts w:ascii="Times New Roman" w:hAnsi="Times New Roman"/>
          <w:sz w:val="24"/>
          <w:szCs w:val="24"/>
        </w:rPr>
        <w:footnoteReference w:id="324"/>
      </w:r>
      <w:r w:rsidR="0024582A" w:rsidRPr="00464A41">
        <w:rPr>
          <w:rFonts w:ascii="Times New Roman" w:hAnsi="Times New Roman"/>
          <w:sz w:val="24"/>
          <w:szCs w:val="24"/>
        </w:rPr>
        <w:t xml:space="preserve">  Clearly, </w:t>
      </w:r>
      <w:r w:rsidR="003D5240">
        <w:rPr>
          <w:rFonts w:ascii="Times New Roman" w:hAnsi="Times New Roman"/>
          <w:sz w:val="24"/>
          <w:szCs w:val="24"/>
        </w:rPr>
        <w:t xml:space="preserve">it is not realistic to </w:t>
      </w:r>
      <w:r w:rsidR="0024582A" w:rsidRPr="00464A41">
        <w:rPr>
          <w:rFonts w:ascii="Times New Roman" w:hAnsi="Times New Roman"/>
          <w:sz w:val="24"/>
          <w:szCs w:val="24"/>
        </w:rPr>
        <w:t>ad</w:t>
      </w:r>
      <w:r w:rsidR="003D5240">
        <w:rPr>
          <w:rFonts w:ascii="Times New Roman" w:hAnsi="Times New Roman"/>
          <w:sz w:val="24"/>
          <w:szCs w:val="24"/>
        </w:rPr>
        <w:t xml:space="preserve">d </w:t>
      </w:r>
      <w:r>
        <w:rPr>
          <w:rFonts w:ascii="Times New Roman" w:hAnsi="Times New Roman"/>
          <w:sz w:val="24"/>
          <w:szCs w:val="24"/>
        </w:rPr>
        <w:t>$49.66 million to cash in A</w:t>
      </w:r>
      <w:r w:rsidR="00210D89">
        <w:rPr>
          <w:rFonts w:ascii="Times New Roman" w:hAnsi="Times New Roman"/>
          <w:sz w:val="24"/>
          <w:szCs w:val="24"/>
        </w:rPr>
        <w:t xml:space="preserve">ccount 131 and assume </w:t>
      </w:r>
      <w:r w:rsidR="0024582A" w:rsidRPr="00464A41">
        <w:rPr>
          <w:rFonts w:ascii="Times New Roman" w:hAnsi="Times New Roman"/>
          <w:sz w:val="24"/>
          <w:szCs w:val="24"/>
        </w:rPr>
        <w:t xml:space="preserve">such a high level </w:t>
      </w:r>
      <w:r w:rsidR="00210D89">
        <w:rPr>
          <w:rFonts w:ascii="Times New Roman" w:hAnsi="Times New Roman"/>
          <w:sz w:val="24"/>
          <w:szCs w:val="24"/>
        </w:rPr>
        <w:t xml:space="preserve">would remain </w:t>
      </w:r>
      <w:r w:rsidR="0024582A" w:rsidRPr="00464A41">
        <w:rPr>
          <w:rFonts w:ascii="Times New Roman" w:hAnsi="Times New Roman"/>
          <w:sz w:val="24"/>
          <w:szCs w:val="24"/>
        </w:rPr>
        <w:t>for the rate</w:t>
      </w:r>
      <w:r w:rsidR="003D5240">
        <w:rPr>
          <w:rFonts w:ascii="Times New Roman" w:hAnsi="Times New Roman"/>
          <w:sz w:val="24"/>
          <w:szCs w:val="24"/>
        </w:rPr>
        <w:t xml:space="preserve"> year</w:t>
      </w:r>
      <w:r w:rsidR="0024582A" w:rsidRPr="00464A41">
        <w:rPr>
          <w:rFonts w:ascii="Times New Roman" w:hAnsi="Times New Roman"/>
          <w:sz w:val="24"/>
          <w:szCs w:val="24"/>
        </w:rPr>
        <w:t>.  However, it is unreasonable to expect any company to maintain $47.3 million in cash for an extende</w:t>
      </w:r>
      <w:r w:rsidR="00D632EA">
        <w:rPr>
          <w:rFonts w:ascii="Times New Roman" w:hAnsi="Times New Roman"/>
          <w:sz w:val="24"/>
          <w:szCs w:val="24"/>
        </w:rPr>
        <w:t xml:space="preserve">d period.  Rather, an amount </w:t>
      </w:r>
      <w:r w:rsidR="0024582A" w:rsidRPr="00464A41">
        <w:rPr>
          <w:rFonts w:ascii="Times New Roman" w:hAnsi="Times New Roman"/>
          <w:sz w:val="24"/>
          <w:szCs w:val="24"/>
        </w:rPr>
        <w:t>that size would be transferred into temporary cash investments until it is used</w:t>
      </w:r>
      <w:r w:rsidR="003D5240">
        <w:rPr>
          <w:rFonts w:ascii="Times New Roman" w:hAnsi="Times New Roman"/>
          <w:sz w:val="24"/>
          <w:szCs w:val="24"/>
        </w:rPr>
        <w:t>.  Temporary cash investments are</w:t>
      </w:r>
      <w:r w:rsidR="0024582A" w:rsidRPr="00464A41">
        <w:rPr>
          <w:rFonts w:ascii="Times New Roman" w:hAnsi="Times New Roman"/>
          <w:sz w:val="24"/>
          <w:szCs w:val="24"/>
        </w:rPr>
        <w:t xml:space="preserve"> excluded from</w:t>
      </w:r>
      <w:r w:rsidR="00D632EA">
        <w:rPr>
          <w:rFonts w:ascii="Times New Roman" w:hAnsi="Times New Roman"/>
          <w:sz w:val="24"/>
          <w:szCs w:val="24"/>
        </w:rPr>
        <w:t xml:space="preserve"> working cash because it earns</w:t>
      </w:r>
      <w:r w:rsidR="0024582A" w:rsidRPr="00464A41">
        <w:rPr>
          <w:rFonts w:ascii="Times New Roman" w:hAnsi="Times New Roman"/>
          <w:sz w:val="24"/>
          <w:szCs w:val="24"/>
        </w:rPr>
        <w:t xml:space="preserve"> its own return.</w:t>
      </w:r>
      <w:r w:rsidR="0024582A" w:rsidRPr="0024582A">
        <w:rPr>
          <w:rStyle w:val="FootnoteReference"/>
          <w:rFonts w:ascii="Times New Roman" w:hAnsi="Times New Roman"/>
          <w:sz w:val="24"/>
          <w:szCs w:val="24"/>
        </w:rPr>
        <w:footnoteReference w:id="325"/>
      </w:r>
      <w:r w:rsidR="0024582A" w:rsidRPr="00464A41">
        <w:rPr>
          <w:rFonts w:ascii="Times New Roman" w:hAnsi="Times New Roman"/>
          <w:sz w:val="24"/>
          <w:szCs w:val="24"/>
        </w:rPr>
        <w:t xml:space="preserve">  </w:t>
      </w:r>
    </w:p>
    <w:p w:rsidR="0024582A" w:rsidRPr="00B31A27" w:rsidRDefault="00B31A27" w:rsidP="00B31A27">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lastRenderedPageBreak/>
        <w:tab/>
      </w:r>
      <w:r w:rsidR="00BF1772" w:rsidRPr="00B31A27">
        <w:rPr>
          <w:rFonts w:ascii="Times New Roman" w:hAnsi="Times New Roman"/>
          <w:sz w:val="24"/>
          <w:szCs w:val="24"/>
        </w:rPr>
        <w:t>In sum</w:t>
      </w:r>
      <w:r w:rsidR="003D5240" w:rsidRPr="00B31A27">
        <w:rPr>
          <w:rFonts w:ascii="Times New Roman" w:hAnsi="Times New Roman"/>
          <w:sz w:val="24"/>
          <w:szCs w:val="24"/>
        </w:rPr>
        <w:t>, unde</w:t>
      </w:r>
      <w:r w:rsidR="00BF1772" w:rsidRPr="00B31A27">
        <w:rPr>
          <w:rFonts w:ascii="Times New Roman" w:hAnsi="Times New Roman"/>
          <w:sz w:val="24"/>
          <w:szCs w:val="24"/>
        </w:rPr>
        <w:t>r no circumstance</w:t>
      </w:r>
      <w:r w:rsidR="003D5240" w:rsidRPr="00B31A27">
        <w:rPr>
          <w:rFonts w:ascii="Times New Roman" w:hAnsi="Times New Roman"/>
          <w:sz w:val="24"/>
          <w:szCs w:val="24"/>
        </w:rPr>
        <w:t xml:space="preserve"> should the temporary and abnormally h</w:t>
      </w:r>
      <w:r w:rsidR="00BF1772" w:rsidRPr="00B31A27">
        <w:rPr>
          <w:rFonts w:ascii="Times New Roman" w:hAnsi="Times New Roman"/>
          <w:sz w:val="24"/>
          <w:szCs w:val="24"/>
        </w:rPr>
        <w:t>igh debit balance</w:t>
      </w:r>
      <w:r w:rsidR="00210D89" w:rsidRPr="00B31A27">
        <w:rPr>
          <w:rFonts w:ascii="Times New Roman" w:hAnsi="Times New Roman"/>
          <w:sz w:val="24"/>
          <w:szCs w:val="24"/>
        </w:rPr>
        <w:t xml:space="preserve"> </w:t>
      </w:r>
      <w:r w:rsidR="003D5240" w:rsidRPr="00B31A27">
        <w:rPr>
          <w:rFonts w:ascii="Times New Roman" w:hAnsi="Times New Roman"/>
          <w:sz w:val="24"/>
          <w:szCs w:val="24"/>
        </w:rPr>
        <w:t xml:space="preserve">recorded in 2010 in Account 236 be included in </w:t>
      </w:r>
      <w:r w:rsidR="00BF1772" w:rsidRPr="00B31A27">
        <w:rPr>
          <w:rFonts w:ascii="Times New Roman" w:hAnsi="Times New Roman"/>
          <w:sz w:val="24"/>
          <w:szCs w:val="24"/>
        </w:rPr>
        <w:t>rate base as working capital.</w:t>
      </w:r>
      <w:r w:rsidR="00210D89" w:rsidRPr="00B31A27">
        <w:rPr>
          <w:rFonts w:ascii="Times New Roman" w:hAnsi="Times New Roman"/>
          <w:sz w:val="24"/>
          <w:szCs w:val="24"/>
        </w:rPr>
        <w:t xml:space="preserve">  Consistent with PSE’s test year and future expectations of not having any federal income tax liability, the </w:t>
      </w:r>
      <w:r w:rsidR="009366C1">
        <w:rPr>
          <w:rFonts w:ascii="Times New Roman" w:hAnsi="Times New Roman"/>
          <w:sz w:val="24"/>
          <w:szCs w:val="24"/>
        </w:rPr>
        <w:t xml:space="preserve">accrued federal </w:t>
      </w:r>
      <w:r w:rsidR="00210D89" w:rsidRPr="00B31A27">
        <w:rPr>
          <w:rFonts w:ascii="Times New Roman" w:hAnsi="Times New Roman"/>
          <w:sz w:val="24"/>
          <w:szCs w:val="24"/>
        </w:rPr>
        <w:t xml:space="preserve">income taxes payable in Account 236 should </w:t>
      </w:r>
      <w:r w:rsidR="00A41EE4">
        <w:rPr>
          <w:rFonts w:ascii="Times New Roman" w:hAnsi="Times New Roman"/>
          <w:sz w:val="24"/>
          <w:szCs w:val="24"/>
        </w:rPr>
        <w:t xml:space="preserve">be set </w:t>
      </w:r>
      <w:r w:rsidR="00210D89" w:rsidRPr="00B31A27">
        <w:rPr>
          <w:rFonts w:ascii="Times New Roman" w:hAnsi="Times New Roman"/>
          <w:sz w:val="24"/>
          <w:szCs w:val="24"/>
        </w:rPr>
        <w:t>a</w:t>
      </w:r>
      <w:r w:rsidR="00A41EE4">
        <w:rPr>
          <w:rFonts w:ascii="Times New Roman" w:hAnsi="Times New Roman"/>
          <w:sz w:val="24"/>
          <w:szCs w:val="24"/>
        </w:rPr>
        <w:t>t</w:t>
      </w:r>
      <w:r w:rsidR="00210D89" w:rsidRPr="00B31A27">
        <w:rPr>
          <w:rFonts w:ascii="Times New Roman" w:hAnsi="Times New Roman"/>
          <w:sz w:val="24"/>
          <w:szCs w:val="24"/>
        </w:rPr>
        <w:t xml:space="preserve"> zero </w:t>
      </w:r>
      <w:r w:rsidR="004C491A" w:rsidRPr="00B31A27">
        <w:rPr>
          <w:rFonts w:ascii="Times New Roman" w:hAnsi="Times New Roman"/>
          <w:sz w:val="24"/>
          <w:szCs w:val="24"/>
        </w:rPr>
        <w:t>for ratemaking purposes.</w:t>
      </w:r>
      <w:r w:rsidR="00210D89" w:rsidRPr="00210D89">
        <w:rPr>
          <w:rStyle w:val="FootnoteReference"/>
          <w:rFonts w:ascii="Times New Roman" w:hAnsi="Times New Roman"/>
          <w:sz w:val="24"/>
          <w:szCs w:val="24"/>
        </w:rPr>
        <w:footnoteReference w:id="326"/>
      </w:r>
      <w:r w:rsidR="00210D89" w:rsidRPr="00B31A27">
        <w:rPr>
          <w:rFonts w:ascii="Times New Roman" w:hAnsi="Times New Roman"/>
          <w:sz w:val="24"/>
          <w:szCs w:val="24"/>
        </w:rPr>
        <w:t xml:space="preserve"> </w:t>
      </w:r>
    </w:p>
    <w:p w:rsidR="004D6C3F" w:rsidRDefault="00DF316E" w:rsidP="00210D89">
      <w:pPr>
        <w:spacing w:after="0" w:line="480" w:lineRule="auto"/>
        <w:jc w:val="center"/>
        <w:rPr>
          <w:rFonts w:ascii="Times New Roman" w:hAnsi="Times New Roman" w:cs="Times New Roman"/>
          <w:sz w:val="24"/>
          <w:szCs w:val="24"/>
        </w:rPr>
      </w:pPr>
      <w:r w:rsidRPr="00DF316E">
        <w:rPr>
          <w:rFonts w:ascii="Times New Roman" w:hAnsi="Times New Roman" w:cs="Times New Roman"/>
          <w:b/>
          <w:sz w:val="24"/>
          <w:szCs w:val="24"/>
        </w:rPr>
        <w:t>IV.</w:t>
      </w:r>
      <w:r w:rsidRPr="00DF316E">
        <w:rPr>
          <w:rFonts w:ascii="Times New Roman" w:hAnsi="Times New Roman" w:cs="Times New Roman"/>
          <w:b/>
          <w:sz w:val="24"/>
          <w:szCs w:val="24"/>
        </w:rPr>
        <w:tab/>
      </w:r>
      <w:r w:rsidR="005E5255">
        <w:rPr>
          <w:rFonts w:ascii="Times New Roman" w:hAnsi="Times New Roman" w:cs="Times New Roman"/>
          <w:b/>
          <w:sz w:val="24"/>
          <w:szCs w:val="24"/>
        </w:rPr>
        <w:t>CONSERVATION DECOUPLING PROPOSALS</w:t>
      </w:r>
    </w:p>
    <w:p w:rsidR="004D6C3F"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420D11" w:rsidRPr="00FA02D3">
        <w:rPr>
          <w:rFonts w:ascii="Times New Roman" w:hAnsi="Times New Roman"/>
          <w:sz w:val="24"/>
          <w:szCs w:val="24"/>
        </w:rPr>
        <w:t>The Decoupling Policy Statement addressed three</w:t>
      </w:r>
      <w:r w:rsidR="00EB44E1" w:rsidRPr="00FA02D3">
        <w:rPr>
          <w:rFonts w:ascii="Times New Roman" w:hAnsi="Times New Roman"/>
          <w:sz w:val="24"/>
          <w:szCs w:val="24"/>
        </w:rPr>
        <w:t xml:space="preserve"> specific mechanisms to encourage</w:t>
      </w:r>
      <w:r w:rsidR="00420D11" w:rsidRPr="00FA02D3">
        <w:rPr>
          <w:rFonts w:ascii="Times New Roman" w:hAnsi="Times New Roman"/>
          <w:sz w:val="24"/>
          <w:szCs w:val="24"/>
        </w:rPr>
        <w:t xml:space="preserve"> conservation:  limited decoupling for gas utilit</w:t>
      </w:r>
      <w:r w:rsidR="00EC0C76" w:rsidRPr="00FA02D3">
        <w:rPr>
          <w:rFonts w:ascii="Times New Roman" w:hAnsi="Times New Roman"/>
          <w:sz w:val="24"/>
          <w:szCs w:val="24"/>
        </w:rPr>
        <w:t>ies only, full decoupling for gas or</w:t>
      </w:r>
      <w:r w:rsidR="00420D11" w:rsidRPr="00FA02D3">
        <w:rPr>
          <w:rFonts w:ascii="Times New Roman" w:hAnsi="Times New Roman"/>
          <w:sz w:val="24"/>
          <w:szCs w:val="24"/>
        </w:rPr>
        <w:t xml:space="preserve"> electric utilities, and direct conservation incentives.  </w:t>
      </w:r>
      <w:r w:rsidR="00AA45FF" w:rsidRPr="00FA02D3">
        <w:rPr>
          <w:rFonts w:ascii="Times New Roman" w:hAnsi="Times New Roman"/>
          <w:sz w:val="24"/>
          <w:szCs w:val="24"/>
        </w:rPr>
        <w:t>F</w:t>
      </w:r>
      <w:r w:rsidR="00420D11" w:rsidRPr="00FA02D3">
        <w:rPr>
          <w:rFonts w:ascii="Times New Roman" w:hAnsi="Times New Roman"/>
          <w:sz w:val="24"/>
          <w:szCs w:val="24"/>
        </w:rPr>
        <w:t>or each mechanism, the Commission listed a combination of required elements and criteria for ap</w:t>
      </w:r>
      <w:r w:rsidR="00EB44E1" w:rsidRPr="00FA02D3">
        <w:rPr>
          <w:rFonts w:ascii="Times New Roman" w:hAnsi="Times New Roman"/>
          <w:sz w:val="24"/>
          <w:szCs w:val="24"/>
        </w:rPr>
        <w:t>p</w:t>
      </w:r>
      <w:r w:rsidR="004D6C3F" w:rsidRPr="00FA02D3">
        <w:rPr>
          <w:rFonts w:ascii="Times New Roman" w:hAnsi="Times New Roman"/>
          <w:sz w:val="24"/>
          <w:szCs w:val="24"/>
        </w:rPr>
        <w:t>roval</w:t>
      </w:r>
      <w:r w:rsidR="00420D11" w:rsidRPr="00FA02D3">
        <w:rPr>
          <w:rFonts w:ascii="Times New Roman" w:hAnsi="Times New Roman"/>
          <w:sz w:val="24"/>
          <w:szCs w:val="24"/>
        </w:rPr>
        <w:t>.</w:t>
      </w:r>
      <w:r w:rsidR="00420D11" w:rsidRPr="004D6C3F">
        <w:rPr>
          <w:rStyle w:val="FootnoteReference"/>
          <w:rFonts w:ascii="Times New Roman" w:hAnsi="Times New Roman"/>
          <w:sz w:val="24"/>
          <w:szCs w:val="24"/>
        </w:rPr>
        <w:footnoteReference w:id="327"/>
      </w:r>
      <w:r w:rsidR="00420D11" w:rsidRPr="00FA02D3">
        <w:rPr>
          <w:rFonts w:ascii="Times New Roman" w:hAnsi="Times New Roman"/>
          <w:sz w:val="24"/>
          <w:szCs w:val="24"/>
        </w:rPr>
        <w:t xml:space="preserve">  </w:t>
      </w:r>
    </w:p>
    <w:p w:rsidR="00DF0104"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AA45FF" w:rsidRPr="00FA02D3">
        <w:rPr>
          <w:rFonts w:ascii="Times New Roman" w:hAnsi="Times New Roman"/>
          <w:sz w:val="24"/>
          <w:szCs w:val="24"/>
        </w:rPr>
        <w:t xml:space="preserve">While the Decoupling Statement is advisory only, it does </w:t>
      </w:r>
      <w:r w:rsidR="00DF0104" w:rsidRPr="00FA02D3">
        <w:rPr>
          <w:rFonts w:ascii="Times New Roman" w:hAnsi="Times New Roman"/>
          <w:sz w:val="24"/>
          <w:szCs w:val="24"/>
        </w:rPr>
        <w:t>lay out</w:t>
      </w:r>
      <w:r w:rsidR="00AA45FF" w:rsidRPr="00FA02D3">
        <w:rPr>
          <w:rFonts w:ascii="Times New Roman" w:hAnsi="Times New Roman"/>
          <w:sz w:val="24"/>
          <w:szCs w:val="24"/>
        </w:rPr>
        <w:t xml:space="preserve"> the Commission’s current opinion, approach and likely course of action.</w:t>
      </w:r>
      <w:r w:rsidR="00AA45FF" w:rsidRPr="004D6C3F">
        <w:rPr>
          <w:rStyle w:val="FootnoteReference"/>
          <w:rFonts w:ascii="Times New Roman" w:hAnsi="Times New Roman"/>
          <w:sz w:val="24"/>
          <w:szCs w:val="24"/>
        </w:rPr>
        <w:footnoteReference w:id="328"/>
      </w:r>
      <w:r w:rsidR="00AA45FF" w:rsidRPr="00FA02D3">
        <w:rPr>
          <w:rFonts w:ascii="Times New Roman" w:hAnsi="Times New Roman"/>
          <w:sz w:val="24"/>
          <w:szCs w:val="24"/>
        </w:rPr>
        <w:t xml:space="preserve">  </w:t>
      </w:r>
      <w:r w:rsidR="00EB44E1" w:rsidRPr="00FA02D3">
        <w:rPr>
          <w:rFonts w:ascii="Times New Roman" w:hAnsi="Times New Roman"/>
          <w:sz w:val="24"/>
          <w:szCs w:val="24"/>
        </w:rPr>
        <w:t>Thus</w:t>
      </w:r>
      <w:r w:rsidR="00DF2AB6" w:rsidRPr="00FA02D3">
        <w:rPr>
          <w:rFonts w:ascii="Times New Roman" w:hAnsi="Times New Roman"/>
          <w:sz w:val="24"/>
          <w:szCs w:val="24"/>
        </w:rPr>
        <w:t>,</w:t>
      </w:r>
      <w:r w:rsidR="00EB44E1" w:rsidRPr="00FA02D3">
        <w:rPr>
          <w:rFonts w:ascii="Times New Roman" w:hAnsi="Times New Roman"/>
          <w:sz w:val="24"/>
          <w:szCs w:val="24"/>
        </w:rPr>
        <w:t xml:space="preserve"> w</w:t>
      </w:r>
      <w:r w:rsidR="00420D11" w:rsidRPr="00FA02D3">
        <w:rPr>
          <w:rFonts w:ascii="Times New Roman" w:hAnsi="Times New Roman"/>
          <w:sz w:val="24"/>
          <w:szCs w:val="24"/>
        </w:rPr>
        <w:t xml:space="preserve">hether </w:t>
      </w:r>
      <w:r w:rsidR="00EB44E1" w:rsidRPr="00FA02D3">
        <w:rPr>
          <w:rFonts w:ascii="Times New Roman" w:hAnsi="Times New Roman"/>
          <w:sz w:val="24"/>
          <w:szCs w:val="24"/>
        </w:rPr>
        <w:t xml:space="preserve">a proposal falls </w:t>
      </w:r>
      <w:r w:rsidR="00420D11" w:rsidRPr="00FA02D3">
        <w:rPr>
          <w:rFonts w:ascii="Times New Roman" w:hAnsi="Times New Roman"/>
          <w:sz w:val="24"/>
          <w:szCs w:val="24"/>
        </w:rPr>
        <w:t xml:space="preserve">under only one of the three mechanisms, or shares aspects of </w:t>
      </w:r>
      <w:r w:rsidR="008D399F" w:rsidRPr="00FA02D3">
        <w:rPr>
          <w:rFonts w:ascii="Times New Roman" w:hAnsi="Times New Roman"/>
          <w:sz w:val="24"/>
          <w:szCs w:val="24"/>
        </w:rPr>
        <w:t>some</w:t>
      </w:r>
      <w:r w:rsidR="004D6C3F" w:rsidRPr="00FA02D3">
        <w:rPr>
          <w:rFonts w:ascii="Times New Roman" w:hAnsi="Times New Roman"/>
          <w:sz w:val="24"/>
          <w:szCs w:val="24"/>
        </w:rPr>
        <w:t xml:space="preserve">, these elements and </w:t>
      </w:r>
      <w:r w:rsidR="00420D11" w:rsidRPr="00FA02D3">
        <w:rPr>
          <w:rFonts w:ascii="Times New Roman" w:hAnsi="Times New Roman"/>
          <w:sz w:val="24"/>
          <w:szCs w:val="24"/>
        </w:rPr>
        <w:t>criteria</w:t>
      </w:r>
      <w:r w:rsidR="004D6C3F" w:rsidRPr="00FA02D3">
        <w:rPr>
          <w:rFonts w:ascii="Times New Roman" w:hAnsi="Times New Roman"/>
          <w:sz w:val="24"/>
          <w:szCs w:val="24"/>
        </w:rPr>
        <w:t xml:space="preserve"> </w:t>
      </w:r>
      <w:r w:rsidR="00EB44E1" w:rsidRPr="00FA02D3">
        <w:rPr>
          <w:rFonts w:ascii="Times New Roman" w:hAnsi="Times New Roman"/>
          <w:sz w:val="24"/>
          <w:szCs w:val="24"/>
        </w:rPr>
        <w:t>should be addressed</w:t>
      </w:r>
      <w:r w:rsidR="00DF2AB6" w:rsidRPr="00FA02D3">
        <w:rPr>
          <w:rFonts w:ascii="Times New Roman" w:hAnsi="Times New Roman"/>
          <w:sz w:val="24"/>
          <w:szCs w:val="24"/>
        </w:rPr>
        <w:t xml:space="preserve"> by any party advocate</w:t>
      </w:r>
      <w:r w:rsidR="005E630C">
        <w:rPr>
          <w:rFonts w:ascii="Times New Roman" w:hAnsi="Times New Roman"/>
          <w:sz w:val="24"/>
          <w:szCs w:val="24"/>
        </w:rPr>
        <w:t>.  PSE</w:t>
      </w:r>
      <w:r w:rsidR="00AA45FF" w:rsidRPr="00FA02D3">
        <w:rPr>
          <w:rFonts w:ascii="Times New Roman" w:hAnsi="Times New Roman"/>
          <w:sz w:val="24"/>
          <w:szCs w:val="24"/>
        </w:rPr>
        <w:t>’s Conservation Savings Adjustment (“CSA”)</w:t>
      </w:r>
      <w:r w:rsidR="00420D11" w:rsidRPr="00FA02D3">
        <w:rPr>
          <w:rFonts w:ascii="Times New Roman" w:hAnsi="Times New Roman"/>
          <w:sz w:val="24"/>
          <w:szCs w:val="24"/>
        </w:rPr>
        <w:t xml:space="preserve"> an</w:t>
      </w:r>
      <w:r w:rsidR="00AC0B80" w:rsidRPr="00FA02D3">
        <w:rPr>
          <w:rFonts w:ascii="Times New Roman" w:hAnsi="Times New Roman"/>
          <w:sz w:val="24"/>
          <w:szCs w:val="24"/>
        </w:rPr>
        <w:t xml:space="preserve">d </w:t>
      </w:r>
      <w:r w:rsidR="00AA45FF" w:rsidRPr="00FA02D3">
        <w:rPr>
          <w:rFonts w:ascii="Times New Roman" w:hAnsi="Times New Roman"/>
          <w:sz w:val="24"/>
          <w:szCs w:val="24"/>
        </w:rPr>
        <w:t xml:space="preserve">the </w:t>
      </w:r>
      <w:r w:rsidR="00AC0B80" w:rsidRPr="00FA02D3">
        <w:rPr>
          <w:rFonts w:ascii="Times New Roman" w:hAnsi="Times New Roman"/>
          <w:sz w:val="24"/>
          <w:szCs w:val="24"/>
        </w:rPr>
        <w:t>NW</w:t>
      </w:r>
      <w:r w:rsidR="00AA45FF" w:rsidRPr="00FA02D3">
        <w:rPr>
          <w:rFonts w:ascii="Times New Roman" w:hAnsi="Times New Roman"/>
          <w:sz w:val="24"/>
          <w:szCs w:val="24"/>
        </w:rPr>
        <w:t xml:space="preserve"> </w:t>
      </w:r>
      <w:r w:rsidR="00AC0B80" w:rsidRPr="00FA02D3">
        <w:rPr>
          <w:rFonts w:ascii="Times New Roman" w:hAnsi="Times New Roman"/>
          <w:sz w:val="24"/>
          <w:szCs w:val="24"/>
        </w:rPr>
        <w:t>E</w:t>
      </w:r>
      <w:r w:rsidR="00AA45FF" w:rsidRPr="00FA02D3">
        <w:rPr>
          <w:rFonts w:ascii="Times New Roman" w:hAnsi="Times New Roman"/>
          <w:sz w:val="24"/>
          <w:szCs w:val="24"/>
        </w:rPr>
        <w:t xml:space="preserve">nergy </w:t>
      </w:r>
      <w:r w:rsidR="00AC0B80" w:rsidRPr="00FA02D3">
        <w:rPr>
          <w:rFonts w:ascii="Times New Roman" w:hAnsi="Times New Roman"/>
          <w:sz w:val="24"/>
          <w:szCs w:val="24"/>
        </w:rPr>
        <w:t>C</w:t>
      </w:r>
      <w:r w:rsidR="00AA45FF" w:rsidRPr="00FA02D3">
        <w:rPr>
          <w:rFonts w:ascii="Times New Roman" w:hAnsi="Times New Roman"/>
          <w:sz w:val="24"/>
          <w:szCs w:val="24"/>
        </w:rPr>
        <w:t>oalition</w:t>
      </w:r>
      <w:r w:rsidR="00AC0B80" w:rsidRPr="00FA02D3">
        <w:rPr>
          <w:rFonts w:ascii="Times New Roman" w:hAnsi="Times New Roman"/>
          <w:sz w:val="24"/>
          <w:szCs w:val="24"/>
        </w:rPr>
        <w:t xml:space="preserve">’s </w:t>
      </w:r>
      <w:r w:rsidR="00AA45FF" w:rsidRPr="00FA02D3">
        <w:rPr>
          <w:rFonts w:ascii="Times New Roman" w:hAnsi="Times New Roman"/>
          <w:sz w:val="24"/>
          <w:szCs w:val="24"/>
        </w:rPr>
        <w:t>(“NWEC”) full decoupling proposal</w:t>
      </w:r>
      <w:r w:rsidR="00EB44E1" w:rsidRPr="00FA02D3">
        <w:rPr>
          <w:rFonts w:ascii="Times New Roman" w:hAnsi="Times New Roman"/>
          <w:sz w:val="24"/>
          <w:szCs w:val="24"/>
        </w:rPr>
        <w:t xml:space="preserve"> do</w:t>
      </w:r>
      <w:r w:rsidR="00420D11" w:rsidRPr="00FA02D3">
        <w:rPr>
          <w:rFonts w:ascii="Times New Roman" w:hAnsi="Times New Roman"/>
          <w:sz w:val="24"/>
          <w:szCs w:val="24"/>
        </w:rPr>
        <w:t xml:space="preserve"> not </w:t>
      </w:r>
      <w:r w:rsidR="00DF2AB6" w:rsidRPr="00FA02D3">
        <w:rPr>
          <w:rFonts w:ascii="Times New Roman" w:hAnsi="Times New Roman"/>
          <w:sz w:val="24"/>
          <w:szCs w:val="24"/>
        </w:rPr>
        <w:t>take on that responsibility</w:t>
      </w:r>
      <w:r w:rsidR="00420D11" w:rsidRPr="00FA02D3">
        <w:rPr>
          <w:rFonts w:ascii="Times New Roman" w:hAnsi="Times New Roman"/>
          <w:sz w:val="24"/>
          <w:szCs w:val="24"/>
        </w:rPr>
        <w:t>.</w:t>
      </w:r>
      <w:r w:rsidR="00EB44E1" w:rsidRPr="004D6C3F">
        <w:rPr>
          <w:rStyle w:val="FootnoteReference"/>
          <w:rFonts w:ascii="Times New Roman" w:hAnsi="Times New Roman"/>
          <w:sz w:val="24"/>
          <w:szCs w:val="24"/>
        </w:rPr>
        <w:footnoteReference w:id="329"/>
      </w:r>
      <w:r w:rsidR="00420D11" w:rsidRPr="00FA02D3">
        <w:rPr>
          <w:rFonts w:ascii="Times New Roman" w:hAnsi="Times New Roman"/>
          <w:sz w:val="24"/>
          <w:szCs w:val="24"/>
        </w:rPr>
        <w:t xml:space="preserve"> </w:t>
      </w:r>
      <w:r w:rsidR="00DF0104" w:rsidRPr="00FA02D3">
        <w:rPr>
          <w:rFonts w:ascii="Times New Roman" w:hAnsi="Times New Roman"/>
          <w:sz w:val="24"/>
          <w:szCs w:val="24"/>
        </w:rPr>
        <w:t xml:space="preserve"> </w:t>
      </w:r>
      <w:r w:rsidR="00EB44E1" w:rsidRPr="00FA02D3">
        <w:rPr>
          <w:rFonts w:ascii="Times New Roman" w:hAnsi="Times New Roman"/>
          <w:sz w:val="24"/>
          <w:szCs w:val="24"/>
        </w:rPr>
        <w:t xml:space="preserve">Therefore, they should </w:t>
      </w:r>
      <w:r w:rsidR="00DF0104" w:rsidRPr="00FA02D3">
        <w:rPr>
          <w:rFonts w:ascii="Times New Roman" w:hAnsi="Times New Roman"/>
          <w:sz w:val="24"/>
          <w:szCs w:val="24"/>
        </w:rPr>
        <w:t xml:space="preserve">each </w:t>
      </w:r>
      <w:r w:rsidR="00EB44E1" w:rsidRPr="00FA02D3">
        <w:rPr>
          <w:rFonts w:ascii="Times New Roman" w:hAnsi="Times New Roman"/>
          <w:sz w:val="24"/>
          <w:szCs w:val="24"/>
        </w:rPr>
        <w:t>be rejected by the Commission.</w:t>
      </w:r>
      <w:r w:rsidR="00DF0104" w:rsidRPr="00FA02D3">
        <w:rPr>
          <w:rFonts w:ascii="Times New Roman" w:hAnsi="Times New Roman"/>
          <w:sz w:val="24"/>
          <w:szCs w:val="24"/>
        </w:rPr>
        <w:t xml:space="preserve"> </w:t>
      </w:r>
      <w:r w:rsidR="005E630C">
        <w:rPr>
          <w:rFonts w:ascii="Times New Roman" w:hAnsi="Times New Roman"/>
          <w:sz w:val="24"/>
          <w:szCs w:val="24"/>
        </w:rPr>
        <w:t xml:space="preserve"> Both proposals should be rejecte</w:t>
      </w:r>
      <w:r w:rsidR="004D779E">
        <w:rPr>
          <w:rFonts w:ascii="Times New Roman" w:hAnsi="Times New Roman"/>
          <w:sz w:val="24"/>
          <w:szCs w:val="24"/>
        </w:rPr>
        <w:t xml:space="preserve">d also because they </w:t>
      </w:r>
      <w:r w:rsidR="00AB5D17">
        <w:rPr>
          <w:rFonts w:ascii="Times New Roman" w:hAnsi="Times New Roman"/>
          <w:sz w:val="24"/>
          <w:szCs w:val="24"/>
        </w:rPr>
        <w:t xml:space="preserve">are </w:t>
      </w:r>
      <w:r w:rsidR="005E630C">
        <w:rPr>
          <w:rFonts w:ascii="Times New Roman" w:hAnsi="Times New Roman"/>
          <w:sz w:val="24"/>
          <w:szCs w:val="24"/>
        </w:rPr>
        <w:t>unnecessar</w:t>
      </w:r>
      <w:r w:rsidR="004D779E">
        <w:rPr>
          <w:rFonts w:ascii="Times New Roman" w:hAnsi="Times New Roman"/>
          <w:sz w:val="24"/>
          <w:szCs w:val="24"/>
        </w:rPr>
        <w:t xml:space="preserve">ily complex </w:t>
      </w:r>
      <w:r w:rsidR="005E630C">
        <w:rPr>
          <w:rFonts w:ascii="Times New Roman" w:hAnsi="Times New Roman"/>
          <w:sz w:val="24"/>
          <w:szCs w:val="24"/>
        </w:rPr>
        <w:t>responses to load reduction caused by conservation.</w:t>
      </w:r>
    </w:p>
    <w:p w:rsidR="00DF0104" w:rsidRDefault="00FA02D3" w:rsidP="00FA02D3">
      <w:pPr>
        <w:pStyle w:val="BodyTextIndent"/>
        <w:numPr>
          <w:ilvl w:val="0"/>
          <w:numId w:val="1"/>
        </w:numPr>
      </w:pPr>
      <w:r>
        <w:tab/>
      </w:r>
      <w:r w:rsidR="00DF0104">
        <w:t>Moreover, the Company agrees that the CSA is a form of limited decoupling.</w:t>
      </w:r>
      <w:r w:rsidR="00DF0104">
        <w:rPr>
          <w:rStyle w:val="FootnoteReference"/>
        </w:rPr>
        <w:footnoteReference w:id="330"/>
      </w:r>
      <w:r w:rsidR="00DF0104">
        <w:t xml:space="preserve">  Therefore, at the outset</w:t>
      </w:r>
      <w:r w:rsidR="004D6C3F">
        <w:t>,</w:t>
      </w:r>
      <w:r w:rsidR="00884809">
        <w:t xml:space="preserve"> the CSA for </w:t>
      </w:r>
      <w:r w:rsidR="00EA49B0">
        <w:t xml:space="preserve">the Company’s </w:t>
      </w:r>
      <w:r w:rsidR="00DF0104">
        <w:t>electric operations should be rejected because it violates the Decoupling Policy Statement’s restr</w:t>
      </w:r>
      <w:r w:rsidR="00B45A4F">
        <w:t>iction of limited decoupling to</w:t>
      </w:r>
      <w:r w:rsidR="00DF0104">
        <w:t xml:space="preserve"> gas </w:t>
      </w:r>
      <w:r w:rsidR="00DF0104">
        <w:lastRenderedPageBreak/>
        <w:t>utilities only</w:t>
      </w:r>
      <w:r w:rsidR="00DC0642">
        <w:t xml:space="preserve">.  </w:t>
      </w:r>
      <w:r w:rsidR="00DF0104">
        <w:t>PSE di</w:t>
      </w:r>
      <w:r w:rsidR="004D6C3F">
        <w:t>d not explain why such restriction should</w:t>
      </w:r>
      <w:r w:rsidR="00DF0104">
        <w:t xml:space="preserve"> be </w:t>
      </w:r>
      <w:r w:rsidR="004D6C3F">
        <w:t>lifted</w:t>
      </w:r>
      <w:r w:rsidR="00DF0104">
        <w:t>.</w:t>
      </w:r>
      <w:r w:rsidR="00DF0104">
        <w:rPr>
          <w:rStyle w:val="FootnoteReference"/>
        </w:rPr>
        <w:footnoteReference w:id="331"/>
      </w:r>
      <w:r w:rsidR="00DF0104">
        <w:t xml:space="preserve">  The CSA should be rejected also because there are significant deficiencies in mechanism itself.</w:t>
      </w:r>
      <w:r w:rsidR="00EF3772">
        <w:t xml:space="preserve">  </w:t>
      </w:r>
    </w:p>
    <w:p w:rsidR="00EF3772" w:rsidRDefault="00EF3772" w:rsidP="00EF3772">
      <w:pPr>
        <w:pStyle w:val="BodyTextIndent"/>
        <w:ind w:left="0" w:firstLine="0"/>
        <w:rPr>
          <w:b/>
        </w:rPr>
      </w:pPr>
      <w:r>
        <w:rPr>
          <w:b/>
        </w:rPr>
        <w:t>A.</w:t>
      </w:r>
      <w:r>
        <w:rPr>
          <w:b/>
        </w:rPr>
        <w:tab/>
        <w:t>Description of the Company and NWEC Proposals</w:t>
      </w:r>
    </w:p>
    <w:p w:rsidR="008651A7" w:rsidRPr="00EF3772" w:rsidRDefault="008651A7" w:rsidP="008651A7">
      <w:pPr>
        <w:pStyle w:val="BodyTextIndent"/>
        <w:numPr>
          <w:ilvl w:val="0"/>
          <w:numId w:val="1"/>
        </w:numPr>
      </w:pPr>
      <w:r w:rsidRPr="00EF3772">
        <w:tab/>
        <w:t xml:space="preserve">The Company proposes the CSA </w:t>
      </w:r>
      <w:r w:rsidR="004A1D00" w:rsidRPr="00EF3772">
        <w:t xml:space="preserve">to recover </w:t>
      </w:r>
      <w:r w:rsidRPr="00EF3772">
        <w:t>revenue</w:t>
      </w:r>
      <w:r w:rsidR="00B20D44" w:rsidRPr="00EF3772">
        <w:t>s</w:t>
      </w:r>
      <w:r w:rsidRPr="00EF3772">
        <w:t xml:space="preserve"> “lost” </w:t>
      </w:r>
      <w:r w:rsidR="00EA49B0" w:rsidRPr="00EF3772">
        <w:t xml:space="preserve">from </w:t>
      </w:r>
      <w:r w:rsidR="004A1D00" w:rsidRPr="00EF3772">
        <w:t xml:space="preserve">customers conserving electricity or gas under </w:t>
      </w:r>
      <w:r w:rsidR="00B20D44" w:rsidRPr="00EF3772">
        <w:t>Company-sponsored conservation programs</w:t>
      </w:r>
      <w:r w:rsidRPr="00EF3772">
        <w:t xml:space="preserve">.  </w:t>
      </w:r>
      <w:r w:rsidR="004A1D00" w:rsidRPr="00EF3772">
        <w:t xml:space="preserve">It is a form of “limited decoupling” that establishes </w:t>
      </w:r>
      <w:r w:rsidRPr="00EF3772">
        <w:t>an annual</w:t>
      </w:r>
      <w:r w:rsidR="00EA49B0" w:rsidRPr="00EF3772">
        <w:t xml:space="preserve"> </w:t>
      </w:r>
      <w:r w:rsidRPr="00EF3772">
        <w:t xml:space="preserve">tariff rider for </w:t>
      </w:r>
      <w:r w:rsidR="00EA49B0" w:rsidRPr="00EF3772">
        <w:t>both electric and gas service</w:t>
      </w:r>
      <w:r w:rsidRPr="00EF3772">
        <w:t>.</w:t>
      </w:r>
      <w:r>
        <w:rPr>
          <w:rStyle w:val="FootnoteReference"/>
        </w:rPr>
        <w:footnoteReference w:id="332"/>
      </w:r>
      <w:r w:rsidRPr="00EF3772">
        <w:t xml:space="preserve">  The annual adjustment is calculated by multiplying a fixed-cost-recovery rate from the most recent general rate case test period by the energy savings estimates from PSE’s conservation programs.</w:t>
      </w:r>
      <w:r>
        <w:rPr>
          <w:rStyle w:val="FootnoteReference"/>
        </w:rPr>
        <w:footnoteReference w:id="333"/>
      </w:r>
      <w:r w:rsidRPr="00EF3772">
        <w:t xml:space="preserve">  </w:t>
      </w:r>
    </w:p>
    <w:p w:rsidR="008651A7" w:rsidRPr="008651A7" w:rsidRDefault="00EF3772" w:rsidP="00EF3772">
      <w:pPr>
        <w:pStyle w:val="FootnoteText"/>
        <w:numPr>
          <w:ilvl w:val="0"/>
          <w:numId w:val="1"/>
        </w:numPr>
        <w:spacing w:line="480" w:lineRule="auto"/>
      </w:pPr>
      <w:r>
        <w:rPr>
          <w:sz w:val="24"/>
          <w:szCs w:val="24"/>
        </w:rPr>
        <w:tab/>
      </w:r>
      <w:r w:rsidR="008651A7">
        <w:rPr>
          <w:sz w:val="24"/>
          <w:szCs w:val="24"/>
        </w:rPr>
        <w:t xml:space="preserve">The NWEC </w:t>
      </w:r>
      <w:r w:rsidR="008651A7" w:rsidRPr="00FF18BC">
        <w:rPr>
          <w:sz w:val="24"/>
          <w:szCs w:val="24"/>
        </w:rPr>
        <w:t xml:space="preserve">proposes a full decoupling mechanism in which PSE’s electric revenues would be based upon a separate revenue-per-customer (“RPC”) value for residential customers and a combined group of </w:t>
      </w:r>
      <w:r w:rsidR="00E969C8">
        <w:rPr>
          <w:sz w:val="24"/>
          <w:szCs w:val="24"/>
        </w:rPr>
        <w:t xml:space="preserve">certain </w:t>
      </w:r>
      <w:r w:rsidR="008651A7" w:rsidRPr="00FF18BC">
        <w:rPr>
          <w:sz w:val="24"/>
          <w:szCs w:val="24"/>
        </w:rPr>
        <w:t xml:space="preserve">commercial customers </w:t>
      </w:r>
      <w:r w:rsidR="008651A7">
        <w:rPr>
          <w:sz w:val="24"/>
          <w:szCs w:val="24"/>
        </w:rPr>
        <w:t>(</w:t>
      </w:r>
      <w:r w:rsidR="008651A7" w:rsidRPr="00FF18BC">
        <w:rPr>
          <w:sz w:val="24"/>
          <w:szCs w:val="24"/>
        </w:rPr>
        <w:t>Schedules 24, 25, 26, 29, 31, 35, 43, 57</w:t>
      </w:r>
      <w:r w:rsidR="008651A7">
        <w:rPr>
          <w:sz w:val="24"/>
          <w:szCs w:val="24"/>
        </w:rPr>
        <w:t>).</w:t>
      </w:r>
      <w:r w:rsidR="00B20D44">
        <w:rPr>
          <w:rStyle w:val="FootnoteReference"/>
          <w:sz w:val="24"/>
          <w:szCs w:val="24"/>
        </w:rPr>
        <w:footnoteReference w:id="334"/>
      </w:r>
      <w:r w:rsidR="008651A7" w:rsidRPr="00FF18BC">
        <w:rPr>
          <w:sz w:val="24"/>
          <w:szCs w:val="24"/>
        </w:rPr>
        <w:t xml:space="preserve">  PSE would</w:t>
      </w:r>
      <w:r w:rsidR="008651A7">
        <w:rPr>
          <w:sz w:val="24"/>
          <w:szCs w:val="24"/>
        </w:rPr>
        <w:t xml:space="preserve"> </w:t>
      </w:r>
      <w:r w:rsidR="00B20D44">
        <w:rPr>
          <w:sz w:val="24"/>
          <w:szCs w:val="24"/>
        </w:rPr>
        <w:t xml:space="preserve">be guaranteed </w:t>
      </w:r>
      <w:r w:rsidR="008651A7">
        <w:rPr>
          <w:sz w:val="24"/>
          <w:szCs w:val="24"/>
        </w:rPr>
        <w:t>recover</w:t>
      </w:r>
      <w:r w:rsidR="00B20D44">
        <w:rPr>
          <w:sz w:val="24"/>
          <w:szCs w:val="24"/>
        </w:rPr>
        <w:t>y of</w:t>
      </w:r>
      <w:r w:rsidR="008651A7">
        <w:rPr>
          <w:sz w:val="24"/>
          <w:szCs w:val="24"/>
        </w:rPr>
        <w:t xml:space="preserve"> the</w:t>
      </w:r>
      <w:r w:rsidR="008651A7" w:rsidRPr="00C57EE3">
        <w:rPr>
          <w:sz w:val="24"/>
          <w:szCs w:val="24"/>
        </w:rPr>
        <w:t xml:space="preserve"> RPC through a deferred accou</w:t>
      </w:r>
      <w:r w:rsidR="008651A7">
        <w:rPr>
          <w:sz w:val="24"/>
          <w:szCs w:val="24"/>
        </w:rPr>
        <w:t>nting and true-up process.  T</w:t>
      </w:r>
      <w:r w:rsidR="008651A7" w:rsidRPr="00C57EE3">
        <w:rPr>
          <w:sz w:val="24"/>
          <w:szCs w:val="24"/>
        </w:rPr>
        <w:t xml:space="preserve">rue-ups of </w:t>
      </w:r>
      <w:r w:rsidR="008651A7">
        <w:rPr>
          <w:sz w:val="24"/>
          <w:szCs w:val="24"/>
        </w:rPr>
        <w:t xml:space="preserve">actual revenue to the RPC </w:t>
      </w:r>
      <w:r w:rsidR="008651A7" w:rsidRPr="00C57EE3">
        <w:rPr>
          <w:sz w:val="24"/>
          <w:szCs w:val="24"/>
        </w:rPr>
        <w:t xml:space="preserve">would occur annually, subject to a </w:t>
      </w:r>
      <w:r w:rsidR="00B20D44" w:rsidRPr="00C57EE3">
        <w:rPr>
          <w:sz w:val="24"/>
          <w:szCs w:val="24"/>
        </w:rPr>
        <w:t xml:space="preserve">three percent </w:t>
      </w:r>
      <w:r w:rsidR="008651A7" w:rsidRPr="00C57EE3">
        <w:rPr>
          <w:sz w:val="24"/>
          <w:szCs w:val="24"/>
        </w:rPr>
        <w:t>rate</w:t>
      </w:r>
      <w:r w:rsidR="008651A7">
        <w:rPr>
          <w:sz w:val="24"/>
          <w:szCs w:val="24"/>
        </w:rPr>
        <w:t xml:space="preserve"> increase cap.  Any amount above the cap would be deferred and </w:t>
      </w:r>
      <w:r w:rsidR="008651A7" w:rsidRPr="00C57EE3">
        <w:rPr>
          <w:sz w:val="24"/>
          <w:szCs w:val="24"/>
        </w:rPr>
        <w:t>recover</w:t>
      </w:r>
      <w:r w:rsidR="008651A7">
        <w:rPr>
          <w:sz w:val="24"/>
          <w:szCs w:val="24"/>
        </w:rPr>
        <w:t>ed</w:t>
      </w:r>
      <w:r w:rsidR="008651A7" w:rsidRPr="00C57EE3">
        <w:rPr>
          <w:sz w:val="24"/>
          <w:szCs w:val="24"/>
        </w:rPr>
        <w:t xml:space="preserve"> it in later annual rate changes.  </w:t>
      </w:r>
      <w:r w:rsidR="008651A7">
        <w:rPr>
          <w:sz w:val="24"/>
          <w:szCs w:val="24"/>
        </w:rPr>
        <w:t>T</w:t>
      </w:r>
      <w:r w:rsidR="008651A7" w:rsidRPr="00C57EE3">
        <w:rPr>
          <w:sz w:val="24"/>
          <w:szCs w:val="24"/>
        </w:rPr>
        <w:t xml:space="preserve">he mechanism </w:t>
      </w:r>
      <w:r w:rsidR="008651A7">
        <w:rPr>
          <w:sz w:val="24"/>
          <w:szCs w:val="24"/>
        </w:rPr>
        <w:t xml:space="preserve">would </w:t>
      </w:r>
      <w:r w:rsidR="008651A7" w:rsidRPr="00C57EE3">
        <w:rPr>
          <w:sz w:val="24"/>
          <w:szCs w:val="24"/>
        </w:rPr>
        <w:t>run for at least five years, subject to a future evaluat</w:t>
      </w:r>
      <w:r w:rsidR="008651A7">
        <w:rPr>
          <w:sz w:val="24"/>
          <w:szCs w:val="24"/>
        </w:rPr>
        <w:t>ion</w:t>
      </w:r>
      <w:r w:rsidR="008651A7" w:rsidRPr="00C57EE3">
        <w:rPr>
          <w:sz w:val="24"/>
          <w:szCs w:val="24"/>
        </w:rPr>
        <w:t xml:space="preserve">.  </w:t>
      </w:r>
    </w:p>
    <w:p w:rsidR="00420D11" w:rsidRDefault="00EA49B0" w:rsidP="007D3D53">
      <w:pPr>
        <w:pStyle w:val="BodyTextIndent"/>
        <w:spacing w:line="240" w:lineRule="auto"/>
        <w:rPr>
          <w:b/>
        </w:rPr>
      </w:pPr>
      <w:r>
        <w:rPr>
          <w:b/>
        </w:rPr>
        <w:t>B</w:t>
      </w:r>
      <w:r w:rsidR="00B45A4F">
        <w:rPr>
          <w:b/>
        </w:rPr>
        <w:t>.</w:t>
      </w:r>
      <w:r w:rsidR="00B45A4F">
        <w:rPr>
          <w:b/>
        </w:rPr>
        <w:tab/>
        <w:t>The Company’s CSA and NWEC’s F</w:t>
      </w:r>
      <w:r w:rsidR="00DF0104" w:rsidRPr="00DF0104">
        <w:rPr>
          <w:b/>
        </w:rPr>
        <w:t>ull Decoupling Mechanism Do Not Comply with the Decoupling Policy Statement</w:t>
      </w:r>
    </w:p>
    <w:p w:rsidR="00DF0104" w:rsidRPr="00DF0104" w:rsidRDefault="00DF0104" w:rsidP="00DF0104">
      <w:pPr>
        <w:pStyle w:val="BodyTextIndent"/>
        <w:spacing w:line="240" w:lineRule="auto"/>
        <w:ind w:left="1440"/>
        <w:rPr>
          <w:b/>
        </w:rPr>
      </w:pPr>
    </w:p>
    <w:p w:rsidR="006E4393" w:rsidRDefault="00DF0104" w:rsidP="007D3D53">
      <w:pPr>
        <w:pStyle w:val="BodyTextIndent"/>
        <w:spacing w:line="240" w:lineRule="auto"/>
        <w:ind w:left="1440"/>
        <w:rPr>
          <w:b/>
        </w:rPr>
      </w:pPr>
      <w:r>
        <w:rPr>
          <w:b/>
        </w:rPr>
        <w:t>1</w:t>
      </w:r>
      <w:r w:rsidR="006E4393">
        <w:rPr>
          <w:b/>
        </w:rPr>
        <w:t>.</w:t>
      </w:r>
      <w:r w:rsidR="006E4393">
        <w:rPr>
          <w:b/>
        </w:rPr>
        <w:tab/>
        <w:t>Neither the Company n</w:t>
      </w:r>
      <w:r w:rsidR="006E4393" w:rsidRPr="006E4393">
        <w:rPr>
          <w:b/>
        </w:rPr>
        <w:t>or NWEC Analyze the Impact of Their Proposals on Rate of Return</w:t>
      </w:r>
    </w:p>
    <w:p w:rsidR="00EC0C76" w:rsidRDefault="00EC0C76" w:rsidP="006E4393">
      <w:pPr>
        <w:pStyle w:val="BodyTextIndent"/>
        <w:spacing w:line="240" w:lineRule="auto"/>
        <w:ind w:left="1440"/>
        <w:rPr>
          <w:b/>
        </w:rPr>
      </w:pPr>
    </w:p>
    <w:p w:rsidR="006E4393" w:rsidRDefault="00FA02D3" w:rsidP="00FA02D3">
      <w:pPr>
        <w:pStyle w:val="BodyTextIndent"/>
        <w:numPr>
          <w:ilvl w:val="0"/>
          <w:numId w:val="1"/>
        </w:numPr>
      </w:pPr>
      <w:r>
        <w:tab/>
      </w:r>
      <w:r w:rsidR="00FA7C4A">
        <w:t xml:space="preserve">The Commission contemplates that full </w:t>
      </w:r>
      <w:r w:rsidR="00656254">
        <w:t xml:space="preserve">or limited </w:t>
      </w:r>
      <w:r w:rsidR="00FA7C4A">
        <w:t>decoupling will reduce a utility’s cost of capital by reducing the risk of volatility of revenue based on customer u</w:t>
      </w:r>
      <w:r w:rsidR="00EA49B0">
        <w:t>sage.  The advocate</w:t>
      </w:r>
      <w:r w:rsidR="008E7E13">
        <w:t xml:space="preserve"> of</w:t>
      </w:r>
      <w:r w:rsidR="00FA7C4A">
        <w:t xml:space="preserve"> </w:t>
      </w:r>
      <w:r w:rsidR="00FA7C4A">
        <w:lastRenderedPageBreak/>
        <w:t xml:space="preserve">full </w:t>
      </w:r>
      <w:r w:rsidR="00656254">
        <w:t xml:space="preserve">or limited </w:t>
      </w:r>
      <w:r w:rsidR="003561AF">
        <w:t xml:space="preserve">decoupling </w:t>
      </w:r>
      <w:r w:rsidR="00EA49B0">
        <w:t xml:space="preserve">must, therefore, </w:t>
      </w:r>
      <w:r w:rsidR="00FA7C4A">
        <w:t>present evidence evaluating the impact on risk to inves</w:t>
      </w:r>
      <w:r w:rsidR="008E7E13">
        <w:t xml:space="preserve">tors and </w:t>
      </w:r>
      <w:r w:rsidR="00656254">
        <w:t>ratepayers</w:t>
      </w:r>
      <w:r w:rsidR="00E969C8">
        <w:t>,</w:t>
      </w:r>
      <w:r w:rsidR="00656254">
        <w:t xml:space="preserve"> and the effect on </w:t>
      </w:r>
      <w:r w:rsidR="008E7E13">
        <w:t>a</w:t>
      </w:r>
      <w:r w:rsidR="00FA7C4A">
        <w:t xml:space="preserve"> company’s return on equity.</w:t>
      </w:r>
      <w:r w:rsidR="00FA7C4A">
        <w:rPr>
          <w:rStyle w:val="FootnoteReference"/>
        </w:rPr>
        <w:footnoteReference w:id="335"/>
      </w:r>
    </w:p>
    <w:p w:rsidR="00AB5D17" w:rsidRDefault="00FA02D3" w:rsidP="00FA02D3">
      <w:pPr>
        <w:pStyle w:val="BodyTextIndent"/>
        <w:numPr>
          <w:ilvl w:val="0"/>
          <w:numId w:val="1"/>
        </w:numPr>
      </w:pPr>
      <w:r>
        <w:tab/>
      </w:r>
      <w:r w:rsidR="00656254">
        <w:t xml:space="preserve">Neither PSE </w:t>
      </w:r>
      <w:r w:rsidR="004D6C3F">
        <w:t>n</w:t>
      </w:r>
      <w:r w:rsidR="00656254">
        <w:t>or NWEC</w:t>
      </w:r>
      <w:r w:rsidR="008E7E13">
        <w:t xml:space="preserve"> complied</w:t>
      </w:r>
      <w:r w:rsidR="00FA7C4A">
        <w:t xml:space="preserve"> with this </w:t>
      </w:r>
      <w:r w:rsidR="00547054">
        <w:t>requirement</w:t>
      </w:r>
      <w:r w:rsidR="00FA7C4A">
        <w:t xml:space="preserve">.  Mr. Cavanagh opined that the impact of NWEC’s </w:t>
      </w:r>
      <w:r w:rsidR="00FA7C4A" w:rsidRPr="00A43B02">
        <w:t>mechanism on</w:t>
      </w:r>
      <w:r w:rsidR="008E7E13">
        <w:t xml:space="preserve"> </w:t>
      </w:r>
      <w:r w:rsidR="009E20C0">
        <w:t xml:space="preserve">the </w:t>
      </w:r>
      <w:r w:rsidR="00FA7C4A">
        <w:t xml:space="preserve">cash flows of PSE is not large </w:t>
      </w:r>
      <w:r w:rsidR="00FA7C4A" w:rsidRPr="00A43B02">
        <w:t>enough to mater</w:t>
      </w:r>
      <w:r w:rsidR="00FF18BC">
        <w:t xml:space="preserve">ially affect </w:t>
      </w:r>
      <w:r w:rsidR="00FA7C4A" w:rsidRPr="00A43B02">
        <w:t>the enterprise from an investor perspective.</w:t>
      </w:r>
      <w:r w:rsidR="00FA7C4A">
        <w:rPr>
          <w:rStyle w:val="FootnoteReference"/>
        </w:rPr>
        <w:footnoteReference w:id="336"/>
      </w:r>
      <w:r w:rsidR="00FA7C4A" w:rsidRPr="00FA7C4A">
        <w:t xml:space="preserve"> </w:t>
      </w:r>
      <w:r w:rsidR="00FA7C4A">
        <w:t xml:space="preserve">  However, he also admitted that “…in the record of this proceeding, there is no actual evidence on the effect on cost of capital for any decoupled utility in the country.”</w:t>
      </w:r>
      <w:r w:rsidR="00FA7C4A">
        <w:rPr>
          <w:rStyle w:val="FootnoteReference"/>
        </w:rPr>
        <w:footnoteReference w:id="337"/>
      </w:r>
    </w:p>
    <w:p w:rsidR="00F746D5" w:rsidRDefault="00FA02D3" w:rsidP="00FA02D3">
      <w:pPr>
        <w:pStyle w:val="BodyTextIndent"/>
        <w:numPr>
          <w:ilvl w:val="0"/>
          <w:numId w:val="1"/>
        </w:numPr>
      </w:pPr>
      <w:r>
        <w:tab/>
      </w:r>
      <w:r w:rsidR="00C25326">
        <w:t xml:space="preserve">PSE stated that </w:t>
      </w:r>
      <w:r w:rsidR="00656254">
        <w:t xml:space="preserve">the CSA will reduce its risk of revenue </w:t>
      </w:r>
      <w:r w:rsidR="00CB0428">
        <w:t>los</w:t>
      </w:r>
      <w:r w:rsidR="004D6C3F">
        <w:t>s</w:t>
      </w:r>
      <w:r w:rsidR="00CB0428">
        <w:t xml:space="preserve"> from conservation.</w:t>
      </w:r>
      <w:r w:rsidR="008E7E89">
        <w:rPr>
          <w:rStyle w:val="FootnoteReference"/>
        </w:rPr>
        <w:footnoteReference w:id="338"/>
      </w:r>
      <w:r w:rsidR="008E7E89">
        <w:t xml:space="preserve">  </w:t>
      </w:r>
      <w:r w:rsidR="00FA7C4A">
        <w:t>Mr. DeBoer admitted</w:t>
      </w:r>
      <w:r w:rsidR="008E7E89">
        <w:t>, however,</w:t>
      </w:r>
      <w:r w:rsidR="00656254">
        <w:t xml:space="preserve"> that PSE has </w:t>
      </w:r>
      <w:r w:rsidR="00FA7C4A">
        <w:t xml:space="preserve">done </w:t>
      </w:r>
      <w:r w:rsidR="00656254">
        <w:t xml:space="preserve">no </w:t>
      </w:r>
      <w:r w:rsidR="00C25326">
        <w:t xml:space="preserve">analysis of </w:t>
      </w:r>
      <w:r w:rsidR="00FA7C4A">
        <w:t>the impact on the Company's cost of capital if the CSA is approved for gas, electric, or both.</w:t>
      </w:r>
      <w:r w:rsidR="00FA7C4A">
        <w:rPr>
          <w:rStyle w:val="FootnoteReference"/>
        </w:rPr>
        <w:footnoteReference w:id="339"/>
      </w:r>
      <w:r w:rsidR="00FA7C4A" w:rsidRPr="00FA7C4A">
        <w:t xml:space="preserve"> </w:t>
      </w:r>
      <w:r w:rsidR="00FA7C4A">
        <w:t xml:space="preserve"> </w:t>
      </w:r>
    </w:p>
    <w:p w:rsidR="00FA7C4A" w:rsidRPr="006E4393" w:rsidRDefault="00FA02D3" w:rsidP="00FA02D3">
      <w:pPr>
        <w:pStyle w:val="BodyTextIndent"/>
        <w:numPr>
          <w:ilvl w:val="0"/>
          <w:numId w:val="1"/>
        </w:numPr>
      </w:pPr>
      <w:r>
        <w:tab/>
      </w:r>
      <w:r w:rsidR="00FA7C4A">
        <w:t xml:space="preserve">Mr. Gorman </w:t>
      </w:r>
      <w:r w:rsidR="00C25326">
        <w:t xml:space="preserve">also </w:t>
      </w:r>
      <w:r w:rsidR="001F1EBB">
        <w:t>supported the principle that decoupling lowers the cost of capita</w:t>
      </w:r>
      <w:r w:rsidR="00C25326">
        <w:t>l.  However,</w:t>
      </w:r>
      <w:r w:rsidR="00F746D5">
        <w:t xml:space="preserve"> his specific proposal to reduce</w:t>
      </w:r>
      <w:r w:rsidR="00FA7C4A">
        <w:t xml:space="preserve"> </w:t>
      </w:r>
      <w:r w:rsidR="00F746D5">
        <w:t xml:space="preserve">return on equity </w:t>
      </w:r>
      <w:r w:rsidR="00FA7C4A">
        <w:t xml:space="preserve">by 20 </w:t>
      </w:r>
      <w:r w:rsidR="00C25326">
        <w:t xml:space="preserve">basis points if </w:t>
      </w:r>
      <w:r w:rsidR="00F746D5">
        <w:t xml:space="preserve">decoupling </w:t>
      </w:r>
      <w:r w:rsidR="00C95D96">
        <w:t>is</w:t>
      </w:r>
      <w:r w:rsidR="00C25326">
        <w:t xml:space="preserve"> approved </w:t>
      </w:r>
      <w:r w:rsidR="00F746D5">
        <w:t xml:space="preserve">was based </w:t>
      </w:r>
      <w:r w:rsidR="00656254">
        <w:t>on</w:t>
      </w:r>
      <w:r w:rsidR="00F746D5">
        <w:t>ly on</w:t>
      </w:r>
      <w:r w:rsidR="00656254">
        <w:t xml:space="preserve"> a “gut feeling</w:t>
      </w:r>
      <w:r w:rsidR="00FA7C4A">
        <w:t>”</w:t>
      </w:r>
      <w:r w:rsidR="00656254">
        <w:t xml:space="preserve"> rather than </w:t>
      </w:r>
      <w:r w:rsidR="00547054">
        <w:t xml:space="preserve">any </w:t>
      </w:r>
      <w:r w:rsidR="00656254">
        <w:t>specific analysis.</w:t>
      </w:r>
      <w:r w:rsidR="00FA7C4A">
        <w:rPr>
          <w:rStyle w:val="FootnoteReference"/>
        </w:rPr>
        <w:footnoteReference w:id="340"/>
      </w:r>
    </w:p>
    <w:p w:rsidR="00C57EE3"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8E7E13" w:rsidRPr="00FA02D3">
        <w:rPr>
          <w:rFonts w:ascii="Times New Roman" w:hAnsi="Times New Roman"/>
          <w:sz w:val="24"/>
          <w:szCs w:val="24"/>
        </w:rPr>
        <w:t xml:space="preserve">In short, </w:t>
      </w:r>
      <w:r w:rsidR="004D6C3F" w:rsidRPr="00FA02D3">
        <w:rPr>
          <w:rFonts w:ascii="Times New Roman" w:hAnsi="Times New Roman"/>
          <w:sz w:val="24"/>
          <w:szCs w:val="24"/>
        </w:rPr>
        <w:t xml:space="preserve">the Commission expects advocates </w:t>
      </w:r>
      <w:r w:rsidR="00C36C9C">
        <w:rPr>
          <w:rFonts w:ascii="Times New Roman" w:hAnsi="Times New Roman"/>
          <w:sz w:val="24"/>
          <w:szCs w:val="24"/>
        </w:rPr>
        <w:t xml:space="preserve">of </w:t>
      </w:r>
      <w:r w:rsidR="00EA49B0" w:rsidRPr="00EA49B0">
        <w:rPr>
          <w:rFonts w:ascii="Times New Roman" w:hAnsi="Times New Roman"/>
          <w:sz w:val="24"/>
          <w:szCs w:val="24"/>
        </w:rPr>
        <w:t>full or limited decoupling</w:t>
      </w:r>
      <w:r w:rsidR="00EA49B0">
        <w:t xml:space="preserve"> </w:t>
      </w:r>
      <w:r w:rsidR="004D6C3F" w:rsidRPr="00FA02D3">
        <w:rPr>
          <w:rFonts w:ascii="Times New Roman" w:hAnsi="Times New Roman"/>
          <w:sz w:val="24"/>
          <w:szCs w:val="24"/>
        </w:rPr>
        <w:t xml:space="preserve">to present evidence </w:t>
      </w:r>
      <w:r w:rsidR="003561AF" w:rsidRPr="00FA02D3">
        <w:rPr>
          <w:rFonts w:ascii="Times New Roman" w:hAnsi="Times New Roman"/>
          <w:sz w:val="24"/>
          <w:szCs w:val="24"/>
        </w:rPr>
        <w:t xml:space="preserve">of cost of capital impacts of </w:t>
      </w:r>
      <w:r w:rsidR="00B45A4F" w:rsidRPr="00FA02D3">
        <w:rPr>
          <w:rFonts w:ascii="Times New Roman" w:hAnsi="Times New Roman"/>
          <w:sz w:val="24"/>
          <w:szCs w:val="24"/>
        </w:rPr>
        <w:t>t</w:t>
      </w:r>
      <w:r w:rsidR="00C25326" w:rsidRPr="00FA02D3">
        <w:rPr>
          <w:rFonts w:ascii="Times New Roman" w:hAnsi="Times New Roman"/>
          <w:sz w:val="24"/>
          <w:szCs w:val="24"/>
        </w:rPr>
        <w:t>heir decoupling proposals.  I</w:t>
      </w:r>
      <w:r w:rsidR="008E7E13" w:rsidRPr="00FA02D3">
        <w:rPr>
          <w:rFonts w:ascii="Times New Roman" w:hAnsi="Times New Roman"/>
          <w:sz w:val="24"/>
          <w:szCs w:val="24"/>
        </w:rPr>
        <w:t xml:space="preserve">nsufficient evidence </w:t>
      </w:r>
      <w:r w:rsidR="004D6C3F" w:rsidRPr="00FA02D3">
        <w:rPr>
          <w:rFonts w:ascii="Times New Roman" w:hAnsi="Times New Roman"/>
          <w:sz w:val="24"/>
          <w:szCs w:val="24"/>
        </w:rPr>
        <w:t xml:space="preserve">was presented </w:t>
      </w:r>
      <w:r w:rsidR="00C25326" w:rsidRPr="00FA02D3">
        <w:rPr>
          <w:rFonts w:ascii="Times New Roman" w:hAnsi="Times New Roman"/>
          <w:sz w:val="24"/>
          <w:szCs w:val="24"/>
        </w:rPr>
        <w:t xml:space="preserve">on that issue </w:t>
      </w:r>
      <w:r w:rsidR="008E7E13" w:rsidRPr="00FA02D3">
        <w:rPr>
          <w:rFonts w:ascii="Times New Roman" w:hAnsi="Times New Roman"/>
          <w:sz w:val="24"/>
          <w:szCs w:val="24"/>
        </w:rPr>
        <w:t>for</w:t>
      </w:r>
      <w:r w:rsidR="00FF18BC" w:rsidRPr="00FA02D3">
        <w:rPr>
          <w:rFonts w:ascii="Times New Roman" w:hAnsi="Times New Roman"/>
          <w:sz w:val="24"/>
          <w:szCs w:val="24"/>
        </w:rPr>
        <w:t xml:space="preserve"> the Commission to approve either</w:t>
      </w:r>
      <w:r w:rsidR="00C25326" w:rsidRPr="00FA02D3">
        <w:rPr>
          <w:rFonts w:ascii="Times New Roman" w:hAnsi="Times New Roman"/>
          <w:sz w:val="24"/>
          <w:szCs w:val="24"/>
        </w:rPr>
        <w:t xml:space="preserve"> </w:t>
      </w:r>
      <w:r w:rsidR="008E7E13" w:rsidRPr="00FA02D3">
        <w:rPr>
          <w:rFonts w:ascii="Times New Roman" w:hAnsi="Times New Roman"/>
          <w:sz w:val="24"/>
          <w:szCs w:val="24"/>
        </w:rPr>
        <w:t>the</w:t>
      </w:r>
      <w:r w:rsidR="00C25326" w:rsidRPr="00FA02D3">
        <w:rPr>
          <w:rFonts w:ascii="Times New Roman" w:hAnsi="Times New Roman"/>
          <w:sz w:val="24"/>
          <w:szCs w:val="24"/>
        </w:rPr>
        <w:t xml:space="preserve"> Company or NWEC proposal</w:t>
      </w:r>
      <w:r w:rsidR="008E7E13" w:rsidRPr="00FA02D3">
        <w:rPr>
          <w:rFonts w:ascii="Times New Roman" w:hAnsi="Times New Roman"/>
          <w:sz w:val="24"/>
          <w:szCs w:val="24"/>
        </w:rPr>
        <w:t>.</w:t>
      </w:r>
    </w:p>
    <w:p w:rsidR="008E7E89" w:rsidRDefault="00AA2E5E" w:rsidP="00DA0B38">
      <w:pPr>
        <w:keepNext/>
        <w:spacing w:after="0" w:line="480" w:lineRule="auto"/>
        <w:ind w:left="1440" w:hanging="720"/>
        <w:rPr>
          <w:rFonts w:ascii="Times New Roman" w:hAnsi="Times New Roman" w:cs="Times New Roman"/>
          <w:b/>
          <w:sz w:val="24"/>
          <w:szCs w:val="24"/>
        </w:rPr>
      </w:pPr>
      <w:r>
        <w:rPr>
          <w:rFonts w:ascii="Times New Roman" w:hAnsi="Times New Roman" w:cs="Times New Roman"/>
          <w:b/>
          <w:sz w:val="24"/>
          <w:szCs w:val="24"/>
        </w:rPr>
        <w:lastRenderedPageBreak/>
        <w:t>2.</w:t>
      </w:r>
      <w:r w:rsidR="008E7E89">
        <w:rPr>
          <w:rFonts w:ascii="Times New Roman" w:hAnsi="Times New Roman" w:cs="Times New Roman"/>
          <w:b/>
          <w:sz w:val="24"/>
          <w:szCs w:val="24"/>
        </w:rPr>
        <w:tab/>
      </w:r>
      <w:r w:rsidR="008E7E89" w:rsidRPr="008E7E89">
        <w:rPr>
          <w:rFonts w:ascii="Times New Roman" w:hAnsi="Times New Roman" w:cs="Times New Roman"/>
          <w:b/>
          <w:sz w:val="24"/>
          <w:szCs w:val="24"/>
        </w:rPr>
        <w:t xml:space="preserve">Neither the Company </w:t>
      </w:r>
      <w:r>
        <w:rPr>
          <w:rFonts w:ascii="Times New Roman" w:hAnsi="Times New Roman" w:cs="Times New Roman"/>
          <w:b/>
          <w:sz w:val="24"/>
          <w:szCs w:val="24"/>
        </w:rPr>
        <w:t xml:space="preserve">nor NWEC </w:t>
      </w:r>
      <w:r w:rsidR="00D519DA">
        <w:rPr>
          <w:rFonts w:ascii="Times New Roman" w:hAnsi="Times New Roman" w:cs="Times New Roman"/>
          <w:b/>
          <w:sz w:val="24"/>
          <w:szCs w:val="24"/>
        </w:rPr>
        <w:t>Account for Offsets or Found Margin</w:t>
      </w:r>
    </w:p>
    <w:p w:rsidR="00D519DA"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D519DA" w:rsidRPr="00FA02D3">
        <w:rPr>
          <w:rFonts w:ascii="Times New Roman" w:hAnsi="Times New Roman"/>
          <w:sz w:val="24"/>
          <w:szCs w:val="24"/>
        </w:rPr>
        <w:t xml:space="preserve">The Commission requires </w:t>
      </w:r>
      <w:r w:rsidR="00FF18BC" w:rsidRPr="00FA02D3">
        <w:rPr>
          <w:rFonts w:ascii="Times New Roman" w:hAnsi="Times New Roman"/>
          <w:sz w:val="24"/>
          <w:szCs w:val="24"/>
        </w:rPr>
        <w:t>the advocate of</w:t>
      </w:r>
      <w:r w:rsidR="00AA2E5E" w:rsidRPr="00FA02D3">
        <w:rPr>
          <w:rFonts w:ascii="Times New Roman" w:hAnsi="Times New Roman"/>
          <w:sz w:val="24"/>
          <w:szCs w:val="24"/>
        </w:rPr>
        <w:t xml:space="preserve"> limited decoupling </w:t>
      </w:r>
      <w:r w:rsidR="00FF18BC" w:rsidRPr="00FA02D3">
        <w:rPr>
          <w:rFonts w:ascii="Times New Roman" w:hAnsi="Times New Roman"/>
          <w:sz w:val="24"/>
          <w:szCs w:val="24"/>
        </w:rPr>
        <w:t xml:space="preserve">to provide </w:t>
      </w:r>
      <w:r w:rsidR="00D519DA" w:rsidRPr="00FA02D3">
        <w:rPr>
          <w:rFonts w:ascii="Times New Roman" w:hAnsi="Times New Roman"/>
          <w:sz w:val="24"/>
          <w:szCs w:val="24"/>
        </w:rPr>
        <w:t xml:space="preserve">evidence of any source of offset or found margin that could make the adoption of </w:t>
      </w:r>
      <w:r w:rsidR="00AA2E5E" w:rsidRPr="00FA02D3">
        <w:rPr>
          <w:rFonts w:ascii="Times New Roman" w:hAnsi="Times New Roman"/>
          <w:sz w:val="24"/>
          <w:szCs w:val="24"/>
        </w:rPr>
        <w:t>a mechanism</w:t>
      </w:r>
      <w:r w:rsidR="00D519DA" w:rsidRPr="00FA02D3">
        <w:rPr>
          <w:rFonts w:ascii="Times New Roman" w:hAnsi="Times New Roman"/>
          <w:sz w:val="24"/>
          <w:szCs w:val="24"/>
        </w:rPr>
        <w:t xml:space="preserve"> unfair to ratepayers.</w:t>
      </w:r>
      <w:r w:rsidR="00D519DA">
        <w:rPr>
          <w:rStyle w:val="FootnoteReference"/>
          <w:rFonts w:ascii="Times New Roman" w:hAnsi="Times New Roman"/>
          <w:sz w:val="24"/>
          <w:szCs w:val="24"/>
        </w:rPr>
        <w:footnoteReference w:id="341"/>
      </w:r>
      <w:r w:rsidR="00D519DA" w:rsidRPr="00FA02D3">
        <w:rPr>
          <w:rFonts w:ascii="Times New Roman" w:hAnsi="Times New Roman"/>
          <w:sz w:val="24"/>
          <w:szCs w:val="24"/>
        </w:rPr>
        <w:t xml:space="preserve">  </w:t>
      </w:r>
      <w:r w:rsidR="00AA2E5E" w:rsidRPr="00FA02D3">
        <w:rPr>
          <w:rFonts w:ascii="Times New Roman" w:hAnsi="Times New Roman"/>
          <w:sz w:val="24"/>
          <w:szCs w:val="24"/>
        </w:rPr>
        <w:t>For full decoupling</w:t>
      </w:r>
      <w:r w:rsidR="00D519DA" w:rsidRPr="00FA02D3">
        <w:rPr>
          <w:rFonts w:ascii="Times New Roman" w:hAnsi="Times New Roman"/>
          <w:sz w:val="24"/>
          <w:szCs w:val="24"/>
        </w:rPr>
        <w:t xml:space="preserve">, the Commission goes </w:t>
      </w:r>
      <w:r w:rsidR="00AA2E5E" w:rsidRPr="00FA02D3">
        <w:rPr>
          <w:rFonts w:ascii="Times New Roman" w:hAnsi="Times New Roman"/>
          <w:sz w:val="24"/>
          <w:szCs w:val="24"/>
        </w:rPr>
        <w:t xml:space="preserve">farther, </w:t>
      </w:r>
      <w:r w:rsidR="00D519DA" w:rsidRPr="00FA02D3">
        <w:rPr>
          <w:rFonts w:ascii="Times New Roman" w:hAnsi="Times New Roman"/>
          <w:sz w:val="24"/>
          <w:szCs w:val="24"/>
        </w:rPr>
        <w:t>req</w:t>
      </w:r>
      <w:r w:rsidR="00AA2E5E" w:rsidRPr="00FA02D3">
        <w:rPr>
          <w:rFonts w:ascii="Times New Roman" w:hAnsi="Times New Roman"/>
          <w:sz w:val="24"/>
          <w:szCs w:val="24"/>
        </w:rPr>
        <w:t>uiring</w:t>
      </w:r>
      <w:r w:rsidR="00D519DA" w:rsidRPr="00FA02D3">
        <w:rPr>
          <w:rFonts w:ascii="Times New Roman" w:hAnsi="Times New Roman"/>
          <w:sz w:val="24"/>
          <w:szCs w:val="24"/>
        </w:rPr>
        <w:t xml:space="preserve"> off-system sales and avoided costs attributable to </w:t>
      </w:r>
      <w:r w:rsidR="00AA2E5E" w:rsidRPr="00FA02D3">
        <w:rPr>
          <w:rFonts w:ascii="Times New Roman" w:hAnsi="Times New Roman"/>
          <w:sz w:val="24"/>
          <w:szCs w:val="24"/>
        </w:rPr>
        <w:t xml:space="preserve">conservation </w:t>
      </w:r>
      <w:r w:rsidR="00D519DA" w:rsidRPr="00FA02D3">
        <w:rPr>
          <w:rFonts w:ascii="Times New Roman" w:hAnsi="Times New Roman"/>
          <w:sz w:val="24"/>
          <w:szCs w:val="24"/>
        </w:rPr>
        <w:t>to be netted against the true-up in the mechanism.</w:t>
      </w:r>
      <w:r w:rsidR="00D519DA" w:rsidRPr="00D519DA">
        <w:rPr>
          <w:rStyle w:val="FootnoteReference"/>
          <w:rFonts w:ascii="Times New Roman" w:hAnsi="Times New Roman"/>
          <w:sz w:val="24"/>
          <w:szCs w:val="24"/>
        </w:rPr>
        <w:footnoteReference w:id="342"/>
      </w:r>
    </w:p>
    <w:p w:rsidR="003561AF"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BB4F44" w:rsidRPr="00FA02D3">
        <w:rPr>
          <w:rFonts w:ascii="Times New Roman" w:hAnsi="Times New Roman"/>
          <w:sz w:val="24"/>
          <w:szCs w:val="24"/>
        </w:rPr>
        <w:t>Mr. Cavanagh sugg</w:t>
      </w:r>
      <w:r w:rsidR="008C0E75" w:rsidRPr="00FA02D3">
        <w:rPr>
          <w:rFonts w:ascii="Times New Roman" w:hAnsi="Times New Roman"/>
          <w:sz w:val="24"/>
          <w:szCs w:val="24"/>
        </w:rPr>
        <w:t>ests the Commission ignore this</w:t>
      </w:r>
      <w:r w:rsidR="00BB4F44" w:rsidRPr="00FA02D3">
        <w:rPr>
          <w:rFonts w:ascii="Times New Roman" w:hAnsi="Times New Roman"/>
          <w:sz w:val="24"/>
          <w:szCs w:val="24"/>
        </w:rPr>
        <w:t xml:space="preserve"> policy </w:t>
      </w:r>
      <w:r w:rsidR="008C0E75" w:rsidRPr="00FA02D3">
        <w:rPr>
          <w:rFonts w:ascii="Times New Roman" w:hAnsi="Times New Roman"/>
          <w:sz w:val="24"/>
          <w:szCs w:val="24"/>
        </w:rPr>
        <w:t>based on his belief</w:t>
      </w:r>
      <w:r w:rsidR="00BB4F44" w:rsidRPr="00FA02D3">
        <w:rPr>
          <w:rFonts w:ascii="Times New Roman" w:hAnsi="Times New Roman"/>
          <w:sz w:val="24"/>
          <w:szCs w:val="24"/>
        </w:rPr>
        <w:t xml:space="preserve"> that the Company’s PCA “already addresses this concern” regarding enhanced wholesale sales.</w:t>
      </w:r>
      <w:r w:rsidR="00BB4F44" w:rsidRPr="00BB4F44">
        <w:rPr>
          <w:rStyle w:val="FootnoteReference"/>
          <w:rFonts w:ascii="Times New Roman" w:hAnsi="Times New Roman"/>
          <w:sz w:val="24"/>
          <w:szCs w:val="24"/>
        </w:rPr>
        <w:footnoteReference w:id="343"/>
      </w:r>
      <w:r w:rsidR="00BB4F44" w:rsidRPr="00FA02D3">
        <w:rPr>
          <w:rFonts w:ascii="Times New Roman" w:hAnsi="Times New Roman"/>
          <w:sz w:val="24"/>
          <w:szCs w:val="24"/>
        </w:rPr>
        <w:t xml:space="preserve">  He is </w:t>
      </w:r>
      <w:r w:rsidR="008C0E75" w:rsidRPr="00FA02D3">
        <w:rPr>
          <w:rFonts w:ascii="Times New Roman" w:hAnsi="Times New Roman"/>
          <w:sz w:val="24"/>
          <w:szCs w:val="24"/>
        </w:rPr>
        <w:t>misinformed on the impact of the PCA.</w:t>
      </w:r>
      <w:r w:rsidR="00B45A4F" w:rsidRPr="00FA02D3">
        <w:rPr>
          <w:rFonts w:ascii="Times New Roman" w:hAnsi="Times New Roman"/>
          <w:sz w:val="24"/>
          <w:szCs w:val="24"/>
        </w:rPr>
        <w:t xml:space="preserve">  T</w:t>
      </w:r>
      <w:r w:rsidR="00271692" w:rsidRPr="00FA02D3">
        <w:rPr>
          <w:rFonts w:ascii="Times New Roman" w:hAnsi="Times New Roman"/>
          <w:sz w:val="24"/>
          <w:szCs w:val="24"/>
        </w:rPr>
        <w:t>he PCA</w:t>
      </w:r>
      <w:r w:rsidR="008C0E75" w:rsidRPr="00FA02D3">
        <w:rPr>
          <w:rFonts w:ascii="Times New Roman" w:hAnsi="Times New Roman"/>
          <w:sz w:val="24"/>
          <w:szCs w:val="24"/>
        </w:rPr>
        <w:t xml:space="preserve"> </w:t>
      </w:r>
      <w:r w:rsidR="00AC0B80" w:rsidRPr="00FA02D3">
        <w:rPr>
          <w:rFonts w:ascii="Times New Roman" w:hAnsi="Times New Roman"/>
          <w:sz w:val="24"/>
          <w:szCs w:val="24"/>
        </w:rPr>
        <w:t>does not account for offsetting revenues because it</w:t>
      </w:r>
      <w:r w:rsidR="008C0E75" w:rsidRPr="00FA02D3">
        <w:rPr>
          <w:rFonts w:ascii="Times New Roman" w:hAnsi="Times New Roman"/>
          <w:sz w:val="24"/>
          <w:szCs w:val="24"/>
        </w:rPr>
        <w:t xml:space="preserve"> </w:t>
      </w:r>
      <w:r w:rsidR="00C36C9C">
        <w:rPr>
          <w:rFonts w:ascii="Times New Roman" w:hAnsi="Times New Roman"/>
          <w:sz w:val="24"/>
          <w:szCs w:val="24"/>
        </w:rPr>
        <w:t xml:space="preserve">contains dead bands and sharing bands that </w:t>
      </w:r>
      <w:r w:rsidR="008C0E75" w:rsidRPr="00FA02D3">
        <w:rPr>
          <w:rFonts w:ascii="Times New Roman" w:hAnsi="Times New Roman"/>
          <w:sz w:val="24"/>
          <w:szCs w:val="24"/>
        </w:rPr>
        <w:t>allow</w:t>
      </w:r>
      <w:r w:rsidR="00AA2E5E" w:rsidRPr="00FA02D3">
        <w:rPr>
          <w:rFonts w:ascii="Times New Roman" w:hAnsi="Times New Roman"/>
          <w:sz w:val="24"/>
          <w:szCs w:val="24"/>
        </w:rPr>
        <w:t xml:space="preserve"> PSE </w:t>
      </w:r>
      <w:r w:rsidR="008C0E75" w:rsidRPr="00FA02D3">
        <w:rPr>
          <w:rFonts w:ascii="Times New Roman" w:hAnsi="Times New Roman"/>
          <w:sz w:val="24"/>
          <w:szCs w:val="24"/>
        </w:rPr>
        <w:t>to</w:t>
      </w:r>
      <w:r w:rsidR="00A1479E" w:rsidRPr="00FA02D3">
        <w:rPr>
          <w:rFonts w:ascii="Times New Roman" w:hAnsi="Times New Roman"/>
          <w:sz w:val="24"/>
          <w:szCs w:val="24"/>
        </w:rPr>
        <w:t xml:space="preserve"> retain all of </w:t>
      </w:r>
      <w:r w:rsidR="0083568F" w:rsidRPr="00FA02D3">
        <w:rPr>
          <w:rFonts w:ascii="Times New Roman" w:hAnsi="Times New Roman"/>
          <w:sz w:val="24"/>
          <w:szCs w:val="24"/>
        </w:rPr>
        <w:t>the benefit of avoided power costs or increased off-system sales re</w:t>
      </w:r>
      <w:r w:rsidR="00271692" w:rsidRPr="00FA02D3">
        <w:rPr>
          <w:rFonts w:ascii="Times New Roman" w:hAnsi="Times New Roman"/>
          <w:sz w:val="24"/>
          <w:szCs w:val="24"/>
        </w:rPr>
        <w:t xml:space="preserve">venues when power is freed up from </w:t>
      </w:r>
      <w:r w:rsidR="0083568F" w:rsidRPr="00FA02D3">
        <w:rPr>
          <w:rFonts w:ascii="Times New Roman" w:hAnsi="Times New Roman"/>
          <w:sz w:val="24"/>
          <w:szCs w:val="24"/>
        </w:rPr>
        <w:t>lower customer use</w:t>
      </w:r>
      <w:r w:rsidR="00271692" w:rsidRPr="00FA02D3">
        <w:rPr>
          <w:rFonts w:ascii="Times New Roman" w:hAnsi="Times New Roman"/>
          <w:sz w:val="24"/>
          <w:szCs w:val="24"/>
        </w:rPr>
        <w:t xml:space="preserve"> </w:t>
      </w:r>
      <w:r w:rsidR="00C36C9C">
        <w:rPr>
          <w:rFonts w:ascii="Times New Roman" w:hAnsi="Times New Roman"/>
          <w:sz w:val="24"/>
          <w:szCs w:val="24"/>
        </w:rPr>
        <w:t xml:space="preserve">that results </w:t>
      </w:r>
      <w:r w:rsidR="00271692" w:rsidRPr="00FA02D3">
        <w:rPr>
          <w:rFonts w:ascii="Times New Roman" w:hAnsi="Times New Roman"/>
          <w:sz w:val="24"/>
          <w:szCs w:val="24"/>
        </w:rPr>
        <w:t>from conservation</w:t>
      </w:r>
      <w:r w:rsidR="0083568F" w:rsidRPr="00FA02D3">
        <w:rPr>
          <w:rFonts w:ascii="Times New Roman" w:hAnsi="Times New Roman"/>
          <w:sz w:val="24"/>
          <w:szCs w:val="24"/>
        </w:rPr>
        <w:t>.</w:t>
      </w:r>
      <w:r w:rsidR="0083568F" w:rsidRPr="00A1479E">
        <w:rPr>
          <w:rStyle w:val="FootnoteReference"/>
          <w:rFonts w:ascii="Times New Roman" w:hAnsi="Times New Roman"/>
          <w:sz w:val="24"/>
          <w:szCs w:val="24"/>
        </w:rPr>
        <w:footnoteReference w:id="344"/>
      </w:r>
      <w:r w:rsidR="0083568F" w:rsidRPr="00FA02D3">
        <w:rPr>
          <w:rFonts w:ascii="Times New Roman" w:hAnsi="Times New Roman"/>
          <w:sz w:val="24"/>
          <w:szCs w:val="24"/>
        </w:rPr>
        <w:t xml:space="preserve">  </w:t>
      </w:r>
    </w:p>
    <w:p w:rsidR="008E7E89"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547054">
        <w:rPr>
          <w:rFonts w:ascii="Times New Roman" w:hAnsi="Times New Roman"/>
          <w:sz w:val="24"/>
          <w:szCs w:val="24"/>
        </w:rPr>
        <w:t>PSE</w:t>
      </w:r>
      <w:r w:rsidR="008C0E75" w:rsidRPr="00FA02D3">
        <w:rPr>
          <w:rFonts w:ascii="Times New Roman" w:hAnsi="Times New Roman"/>
          <w:sz w:val="24"/>
          <w:szCs w:val="24"/>
        </w:rPr>
        <w:t xml:space="preserve"> al</w:t>
      </w:r>
      <w:r w:rsidR="00AC0B80" w:rsidRPr="00FA02D3">
        <w:rPr>
          <w:rFonts w:ascii="Times New Roman" w:hAnsi="Times New Roman"/>
          <w:sz w:val="24"/>
          <w:szCs w:val="24"/>
        </w:rPr>
        <w:t>so ignores that the PCA does not account for offsetting revenues</w:t>
      </w:r>
      <w:r w:rsidR="008C0E75" w:rsidRPr="00FA02D3">
        <w:rPr>
          <w:rFonts w:ascii="Times New Roman" w:hAnsi="Times New Roman"/>
          <w:sz w:val="24"/>
          <w:szCs w:val="24"/>
        </w:rPr>
        <w:t xml:space="preserve">.  </w:t>
      </w:r>
      <w:r w:rsidR="003561AF" w:rsidRPr="00FA02D3">
        <w:rPr>
          <w:rFonts w:ascii="Times New Roman" w:hAnsi="Times New Roman"/>
          <w:sz w:val="24"/>
          <w:szCs w:val="24"/>
        </w:rPr>
        <w:t>Therefore, with the addition of the CSA, the Company will be able t</w:t>
      </w:r>
      <w:r w:rsidR="00C36C9C">
        <w:rPr>
          <w:rFonts w:ascii="Times New Roman" w:hAnsi="Times New Roman"/>
          <w:sz w:val="24"/>
          <w:szCs w:val="24"/>
        </w:rPr>
        <w:t xml:space="preserve">o retain both the foregone </w:t>
      </w:r>
      <w:r w:rsidR="003561AF" w:rsidRPr="00FA02D3">
        <w:rPr>
          <w:rFonts w:ascii="Times New Roman" w:hAnsi="Times New Roman"/>
          <w:sz w:val="24"/>
          <w:szCs w:val="24"/>
        </w:rPr>
        <w:t xml:space="preserve">revenue </w:t>
      </w:r>
      <w:r w:rsidR="00C36C9C">
        <w:rPr>
          <w:rFonts w:ascii="Times New Roman" w:hAnsi="Times New Roman"/>
          <w:sz w:val="24"/>
          <w:szCs w:val="24"/>
        </w:rPr>
        <w:t xml:space="preserve">from conservation </w:t>
      </w:r>
      <w:r w:rsidR="003561AF" w:rsidRPr="00FA02D3">
        <w:rPr>
          <w:rFonts w:ascii="Times New Roman" w:hAnsi="Times New Roman"/>
          <w:sz w:val="24"/>
          <w:szCs w:val="24"/>
        </w:rPr>
        <w:t>and the avoided power cost or greater off-system sales.</w:t>
      </w:r>
      <w:r w:rsidR="003561AF">
        <w:rPr>
          <w:rStyle w:val="FootnoteReference"/>
          <w:rFonts w:ascii="Times New Roman" w:hAnsi="Times New Roman"/>
          <w:sz w:val="24"/>
          <w:szCs w:val="24"/>
        </w:rPr>
        <w:footnoteReference w:id="345"/>
      </w:r>
      <w:r w:rsidR="003561AF" w:rsidRPr="00FA02D3">
        <w:rPr>
          <w:rFonts w:ascii="Times New Roman" w:hAnsi="Times New Roman"/>
          <w:sz w:val="24"/>
          <w:szCs w:val="24"/>
        </w:rPr>
        <w:t xml:space="preserve">  </w:t>
      </w:r>
      <w:r w:rsidR="0083568F" w:rsidRPr="00FA02D3">
        <w:rPr>
          <w:rFonts w:ascii="Times New Roman" w:hAnsi="Times New Roman"/>
          <w:sz w:val="24"/>
          <w:szCs w:val="24"/>
        </w:rPr>
        <w:t xml:space="preserve">In </w:t>
      </w:r>
      <w:r w:rsidR="00271692" w:rsidRPr="00FA02D3">
        <w:rPr>
          <w:rFonts w:ascii="Times New Roman" w:hAnsi="Times New Roman"/>
          <w:sz w:val="24"/>
          <w:szCs w:val="24"/>
        </w:rPr>
        <w:t xml:space="preserve">fact, </w:t>
      </w:r>
      <w:r w:rsidR="00A1479E" w:rsidRPr="00FA02D3">
        <w:rPr>
          <w:rFonts w:ascii="Times New Roman" w:hAnsi="Times New Roman"/>
          <w:sz w:val="24"/>
          <w:szCs w:val="24"/>
        </w:rPr>
        <w:t>PSE claims that it has a greater opportunity to recover its costs through retail sales than through sales in the market.</w:t>
      </w:r>
      <w:r w:rsidR="00A1479E">
        <w:rPr>
          <w:rStyle w:val="FootnoteReference"/>
          <w:rFonts w:ascii="Times New Roman" w:hAnsi="Times New Roman"/>
          <w:sz w:val="24"/>
          <w:szCs w:val="24"/>
        </w:rPr>
        <w:footnoteReference w:id="346"/>
      </w:r>
      <w:r w:rsidR="00A1479E" w:rsidRPr="00FA02D3">
        <w:rPr>
          <w:rFonts w:ascii="Times New Roman" w:hAnsi="Times New Roman"/>
          <w:sz w:val="24"/>
          <w:szCs w:val="24"/>
        </w:rPr>
        <w:t xml:space="preserve"> </w:t>
      </w:r>
      <w:r w:rsidR="00A1479E" w:rsidRPr="00FA02D3">
        <w:rPr>
          <w:rFonts w:ascii="Times New Roman" w:hAnsi="Times New Roman"/>
          <w:i/>
          <w:sz w:val="24"/>
          <w:szCs w:val="24"/>
        </w:rPr>
        <w:t xml:space="preserve"> </w:t>
      </w:r>
      <w:r w:rsidR="00547054">
        <w:rPr>
          <w:rFonts w:ascii="Times New Roman" w:hAnsi="Times New Roman"/>
          <w:sz w:val="24"/>
          <w:szCs w:val="24"/>
        </w:rPr>
        <w:t xml:space="preserve">It </w:t>
      </w:r>
      <w:r w:rsidR="00277F2A" w:rsidRPr="00FA02D3">
        <w:rPr>
          <w:rFonts w:ascii="Times New Roman" w:hAnsi="Times New Roman"/>
          <w:sz w:val="24"/>
          <w:szCs w:val="24"/>
        </w:rPr>
        <w:t xml:space="preserve">will </w:t>
      </w:r>
      <w:r w:rsidR="0083568F" w:rsidRPr="00FA02D3">
        <w:rPr>
          <w:rFonts w:ascii="Times New Roman" w:hAnsi="Times New Roman"/>
          <w:sz w:val="24"/>
          <w:szCs w:val="24"/>
        </w:rPr>
        <w:t>not discourage e</w:t>
      </w:r>
      <w:r w:rsidR="00277F2A" w:rsidRPr="00FA02D3">
        <w:rPr>
          <w:rFonts w:ascii="Times New Roman" w:hAnsi="Times New Roman"/>
          <w:sz w:val="24"/>
          <w:szCs w:val="24"/>
        </w:rPr>
        <w:t xml:space="preserve">lectricity consumption because it intends </w:t>
      </w:r>
      <w:r w:rsidR="00271692" w:rsidRPr="00FA02D3">
        <w:rPr>
          <w:rFonts w:ascii="Times New Roman" w:hAnsi="Times New Roman"/>
          <w:sz w:val="24"/>
          <w:szCs w:val="24"/>
        </w:rPr>
        <w:t xml:space="preserve">to </w:t>
      </w:r>
      <w:r w:rsidR="0083568F" w:rsidRPr="00FA02D3">
        <w:rPr>
          <w:rFonts w:ascii="Times New Roman" w:hAnsi="Times New Roman"/>
          <w:sz w:val="24"/>
          <w:szCs w:val="24"/>
        </w:rPr>
        <w:t xml:space="preserve">take </w:t>
      </w:r>
      <w:r w:rsidR="00547054">
        <w:rPr>
          <w:rFonts w:ascii="Times New Roman" w:hAnsi="Times New Roman"/>
          <w:sz w:val="24"/>
          <w:szCs w:val="24"/>
        </w:rPr>
        <w:t xml:space="preserve">full advantage of </w:t>
      </w:r>
      <w:r w:rsidR="0083568F" w:rsidRPr="00FA02D3">
        <w:rPr>
          <w:rFonts w:ascii="Times New Roman" w:hAnsi="Times New Roman"/>
          <w:sz w:val="24"/>
          <w:szCs w:val="24"/>
        </w:rPr>
        <w:t>found margins.</w:t>
      </w:r>
      <w:r w:rsidR="0083568F" w:rsidRPr="00A1479E">
        <w:rPr>
          <w:rStyle w:val="FootnoteReference"/>
          <w:rFonts w:ascii="Times New Roman" w:hAnsi="Times New Roman"/>
          <w:sz w:val="24"/>
          <w:szCs w:val="24"/>
        </w:rPr>
        <w:footnoteReference w:id="347"/>
      </w:r>
    </w:p>
    <w:p w:rsidR="008C0E75" w:rsidRDefault="00AA2E5E" w:rsidP="00DA0B38">
      <w:pPr>
        <w:keepNext/>
        <w:spacing w:after="0" w:line="480" w:lineRule="auto"/>
        <w:ind w:left="1440" w:hanging="720"/>
        <w:rPr>
          <w:rFonts w:ascii="Times New Roman" w:hAnsi="Times New Roman" w:cs="Times New Roman"/>
          <w:b/>
          <w:sz w:val="24"/>
          <w:szCs w:val="24"/>
        </w:rPr>
      </w:pPr>
      <w:r>
        <w:rPr>
          <w:rFonts w:ascii="Times New Roman" w:hAnsi="Times New Roman" w:cs="Times New Roman"/>
          <w:b/>
          <w:sz w:val="24"/>
          <w:szCs w:val="24"/>
        </w:rPr>
        <w:t>3</w:t>
      </w:r>
      <w:r w:rsidR="008C0E75">
        <w:rPr>
          <w:rFonts w:ascii="Times New Roman" w:hAnsi="Times New Roman" w:cs="Times New Roman"/>
          <w:b/>
          <w:sz w:val="24"/>
          <w:szCs w:val="24"/>
        </w:rPr>
        <w:t>.</w:t>
      </w:r>
      <w:r w:rsidR="008C0E75">
        <w:rPr>
          <w:rFonts w:ascii="Times New Roman" w:hAnsi="Times New Roman" w:cs="Times New Roman"/>
          <w:b/>
          <w:sz w:val="24"/>
          <w:szCs w:val="24"/>
        </w:rPr>
        <w:tab/>
      </w:r>
      <w:r w:rsidR="008C0E75" w:rsidRPr="008E7E89">
        <w:rPr>
          <w:rFonts w:ascii="Times New Roman" w:hAnsi="Times New Roman" w:cs="Times New Roman"/>
          <w:b/>
          <w:sz w:val="24"/>
          <w:szCs w:val="24"/>
        </w:rPr>
        <w:t xml:space="preserve">Neither the Company </w:t>
      </w:r>
      <w:r>
        <w:rPr>
          <w:rFonts w:ascii="Times New Roman" w:hAnsi="Times New Roman" w:cs="Times New Roman"/>
          <w:b/>
          <w:sz w:val="24"/>
          <w:szCs w:val="24"/>
        </w:rPr>
        <w:t xml:space="preserve">nor NWEC </w:t>
      </w:r>
      <w:r w:rsidR="008C0E75">
        <w:rPr>
          <w:rFonts w:ascii="Times New Roman" w:hAnsi="Times New Roman" w:cs="Times New Roman"/>
          <w:b/>
          <w:sz w:val="24"/>
          <w:szCs w:val="24"/>
        </w:rPr>
        <w:t>Account for Incremental Conservation</w:t>
      </w:r>
    </w:p>
    <w:p w:rsidR="009B76B5"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9B76B5" w:rsidRPr="00FA02D3">
        <w:rPr>
          <w:rFonts w:ascii="Times New Roman" w:hAnsi="Times New Roman"/>
          <w:sz w:val="24"/>
          <w:szCs w:val="24"/>
        </w:rPr>
        <w:t xml:space="preserve">The Commission requires </w:t>
      </w:r>
      <w:r w:rsidR="00763D1A" w:rsidRPr="00FA02D3">
        <w:rPr>
          <w:rFonts w:ascii="Times New Roman" w:hAnsi="Times New Roman"/>
          <w:sz w:val="24"/>
          <w:szCs w:val="24"/>
        </w:rPr>
        <w:t xml:space="preserve">the advocate of </w:t>
      </w:r>
      <w:r w:rsidR="009B76B5" w:rsidRPr="00FA02D3">
        <w:rPr>
          <w:rFonts w:ascii="Times New Roman" w:hAnsi="Times New Roman"/>
          <w:sz w:val="24"/>
          <w:szCs w:val="24"/>
        </w:rPr>
        <w:t>full or limite</w:t>
      </w:r>
      <w:r w:rsidR="003561AF" w:rsidRPr="00FA02D3">
        <w:rPr>
          <w:rFonts w:ascii="Times New Roman" w:hAnsi="Times New Roman"/>
          <w:sz w:val="24"/>
          <w:szCs w:val="24"/>
        </w:rPr>
        <w:t xml:space="preserve">d decoupling </w:t>
      </w:r>
      <w:r w:rsidR="00763D1A" w:rsidRPr="00FA02D3">
        <w:rPr>
          <w:rFonts w:ascii="Times New Roman" w:hAnsi="Times New Roman"/>
          <w:sz w:val="24"/>
          <w:szCs w:val="24"/>
        </w:rPr>
        <w:t>to provide</w:t>
      </w:r>
      <w:r w:rsidR="00B45A4F" w:rsidRPr="00FA02D3">
        <w:rPr>
          <w:rFonts w:ascii="Times New Roman" w:hAnsi="Times New Roman"/>
          <w:sz w:val="24"/>
          <w:szCs w:val="24"/>
        </w:rPr>
        <w:t xml:space="preserve"> e</w:t>
      </w:r>
      <w:r w:rsidR="009B76B5" w:rsidRPr="00FA02D3">
        <w:rPr>
          <w:rFonts w:ascii="Times New Roman" w:hAnsi="Times New Roman"/>
          <w:sz w:val="24"/>
          <w:szCs w:val="24"/>
        </w:rPr>
        <w:t xml:space="preserve">vidence describing any incremental conservation the company intends to pursue in conjunction </w:t>
      </w:r>
      <w:r w:rsidR="00B45A4F" w:rsidRPr="00FA02D3">
        <w:rPr>
          <w:rFonts w:ascii="Times New Roman" w:hAnsi="Times New Roman"/>
          <w:sz w:val="24"/>
          <w:szCs w:val="24"/>
        </w:rPr>
        <w:t xml:space="preserve">with the </w:t>
      </w:r>
      <w:r w:rsidR="00B45A4F" w:rsidRPr="00FA02D3">
        <w:rPr>
          <w:rFonts w:ascii="Times New Roman" w:hAnsi="Times New Roman"/>
          <w:sz w:val="24"/>
          <w:szCs w:val="24"/>
        </w:rPr>
        <w:lastRenderedPageBreak/>
        <w:t>mechanism.</w:t>
      </w:r>
      <w:r w:rsidR="009B76B5" w:rsidRPr="009B76B5">
        <w:rPr>
          <w:rStyle w:val="FootnoteReference"/>
          <w:rFonts w:ascii="Times New Roman" w:hAnsi="Times New Roman"/>
          <w:sz w:val="24"/>
          <w:szCs w:val="24"/>
        </w:rPr>
        <w:footnoteReference w:id="348"/>
      </w:r>
      <w:r w:rsidR="009B76B5" w:rsidRPr="00FA02D3">
        <w:rPr>
          <w:rFonts w:ascii="Times New Roman" w:hAnsi="Times New Roman"/>
          <w:sz w:val="24"/>
          <w:szCs w:val="24"/>
        </w:rPr>
        <w:t xml:space="preserve">  </w:t>
      </w:r>
      <w:r w:rsidR="00277F2A" w:rsidRPr="00FA02D3">
        <w:rPr>
          <w:rFonts w:ascii="Times New Roman" w:hAnsi="Times New Roman"/>
          <w:sz w:val="24"/>
          <w:szCs w:val="24"/>
        </w:rPr>
        <w:t>In addition, i</w:t>
      </w:r>
      <w:r w:rsidR="009B76B5" w:rsidRPr="00FA02D3">
        <w:rPr>
          <w:rFonts w:ascii="Times New Roman" w:hAnsi="Times New Roman"/>
          <w:sz w:val="24"/>
          <w:szCs w:val="24"/>
        </w:rPr>
        <w:t>ncentive mechanisms s</w:t>
      </w:r>
      <w:r w:rsidR="00DF2AB6" w:rsidRPr="00FA02D3">
        <w:rPr>
          <w:rFonts w:ascii="Times New Roman" w:hAnsi="Times New Roman"/>
          <w:sz w:val="24"/>
          <w:szCs w:val="24"/>
        </w:rPr>
        <w:t xml:space="preserve">hould only encourage </w:t>
      </w:r>
      <w:r w:rsidR="009B76B5" w:rsidRPr="00FA02D3">
        <w:rPr>
          <w:rFonts w:ascii="Times New Roman" w:hAnsi="Times New Roman"/>
          <w:sz w:val="24"/>
          <w:szCs w:val="24"/>
        </w:rPr>
        <w:t>investment in conservation</w:t>
      </w:r>
      <w:r w:rsidR="00DF2AB6" w:rsidRPr="00FA02D3">
        <w:rPr>
          <w:rFonts w:ascii="Times New Roman" w:hAnsi="Times New Roman"/>
          <w:sz w:val="24"/>
          <w:szCs w:val="24"/>
        </w:rPr>
        <w:t xml:space="preserve"> above a company’s conservation target</w:t>
      </w:r>
      <w:r w:rsidR="009B76B5" w:rsidRPr="00FA02D3">
        <w:rPr>
          <w:rFonts w:ascii="Times New Roman" w:hAnsi="Times New Roman"/>
          <w:sz w:val="24"/>
          <w:szCs w:val="24"/>
        </w:rPr>
        <w:t>.</w:t>
      </w:r>
      <w:r w:rsidR="009B76B5">
        <w:rPr>
          <w:rStyle w:val="FootnoteReference"/>
          <w:rFonts w:ascii="Times New Roman" w:hAnsi="Times New Roman"/>
          <w:sz w:val="24"/>
          <w:szCs w:val="24"/>
        </w:rPr>
        <w:footnoteReference w:id="349"/>
      </w:r>
    </w:p>
    <w:p w:rsidR="00DF2AB6"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547054">
        <w:rPr>
          <w:rFonts w:ascii="Times New Roman" w:hAnsi="Times New Roman"/>
          <w:sz w:val="24"/>
          <w:szCs w:val="24"/>
        </w:rPr>
        <w:t xml:space="preserve">PSE and </w:t>
      </w:r>
      <w:r w:rsidR="003561AF" w:rsidRPr="00FA02D3">
        <w:rPr>
          <w:rFonts w:ascii="Times New Roman" w:hAnsi="Times New Roman"/>
          <w:sz w:val="24"/>
          <w:szCs w:val="24"/>
        </w:rPr>
        <w:t>NWEC</w:t>
      </w:r>
      <w:r w:rsidR="00547054">
        <w:rPr>
          <w:rFonts w:ascii="Times New Roman" w:hAnsi="Times New Roman"/>
          <w:sz w:val="24"/>
          <w:szCs w:val="24"/>
        </w:rPr>
        <w:t xml:space="preserve"> fail this requirement as well.  The </w:t>
      </w:r>
      <w:r w:rsidR="009B76B5" w:rsidRPr="00FA02D3">
        <w:rPr>
          <w:rFonts w:ascii="Times New Roman" w:hAnsi="Times New Roman"/>
          <w:sz w:val="24"/>
          <w:szCs w:val="24"/>
        </w:rPr>
        <w:t>only specific levels of con</w:t>
      </w:r>
      <w:r w:rsidR="00763D1A" w:rsidRPr="00FA02D3">
        <w:rPr>
          <w:rFonts w:ascii="Times New Roman" w:hAnsi="Times New Roman"/>
          <w:sz w:val="24"/>
          <w:szCs w:val="24"/>
        </w:rPr>
        <w:t>servation Mr. Cavanagh references</w:t>
      </w:r>
      <w:r w:rsidR="009B76B5" w:rsidRPr="00FA02D3">
        <w:rPr>
          <w:rFonts w:ascii="Times New Roman" w:hAnsi="Times New Roman"/>
          <w:sz w:val="24"/>
          <w:szCs w:val="24"/>
        </w:rPr>
        <w:t xml:space="preserve"> are </w:t>
      </w:r>
      <w:r w:rsidR="00DF2AB6" w:rsidRPr="00FA02D3">
        <w:rPr>
          <w:rFonts w:ascii="Times New Roman" w:hAnsi="Times New Roman"/>
          <w:sz w:val="24"/>
          <w:szCs w:val="24"/>
        </w:rPr>
        <w:t xml:space="preserve">the </w:t>
      </w:r>
      <w:r w:rsidR="009B76B5" w:rsidRPr="00FA02D3">
        <w:rPr>
          <w:rFonts w:ascii="Times New Roman" w:hAnsi="Times New Roman"/>
          <w:sz w:val="24"/>
          <w:szCs w:val="24"/>
        </w:rPr>
        <w:t xml:space="preserve">conservation targets already </w:t>
      </w:r>
      <w:r w:rsidR="00AC0B80" w:rsidRPr="00FA02D3">
        <w:rPr>
          <w:rFonts w:ascii="Times New Roman" w:hAnsi="Times New Roman"/>
          <w:sz w:val="24"/>
          <w:szCs w:val="24"/>
        </w:rPr>
        <w:t xml:space="preserve">in </w:t>
      </w:r>
      <w:r w:rsidR="009B76B5" w:rsidRPr="00FA02D3">
        <w:rPr>
          <w:rFonts w:ascii="Times New Roman" w:hAnsi="Times New Roman"/>
          <w:sz w:val="24"/>
          <w:szCs w:val="24"/>
        </w:rPr>
        <w:t>place for PSE today, absent decoupling.</w:t>
      </w:r>
      <w:r w:rsidR="009B76B5" w:rsidRPr="009B76B5">
        <w:rPr>
          <w:rStyle w:val="FootnoteReference"/>
          <w:rFonts w:ascii="Times New Roman" w:hAnsi="Times New Roman"/>
          <w:sz w:val="24"/>
          <w:szCs w:val="24"/>
        </w:rPr>
        <w:footnoteReference w:id="350"/>
      </w:r>
      <w:r w:rsidR="003561AF" w:rsidRPr="00FA02D3">
        <w:rPr>
          <w:rFonts w:ascii="Times New Roman" w:hAnsi="Times New Roman"/>
          <w:sz w:val="24"/>
          <w:szCs w:val="24"/>
        </w:rPr>
        <w:t xml:space="preserve">  </w:t>
      </w:r>
      <w:r w:rsidR="00DF2AB6" w:rsidRPr="00FA02D3">
        <w:rPr>
          <w:rFonts w:ascii="Times New Roman" w:hAnsi="Times New Roman"/>
          <w:sz w:val="24"/>
          <w:szCs w:val="24"/>
        </w:rPr>
        <w:t>Likew</w:t>
      </w:r>
      <w:r w:rsidR="00547054">
        <w:rPr>
          <w:rFonts w:ascii="Times New Roman" w:hAnsi="Times New Roman"/>
          <w:sz w:val="24"/>
          <w:szCs w:val="24"/>
        </w:rPr>
        <w:t xml:space="preserve">ise, the </w:t>
      </w:r>
      <w:r w:rsidR="00AA2E5E" w:rsidRPr="00FA02D3">
        <w:rPr>
          <w:rFonts w:ascii="Times New Roman" w:hAnsi="Times New Roman"/>
          <w:sz w:val="24"/>
          <w:szCs w:val="24"/>
        </w:rPr>
        <w:t xml:space="preserve">CSA </w:t>
      </w:r>
      <w:r w:rsidR="00DF2AB6" w:rsidRPr="00FA02D3">
        <w:rPr>
          <w:rFonts w:ascii="Times New Roman" w:hAnsi="Times New Roman"/>
          <w:sz w:val="24"/>
          <w:szCs w:val="24"/>
        </w:rPr>
        <w:t>would reward PSE for meeting its conservation target, rather than rewarding it for only incremental conservation above the target.</w:t>
      </w:r>
      <w:r w:rsidR="00DF2AB6" w:rsidRPr="003561AF">
        <w:rPr>
          <w:rStyle w:val="FootnoteReference"/>
          <w:rFonts w:ascii="Times New Roman" w:hAnsi="Times New Roman"/>
          <w:sz w:val="24"/>
          <w:szCs w:val="24"/>
        </w:rPr>
        <w:footnoteReference w:id="351"/>
      </w:r>
      <w:r w:rsidR="003561AF" w:rsidRPr="00FA02D3">
        <w:rPr>
          <w:rFonts w:ascii="Times New Roman" w:hAnsi="Times New Roman"/>
          <w:sz w:val="24"/>
          <w:szCs w:val="24"/>
        </w:rPr>
        <w:t xml:space="preserve">  T</w:t>
      </w:r>
      <w:r w:rsidR="00DF2AB6" w:rsidRPr="00FA02D3">
        <w:rPr>
          <w:rFonts w:ascii="Times New Roman" w:hAnsi="Times New Roman"/>
          <w:sz w:val="24"/>
          <w:szCs w:val="24"/>
        </w:rPr>
        <w:t>he Company admitted that the record is devoid of evidence of incremental conservation for gas or electric operations.</w:t>
      </w:r>
      <w:r w:rsidR="00DF2AB6" w:rsidRPr="003561AF">
        <w:rPr>
          <w:rStyle w:val="FootnoteReference"/>
          <w:rFonts w:ascii="Times New Roman" w:hAnsi="Times New Roman"/>
          <w:sz w:val="24"/>
          <w:szCs w:val="24"/>
        </w:rPr>
        <w:footnoteReference w:id="352"/>
      </w:r>
      <w:r w:rsidR="00DF2AB6" w:rsidRPr="00FA02D3">
        <w:rPr>
          <w:rFonts w:ascii="Times New Roman" w:hAnsi="Times New Roman"/>
          <w:sz w:val="24"/>
          <w:szCs w:val="24"/>
        </w:rPr>
        <w:t xml:space="preserve"> </w:t>
      </w:r>
    </w:p>
    <w:p w:rsidR="00390DDD" w:rsidRPr="000F0C40" w:rsidRDefault="00EA49B0" w:rsidP="00B31A27">
      <w:pPr>
        <w:keepNext/>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C</w:t>
      </w:r>
      <w:r w:rsidR="00390DDD" w:rsidRPr="000F0C40">
        <w:rPr>
          <w:rFonts w:ascii="Times New Roman" w:hAnsi="Times New Roman" w:cs="Times New Roman"/>
          <w:b/>
          <w:sz w:val="24"/>
          <w:szCs w:val="24"/>
        </w:rPr>
        <w:t>.</w:t>
      </w:r>
      <w:r w:rsidR="00AA2E5E">
        <w:rPr>
          <w:rFonts w:ascii="Times New Roman" w:hAnsi="Times New Roman" w:cs="Times New Roman"/>
          <w:b/>
          <w:sz w:val="24"/>
          <w:szCs w:val="24"/>
        </w:rPr>
        <w:tab/>
        <w:t>The Company’s CSA</w:t>
      </w:r>
      <w:r w:rsidR="00B95D38">
        <w:rPr>
          <w:rFonts w:ascii="Times New Roman" w:hAnsi="Times New Roman" w:cs="Times New Roman"/>
          <w:b/>
          <w:sz w:val="24"/>
          <w:szCs w:val="24"/>
        </w:rPr>
        <w:t xml:space="preserve"> Conta</w:t>
      </w:r>
      <w:r w:rsidR="00CB0428">
        <w:rPr>
          <w:rFonts w:ascii="Times New Roman" w:hAnsi="Times New Roman" w:cs="Times New Roman"/>
          <w:b/>
          <w:sz w:val="24"/>
          <w:szCs w:val="24"/>
        </w:rPr>
        <w:t xml:space="preserve">ins Significant Flaws that </w:t>
      </w:r>
      <w:r w:rsidR="00B95D38">
        <w:rPr>
          <w:rFonts w:ascii="Times New Roman" w:hAnsi="Times New Roman" w:cs="Times New Roman"/>
          <w:b/>
          <w:sz w:val="24"/>
          <w:szCs w:val="24"/>
        </w:rPr>
        <w:t>Warrant Its Rejection</w:t>
      </w:r>
    </w:p>
    <w:p w:rsidR="00390DDD" w:rsidRDefault="00390DDD" w:rsidP="00B31A27">
      <w:pPr>
        <w:keepNext/>
        <w:spacing w:after="0" w:line="240" w:lineRule="auto"/>
        <w:rPr>
          <w:rFonts w:ascii="Times New Roman" w:hAnsi="Times New Roman" w:cs="Times New Roman"/>
          <w:sz w:val="24"/>
          <w:szCs w:val="24"/>
        </w:rPr>
      </w:pPr>
    </w:p>
    <w:p w:rsidR="00B95D38" w:rsidRDefault="00B95D38" w:rsidP="00B31A27">
      <w:pPr>
        <w:keepNext/>
        <w:spacing w:after="0" w:line="240" w:lineRule="auto"/>
        <w:ind w:left="1440" w:hanging="720"/>
        <w:rPr>
          <w:rFonts w:ascii="Times New Roman" w:hAnsi="Times New Roman" w:cs="Times New Roman"/>
          <w:b/>
          <w:sz w:val="24"/>
          <w:szCs w:val="24"/>
        </w:rPr>
      </w:pPr>
      <w:r w:rsidRPr="00B95D38">
        <w:rPr>
          <w:rFonts w:ascii="Times New Roman" w:hAnsi="Times New Roman" w:cs="Times New Roman"/>
          <w:b/>
          <w:sz w:val="24"/>
          <w:szCs w:val="24"/>
        </w:rPr>
        <w:t>1.</w:t>
      </w:r>
      <w:r>
        <w:rPr>
          <w:rFonts w:ascii="Times New Roman" w:hAnsi="Times New Roman" w:cs="Times New Roman"/>
          <w:b/>
          <w:sz w:val="24"/>
          <w:szCs w:val="24"/>
        </w:rPr>
        <w:tab/>
        <w:t>The CSA Uses Energy Savings Estimates that are Not Known and Measureable</w:t>
      </w:r>
    </w:p>
    <w:p w:rsidR="00B95D38" w:rsidRPr="00B95D38" w:rsidRDefault="00B95D38" w:rsidP="00B31A27">
      <w:pPr>
        <w:keepNext/>
        <w:spacing w:after="0" w:line="240" w:lineRule="auto"/>
        <w:ind w:left="2160" w:hanging="720"/>
        <w:rPr>
          <w:rFonts w:ascii="Times New Roman" w:hAnsi="Times New Roman" w:cs="Times New Roman"/>
          <w:b/>
          <w:sz w:val="24"/>
          <w:szCs w:val="24"/>
        </w:rPr>
      </w:pPr>
    </w:p>
    <w:p w:rsidR="00AE2360" w:rsidRPr="00FA02D3" w:rsidRDefault="00FA02D3" w:rsidP="00FA02D3">
      <w:pPr>
        <w:pStyle w:val="ListParagraph"/>
        <w:numPr>
          <w:ilvl w:val="0"/>
          <w:numId w:val="1"/>
        </w:numPr>
        <w:spacing w:line="480" w:lineRule="auto"/>
        <w:rPr>
          <w:rFonts w:ascii="Times New Roman" w:hAnsi="Times New Roman"/>
          <w:sz w:val="24"/>
          <w:szCs w:val="24"/>
        </w:rPr>
      </w:pPr>
      <w:r>
        <w:rPr>
          <w:rFonts w:ascii="Times New Roman" w:hAnsi="Times New Roman"/>
          <w:sz w:val="24"/>
          <w:szCs w:val="24"/>
        </w:rPr>
        <w:tab/>
      </w:r>
      <w:r w:rsidR="00053711" w:rsidRPr="00FA02D3">
        <w:rPr>
          <w:rFonts w:ascii="Times New Roman" w:hAnsi="Times New Roman"/>
          <w:sz w:val="24"/>
          <w:szCs w:val="24"/>
        </w:rPr>
        <w:t xml:space="preserve">The CSA does not rely on “lost margin”, defined by the Commission as “a reduction in revenue during a rate-effective period due to a reduction in use, from the level of use determined using a modified historic test year in a general rate case.”  Instead, to identify the reduction </w:t>
      </w:r>
      <w:r w:rsidR="00F746D5" w:rsidRPr="00FA02D3">
        <w:rPr>
          <w:rFonts w:ascii="Times New Roman" w:hAnsi="Times New Roman"/>
          <w:sz w:val="24"/>
          <w:szCs w:val="24"/>
        </w:rPr>
        <w:t xml:space="preserve">in </w:t>
      </w:r>
      <w:r w:rsidR="000930CB" w:rsidRPr="00FA02D3">
        <w:rPr>
          <w:rFonts w:ascii="Times New Roman" w:hAnsi="Times New Roman"/>
          <w:sz w:val="24"/>
          <w:szCs w:val="24"/>
        </w:rPr>
        <w:t xml:space="preserve">use, PSE uses </w:t>
      </w:r>
      <w:r w:rsidR="00053711" w:rsidRPr="00FA02D3">
        <w:rPr>
          <w:rFonts w:ascii="Times New Roman" w:hAnsi="Times New Roman"/>
          <w:sz w:val="24"/>
          <w:szCs w:val="24"/>
        </w:rPr>
        <w:t xml:space="preserve">conservation savings </w:t>
      </w:r>
      <w:r w:rsidR="00F746D5" w:rsidRPr="00FA02D3">
        <w:rPr>
          <w:rFonts w:ascii="Times New Roman" w:hAnsi="Times New Roman"/>
          <w:sz w:val="24"/>
          <w:szCs w:val="24"/>
        </w:rPr>
        <w:t xml:space="preserve">estimates </w:t>
      </w:r>
      <w:r w:rsidR="00277F2A" w:rsidRPr="00FA02D3">
        <w:rPr>
          <w:rFonts w:ascii="Times New Roman" w:hAnsi="Times New Roman"/>
          <w:sz w:val="24"/>
          <w:szCs w:val="24"/>
        </w:rPr>
        <w:t xml:space="preserve">based on </w:t>
      </w:r>
      <w:r w:rsidR="00C36C9C">
        <w:rPr>
          <w:rFonts w:ascii="Times New Roman" w:hAnsi="Times New Roman"/>
          <w:sz w:val="24"/>
          <w:szCs w:val="24"/>
        </w:rPr>
        <w:t xml:space="preserve">the </w:t>
      </w:r>
      <w:r w:rsidR="00390190" w:rsidRPr="00FA02D3">
        <w:rPr>
          <w:rFonts w:ascii="Times New Roman" w:hAnsi="Times New Roman"/>
          <w:sz w:val="24"/>
          <w:szCs w:val="24"/>
        </w:rPr>
        <w:t>Regional Technical Forum (“RTF”) or other engineering sources</w:t>
      </w:r>
      <w:r w:rsidR="00053711" w:rsidRPr="00FA02D3">
        <w:rPr>
          <w:rFonts w:ascii="Times New Roman" w:hAnsi="Times New Roman"/>
          <w:sz w:val="24"/>
          <w:szCs w:val="24"/>
        </w:rPr>
        <w:t>.</w:t>
      </w:r>
      <w:r w:rsidR="00053711">
        <w:rPr>
          <w:rStyle w:val="FootnoteReference"/>
          <w:rFonts w:ascii="Times New Roman" w:hAnsi="Times New Roman"/>
          <w:sz w:val="24"/>
          <w:szCs w:val="24"/>
        </w:rPr>
        <w:footnoteReference w:id="353"/>
      </w:r>
      <w:r w:rsidR="00053711" w:rsidRPr="00FA02D3">
        <w:rPr>
          <w:rFonts w:ascii="Times New Roman" w:hAnsi="Times New Roman"/>
          <w:sz w:val="24"/>
          <w:szCs w:val="24"/>
        </w:rPr>
        <w:t xml:space="preserve">  Th</w:t>
      </w:r>
      <w:r w:rsidR="00C36C9C">
        <w:rPr>
          <w:rFonts w:ascii="Times New Roman" w:hAnsi="Times New Roman"/>
          <w:sz w:val="24"/>
          <w:szCs w:val="24"/>
        </w:rPr>
        <w:t>os</w:t>
      </w:r>
      <w:r w:rsidR="00053711" w:rsidRPr="00FA02D3">
        <w:rPr>
          <w:rFonts w:ascii="Times New Roman" w:hAnsi="Times New Roman"/>
          <w:sz w:val="24"/>
          <w:szCs w:val="24"/>
        </w:rPr>
        <w:t xml:space="preserve">e savings estimates have been </w:t>
      </w:r>
      <w:r w:rsidR="00AE2360" w:rsidRPr="00FA02D3">
        <w:rPr>
          <w:rFonts w:ascii="Times New Roman" w:hAnsi="Times New Roman"/>
          <w:sz w:val="24"/>
          <w:szCs w:val="24"/>
        </w:rPr>
        <w:t>u</w:t>
      </w:r>
      <w:r w:rsidR="005C0C08" w:rsidRPr="00FA02D3">
        <w:rPr>
          <w:rFonts w:ascii="Times New Roman" w:hAnsi="Times New Roman"/>
          <w:sz w:val="24"/>
          <w:szCs w:val="24"/>
        </w:rPr>
        <w:t xml:space="preserve">sed </w:t>
      </w:r>
      <w:r w:rsidR="00B95D38" w:rsidRPr="00FA02D3">
        <w:rPr>
          <w:rFonts w:ascii="Times New Roman" w:hAnsi="Times New Roman"/>
          <w:sz w:val="24"/>
          <w:szCs w:val="24"/>
        </w:rPr>
        <w:t>for program planning</w:t>
      </w:r>
      <w:r w:rsidR="00277F2A" w:rsidRPr="00FA02D3">
        <w:rPr>
          <w:rFonts w:ascii="Times New Roman" w:hAnsi="Times New Roman"/>
          <w:sz w:val="24"/>
          <w:szCs w:val="24"/>
        </w:rPr>
        <w:t xml:space="preserve"> and </w:t>
      </w:r>
      <w:r w:rsidR="000930CB" w:rsidRPr="00FA02D3">
        <w:rPr>
          <w:rFonts w:ascii="Times New Roman" w:hAnsi="Times New Roman"/>
          <w:sz w:val="24"/>
          <w:szCs w:val="24"/>
        </w:rPr>
        <w:t xml:space="preserve">conservation </w:t>
      </w:r>
      <w:r w:rsidR="00277F2A" w:rsidRPr="00FA02D3">
        <w:rPr>
          <w:rFonts w:ascii="Times New Roman" w:hAnsi="Times New Roman"/>
          <w:sz w:val="24"/>
          <w:szCs w:val="24"/>
        </w:rPr>
        <w:t>target setting</w:t>
      </w:r>
      <w:r w:rsidR="00C95D96">
        <w:rPr>
          <w:rFonts w:ascii="Times New Roman" w:hAnsi="Times New Roman"/>
          <w:sz w:val="24"/>
          <w:szCs w:val="24"/>
        </w:rPr>
        <w:t xml:space="preserve"> under RCW 19.285.040(1)(e)</w:t>
      </w:r>
      <w:r w:rsidR="00AE2360" w:rsidRPr="00FA02D3">
        <w:rPr>
          <w:rFonts w:ascii="Times New Roman" w:hAnsi="Times New Roman"/>
          <w:sz w:val="24"/>
          <w:szCs w:val="24"/>
        </w:rPr>
        <w:t>.  The</w:t>
      </w:r>
      <w:r w:rsidR="00547054">
        <w:rPr>
          <w:rFonts w:ascii="Times New Roman" w:hAnsi="Times New Roman"/>
          <w:sz w:val="24"/>
          <w:szCs w:val="24"/>
        </w:rPr>
        <w:t>y have been acceptable</w:t>
      </w:r>
      <w:r w:rsidR="00F746D5" w:rsidRPr="00FA02D3">
        <w:rPr>
          <w:rFonts w:ascii="Times New Roman" w:hAnsi="Times New Roman"/>
          <w:sz w:val="24"/>
          <w:szCs w:val="24"/>
        </w:rPr>
        <w:t xml:space="preserve"> </w:t>
      </w:r>
      <w:r w:rsidR="00F7702D">
        <w:rPr>
          <w:rFonts w:ascii="Times New Roman" w:hAnsi="Times New Roman"/>
          <w:sz w:val="24"/>
          <w:szCs w:val="24"/>
        </w:rPr>
        <w:t>for those</w:t>
      </w:r>
      <w:r w:rsidR="00AE2360" w:rsidRPr="00FA02D3">
        <w:rPr>
          <w:rFonts w:ascii="Times New Roman" w:hAnsi="Times New Roman"/>
          <w:sz w:val="24"/>
          <w:szCs w:val="24"/>
        </w:rPr>
        <w:t xml:space="preserve"> pu</w:t>
      </w:r>
      <w:r w:rsidR="00B95D38" w:rsidRPr="00FA02D3">
        <w:rPr>
          <w:rFonts w:ascii="Times New Roman" w:hAnsi="Times New Roman"/>
          <w:sz w:val="24"/>
          <w:szCs w:val="24"/>
        </w:rPr>
        <w:t>rpose</w:t>
      </w:r>
      <w:r w:rsidR="00F7702D">
        <w:rPr>
          <w:rFonts w:ascii="Times New Roman" w:hAnsi="Times New Roman"/>
          <w:sz w:val="24"/>
          <w:szCs w:val="24"/>
        </w:rPr>
        <w:t>s</w:t>
      </w:r>
      <w:r w:rsidR="00AE2360" w:rsidRPr="00FA02D3">
        <w:rPr>
          <w:rFonts w:ascii="Times New Roman" w:hAnsi="Times New Roman"/>
          <w:sz w:val="24"/>
          <w:szCs w:val="24"/>
        </w:rPr>
        <w:t xml:space="preserve"> </w:t>
      </w:r>
      <w:r w:rsidR="00B95D38" w:rsidRPr="00FA02D3">
        <w:rPr>
          <w:rFonts w:ascii="Times New Roman" w:hAnsi="Times New Roman"/>
          <w:sz w:val="24"/>
          <w:szCs w:val="24"/>
        </w:rPr>
        <w:t xml:space="preserve">because </w:t>
      </w:r>
      <w:r w:rsidR="00AE2360" w:rsidRPr="00FA02D3">
        <w:rPr>
          <w:rFonts w:ascii="Times New Roman" w:hAnsi="Times New Roman"/>
          <w:sz w:val="24"/>
          <w:szCs w:val="24"/>
        </w:rPr>
        <w:t xml:space="preserve">cost-effectiveness </w:t>
      </w:r>
      <w:r w:rsidR="00B95D38" w:rsidRPr="00FA02D3">
        <w:rPr>
          <w:rFonts w:ascii="Times New Roman" w:hAnsi="Times New Roman"/>
          <w:sz w:val="24"/>
          <w:szCs w:val="24"/>
        </w:rPr>
        <w:t>calculations have shown them to be</w:t>
      </w:r>
      <w:r w:rsidR="00AE2360" w:rsidRPr="00FA02D3">
        <w:rPr>
          <w:rFonts w:ascii="Times New Roman" w:hAnsi="Times New Roman"/>
          <w:sz w:val="24"/>
          <w:szCs w:val="24"/>
        </w:rPr>
        <w:t xml:space="preserve"> conservative enough to concl</w:t>
      </w:r>
      <w:r w:rsidR="00F7702D">
        <w:rPr>
          <w:rFonts w:ascii="Times New Roman" w:hAnsi="Times New Roman"/>
          <w:sz w:val="24"/>
          <w:szCs w:val="24"/>
        </w:rPr>
        <w:t>ude that particular measures, on average, contribute</w:t>
      </w:r>
      <w:r w:rsidR="00AE2360" w:rsidRPr="00FA02D3">
        <w:rPr>
          <w:rFonts w:ascii="Times New Roman" w:hAnsi="Times New Roman"/>
          <w:sz w:val="24"/>
          <w:szCs w:val="24"/>
        </w:rPr>
        <w:t xml:space="preserve"> savings to the program.</w:t>
      </w:r>
      <w:r w:rsidR="00AE2360">
        <w:rPr>
          <w:rStyle w:val="FootnoteReference"/>
          <w:rFonts w:ascii="Times New Roman" w:hAnsi="Times New Roman"/>
          <w:sz w:val="24"/>
          <w:szCs w:val="24"/>
        </w:rPr>
        <w:footnoteReference w:id="354"/>
      </w:r>
      <w:r w:rsidR="00AE2360" w:rsidRPr="00FA02D3">
        <w:rPr>
          <w:rFonts w:ascii="Times New Roman" w:hAnsi="Times New Roman"/>
          <w:sz w:val="24"/>
          <w:szCs w:val="24"/>
        </w:rPr>
        <w:t xml:space="preserve">  </w:t>
      </w:r>
    </w:p>
    <w:p w:rsidR="007545F7" w:rsidRDefault="00FA02D3" w:rsidP="00FA02D3">
      <w:pPr>
        <w:pStyle w:val="BodyTextIndent"/>
        <w:numPr>
          <w:ilvl w:val="0"/>
          <w:numId w:val="1"/>
        </w:numPr>
        <w:tabs>
          <w:tab w:val="left" w:pos="-1440"/>
        </w:tabs>
      </w:pPr>
      <w:r>
        <w:lastRenderedPageBreak/>
        <w:tab/>
      </w:r>
      <w:r w:rsidR="00F7702D">
        <w:t xml:space="preserve">However, </w:t>
      </w:r>
      <w:r w:rsidR="002D2C60">
        <w:t>the Company agreed that many factors</w:t>
      </w:r>
      <w:r w:rsidR="00E969C8" w:rsidRPr="00E969C8">
        <w:t xml:space="preserve"> </w:t>
      </w:r>
      <w:r w:rsidR="00E969C8">
        <w:t>beyond conservation</w:t>
      </w:r>
      <w:r w:rsidR="002D2C60">
        <w:t>, such as weather or the economy, influence test-period load.</w:t>
      </w:r>
      <w:r w:rsidR="002D2C60">
        <w:rPr>
          <w:rStyle w:val="FootnoteReference"/>
        </w:rPr>
        <w:footnoteReference w:id="355"/>
      </w:r>
      <w:r w:rsidR="002D2C60">
        <w:t xml:space="preserve">  Therefore, </w:t>
      </w:r>
      <w:r w:rsidR="00F7702D">
        <w:t>t</w:t>
      </w:r>
      <w:r w:rsidR="00AE2360" w:rsidRPr="00AE2360">
        <w:t xml:space="preserve">he </w:t>
      </w:r>
      <w:r w:rsidR="00AE2360">
        <w:t xml:space="preserve">savings </w:t>
      </w:r>
      <w:r w:rsidR="00AE2360" w:rsidRPr="00AE2360">
        <w:t xml:space="preserve">estimates </w:t>
      </w:r>
      <w:r w:rsidR="002D2C60">
        <w:t xml:space="preserve">upon which the CSA relies </w:t>
      </w:r>
      <w:r w:rsidR="00F7702D">
        <w:t xml:space="preserve">are not </w:t>
      </w:r>
      <w:r w:rsidR="002D2C60">
        <w:t>“</w:t>
      </w:r>
      <w:r w:rsidR="00F7702D">
        <w:t>known and measurable</w:t>
      </w:r>
      <w:r w:rsidR="002D2C60">
        <w:t>”</w:t>
      </w:r>
      <w:r w:rsidR="00F7702D">
        <w:t xml:space="preserve"> because they do not </w:t>
      </w:r>
      <w:r w:rsidR="00AE2360" w:rsidRPr="00AE2360">
        <w:t xml:space="preserve">represent </w:t>
      </w:r>
      <w:r w:rsidR="002D2C60">
        <w:t>what actually happens</w:t>
      </w:r>
      <w:r w:rsidR="0095151E">
        <w:t xml:space="preserve"> after </w:t>
      </w:r>
      <w:r w:rsidR="00C36C9C">
        <w:t xml:space="preserve">an </w:t>
      </w:r>
      <w:r w:rsidR="0095151E">
        <w:t>efficiency measure</w:t>
      </w:r>
      <w:r w:rsidR="00C36C9C">
        <w:t xml:space="preserve"> is installed</w:t>
      </w:r>
      <w:r w:rsidR="0095151E">
        <w:t>.</w:t>
      </w:r>
      <w:r w:rsidR="00F7702D">
        <w:rPr>
          <w:rStyle w:val="FootnoteReference"/>
        </w:rPr>
        <w:footnoteReference w:id="356"/>
      </w:r>
      <w:r w:rsidR="0095151E">
        <w:t xml:space="preserve">  </w:t>
      </w:r>
      <w:r w:rsidR="002D2C60">
        <w:t>A</w:t>
      </w:r>
      <w:r w:rsidR="00AE2360">
        <w:t>s Ms. Reynolds stated</w:t>
      </w:r>
      <w:r w:rsidR="007545F7">
        <w:t xml:space="preserve">, “the Company’s CSA </w:t>
      </w:r>
      <w:r w:rsidR="00AE2360">
        <w:t>is calculated with a precision that is not justified by the underlying data.</w:t>
      </w:r>
      <w:r w:rsidR="00AE2360" w:rsidRPr="007545F7">
        <w:rPr>
          <w:vertAlign w:val="superscript"/>
        </w:rPr>
        <w:footnoteReference w:id="357"/>
      </w:r>
      <w:r w:rsidR="00C95D96">
        <w:t xml:space="preserve">  </w:t>
      </w:r>
      <w:r w:rsidR="007545F7">
        <w:rPr>
          <w:vertAlign w:val="superscript"/>
        </w:rPr>
        <w:t xml:space="preserve"> </w:t>
      </w:r>
    </w:p>
    <w:p w:rsidR="00390190" w:rsidRDefault="00FA02D3" w:rsidP="00FA02D3">
      <w:pPr>
        <w:pStyle w:val="BodyTextIndent"/>
        <w:numPr>
          <w:ilvl w:val="0"/>
          <w:numId w:val="1"/>
        </w:numPr>
        <w:tabs>
          <w:tab w:val="left" w:pos="-1440"/>
        </w:tabs>
      </w:pPr>
      <w:r>
        <w:tab/>
      </w:r>
      <w:r w:rsidR="00492EDE">
        <w:t>The Company agreed that the verac</w:t>
      </w:r>
      <w:r w:rsidR="00390190">
        <w:t>ity of the savings estimates is</w:t>
      </w:r>
      <w:r w:rsidR="00744619">
        <w:t xml:space="preserve"> critical to</w:t>
      </w:r>
      <w:r w:rsidR="00492EDE">
        <w:t xml:space="preserve"> getting the CSA rate correct.</w:t>
      </w:r>
      <w:r w:rsidR="00492EDE">
        <w:rPr>
          <w:rStyle w:val="FootnoteReference"/>
        </w:rPr>
        <w:footnoteReference w:id="358"/>
      </w:r>
      <w:r w:rsidR="00492EDE">
        <w:t xml:space="preserve">  </w:t>
      </w:r>
      <w:r w:rsidR="00C36C9C">
        <w:t>Nevertheless</w:t>
      </w:r>
      <w:r w:rsidR="00390190">
        <w:t xml:space="preserve">, </w:t>
      </w:r>
      <w:r w:rsidR="00C36C9C">
        <w:t xml:space="preserve">PSE </w:t>
      </w:r>
      <w:r w:rsidR="00492EDE">
        <w:t xml:space="preserve">acknowledged that the CSA does not take into account </w:t>
      </w:r>
      <w:r w:rsidR="00C36C9C">
        <w:t>a</w:t>
      </w:r>
      <w:r w:rsidR="00492EDE">
        <w:t>ctual customer behavior with conservation measures.</w:t>
      </w:r>
      <w:r w:rsidR="00492EDE">
        <w:rPr>
          <w:rStyle w:val="FootnoteReference"/>
        </w:rPr>
        <w:footnoteReference w:id="359"/>
      </w:r>
      <w:r w:rsidR="00492EDE">
        <w:t xml:space="preserve">  </w:t>
      </w:r>
      <w:r w:rsidR="00390190">
        <w:t>Nor does the Company reevaluate savings estimates from prior periods reflected in the CSA calculation.</w:t>
      </w:r>
      <w:r w:rsidR="00390190">
        <w:rPr>
          <w:rStyle w:val="FootnoteReference"/>
        </w:rPr>
        <w:footnoteReference w:id="360"/>
      </w:r>
    </w:p>
    <w:p w:rsidR="0063076F" w:rsidRDefault="00FA02D3" w:rsidP="00547054">
      <w:pPr>
        <w:pStyle w:val="BodyTextIndent"/>
        <w:numPr>
          <w:ilvl w:val="0"/>
          <w:numId w:val="1"/>
        </w:numPr>
        <w:tabs>
          <w:tab w:val="left" w:pos="-1440"/>
        </w:tabs>
      </w:pPr>
      <w:r>
        <w:tab/>
      </w:r>
      <w:r w:rsidR="00547054">
        <w:t>T</w:t>
      </w:r>
      <w:r w:rsidR="006E01E6">
        <w:t xml:space="preserve">he Company </w:t>
      </w:r>
      <w:r w:rsidR="00547054">
        <w:t xml:space="preserve">also </w:t>
      </w:r>
      <w:r w:rsidR="006E01E6" w:rsidRPr="006E01E6">
        <w:t>failed to provide any evidence concerning the reliability of its conservation savings in its direct case</w:t>
      </w:r>
      <w:r w:rsidR="006E01E6">
        <w:t>.  Only on rebuttal does PSE argue that the savings estimates are subject to extensive “Evaluation, Measurement and Verification” (“EM</w:t>
      </w:r>
      <w:r w:rsidR="00A74DB3">
        <w:t>&amp;</w:t>
      </w:r>
      <w:r w:rsidR="006E01E6">
        <w:t>V”)</w:t>
      </w:r>
      <w:r w:rsidR="006E01E6" w:rsidRPr="006E01E6">
        <w:t xml:space="preserve"> </w:t>
      </w:r>
      <w:r w:rsidR="006E01E6">
        <w:t xml:space="preserve">that, </w:t>
      </w:r>
      <w:r w:rsidR="00B45A4F">
        <w:t>“</w:t>
      </w:r>
      <w:r w:rsidR="005D7538">
        <w:t>on average</w:t>
      </w:r>
      <w:r w:rsidR="00B45A4F">
        <w:t>”</w:t>
      </w:r>
      <w:r w:rsidR="005D7538">
        <w:t xml:space="preserve">, ensures that the estimates are </w:t>
      </w:r>
      <w:r w:rsidR="00744619">
        <w:t>“precise”</w:t>
      </w:r>
      <w:r w:rsidR="005D7538">
        <w:t>.</w:t>
      </w:r>
      <w:r w:rsidR="005D7538" w:rsidRPr="0063076F">
        <w:rPr>
          <w:vertAlign w:val="superscript"/>
        </w:rPr>
        <w:footnoteReference w:id="361"/>
      </w:r>
      <w:r w:rsidR="0063076F" w:rsidRPr="0063076F">
        <w:t xml:space="preserve"> </w:t>
      </w:r>
      <w:r w:rsidR="00C95D96">
        <w:t xml:space="preserve"> </w:t>
      </w:r>
      <w:r w:rsidR="00547054">
        <w:t>However, t</w:t>
      </w:r>
      <w:r w:rsidR="0063076F">
        <w:t>h</w:t>
      </w:r>
      <w:r w:rsidR="00547054">
        <w:t xml:space="preserve">e Company </w:t>
      </w:r>
      <w:r w:rsidR="0063076F">
        <w:t>gloss</w:t>
      </w:r>
      <w:r w:rsidR="00C95D96">
        <w:t>es</w:t>
      </w:r>
      <w:r w:rsidR="0063076F">
        <w:t xml:space="preserve"> over the fact that an independent third party review </w:t>
      </w:r>
      <w:r w:rsidR="00547054">
        <w:t xml:space="preserve">of </w:t>
      </w:r>
      <w:r w:rsidR="00A74DB3">
        <w:t>PSE’s savings estima</w:t>
      </w:r>
      <w:r w:rsidR="00744619">
        <w:t xml:space="preserve">tes and EM&amp;V practices made </w:t>
      </w:r>
      <w:r w:rsidR="00A74DB3">
        <w:t>several recommendations for improvements that were already apparent to PSE, especially with respect to tracking and reporting practices and measure installation verification.</w:t>
      </w:r>
      <w:r w:rsidR="00A74DB3">
        <w:rPr>
          <w:rStyle w:val="FootnoteReference"/>
        </w:rPr>
        <w:footnoteReference w:id="362"/>
      </w:r>
      <w:r w:rsidR="00C95D96">
        <w:t xml:space="preserve">  </w:t>
      </w:r>
      <w:r w:rsidR="0063076F">
        <w:t xml:space="preserve"> </w:t>
      </w:r>
    </w:p>
    <w:p w:rsidR="005C0C08" w:rsidRDefault="00FA02D3" w:rsidP="00FA02D3">
      <w:pPr>
        <w:pStyle w:val="BodyTextIndent"/>
        <w:numPr>
          <w:ilvl w:val="0"/>
          <w:numId w:val="1"/>
        </w:numPr>
        <w:tabs>
          <w:tab w:val="left" w:pos="-1440"/>
        </w:tabs>
      </w:pPr>
      <w:r>
        <w:tab/>
      </w:r>
      <w:r w:rsidR="005C0C08">
        <w:t>More important, the Compa</w:t>
      </w:r>
      <w:r w:rsidR="00547054">
        <w:t xml:space="preserve">ny </w:t>
      </w:r>
      <w:r w:rsidR="005C0C08">
        <w:t>miss</w:t>
      </w:r>
      <w:r w:rsidR="00547054">
        <w:t>es</w:t>
      </w:r>
      <w:r w:rsidR="005C0C08">
        <w:t xml:space="preserve"> the point.  The engineering estimates used in the conservation program</w:t>
      </w:r>
      <w:r w:rsidR="00225098">
        <w:t>s</w:t>
      </w:r>
      <w:r w:rsidR="005C0C08">
        <w:t xml:space="preserve"> are appropriate for their </w:t>
      </w:r>
      <w:r w:rsidR="00225098">
        <w:t>intended purpose</w:t>
      </w:r>
      <w:r w:rsidR="00B45A4F">
        <w:t xml:space="preserve">: </w:t>
      </w:r>
      <w:r w:rsidR="00225098">
        <w:t xml:space="preserve"> a guide for </w:t>
      </w:r>
      <w:r w:rsidR="005C0C08">
        <w:t xml:space="preserve">decision </w:t>
      </w:r>
      <w:r w:rsidR="00225098">
        <w:t xml:space="preserve">making </w:t>
      </w:r>
      <w:r w:rsidR="00F746D5">
        <w:lastRenderedPageBreak/>
        <w:t>about which resource</w:t>
      </w:r>
      <w:r w:rsidR="005C0C08">
        <w:t xml:space="preserve"> to purchase.</w:t>
      </w:r>
      <w:r w:rsidR="005C0C08">
        <w:rPr>
          <w:rStyle w:val="FootnoteReference"/>
        </w:rPr>
        <w:footnoteReference w:id="363"/>
      </w:r>
      <w:r w:rsidR="005C0C08">
        <w:t xml:space="preserve">  </w:t>
      </w:r>
      <w:r w:rsidR="00225098">
        <w:t>T</w:t>
      </w:r>
      <w:r w:rsidR="005C0C08">
        <w:t>hey were never intended to be used to identify a</w:t>
      </w:r>
      <w:r w:rsidR="00E504D7">
        <w:t>ctual impacts on load.  They were</w:t>
      </w:r>
      <w:r w:rsidR="005C0C08">
        <w:t xml:space="preserve"> intended only to identify what the energy savings would be if conditions were normal.</w:t>
      </w:r>
      <w:r w:rsidR="005C0C08">
        <w:rPr>
          <w:rStyle w:val="FootnoteReference"/>
        </w:rPr>
        <w:footnoteReference w:id="364"/>
      </w:r>
      <w:r w:rsidR="005C0C08">
        <w:t xml:space="preserve"> </w:t>
      </w:r>
      <w:r w:rsidR="00225098">
        <w:t xml:space="preserve"> Thus, </w:t>
      </w:r>
      <w:r w:rsidR="00605D8F">
        <w:t>they are inadequate for measuring</w:t>
      </w:r>
      <w:r w:rsidR="00225098" w:rsidRPr="000A1C58">
        <w:t xml:space="preserve"> changes in use between a general rate case period a</w:t>
      </w:r>
      <w:r w:rsidR="00605D8F">
        <w:t xml:space="preserve">nd a rate-effective period, as is </w:t>
      </w:r>
      <w:r w:rsidR="00C36C9C">
        <w:t>proposed</w:t>
      </w:r>
      <w:r w:rsidR="00605D8F">
        <w:t xml:space="preserve"> under the CSA.</w:t>
      </w:r>
    </w:p>
    <w:p w:rsidR="00605D8F" w:rsidRDefault="00FA02D3" w:rsidP="00FA02D3">
      <w:pPr>
        <w:pStyle w:val="BodyTextIndent"/>
        <w:numPr>
          <w:ilvl w:val="0"/>
          <w:numId w:val="1"/>
        </w:numPr>
        <w:tabs>
          <w:tab w:val="left" w:pos="-1440"/>
        </w:tabs>
      </w:pPr>
      <w:r>
        <w:tab/>
      </w:r>
      <w:r w:rsidR="00744619">
        <w:t xml:space="preserve">PSE </w:t>
      </w:r>
      <w:r w:rsidR="00605D8F">
        <w:t xml:space="preserve">was critical of Staff’s position because </w:t>
      </w:r>
      <w:r w:rsidR="00C36C9C">
        <w:t xml:space="preserve">Staff </w:t>
      </w:r>
      <w:r w:rsidR="00C95D96">
        <w:t xml:space="preserve">members attend PSE’s Conservation </w:t>
      </w:r>
      <w:r w:rsidR="00E504D7">
        <w:t>Resource Advisory Group</w:t>
      </w:r>
      <w:r w:rsidR="00C95D96">
        <w:t>, which has opportunities for “substantial input” into the framework of protocols for establishing conservation savings estimates.</w:t>
      </w:r>
      <w:r w:rsidR="00C95D96">
        <w:rPr>
          <w:rStyle w:val="FootnoteReference"/>
        </w:rPr>
        <w:footnoteReference w:id="365"/>
      </w:r>
      <w:r w:rsidR="00C95D96">
        <w:t xml:space="preserve">  However, Staff</w:t>
      </w:r>
      <w:r w:rsidR="00863594">
        <w:t>’s review</w:t>
      </w:r>
      <w:r w:rsidR="00C95D96">
        <w:t xml:space="preserve"> </w:t>
      </w:r>
      <w:r w:rsidR="00863594">
        <w:t xml:space="preserve">of </w:t>
      </w:r>
      <w:r w:rsidR="00E504D7">
        <w:t xml:space="preserve">actual </w:t>
      </w:r>
      <w:r w:rsidR="00605D8F">
        <w:t xml:space="preserve">tariff filings </w:t>
      </w:r>
      <w:r w:rsidR="00E21BCE">
        <w:t xml:space="preserve">focuses only on program delivery </w:t>
      </w:r>
      <w:r w:rsidR="00744619">
        <w:t xml:space="preserve">and whether PSE </w:t>
      </w:r>
      <w:r w:rsidR="00605D8F">
        <w:t>met its budget for program participation.  Staff do</w:t>
      </w:r>
      <w:r w:rsidR="005E36D6">
        <w:t xml:space="preserve">es not attempt to calculate </w:t>
      </w:r>
      <w:r w:rsidR="00605D8F">
        <w:t xml:space="preserve">energy savings actually achieved by </w:t>
      </w:r>
      <w:r w:rsidR="005E36D6">
        <w:t>a program</w:t>
      </w:r>
      <w:r w:rsidR="00605D8F">
        <w:t>.</w:t>
      </w:r>
      <w:r w:rsidR="00605D8F">
        <w:rPr>
          <w:rStyle w:val="FootnoteReference"/>
        </w:rPr>
        <w:footnoteReference w:id="366"/>
      </w:r>
      <w:r w:rsidR="00E21BCE">
        <w:t xml:space="preserve">  Likewise, the savings estimates used to set conservation</w:t>
      </w:r>
      <w:r w:rsidR="00C95D96">
        <w:t xml:space="preserve"> targets under RCW 19.285.040(1)(e)</w:t>
      </w:r>
      <w:r w:rsidR="00E21BCE">
        <w:t xml:space="preserve"> are not intended for ratemaking purposes.</w:t>
      </w:r>
      <w:r w:rsidR="00E21BCE">
        <w:rPr>
          <w:rStyle w:val="FootnoteReference"/>
        </w:rPr>
        <w:footnoteReference w:id="367"/>
      </w:r>
      <w:r w:rsidR="00827605">
        <w:t xml:space="preserve">  Finally, any analogy between the CSA an</w:t>
      </w:r>
      <w:r w:rsidR="00744619">
        <w:t xml:space="preserve">d Avista’s </w:t>
      </w:r>
      <w:r w:rsidR="00827605">
        <w:t>limited decoupli</w:t>
      </w:r>
      <w:r w:rsidR="00E504D7">
        <w:t xml:space="preserve">ng mechanism would fail </w:t>
      </w:r>
      <w:r w:rsidR="00827605">
        <w:t>because</w:t>
      </w:r>
      <w:r w:rsidR="00B45A4F">
        <w:t xml:space="preserve"> the Avista mechanism uses</w:t>
      </w:r>
      <w:r w:rsidR="00827605">
        <w:t xml:space="preserve"> actual load to increase or decrease the deferral amount.  The CSA, on the other hand, uses estimates to only increase revenue requirement and never </w:t>
      </w:r>
      <w:r w:rsidR="00B45A4F">
        <w:t xml:space="preserve">to </w:t>
      </w:r>
      <w:r w:rsidR="00827605">
        <w:t>decrease revenue requirement.</w:t>
      </w:r>
      <w:r w:rsidR="00827605">
        <w:rPr>
          <w:rStyle w:val="FootnoteReference"/>
        </w:rPr>
        <w:footnoteReference w:id="368"/>
      </w:r>
    </w:p>
    <w:p w:rsidR="008E7E89" w:rsidRDefault="00827605" w:rsidP="006D60A2">
      <w:pPr>
        <w:pStyle w:val="BodyTextIndent"/>
        <w:keepNext/>
        <w:tabs>
          <w:tab w:val="left" w:pos="-1440"/>
        </w:tabs>
        <w:ind w:left="1440"/>
        <w:rPr>
          <w:b/>
        </w:rPr>
      </w:pPr>
      <w:r w:rsidRPr="00053711">
        <w:rPr>
          <w:b/>
        </w:rPr>
        <w:t>2.</w:t>
      </w:r>
      <w:r w:rsidRPr="00053711">
        <w:rPr>
          <w:b/>
        </w:rPr>
        <w:tab/>
        <w:t>The CSA Inappropr</w:t>
      </w:r>
      <w:r w:rsidR="00863594">
        <w:rPr>
          <w:b/>
        </w:rPr>
        <w:t>iately Uses Savings Estimates Like</w:t>
      </w:r>
      <w:r w:rsidRPr="00053711">
        <w:rPr>
          <w:b/>
        </w:rPr>
        <w:t xml:space="preserve"> Billing Determinants</w:t>
      </w:r>
    </w:p>
    <w:p w:rsidR="00053711" w:rsidRDefault="00FA02D3" w:rsidP="00FA02D3">
      <w:pPr>
        <w:pStyle w:val="BodyTextIndent"/>
        <w:numPr>
          <w:ilvl w:val="0"/>
          <w:numId w:val="1"/>
        </w:numPr>
        <w:tabs>
          <w:tab w:val="left" w:pos="-1440"/>
        </w:tabs>
      </w:pPr>
      <w:r>
        <w:tab/>
      </w:r>
      <w:r w:rsidR="0073240B">
        <w:t>Generally speaking, a utility’s r</w:t>
      </w:r>
      <w:r w:rsidR="00863594">
        <w:t xml:space="preserve">evenue requirement can be represented </w:t>
      </w:r>
      <w:r w:rsidR="0073240B">
        <w:t>by multiplying billing determinants times a rate.</w:t>
      </w:r>
      <w:r w:rsidR="0073240B">
        <w:rPr>
          <w:rStyle w:val="FootnoteReference"/>
        </w:rPr>
        <w:footnoteReference w:id="369"/>
      </w:r>
      <w:r w:rsidR="0073240B">
        <w:t xml:space="preserve">  The billing determinants used in this process represent </w:t>
      </w:r>
      <w:r w:rsidR="00D84A15">
        <w:t xml:space="preserve">the </w:t>
      </w:r>
      <w:r w:rsidR="00D84A15">
        <w:lastRenderedPageBreak/>
        <w:t>entire population of applicable customers</w:t>
      </w:r>
      <w:r w:rsidR="0073240B">
        <w:t xml:space="preserve">.  They do not represent </w:t>
      </w:r>
      <w:r w:rsidR="00AB5D17">
        <w:t xml:space="preserve">only </w:t>
      </w:r>
      <w:r w:rsidR="0073240B">
        <w:t xml:space="preserve">a sample of </w:t>
      </w:r>
      <w:r w:rsidR="00AB5D17">
        <w:t>the</w:t>
      </w:r>
      <w:r w:rsidR="00D84A15">
        <w:t xml:space="preserve"> population</w:t>
      </w:r>
      <w:r w:rsidR="0073240B">
        <w:t>.</w:t>
      </w:r>
      <w:r w:rsidR="0073240B">
        <w:rPr>
          <w:rStyle w:val="FootnoteReference"/>
        </w:rPr>
        <w:footnoteReference w:id="370"/>
      </w:r>
    </w:p>
    <w:p w:rsidR="0073240B" w:rsidRDefault="00FA02D3" w:rsidP="00FA02D3">
      <w:pPr>
        <w:pStyle w:val="BodyTextIndent"/>
        <w:numPr>
          <w:ilvl w:val="0"/>
          <w:numId w:val="1"/>
        </w:numPr>
        <w:tabs>
          <w:tab w:val="left" w:pos="-1440"/>
        </w:tabs>
      </w:pPr>
      <w:r>
        <w:tab/>
      </w:r>
      <w:r w:rsidR="0073240B">
        <w:t>In contras</w:t>
      </w:r>
      <w:r w:rsidR="005E36D6">
        <w:t xml:space="preserve">t, the revenue requirement </w:t>
      </w:r>
      <w:r w:rsidR="0073240B">
        <w:t xml:space="preserve">the Company develops under the CSA is based </w:t>
      </w:r>
      <w:r w:rsidR="00D84A15">
        <w:t xml:space="preserve">upon engineering estimates </w:t>
      </w:r>
      <w:r w:rsidR="0073240B">
        <w:t>represent</w:t>
      </w:r>
      <w:r w:rsidR="00D84A15">
        <w:t>ing</w:t>
      </w:r>
      <w:r w:rsidR="0073240B">
        <w:t xml:space="preserve"> </w:t>
      </w:r>
      <w:r w:rsidR="006448C9">
        <w:t xml:space="preserve">only </w:t>
      </w:r>
      <w:r w:rsidR="0073240B">
        <w:t xml:space="preserve">a sample </w:t>
      </w:r>
      <w:r w:rsidR="006448C9">
        <w:t xml:space="preserve">of the </w:t>
      </w:r>
      <w:r w:rsidR="0073240B">
        <w:t>population</w:t>
      </w:r>
      <w:r w:rsidR="00D84A15">
        <w:t xml:space="preserve"> of installations.</w:t>
      </w:r>
      <w:r w:rsidR="00D84A15">
        <w:rPr>
          <w:rStyle w:val="FootnoteReference"/>
        </w:rPr>
        <w:footnoteReference w:id="371"/>
      </w:r>
      <w:r w:rsidR="00D84A15">
        <w:t xml:space="preserve">  For example, the RTF estimate of savings from</w:t>
      </w:r>
      <w:r w:rsidR="006448C9">
        <w:t xml:space="preserve"> commercial power strips </w:t>
      </w:r>
      <w:r w:rsidR="00D84A15">
        <w:t>used a sample of only</w:t>
      </w:r>
      <w:r w:rsidR="006448C9">
        <w:t xml:space="preserve"> 250</w:t>
      </w:r>
      <w:r w:rsidR="00D84A15">
        <w:t xml:space="preserve"> installations.</w:t>
      </w:r>
      <w:r w:rsidR="00D84A15">
        <w:rPr>
          <w:rStyle w:val="FootnoteReference"/>
        </w:rPr>
        <w:footnoteReference w:id="372"/>
      </w:r>
      <w:r w:rsidR="00D84A15">
        <w:t xml:space="preserve">  </w:t>
      </w:r>
      <w:r w:rsidR="006448C9">
        <w:t>As a result, the estimates are not signi</w:t>
      </w:r>
      <w:r w:rsidR="00D84A15">
        <w:t xml:space="preserve">ficant statistically and </w:t>
      </w:r>
      <w:r w:rsidR="006448C9">
        <w:t>cannot be extrapolated beyond the study population to th</w:t>
      </w:r>
      <w:r w:rsidR="00D84A15">
        <w:t xml:space="preserve">e entire population of </w:t>
      </w:r>
      <w:r w:rsidR="006448C9">
        <w:t>customers</w:t>
      </w:r>
      <w:r w:rsidR="00D84A15">
        <w:t xml:space="preserve"> who installed that measure</w:t>
      </w:r>
      <w:r w:rsidR="006448C9">
        <w:t>.</w:t>
      </w:r>
      <w:r w:rsidR="006448C9">
        <w:rPr>
          <w:rStyle w:val="FootnoteReference"/>
        </w:rPr>
        <w:footnoteReference w:id="373"/>
      </w:r>
      <w:r w:rsidR="006448C9">
        <w:t xml:space="preserve">  </w:t>
      </w:r>
      <w:r w:rsidR="005E36D6">
        <w:t>Thus, t</w:t>
      </w:r>
      <w:r w:rsidR="00CB0428">
        <w:t>hey cannot be used to develop a</w:t>
      </w:r>
      <w:r w:rsidR="005E36D6">
        <w:t xml:space="preserve"> revenue requirement as </w:t>
      </w:r>
      <w:r w:rsidR="00CB0428">
        <w:t>PSE proposes.</w:t>
      </w:r>
    </w:p>
    <w:p w:rsidR="00CB0428" w:rsidRPr="00CB0428" w:rsidRDefault="007D3D53" w:rsidP="00FA02D3">
      <w:pPr>
        <w:pStyle w:val="BodyTextIndent"/>
        <w:keepNext/>
        <w:tabs>
          <w:tab w:val="left" w:pos="-1440"/>
        </w:tabs>
        <w:ind w:left="0" w:firstLine="0"/>
        <w:rPr>
          <w:b/>
        </w:rPr>
      </w:pPr>
      <w:r>
        <w:tab/>
      </w:r>
      <w:r w:rsidR="00CB0428" w:rsidRPr="00CB0428">
        <w:rPr>
          <w:b/>
        </w:rPr>
        <w:t>3.</w:t>
      </w:r>
      <w:r w:rsidR="00CB0428" w:rsidRPr="00CB0428">
        <w:rPr>
          <w:b/>
        </w:rPr>
        <w:tab/>
        <w:t>The CSA Will</w:t>
      </w:r>
      <w:r w:rsidR="00CB0428">
        <w:rPr>
          <w:b/>
        </w:rPr>
        <w:t xml:space="preserve"> </w:t>
      </w:r>
      <w:r w:rsidR="00CB0428" w:rsidRPr="00CB0428">
        <w:rPr>
          <w:b/>
        </w:rPr>
        <w:t>Result in Automatic Rate Increases</w:t>
      </w:r>
    </w:p>
    <w:p w:rsidR="004A1576" w:rsidRDefault="00FA02D3" w:rsidP="00FA02D3">
      <w:pPr>
        <w:pStyle w:val="BodyTextIndent"/>
        <w:numPr>
          <w:ilvl w:val="0"/>
          <w:numId w:val="1"/>
        </w:numPr>
        <w:tabs>
          <w:tab w:val="left" w:pos="-1440"/>
        </w:tabs>
      </w:pPr>
      <w:r>
        <w:tab/>
      </w:r>
      <w:r w:rsidR="00CB0428">
        <w:t xml:space="preserve">The CSA </w:t>
      </w:r>
      <w:r w:rsidR="002358A0">
        <w:t xml:space="preserve">effectively accepts </w:t>
      </w:r>
      <w:r w:rsidR="00A5715F">
        <w:t xml:space="preserve">as lost revenue for PSE </w:t>
      </w:r>
      <w:r w:rsidR="002358A0">
        <w:t>the impacts of prospective conservation under ideal engineering standards</w:t>
      </w:r>
      <w:r w:rsidR="00804682">
        <w:t xml:space="preserve">.  Thus, </w:t>
      </w:r>
      <w:r w:rsidR="004A1576">
        <w:t>if</w:t>
      </w:r>
      <w:r w:rsidR="00F746D5">
        <w:t xml:space="preserve"> the Commission accepts the tariff for calculating the annual program surcharge, it sets in stone the deferred amount of revenue for both electric and natural gas operations that PSE will be allowed to recognize as earnings.  </w:t>
      </w:r>
    </w:p>
    <w:p w:rsidR="00CB0428" w:rsidRDefault="004A1576" w:rsidP="00FA02D3">
      <w:pPr>
        <w:pStyle w:val="BodyTextIndent"/>
        <w:numPr>
          <w:ilvl w:val="0"/>
          <w:numId w:val="1"/>
        </w:numPr>
        <w:tabs>
          <w:tab w:val="left" w:pos="-1440"/>
        </w:tabs>
      </w:pPr>
      <w:r>
        <w:tab/>
      </w:r>
      <w:r w:rsidR="002358A0">
        <w:t>As a</w:t>
      </w:r>
      <w:r w:rsidR="00D3454A">
        <w:t xml:space="preserve"> result, the CSA will result in </w:t>
      </w:r>
      <w:r w:rsidR="002358A0" w:rsidRPr="005E5255">
        <w:t>annual</w:t>
      </w:r>
      <w:r w:rsidR="002358A0">
        <w:t>, automatic rate increases</w:t>
      </w:r>
      <w:r w:rsidR="002358A0" w:rsidRPr="005E5255">
        <w:t xml:space="preserve"> for </w:t>
      </w:r>
      <w:r w:rsidR="00D3454A">
        <w:t>both electric and gas service</w:t>
      </w:r>
      <w:r w:rsidR="002358A0" w:rsidRPr="005E5255">
        <w:t>.</w:t>
      </w:r>
      <w:r w:rsidR="002358A0">
        <w:rPr>
          <w:rStyle w:val="FootnoteReference"/>
        </w:rPr>
        <w:footnoteReference w:id="374"/>
      </w:r>
      <w:r>
        <w:t xml:space="preserve">  Staff recommends that the Commission reject a process that institutionalizes rate increases for customers without ongoing oversight by the Commission.</w:t>
      </w:r>
    </w:p>
    <w:p w:rsidR="00863594" w:rsidRPr="009D28F4" w:rsidRDefault="00EA49B0" w:rsidP="006D60A2">
      <w:pPr>
        <w:pStyle w:val="ListParagraph"/>
        <w:keepNext/>
        <w:spacing w:line="480" w:lineRule="auto"/>
        <w:ind w:hanging="720"/>
        <w:rPr>
          <w:rFonts w:ascii="Times New Roman" w:hAnsi="Times New Roman"/>
          <w:b/>
          <w:sz w:val="24"/>
          <w:szCs w:val="24"/>
        </w:rPr>
      </w:pPr>
      <w:r>
        <w:rPr>
          <w:rFonts w:ascii="Times New Roman" w:hAnsi="Times New Roman"/>
          <w:b/>
          <w:sz w:val="24"/>
          <w:szCs w:val="24"/>
        </w:rPr>
        <w:t>D</w:t>
      </w:r>
      <w:r w:rsidR="00863594" w:rsidRPr="009D28F4">
        <w:rPr>
          <w:rFonts w:ascii="Times New Roman" w:hAnsi="Times New Roman"/>
          <w:b/>
          <w:sz w:val="24"/>
          <w:szCs w:val="24"/>
        </w:rPr>
        <w:t>.</w:t>
      </w:r>
      <w:r w:rsidR="00863594" w:rsidRPr="009D28F4">
        <w:rPr>
          <w:rFonts w:ascii="Times New Roman" w:hAnsi="Times New Roman"/>
          <w:b/>
          <w:sz w:val="24"/>
          <w:szCs w:val="24"/>
        </w:rPr>
        <w:tab/>
      </w:r>
      <w:r w:rsidR="00863594">
        <w:rPr>
          <w:rFonts w:ascii="Times New Roman" w:hAnsi="Times New Roman"/>
          <w:b/>
          <w:sz w:val="24"/>
          <w:szCs w:val="24"/>
        </w:rPr>
        <w:t>NWEC’s Decoupling Proposal</w:t>
      </w:r>
      <w:r w:rsidR="00863594" w:rsidRPr="009D28F4">
        <w:rPr>
          <w:rFonts w:ascii="Times New Roman" w:hAnsi="Times New Roman"/>
          <w:b/>
          <w:sz w:val="24"/>
          <w:szCs w:val="24"/>
        </w:rPr>
        <w:t xml:space="preserve"> Contains Si</w:t>
      </w:r>
      <w:r w:rsidR="00863594">
        <w:rPr>
          <w:rFonts w:ascii="Times New Roman" w:hAnsi="Times New Roman"/>
          <w:b/>
          <w:sz w:val="24"/>
          <w:szCs w:val="24"/>
        </w:rPr>
        <w:t>gnificant Flaws that Warrant</w:t>
      </w:r>
      <w:r w:rsidR="00863594" w:rsidRPr="009D28F4">
        <w:rPr>
          <w:rFonts w:ascii="Times New Roman" w:hAnsi="Times New Roman"/>
          <w:b/>
          <w:sz w:val="24"/>
          <w:szCs w:val="24"/>
        </w:rPr>
        <w:t xml:space="preserve"> Rejection</w:t>
      </w:r>
    </w:p>
    <w:p w:rsidR="00863594" w:rsidRPr="009D28F4" w:rsidRDefault="00863594" w:rsidP="006D60A2">
      <w:pPr>
        <w:pStyle w:val="ListParagraph"/>
        <w:keepNext/>
        <w:ind w:left="0" w:firstLine="720"/>
        <w:rPr>
          <w:rFonts w:ascii="Times New Roman" w:hAnsi="Times New Roman"/>
          <w:b/>
          <w:sz w:val="24"/>
          <w:szCs w:val="24"/>
        </w:rPr>
      </w:pPr>
      <w:r w:rsidRPr="009D28F4">
        <w:rPr>
          <w:rFonts w:ascii="Times New Roman" w:hAnsi="Times New Roman"/>
          <w:b/>
          <w:sz w:val="24"/>
          <w:szCs w:val="24"/>
        </w:rPr>
        <w:t>1.</w:t>
      </w:r>
      <w:r w:rsidRPr="009D28F4">
        <w:rPr>
          <w:rFonts w:ascii="Times New Roman" w:hAnsi="Times New Roman"/>
          <w:b/>
          <w:sz w:val="24"/>
          <w:szCs w:val="24"/>
        </w:rPr>
        <w:tab/>
      </w:r>
      <w:r>
        <w:rPr>
          <w:rFonts w:ascii="Times New Roman" w:hAnsi="Times New Roman"/>
          <w:b/>
          <w:sz w:val="24"/>
          <w:szCs w:val="24"/>
        </w:rPr>
        <w:t xml:space="preserve">NWEC’s Decoupling Proposal </w:t>
      </w:r>
      <w:r w:rsidR="00E504D7">
        <w:rPr>
          <w:rFonts w:ascii="Times New Roman" w:hAnsi="Times New Roman"/>
          <w:b/>
          <w:sz w:val="24"/>
          <w:szCs w:val="24"/>
        </w:rPr>
        <w:t xml:space="preserve">May </w:t>
      </w:r>
      <w:r w:rsidR="00A5715F">
        <w:rPr>
          <w:rFonts w:ascii="Times New Roman" w:hAnsi="Times New Roman"/>
          <w:b/>
          <w:sz w:val="24"/>
          <w:szCs w:val="24"/>
        </w:rPr>
        <w:t>Cause Unlawful Rate Discrimination</w:t>
      </w:r>
    </w:p>
    <w:p w:rsidR="00863594" w:rsidRPr="003A2269" w:rsidRDefault="00863594" w:rsidP="00863594">
      <w:pPr>
        <w:pStyle w:val="ListParagraph"/>
        <w:ind w:left="0"/>
        <w:rPr>
          <w:rFonts w:ascii="Times New Roman" w:hAnsi="Times New Roman"/>
          <w:sz w:val="24"/>
          <w:szCs w:val="24"/>
        </w:rPr>
      </w:pPr>
    </w:p>
    <w:p w:rsidR="00863594" w:rsidRDefault="00863594" w:rsidP="00E504D7">
      <w:pPr>
        <w:pStyle w:val="BodyTextIndent"/>
        <w:numPr>
          <w:ilvl w:val="0"/>
          <w:numId w:val="1"/>
        </w:numPr>
        <w:tabs>
          <w:tab w:val="left" w:pos="-1440"/>
        </w:tabs>
      </w:pPr>
      <w:r>
        <w:tab/>
        <w:t>NWEC exempts from its full decoupling mechani</w:t>
      </w:r>
      <w:r w:rsidR="00E504D7">
        <w:t>sm customers from the six rate large industrial Schedules</w:t>
      </w:r>
      <w:r>
        <w:t>:</w:t>
      </w:r>
      <w:r w:rsidR="00E504D7">
        <w:t xml:space="preserve">  </w:t>
      </w:r>
      <w:r>
        <w:t>Schedule 40 – Large Demand General Service Greater Than 3 aMW</w:t>
      </w:r>
      <w:r w:rsidR="00E504D7">
        <w:t xml:space="preserve">; </w:t>
      </w:r>
      <w:r>
        <w:lastRenderedPageBreak/>
        <w:t>Schedule 46 – High Voltage Interruptible Service</w:t>
      </w:r>
      <w:r w:rsidR="00E504D7">
        <w:t xml:space="preserve">; </w:t>
      </w:r>
      <w:r>
        <w:t>Schedule 49 – High Voltage General Service</w:t>
      </w:r>
      <w:r w:rsidR="00E504D7">
        <w:t xml:space="preserve">; </w:t>
      </w:r>
      <w:r>
        <w:t>Schedule 448 – Power Supplier Choice</w:t>
      </w:r>
      <w:r w:rsidR="00E504D7">
        <w:t>;</w:t>
      </w:r>
      <w:r>
        <w:t xml:space="preserve"> Schedule 449 – Retail Wheeling Service</w:t>
      </w:r>
      <w:r w:rsidR="00E504D7">
        <w:t xml:space="preserve">; and </w:t>
      </w:r>
      <w:r>
        <w:t>Schedule 459 – Back-up Distribution Service</w:t>
      </w:r>
      <w:r w:rsidR="00E504D7">
        <w:t xml:space="preserve">.  </w:t>
      </w:r>
      <w:r>
        <w:t>In doing so, NWEC violates the Decoupling Policy Statement which requires full decoupling to include all customer classes.</w:t>
      </w:r>
      <w:r w:rsidRPr="000B3212">
        <w:rPr>
          <w:rStyle w:val="FootnoteReference"/>
        </w:rPr>
        <w:t xml:space="preserve"> </w:t>
      </w:r>
      <w:r>
        <w:rPr>
          <w:rStyle w:val="FootnoteReference"/>
        </w:rPr>
        <w:footnoteReference w:id="375"/>
      </w:r>
    </w:p>
    <w:p w:rsidR="00863594" w:rsidRDefault="00863594" w:rsidP="00863594">
      <w:pPr>
        <w:pStyle w:val="BodyTextIndent"/>
        <w:numPr>
          <w:ilvl w:val="0"/>
          <w:numId w:val="1"/>
        </w:numPr>
        <w:tabs>
          <w:tab w:val="left" w:pos="-1440"/>
        </w:tabs>
      </w:pPr>
      <w:r>
        <w:tab/>
        <w:t>The Commission did state that it will consider a full decoupling proposal that applies to fewer classes if shown to be consistent with the public interest and if unlawful rate discrimination or undue preference does not result.</w:t>
      </w:r>
      <w:r w:rsidRPr="000B3212">
        <w:rPr>
          <w:rStyle w:val="FootnoteReference"/>
        </w:rPr>
        <w:t xml:space="preserve"> </w:t>
      </w:r>
      <w:r>
        <w:rPr>
          <w:rStyle w:val="FootnoteReference"/>
        </w:rPr>
        <w:footnoteReference w:id="376"/>
      </w:r>
      <w:r>
        <w:t xml:space="preserve">  </w:t>
      </w:r>
      <w:r w:rsidR="00E504D7">
        <w:t xml:space="preserve">However, </w:t>
      </w:r>
      <w:r>
        <w:t xml:space="preserve">Mr. Cavanagh’s proposal exempts these schedules </w:t>
      </w:r>
      <w:r w:rsidR="00E504D7">
        <w:t xml:space="preserve">only </w:t>
      </w:r>
      <w:r>
        <w:t>because they have few members (140) and account for a relatively small fraction of PSE’s projected revenues from energy charges (4 percent).</w:t>
      </w:r>
      <w:r w:rsidRPr="000B3212">
        <w:rPr>
          <w:rStyle w:val="FootnoteReference"/>
        </w:rPr>
        <w:t xml:space="preserve"> </w:t>
      </w:r>
      <w:r>
        <w:rPr>
          <w:rStyle w:val="FootnoteReference"/>
        </w:rPr>
        <w:footnoteReference w:id="377"/>
      </w:r>
      <w:r w:rsidR="00E504D7">
        <w:t xml:space="preserve">  H</w:t>
      </w:r>
      <w:r>
        <w:t xml:space="preserve">e provides no connection of those facts to the Commission’s test.  In fact, high voltage customers under Schedules 46 and 49 </w:t>
      </w:r>
      <w:r w:rsidR="00A5715F">
        <w:t xml:space="preserve">that would be excluded from the NWEC mechanism </w:t>
      </w:r>
      <w:r>
        <w:t>all participate in the Company’s conservation programs, making them “similarly situated” with the customer classes NWEC includes in its proposed mechanism.</w:t>
      </w:r>
      <w:r w:rsidRPr="004046EF">
        <w:rPr>
          <w:rStyle w:val="FootnoteReference"/>
        </w:rPr>
        <w:t xml:space="preserve"> </w:t>
      </w:r>
      <w:r>
        <w:rPr>
          <w:rStyle w:val="FootnoteReference"/>
        </w:rPr>
        <w:footnoteReference w:id="378"/>
      </w:r>
      <w:r>
        <w:t xml:space="preserve">  Even on rebuttal, NW</w:t>
      </w:r>
      <w:r w:rsidR="00E504D7">
        <w:t>EC admits that the mechanism in S</w:t>
      </w:r>
      <w:r>
        <w:t>taff’s Response to the Commission’s Bench Request on Full Decoupling is “more comprehensive in coverage”.</w:t>
      </w:r>
      <w:r>
        <w:rPr>
          <w:rStyle w:val="FootnoteReference"/>
        </w:rPr>
        <w:footnoteReference w:id="379"/>
      </w:r>
      <w:r>
        <w:t xml:space="preserve">  </w:t>
      </w:r>
    </w:p>
    <w:p w:rsidR="00863594" w:rsidRDefault="00863594" w:rsidP="00863594">
      <w:pPr>
        <w:pStyle w:val="BodyTextIndent"/>
        <w:numPr>
          <w:ilvl w:val="0"/>
          <w:numId w:val="1"/>
        </w:numPr>
        <w:tabs>
          <w:tab w:val="left" w:pos="-1440"/>
        </w:tabs>
      </w:pPr>
      <w:r>
        <w:tab/>
        <w:t>Mr. Cavanagh raises a concern about PSE encouraging customers to change rate schedules in order to increase profits.</w:t>
      </w:r>
      <w:r w:rsidRPr="004046EF">
        <w:rPr>
          <w:rStyle w:val="FootnoteReference"/>
        </w:rPr>
        <w:t xml:space="preserve"> </w:t>
      </w:r>
      <w:r>
        <w:rPr>
          <w:rStyle w:val="FootnoteReference"/>
        </w:rPr>
        <w:footnoteReference w:id="380"/>
      </w:r>
      <w:r>
        <w:t xml:space="preserve">  But, again, he does not explain how his concern is resolved by excluding high-voltage customers from full decoupling.  </w:t>
      </w:r>
      <w:r w:rsidR="00E969C8">
        <w:t xml:space="preserve">Nor does he explain why his concern makes his proposal non-discriminatory.  </w:t>
      </w:r>
      <w:r>
        <w:t>This lack of justification for excluding some customer classes is another reason to reject NWEC’s full decoupling proposal.</w:t>
      </w:r>
    </w:p>
    <w:p w:rsidR="00863594" w:rsidRPr="009D28F4" w:rsidRDefault="00863594" w:rsidP="00547054">
      <w:pPr>
        <w:pStyle w:val="ListParagraph"/>
        <w:ind w:left="1440" w:hanging="720"/>
        <w:rPr>
          <w:rFonts w:ascii="Times New Roman" w:hAnsi="Times New Roman"/>
          <w:b/>
          <w:sz w:val="24"/>
          <w:szCs w:val="24"/>
        </w:rPr>
      </w:pPr>
      <w:r>
        <w:rPr>
          <w:rFonts w:ascii="Times New Roman" w:hAnsi="Times New Roman"/>
          <w:b/>
          <w:sz w:val="24"/>
          <w:szCs w:val="24"/>
        </w:rPr>
        <w:lastRenderedPageBreak/>
        <w:t>2</w:t>
      </w:r>
      <w:r w:rsidRPr="009D28F4">
        <w:rPr>
          <w:rFonts w:ascii="Times New Roman" w:hAnsi="Times New Roman"/>
          <w:b/>
          <w:sz w:val="24"/>
          <w:szCs w:val="24"/>
        </w:rPr>
        <w:t>.</w:t>
      </w:r>
      <w:r w:rsidRPr="009D28F4">
        <w:rPr>
          <w:rFonts w:ascii="Times New Roman" w:hAnsi="Times New Roman"/>
          <w:b/>
          <w:sz w:val="24"/>
          <w:szCs w:val="24"/>
        </w:rPr>
        <w:tab/>
      </w:r>
      <w:r>
        <w:rPr>
          <w:rFonts w:ascii="Times New Roman" w:hAnsi="Times New Roman"/>
          <w:b/>
          <w:sz w:val="24"/>
          <w:szCs w:val="24"/>
        </w:rPr>
        <w:t>NWEC’s Decoupling Proposal Fails to Condition Recovery on Conservation Achievement</w:t>
      </w:r>
    </w:p>
    <w:p w:rsidR="00547054" w:rsidRDefault="00547054" w:rsidP="00547054">
      <w:pPr>
        <w:pStyle w:val="BodyTextIndent"/>
        <w:tabs>
          <w:tab w:val="left" w:pos="-1440"/>
        </w:tabs>
        <w:spacing w:line="240" w:lineRule="auto"/>
        <w:ind w:left="0" w:firstLine="0"/>
      </w:pPr>
    </w:p>
    <w:p w:rsidR="00A72716" w:rsidRDefault="00B31A27" w:rsidP="00B31A27">
      <w:pPr>
        <w:pStyle w:val="BodyTextIndent"/>
        <w:numPr>
          <w:ilvl w:val="0"/>
          <w:numId w:val="1"/>
        </w:numPr>
        <w:tabs>
          <w:tab w:val="left" w:pos="-1440"/>
        </w:tabs>
      </w:pPr>
      <w:r>
        <w:tab/>
      </w:r>
      <w:r w:rsidR="00E504D7">
        <w:t xml:space="preserve">The </w:t>
      </w:r>
      <w:r w:rsidR="00863594">
        <w:t>Decoupling P</w:t>
      </w:r>
      <w:r w:rsidR="00A72716">
        <w:t>olicy Statement declares that “R</w:t>
      </w:r>
      <w:r w:rsidR="00863594">
        <w:t xml:space="preserve">evenue recovery by the company under the </w:t>
      </w:r>
      <w:r w:rsidR="00A72716">
        <w:t xml:space="preserve">[decoupling] </w:t>
      </w:r>
      <w:r w:rsidR="00863594">
        <w:t>mechanism will be conditioned upon a utility’s level of achievement with respect to its conservation target.”</w:t>
      </w:r>
      <w:r w:rsidR="00863594">
        <w:rPr>
          <w:rStyle w:val="FootnoteReference"/>
        </w:rPr>
        <w:footnoteReference w:id="381"/>
      </w:r>
      <w:r w:rsidR="00E504D7">
        <w:t xml:space="preserve">  </w:t>
      </w:r>
      <w:r w:rsidR="00A72716">
        <w:t xml:space="preserve">The </w:t>
      </w:r>
      <w:r w:rsidR="00AB5D17">
        <w:t xml:space="preserve">full decoupling proposal of </w:t>
      </w:r>
      <w:r w:rsidR="00A72716">
        <w:t xml:space="preserve">NWEC does comply with </w:t>
      </w:r>
      <w:r w:rsidR="00AB5D17">
        <w:t>th</w:t>
      </w:r>
      <w:r w:rsidR="00A72716">
        <w:t>is requirement, providing yet another reason to reject that proposal.</w:t>
      </w:r>
    </w:p>
    <w:p w:rsidR="00863594" w:rsidRDefault="00A72716" w:rsidP="00B31A27">
      <w:pPr>
        <w:pStyle w:val="BodyTextIndent"/>
        <w:numPr>
          <w:ilvl w:val="0"/>
          <w:numId w:val="1"/>
        </w:numPr>
        <w:tabs>
          <w:tab w:val="left" w:pos="-1440"/>
        </w:tabs>
      </w:pPr>
      <w:r>
        <w:tab/>
        <w:t>Moreover, NWEC states that “Staff’s approach to conservation achievement [in its Response to the Commission’s Bench Request on Full Decoupling] seems generally reasonable.”</w:t>
      </w:r>
      <w:r>
        <w:rPr>
          <w:rStyle w:val="FootnoteReference"/>
        </w:rPr>
        <w:footnoteReference w:id="382"/>
      </w:r>
      <w:r>
        <w:t xml:space="preserve">  T</w:t>
      </w:r>
      <w:r w:rsidR="00AB5D17">
        <w:t xml:space="preserve">hat Staff response </w:t>
      </w:r>
      <w:r>
        <w:t xml:space="preserve">does include a mechanism that </w:t>
      </w:r>
      <w:r w:rsidR="00890645">
        <w:t>condition</w:t>
      </w:r>
      <w:r>
        <w:t>s</w:t>
      </w:r>
      <w:r w:rsidR="00890645">
        <w:t xml:space="preserve"> recovery on conservation achievement.</w:t>
      </w:r>
      <w:r>
        <w:rPr>
          <w:rStyle w:val="FootnoteReference"/>
        </w:rPr>
        <w:footnoteReference w:id="383"/>
      </w:r>
      <w:r w:rsidR="00890645">
        <w:t xml:space="preserve">  </w:t>
      </w:r>
      <w:r>
        <w:t xml:space="preserve">Mr. Cavanagh provided no explanation </w:t>
      </w:r>
      <w:r w:rsidR="005E630C">
        <w:t xml:space="preserve">as to </w:t>
      </w:r>
      <w:r>
        <w:t>why NWEC’s full decoupling mechanism did not also include such a condition.</w:t>
      </w:r>
      <w:r w:rsidR="00F918F2">
        <w:t xml:space="preserve">  </w:t>
      </w:r>
    </w:p>
    <w:p w:rsidR="00F918F2" w:rsidRDefault="00F918F2" w:rsidP="00F918F2">
      <w:pPr>
        <w:pStyle w:val="BodyTextIndent"/>
        <w:tabs>
          <w:tab w:val="left" w:pos="-1440"/>
        </w:tabs>
        <w:spacing w:line="240" w:lineRule="auto"/>
        <w:rPr>
          <w:b/>
        </w:rPr>
      </w:pPr>
      <w:r w:rsidRPr="008F552B">
        <w:rPr>
          <w:b/>
        </w:rPr>
        <w:t>E.</w:t>
      </w:r>
      <w:r w:rsidRPr="008F552B">
        <w:rPr>
          <w:b/>
        </w:rPr>
        <w:tab/>
        <w:t xml:space="preserve">The Proposals of the Company and NWEC Are Unnecessary and Complex Responses to the Impact of Conservation </w:t>
      </w:r>
    </w:p>
    <w:p w:rsidR="00F918F2" w:rsidRDefault="00F918F2" w:rsidP="00F918F2">
      <w:pPr>
        <w:pStyle w:val="BodyTextIndent"/>
        <w:tabs>
          <w:tab w:val="left" w:pos="-1440"/>
        </w:tabs>
        <w:spacing w:line="240" w:lineRule="auto"/>
      </w:pPr>
    </w:p>
    <w:p w:rsidR="008F552B" w:rsidRDefault="00F918F2" w:rsidP="00F918F2">
      <w:pPr>
        <w:pStyle w:val="BodyTextIndent"/>
        <w:numPr>
          <w:ilvl w:val="0"/>
          <w:numId w:val="1"/>
        </w:numPr>
        <w:tabs>
          <w:tab w:val="left" w:pos="-1440"/>
        </w:tabs>
      </w:pPr>
      <w:r>
        <w:tab/>
      </w:r>
      <w:r w:rsidR="00F66063">
        <w:t xml:space="preserve">During the evidentiary hearings, the commissioners questioned the Company at length about the calculation of the CSA rate adjustment.  This discussion highlighted </w:t>
      </w:r>
      <w:r w:rsidR="006E272D">
        <w:t>both</w:t>
      </w:r>
      <w:r w:rsidR="00F66063">
        <w:t xml:space="preserve"> the extreme comple</w:t>
      </w:r>
      <w:r w:rsidR="006E272D">
        <w:t xml:space="preserve">xity of the mechanism and </w:t>
      </w:r>
      <w:r w:rsidR="00F66063">
        <w:t>the difficulty of explaining the mechanism to ratepayers paying the surcharge.</w:t>
      </w:r>
      <w:r w:rsidR="00F66063">
        <w:rPr>
          <w:rStyle w:val="FootnoteReference"/>
        </w:rPr>
        <w:footnoteReference w:id="384"/>
      </w:r>
      <w:r w:rsidR="006E272D">
        <w:t xml:space="preserve">  Similar concerns would apply to NWEC’s full decoupling proposal.</w:t>
      </w:r>
    </w:p>
    <w:p w:rsidR="00F66063" w:rsidRDefault="00F918F2" w:rsidP="00F918F2">
      <w:pPr>
        <w:pStyle w:val="BodyTextIndent"/>
        <w:numPr>
          <w:ilvl w:val="0"/>
          <w:numId w:val="1"/>
        </w:numPr>
        <w:tabs>
          <w:tab w:val="left" w:pos="-1440"/>
        </w:tabs>
      </w:pPr>
      <w:r>
        <w:tab/>
      </w:r>
      <w:r w:rsidR="00F66063">
        <w:t xml:space="preserve">In contrast, annualizing ratemaking adjustments </w:t>
      </w:r>
      <w:r w:rsidR="006E272D">
        <w:t>are already in place capturing</w:t>
      </w:r>
      <w:r w:rsidR="00F66063">
        <w:t xml:space="preserve"> significant changes in customer use from conservations.</w:t>
      </w:r>
      <w:r w:rsidR="00F66063">
        <w:rPr>
          <w:rStyle w:val="FootnoteReference"/>
        </w:rPr>
        <w:footnoteReference w:id="385"/>
      </w:r>
      <w:r w:rsidR="00F66063">
        <w:t xml:space="preserve">  Those changes impacted electric</w:t>
      </w:r>
      <w:r w:rsidR="00AD42A0">
        <w:t xml:space="preserve"> revenue</w:t>
      </w:r>
      <w:r w:rsidR="00F66063">
        <w:t xml:space="preserve"> requirement only .21 percent ($4.5 million) and gas revenue requirement only .09 percent ($900,000).</w:t>
      </w:r>
      <w:r w:rsidR="006E272D">
        <w:t xml:space="preserve">  This questions the necessity of the CSA </w:t>
      </w:r>
      <w:r w:rsidR="000F64CD">
        <w:t xml:space="preserve">and </w:t>
      </w:r>
      <w:r w:rsidR="006E272D">
        <w:t>NWEC proposal</w:t>
      </w:r>
      <w:r w:rsidR="000F64CD">
        <w:t>s</w:t>
      </w:r>
      <w:r w:rsidR="006E272D">
        <w:t>.</w:t>
      </w:r>
    </w:p>
    <w:p w:rsidR="00F66063" w:rsidRPr="008F552B" w:rsidRDefault="00F918F2" w:rsidP="00F918F2">
      <w:pPr>
        <w:pStyle w:val="BodyTextIndent"/>
        <w:numPr>
          <w:ilvl w:val="0"/>
          <w:numId w:val="1"/>
        </w:numPr>
        <w:tabs>
          <w:tab w:val="left" w:pos="-1440"/>
        </w:tabs>
      </w:pPr>
      <w:r>
        <w:lastRenderedPageBreak/>
        <w:tab/>
      </w:r>
      <w:r w:rsidR="006E272D">
        <w:t>Moreover, an a</w:t>
      </w:r>
      <w:r w:rsidR="00AB5D17">
        <w:t xml:space="preserve">ttrition study is a </w:t>
      </w:r>
      <w:r w:rsidR="006E272D">
        <w:t>direct and simpler tool to address load changes caused by all factors, including conservation, and the impact of those changes on the Company’s ability to earn a fair rate of return.</w:t>
      </w:r>
      <w:r w:rsidR="006E272D">
        <w:rPr>
          <w:rStyle w:val="FootnoteReference"/>
        </w:rPr>
        <w:footnoteReference w:id="386"/>
      </w:r>
      <w:r w:rsidR="006E272D">
        <w:t xml:space="preserve">  There is no need to establish a complex separate mechanism, such as </w:t>
      </w:r>
      <w:r w:rsidR="00F05C5C">
        <w:t>those</w:t>
      </w:r>
      <w:r w:rsidR="006E272D">
        <w:t xml:space="preserve"> proposed by PSE and NWEC, to address conservation impacts on customer load.</w:t>
      </w:r>
      <w:r w:rsidR="006E272D">
        <w:rPr>
          <w:rStyle w:val="FootnoteReference"/>
        </w:rPr>
        <w:footnoteReference w:id="387"/>
      </w:r>
    </w:p>
    <w:p w:rsidR="00216DD5" w:rsidRDefault="00B65F5A" w:rsidP="007D3D53">
      <w:pPr>
        <w:keepNext/>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w:t>
      </w:r>
      <w:r w:rsidR="00DF316E" w:rsidRPr="00DF316E">
        <w:rPr>
          <w:rFonts w:ascii="Times New Roman" w:hAnsi="Times New Roman" w:cs="Times New Roman"/>
          <w:b/>
          <w:sz w:val="24"/>
          <w:szCs w:val="24"/>
        </w:rPr>
        <w:t>.</w:t>
      </w:r>
      <w:r w:rsidR="00DF316E" w:rsidRPr="00DF316E">
        <w:rPr>
          <w:rFonts w:ascii="Times New Roman" w:hAnsi="Times New Roman" w:cs="Times New Roman"/>
          <w:b/>
          <w:sz w:val="24"/>
          <w:szCs w:val="24"/>
        </w:rPr>
        <w:tab/>
      </w:r>
      <w:r>
        <w:rPr>
          <w:rFonts w:ascii="Times New Roman" w:hAnsi="Times New Roman" w:cs="Times New Roman"/>
          <w:b/>
          <w:sz w:val="24"/>
          <w:szCs w:val="24"/>
        </w:rPr>
        <w:t>SQI 9: DISCONNECTION RATIO</w:t>
      </w:r>
    </w:p>
    <w:p w:rsidR="00DF316E" w:rsidRDefault="00DF316E" w:rsidP="007D3D53">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Background</w:t>
      </w:r>
    </w:p>
    <w:p w:rsidR="00DF316E" w:rsidRDefault="00FA02D3" w:rsidP="00F05C5C">
      <w:pPr>
        <w:pStyle w:val="NoSpacing"/>
        <w:widowControl w:val="0"/>
        <w:numPr>
          <w:ilvl w:val="0"/>
          <w:numId w:val="1"/>
        </w:numPr>
        <w:spacing w:line="480" w:lineRule="auto"/>
      </w:pPr>
      <w:r>
        <w:tab/>
      </w:r>
      <w:r w:rsidR="00DF316E">
        <w:t>SQI-9: Disconnect</w:t>
      </w:r>
      <w:r w:rsidR="004C7DE1">
        <w:t xml:space="preserve">ion Ratio (“SQI-9”) sets a cap on the number of customers per 1,000 that PSE may disconnect </w:t>
      </w:r>
      <w:r w:rsidR="008E6DDE">
        <w:t>for nonpayment</w:t>
      </w:r>
      <w:r w:rsidR="00F112B2">
        <w:t>.</w:t>
      </w:r>
      <w:r w:rsidR="008C1C4B">
        <w:rPr>
          <w:rStyle w:val="FootnoteReference"/>
        </w:rPr>
        <w:footnoteReference w:id="388"/>
      </w:r>
      <w:r w:rsidR="00F112B2">
        <w:t xml:space="preserve">  </w:t>
      </w:r>
      <w:r w:rsidR="00DF316E">
        <w:t>On June 15,</w:t>
      </w:r>
      <w:r w:rsidR="00F112B2">
        <w:t xml:space="preserve"> 2010, PSE proposed</w:t>
      </w:r>
      <w:r w:rsidR="004C7DE1">
        <w:t xml:space="preserve"> to eliminate SQI-9</w:t>
      </w:r>
      <w:r w:rsidR="00DF316E">
        <w:t xml:space="preserve">, which Staff </w:t>
      </w:r>
      <w:r w:rsidR="008E6DDE">
        <w:t>supported.  T</w:t>
      </w:r>
      <w:r w:rsidR="00DF316E">
        <w:t>he Commission granted PSE’s application on an interim basis</w:t>
      </w:r>
      <w:r w:rsidR="00F112B2">
        <w:t>.  P</w:t>
      </w:r>
      <w:r w:rsidR="00DF316E">
        <w:t>ermanent elimination of</w:t>
      </w:r>
      <w:r w:rsidR="001C7A74">
        <w:t xml:space="preserve"> the benchmark will</w:t>
      </w:r>
      <w:r w:rsidR="004C7DE1">
        <w:t xml:space="preserve"> be addressed </w:t>
      </w:r>
      <w:r w:rsidR="00BF2679">
        <w:t xml:space="preserve">in this </w:t>
      </w:r>
      <w:r w:rsidR="00DF316E">
        <w:t>general rat</w:t>
      </w:r>
      <w:r w:rsidR="00BF2679">
        <w:t>e proceeding</w:t>
      </w:r>
      <w:r w:rsidR="00DF316E">
        <w:t>.</w:t>
      </w:r>
      <w:r w:rsidR="00DF316E">
        <w:rPr>
          <w:rStyle w:val="FootnoteReference"/>
        </w:rPr>
        <w:footnoteReference w:id="389"/>
      </w:r>
      <w:r w:rsidR="00DF316E">
        <w:t xml:space="preserve"> </w:t>
      </w:r>
    </w:p>
    <w:p w:rsidR="00E32F84" w:rsidRDefault="004C7DE1" w:rsidP="007D3D53">
      <w:pPr>
        <w:pStyle w:val="NoSpacing"/>
        <w:ind w:left="720" w:hanging="720"/>
        <w:rPr>
          <w:b/>
        </w:rPr>
      </w:pPr>
      <w:r w:rsidRPr="00F112B2">
        <w:rPr>
          <w:b/>
        </w:rPr>
        <w:t>B.</w:t>
      </w:r>
      <w:r w:rsidRPr="00F112B2">
        <w:rPr>
          <w:b/>
        </w:rPr>
        <w:tab/>
      </w:r>
      <w:r w:rsidR="00F112B2">
        <w:rPr>
          <w:b/>
        </w:rPr>
        <w:t>SQI-9 I</w:t>
      </w:r>
      <w:r w:rsidR="00F112B2" w:rsidRPr="00F112B2">
        <w:rPr>
          <w:b/>
        </w:rPr>
        <w:t xml:space="preserve">nterferes </w:t>
      </w:r>
      <w:r w:rsidR="00F112B2">
        <w:rPr>
          <w:b/>
        </w:rPr>
        <w:t>W</w:t>
      </w:r>
      <w:r w:rsidR="00F112B2" w:rsidRPr="00F112B2">
        <w:rPr>
          <w:b/>
        </w:rPr>
        <w:t xml:space="preserve">ith the </w:t>
      </w:r>
      <w:r w:rsidR="00F112B2">
        <w:rPr>
          <w:b/>
        </w:rPr>
        <w:t>P</w:t>
      </w:r>
      <w:r w:rsidR="00F112B2" w:rsidRPr="00F112B2">
        <w:rPr>
          <w:b/>
        </w:rPr>
        <w:t xml:space="preserve">roper </w:t>
      </w:r>
      <w:r w:rsidR="00F112B2">
        <w:rPr>
          <w:b/>
        </w:rPr>
        <w:t>Application of Existing C</w:t>
      </w:r>
      <w:r w:rsidR="00F112B2" w:rsidRPr="00F112B2">
        <w:rPr>
          <w:b/>
        </w:rPr>
        <w:t xml:space="preserve">ustomer </w:t>
      </w:r>
      <w:r w:rsidR="00F112B2">
        <w:rPr>
          <w:b/>
        </w:rPr>
        <w:t>P</w:t>
      </w:r>
      <w:r w:rsidR="00F112B2" w:rsidRPr="00F112B2">
        <w:rPr>
          <w:b/>
        </w:rPr>
        <w:t>rotections</w:t>
      </w:r>
      <w:r w:rsidR="00F112B2">
        <w:rPr>
          <w:b/>
        </w:rPr>
        <w:t xml:space="preserve"> and Results in Ine</w:t>
      </w:r>
      <w:r w:rsidR="00E32F84">
        <w:rPr>
          <w:b/>
        </w:rPr>
        <w:t>quitable Treatment of Customers</w:t>
      </w:r>
    </w:p>
    <w:p w:rsidR="00E32F84" w:rsidRDefault="00E32F84" w:rsidP="00E32F84">
      <w:pPr>
        <w:pStyle w:val="NoSpacing"/>
        <w:ind w:left="720" w:hanging="720"/>
        <w:rPr>
          <w:b/>
        </w:rPr>
      </w:pPr>
    </w:p>
    <w:p w:rsidR="00F112B2" w:rsidRDefault="00FA02D3" w:rsidP="00FA02D3">
      <w:pPr>
        <w:pStyle w:val="NoSpacing"/>
        <w:numPr>
          <w:ilvl w:val="0"/>
          <w:numId w:val="1"/>
        </w:numPr>
        <w:spacing w:line="480" w:lineRule="auto"/>
      </w:pPr>
      <w:r>
        <w:tab/>
      </w:r>
      <w:r w:rsidR="00F112B2">
        <w:t xml:space="preserve">There are several reasons </w:t>
      </w:r>
      <w:r w:rsidR="002538E0">
        <w:t xml:space="preserve">why </w:t>
      </w:r>
      <w:r w:rsidR="00F112B2">
        <w:t>SQI-9</w:t>
      </w:r>
      <w:r w:rsidR="008E6DDE">
        <w:t xml:space="preserve"> should be eliminated</w:t>
      </w:r>
      <w:r w:rsidR="00F112B2">
        <w:t>.</w:t>
      </w:r>
      <w:r w:rsidR="00612583">
        <w:rPr>
          <w:rStyle w:val="FootnoteReference"/>
        </w:rPr>
        <w:footnoteReference w:id="390"/>
      </w:r>
      <w:r w:rsidR="00F112B2">
        <w:t xml:space="preserve">  First, eliminating SQI-9 will not harm cus</w:t>
      </w:r>
      <w:r w:rsidR="00E32F84">
        <w:t xml:space="preserve">tomers because other </w:t>
      </w:r>
      <w:r w:rsidR="00F112B2">
        <w:t>rules al</w:t>
      </w:r>
      <w:r w:rsidR="008E6DDE">
        <w:t xml:space="preserve">ready offer </w:t>
      </w:r>
      <w:r w:rsidR="00841E0C">
        <w:t xml:space="preserve">significant and </w:t>
      </w:r>
      <w:r w:rsidR="00E32F84">
        <w:t xml:space="preserve">meaningful </w:t>
      </w:r>
      <w:r w:rsidR="00F112B2">
        <w:t xml:space="preserve">protections: </w:t>
      </w:r>
    </w:p>
    <w:p w:rsidR="00F112B2" w:rsidRDefault="00E32F84" w:rsidP="00BF2679">
      <w:pPr>
        <w:pStyle w:val="NoSpacing"/>
        <w:numPr>
          <w:ilvl w:val="0"/>
          <w:numId w:val="2"/>
        </w:numPr>
      </w:pPr>
      <w:r>
        <w:t xml:space="preserve">Customers have the right to </w:t>
      </w:r>
      <w:r w:rsidR="00F112B2">
        <w:t xml:space="preserve">receive a bill stating the amount owed </w:t>
      </w:r>
      <w:r>
        <w:t>and the date payment is due</w:t>
      </w:r>
      <w:r w:rsidR="00F112B2">
        <w:t>.</w:t>
      </w:r>
      <w:r w:rsidR="00F112B2">
        <w:rPr>
          <w:rStyle w:val="FootnoteReference"/>
        </w:rPr>
        <w:footnoteReference w:id="391"/>
      </w:r>
    </w:p>
    <w:p w:rsidR="00BF2679" w:rsidRDefault="00BF2679" w:rsidP="00BF2679">
      <w:pPr>
        <w:pStyle w:val="NoSpacing"/>
        <w:ind w:left="1440"/>
      </w:pPr>
    </w:p>
    <w:p w:rsidR="00F112B2" w:rsidRDefault="00E32F84" w:rsidP="00BF2679">
      <w:pPr>
        <w:pStyle w:val="NoSpacing"/>
        <w:numPr>
          <w:ilvl w:val="0"/>
          <w:numId w:val="2"/>
        </w:numPr>
      </w:pPr>
      <w:r>
        <w:t xml:space="preserve">Customers have the right to </w:t>
      </w:r>
      <w:r w:rsidR="00F112B2">
        <w:t>hav</w:t>
      </w:r>
      <w:r>
        <w:t>e billing</w:t>
      </w:r>
      <w:r w:rsidR="00F112B2">
        <w:t xml:space="preserve"> and service disputes investigated </w:t>
      </w:r>
      <w:r>
        <w:t xml:space="preserve">by PSE and Staff, and </w:t>
      </w:r>
      <w:r w:rsidR="00F112B2">
        <w:t>may not be disconnected while these investigations are pending.</w:t>
      </w:r>
      <w:r w:rsidR="00F112B2">
        <w:rPr>
          <w:rStyle w:val="FootnoteReference"/>
        </w:rPr>
        <w:footnoteReference w:id="392"/>
      </w:r>
    </w:p>
    <w:p w:rsidR="00BF2679" w:rsidRDefault="00BF2679" w:rsidP="00BF2679">
      <w:pPr>
        <w:pStyle w:val="NoSpacing"/>
        <w:ind w:left="1440"/>
      </w:pPr>
    </w:p>
    <w:p w:rsidR="00F112B2" w:rsidRDefault="00F112B2" w:rsidP="00BF2679">
      <w:pPr>
        <w:pStyle w:val="NoSpacing"/>
        <w:numPr>
          <w:ilvl w:val="0"/>
          <w:numId w:val="2"/>
        </w:numPr>
      </w:pPr>
      <w:r>
        <w:t>Customers have the right to advance, written notice of PSE’s intent to disconnect service for non-payment of bills.</w:t>
      </w:r>
      <w:r>
        <w:rPr>
          <w:rStyle w:val="FootnoteReference"/>
        </w:rPr>
        <w:footnoteReference w:id="393"/>
      </w:r>
      <w:r>
        <w:t xml:space="preserve"> </w:t>
      </w:r>
    </w:p>
    <w:p w:rsidR="00BF2679" w:rsidRDefault="00BF2679" w:rsidP="00BF2679">
      <w:pPr>
        <w:pStyle w:val="NoSpacing"/>
        <w:ind w:left="1440"/>
      </w:pPr>
    </w:p>
    <w:p w:rsidR="00F112B2" w:rsidRDefault="00F112B2" w:rsidP="00BF2679">
      <w:pPr>
        <w:pStyle w:val="NoSpacing"/>
        <w:numPr>
          <w:ilvl w:val="0"/>
          <w:numId w:val="2"/>
        </w:numPr>
      </w:pPr>
      <w:r>
        <w:lastRenderedPageBreak/>
        <w:t xml:space="preserve">Customers have the right to re-establish service by paying a reconnection charge and one-half of a deposit.  PSE may not require </w:t>
      </w:r>
      <w:r w:rsidR="00841E0C">
        <w:t xml:space="preserve">customers to pay </w:t>
      </w:r>
      <w:r>
        <w:t>the</w:t>
      </w:r>
      <w:r w:rsidR="00841E0C">
        <w:t>ir</w:t>
      </w:r>
      <w:r>
        <w:t xml:space="preserve"> outst</w:t>
      </w:r>
      <w:r w:rsidR="00841E0C">
        <w:t xml:space="preserve">anding “prior obligation” as a condition for </w:t>
      </w:r>
      <w:r w:rsidR="00E32F84">
        <w:t>reconnecting service</w:t>
      </w:r>
      <w:r>
        <w:t>.</w:t>
      </w:r>
      <w:r>
        <w:rPr>
          <w:rStyle w:val="FootnoteReference"/>
        </w:rPr>
        <w:footnoteReference w:id="394"/>
      </w:r>
    </w:p>
    <w:p w:rsidR="00BF2679" w:rsidRDefault="00BF2679" w:rsidP="00BF2679">
      <w:pPr>
        <w:pStyle w:val="NoSpacing"/>
        <w:ind w:left="1440"/>
      </w:pPr>
    </w:p>
    <w:p w:rsidR="00F112B2" w:rsidRDefault="00FA02D3" w:rsidP="00FA02D3">
      <w:pPr>
        <w:pStyle w:val="NoSpacing"/>
        <w:numPr>
          <w:ilvl w:val="0"/>
          <w:numId w:val="1"/>
        </w:numPr>
        <w:spacing w:line="480" w:lineRule="auto"/>
      </w:pPr>
      <w:r>
        <w:tab/>
      </w:r>
      <w:r w:rsidR="008C1C4B">
        <w:t xml:space="preserve">Second, </w:t>
      </w:r>
      <w:r w:rsidR="008E6DDE">
        <w:t xml:space="preserve">existing </w:t>
      </w:r>
      <w:r w:rsidR="008C1C4B">
        <w:t xml:space="preserve">rules presume </w:t>
      </w:r>
      <w:r w:rsidR="00E32F84">
        <w:t xml:space="preserve">that PSE should promptly </w:t>
      </w:r>
      <w:r w:rsidR="00F112B2">
        <w:t xml:space="preserve">disconnect any customer who </w:t>
      </w:r>
      <w:r w:rsidR="002538E0">
        <w:t>does not</w:t>
      </w:r>
      <w:r w:rsidR="00F112B2">
        <w:t xml:space="preserve"> pay for servi</w:t>
      </w:r>
      <w:r w:rsidR="00E32F84">
        <w:t xml:space="preserve">ce in order </w:t>
      </w:r>
      <w:r w:rsidR="00F112B2">
        <w:t xml:space="preserve">to protect all ratepayers from the </w:t>
      </w:r>
      <w:r w:rsidR="00612583">
        <w:t xml:space="preserve">burden of higher </w:t>
      </w:r>
      <w:r w:rsidR="00F112B2">
        <w:t xml:space="preserve">uncollectible revenues.  </w:t>
      </w:r>
      <w:r w:rsidR="00841E0C">
        <w:t>The rules also rec</w:t>
      </w:r>
      <w:r w:rsidR="00721D9D">
        <w:t xml:space="preserve">ognize the essential nature of </w:t>
      </w:r>
      <w:r w:rsidR="00841E0C">
        <w:t xml:space="preserve">energy service </w:t>
      </w:r>
      <w:r w:rsidR="00F112B2">
        <w:t xml:space="preserve">by </w:t>
      </w:r>
      <w:r w:rsidR="00BF2679">
        <w:t>allowing</w:t>
      </w:r>
      <w:r w:rsidR="00F112B2">
        <w:t xml:space="preserve"> disconnected customers to resume se</w:t>
      </w:r>
      <w:r w:rsidR="00612583">
        <w:t xml:space="preserve">rvice without first having to </w:t>
      </w:r>
      <w:r w:rsidR="00F112B2">
        <w:t>pay their prior obligation.</w:t>
      </w:r>
      <w:r w:rsidR="00F112B2" w:rsidRPr="00497F00">
        <w:t xml:space="preserve"> </w:t>
      </w:r>
      <w:r w:rsidR="00F112B2">
        <w:t xml:space="preserve"> Maintaining SQI-9 interferes with the proper application of thes</w:t>
      </w:r>
      <w:r w:rsidR="000C4121">
        <w:t>e</w:t>
      </w:r>
      <w:r w:rsidR="00486672">
        <w:t xml:space="preserve"> policies</w:t>
      </w:r>
      <w:r w:rsidR="00F112B2">
        <w:t>.</w:t>
      </w:r>
    </w:p>
    <w:p w:rsidR="00F112B2" w:rsidRDefault="00FA02D3" w:rsidP="00FA02D3">
      <w:pPr>
        <w:pStyle w:val="NoSpacing"/>
        <w:numPr>
          <w:ilvl w:val="0"/>
          <w:numId w:val="1"/>
        </w:numPr>
        <w:spacing w:line="480" w:lineRule="auto"/>
      </w:pPr>
      <w:r>
        <w:tab/>
      </w:r>
      <w:r w:rsidR="00E32F84">
        <w:t xml:space="preserve">Third, </w:t>
      </w:r>
      <w:r w:rsidR="00486672">
        <w:t xml:space="preserve">because </w:t>
      </w:r>
      <w:r w:rsidR="00E32F84">
        <w:t>SQI-9 limits</w:t>
      </w:r>
      <w:r w:rsidR="00F112B2">
        <w:t xml:space="preserve"> the number of cus</w:t>
      </w:r>
      <w:r w:rsidR="00486672">
        <w:t>tomers that can be disconnected</w:t>
      </w:r>
      <w:r w:rsidR="00F112B2">
        <w:t xml:space="preserve">, the Company must select those customers to disconnect from a larger pool of </w:t>
      </w:r>
      <w:r w:rsidR="00612583">
        <w:t>eligible customers</w:t>
      </w:r>
      <w:r w:rsidR="00F112B2">
        <w:t>.  This results in inequitable and unfair</w:t>
      </w:r>
      <w:r w:rsidR="00E32F84">
        <w:t xml:space="preserve"> treatment of customers </w:t>
      </w:r>
      <w:r w:rsidR="00F112B2">
        <w:t xml:space="preserve">at the </w:t>
      </w:r>
      <w:r w:rsidR="00F26B2F">
        <w:t xml:space="preserve">sole </w:t>
      </w:r>
      <w:r w:rsidR="00F112B2">
        <w:t>discretio</w:t>
      </w:r>
      <w:r w:rsidR="00612583">
        <w:t>n of PSE</w:t>
      </w:r>
      <w:r w:rsidR="00F112B2">
        <w:t>.</w:t>
      </w:r>
    </w:p>
    <w:p w:rsidR="00281CEC" w:rsidRDefault="00FA02D3" w:rsidP="00FA02D3">
      <w:pPr>
        <w:pStyle w:val="NoSpacing"/>
        <w:numPr>
          <w:ilvl w:val="0"/>
          <w:numId w:val="1"/>
        </w:numPr>
        <w:spacing w:line="480" w:lineRule="auto"/>
      </w:pPr>
      <w:r>
        <w:tab/>
      </w:r>
      <w:r w:rsidR="00612583">
        <w:t>Public Counse</w:t>
      </w:r>
      <w:r w:rsidR="00486672">
        <w:t>l and t</w:t>
      </w:r>
      <w:r w:rsidR="00612583">
        <w:t xml:space="preserve">he Energy Project did not file </w:t>
      </w:r>
      <w:r w:rsidR="0025335C">
        <w:t xml:space="preserve">testimony </w:t>
      </w:r>
      <w:r w:rsidR="00486672">
        <w:t>on PSE’s</w:t>
      </w:r>
      <w:r w:rsidR="00612583">
        <w:t xml:space="preserve"> proposal to elim</w:t>
      </w:r>
      <w:r w:rsidR="00A93374">
        <w:t>inate SQI-9</w:t>
      </w:r>
      <w:r w:rsidR="00281CEC">
        <w:t>.</w:t>
      </w:r>
      <w:r w:rsidR="00612583">
        <w:t xml:space="preserve">  However, their cros</w:t>
      </w:r>
      <w:r w:rsidR="00721D9D">
        <w:t xml:space="preserve">s-examination </w:t>
      </w:r>
      <w:r w:rsidR="000D51B0">
        <w:t>shows</w:t>
      </w:r>
      <w:r w:rsidR="00281CEC">
        <w:t xml:space="preserve"> they oppose the request because they view SQI-9 as a means to protect</w:t>
      </w:r>
      <w:r w:rsidR="00434941">
        <w:t xml:space="preserve"> low-income customers </w:t>
      </w:r>
      <w:r w:rsidR="00486672">
        <w:t xml:space="preserve">during </w:t>
      </w:r>
      <w:r w:rsidR="00434941">
        <w:t xml:space="preserve">difficult economic times.  </w:t>
      </w:r>
    </w:p>
    <w:p w:rsidR="00281CEC" w:rsidRDefault="00FA02D3" w:rsidP="00FA02D3">
      <w:pPr>
        <w:pStyle w:val="NoSpacing"/>
        <w:numPr>
          <w:ilvl w:val="0"/>
          <w:numId w:val="1"/>
        </w:numPr>
        <w:spacing w:line="480" w:lineRule="auto"/>
      </w:pPr>
      <w:r>
        <w:tab/>
      </w:r>
      <w:r w:rsidR="00281CEC">
        <w:t xml:space="preserve">Their opposition </w:t>
      </w:r>
      <w:r w:rsidR="00721D9D">
        <w:t>assumes that</w:t>
      </w:r>
      <w:r w:rsidR="00E310D2">
        <w:t xml:space="preserve"> SQI-9 is intended </w:t>
      </w:r>
      <w:r w:rsidR="00281CEC">
        <w:t xml:space="preserve">to </w:t>
      </w:r>
      <w:r w:rsidR="00734BC5">
        <w:t xml:space="preserve">limit the number of disconnections.  </w:t>
      </w:r>
      <w:r w:rsidR="00721D9D">
        <w:t>They are wrong.  T</w:t>
      </w:r>
      <w:r w:rsidR="00734BC5">
        <w:t>he purp</w:t>
      </w:r>
      <w:r w:rsidR="005D00B9">
        <w:t xml:space="preserve">ose of SQI-9 was to preclude </w:t>
      </w:r>
      <w:r w:rsidR="00734BC5">
        <w:t xml:space="preserve">over-reliance on disconnection </w:t>
      </w:r>
      <w:r w:rsidR="005D00B9">
        <w:t>as a credit and collection tool</w:t>
      </w:r>
      <w:r w:rsidR="00734BC5">
        <w:t xml:space="preserve"> when other more preferable payment arrangements</w:t>
      </w:r>
      <w:r w:rsidR="00721D9D">
        <w:t xml:space="preserve"> </w:t>
      </w:r>
      <w:r w:rsidR="00734BC5">
        <w:t>are available to customers</w:t>
      </w:r>
      <w:r w:rsidR="00721D9D">
        <w:t xml:space="preserve"> such as equal payment plans and pr</w:t>
      </w:r>
      <w:r w:rsidR="00A93374">
        <w:t>eferred payment dates</w:t>
      </w:r>
      <w:r w:rsidR="00721D9D">
        <w:t>.</w:t>
      </w:r>
      <w:r w:rsidR="00721D9D">
        <w:rPr>
          <w:rStyle w:val="FootnoteReference"/>
        </w:rPr>
        <w:footnoteReference w:id="395"/>
      </w:r>
      <w:r w:rsidR="00721D9D">
        <w:t xml:space="preserve">  Thus, SQI-9</w:t>
      </w:r>
      <w:r w:rsidR="005D00B9">
        <w:t xml:space="preserve"> may actually impede PSE</w:t>
      </w:r>
      <w:r w:rsidR="00721D9D">
        <w:t xml:space="preserve">’s incentive to offer </w:t>
      </w:r>
      <w:r w:rsidR="00A93374">
        <w:t>such</w:t>
      </w:r>
      <w:r w:rsidR="00721D9D">
        <w:t xml:space="preserve"> arrangements to cus</w:t>
      </w:r>
      <w:r w:rsidR="00A93374">
        <w:t>tomers</w:t>
      </w:r>
      <w:r w:rsidR="00721D9D">
        <w:t>.</w:t>
      </w:r>
      <w:r w:rsidR="005D00B9">
        <w:t xml:space="preserve">  </w:t>
      </w:r>
    </w:p>
    <w:p w:rsidR="00612583" w:rsidRDefault="00FA02D3" w:rsidP="00FA02D3">
      <w:pPr>
        <w:pStyle w:val="NoSpacing"/>
        <w:numPr>
          <w:ilvl w:val="0"/>
          <w:numId w:val="1"/>
        </w:numPr>
        <w:spacing w:line="480" w:lineRule="auto"/>
      </w:pPr>
      <w:r>
        <w:tab/>
      </w:r>
      <w:r w:rsidR="00E310D2">
        <w:t>Public Counsel and t</w:t>
      </w:r>
      <w:r w:rsidR="003257D3">
        <w:t xml:space="preserve">he Energy Project </w:t>
      </w:r>
      <w:r w:rsidR="00E310D2">
        <w:t xml:space="preserve">noted </w:t>
      </w:r>
      <w:r w:rsidR="00434941">
        <w:t>that disconnections for nonpayment grew 32 percent from 53,500 customers in 2009 to 70,500 customers in 2010.</w:t>
      </w:r>
      <w:r w:rsidR="00434941">
        <w:rPr>
          <w:rStyle w:val="FootnoteReference"/>
        </w:rPr>
        <w:footnoteReference w:id="396"/>
      </w:r>
      <w:r w:rsidR="00434941">
        <w:t xml:space="preserve">  However, they ignore the fact that</w:t>
      </w:r>
      <w:r w:rsidR="00C67A1A">
        <w:t xml:space="preserve"> </w:t>
      </w:r>
      <w:r w:rsidR="00CD31EB">
        <w:t>disconnect</w:t>
      </w:r>
      <w:r w:rsidR="0025335C">
        <w:t>ion</w:t>
      </w:r>
      <w:r w:rsidR="00CD31EB">
        <w:t xml:space="preserve"> complaints increas</w:t>
      </w:r>
      <w:r w:rsidR="00E310D2">
        <w:t xml:space="preserve">ed only 4.8 percent from 2009 to </w:t>
      </w:r>
      <w:r w:rsidR="00CD31EB">
        <w:t xml:space="preserve">2010, suggesting </w:t>
      </w:r>
      <w:r w:rsidR="00CD31EB">
        <w:lastRenderedPageBreak/>
        <w:t>th</w:t>
      </w:r>
      <w:r w:rsidR="00577690">
        <w:t xml:space="preserve">at the interim suspension of </w:t>
      </w:r>
      <w:r w:rsidR="00CD31EB">
        <w:t>SQI-9 did not have a significant impact</w:t>
      </w:r>
      <w:r w:rsidR="00C67A1A">
        <w:t xml:space="preserve"> on customer concerns</w:t>
      </w:r>
      <w:r w:rsidR="00CD31EB">
        <w:t>.</w:t>
      </w:r>
      <w:r w:rsidR="00CD31EB">
        <w:rPr>
          <w:rStyle w:val="FootnoteReference"/>
        </w:rPr>
        <w:footnoteReference w:id="397"/>
      </w:r>
      <w:r w:rsidR="00CD31EB">
        <w:t xml:space="preserve"> </w:t>
      </w:r>
      <w:r w:rsidR="00E310D2">
        <w:t xml:space="preserve"> Moreover, </w:t>
      </w:r>
      <w:r w:rsidR="00CD31EB">
        <w:t xml:space="preserve">PSE </w:t>
      </w:r>
      <w:r w:rsidR="00577690">
        <w:t xml:space="preserve">is precluded by </w:t>
      </w:r>
      <w:r w:rsidR="00CD31EB">
        <w:t>workforce limita</w:t>
      </w:r>
      <w:r w:rsidR="00577690">
        <w:t>tion</w:t>
      </w:r>
      <w:r w:rsidR="000D51B0">
        <w:t>s</w:t>
      </w:r>
      <w:r w:rsidR="00577690">
        <w:t xml:space="preserve"> </w:t>
      </w:r>
      <w:r w:rsidR="00CD31EB">
        <w:t>from disconnecting more than about 80,000 customers</w:t>
      </w:r>
      <w:r w:rsidR="00C67A1A">
        <w:t>, suggesting that elimination of SQI-9 may not</w:t>
      </w:r>
      <w:r w:rsidR="00F26B2F">
        <w:t>, as a practical matter,</w:t>
      </w:r>
      <w:r w:rsidR="00C67A1A">
        <w:t xml:space="preserve"> significantly increase the number </w:t>
      </w:r>
      <w:r w:rsidR="00577690">
        <w:t>of disconnections</w:t>
      </w:r>
      <w:r w:rsidR="00C67A1A">
        <w:t>.</w:t>
      </w:r>
      <w:r w:rsidR="00C67A1A">
        <w:rPr>
          <w:rStyle w:val="FootnoteReference"/>
        </w:rPr>
        <w:footnoteReference w:id="398"/>
      </w:r>
    </w:p>
    <w:p w:rsidR="003257D3" w:rsidRDefault="00FA02D3" w:rsidP="00FA02D3">
      <w:pPr>
        <w:pStyle w:val="NoSpacing"/>
        <w:numPr>
          <w:ilvl w:val="0"/>
          <w:numId w:val="1"/>
        </w:numPr>
        <w:spacing w:line="480" w:lineRule="auto"/>
      </w:pPr>
      <w:r>
        <w:tab/>
      </w:r>
      <w:r w:rsidR="003257D3">
        <w:t>Pu</w:t>
      </w:r>
      <w:r w:rsidR="00E310D2">
        <w:t>blic Counsel and t</w:t>
      </w:r>
      <w:r w:rsidR="003257D3">
        <w:t xml:space="preserve">he Energy Project </w:t>
      </w:r>
      <w:r w:rsidR="00E310D2">
        <w:t>noted that</w:t>
      </w:r>
      <w:r w:rsidR="003257D3">
        <w:t xml:space="preserve"> neither PSE nor </w:t>
      </w:r>
      <w:r w:rsidR="00245237">
        <w:t xml:space="preserve">Staff quantified </w:t>
      </w:r>
      <w:r w:rsidR="00A93374">
        <w:t xml:space="preserve">the burden of higher </w:t>
      </w:r>
      <w:r w:rsidR="003257D3">
        <w:t>uncollectible revenues.</w:t>
      </w:r>
      <w:r w:rsidR="003257D3">
        <w:rPr>
          <w:rStyle w:val="FootnoteReference"/>
        </w:rPr>
        <w:footnoteReference w:id="399"/>
      </w:r>
      <w:r w:rsidR="00245237">
        <w:t xml:space="preserve">  Their argument, however, is inconsistent with the attention they drew to </w:t>
      </w:r>
      <w:r w:rsidR="000D51B0">
        <w:t xml:space="preserve">the </w:t>
      </w:r>
      <w:r w:rsidR="00245237">
        <w:t>increase in disconnections that occurred once SQI-9 was suspende</w:t>
      </w:r>
      <w:r w:rsidR="00A93374">
        <w:t xml:space="preserve">d in 2010.  If that increase is </w:t>
      </w:r>
      <w:r w:rsidR="00245237">
        <w:t>si</w:t>
      </w:r>
      <w:r w:rsidR="000D51B0">
        <w:t>gnificant, as they suggest</w:t>
      </w:r>
      <w:r w:rsidR="00245237">
        <w:t xml:space="preserve">, </w:t>
      </w:r>
      <w:r w:rsidR="001C3358">
        <w:t>then the level of uncollectible revenues associated with that increase must also be significant.</w:t>
      </w:r>
    </w:p>
    <w:p w:rsidR="003257D3" w:rsidRDefault="00FA02D3" w:rsidP="00FA02D3">
      <w:pPr>
        <w:pStyle w:val="NoSpacing"/>
        <w:numPr>
          <w:ilvl w:val="0"/>
          <w:numId w:val="1"/>
        </w:numPr>
        <w:spacing w:line="480" w:lineRule="auto"/>
      </w:pPr>
      <w:r>
        <w:tab/>
      </w:r>
      <w:r w:rsidR="00C67A1A">
        <w:t>Public Counsel</w:t>
      </w:r>
      <w:r w:rsidR="00E310D2">
        <w:t xml:space="preserve"> and t</w:t>
      </w:r>
      <w:r w:rsidR="003257D3">
        <w:t xml:space="preserve">he Energy Project </w:t>
      </w:r>
      <w:r w:rsidR="00591164">
        <w:t>noted</w:t>
      </w:r>
      <w:r w:rsidR="00C67A1A">
        <w:t xml:space="preserve"> th</w:t>
      </w:r>
      <w:r w:rsidR="00A93374">
        <w:t xml:space="preserve">at SQI-9 does not </w:t>
      </w:r>
      <w:r w:rsidR="00FC3A4C">
        <w:t xml:space="preserve">cap the number of </w:t>
      </w:r>
      <w:r w:rsidR="00F26B2F">
        <w:t xml:space="preserve">customer </w:t>
      </w:r>
      <w:r w:rsidR="00A93374">
        <w:t xml:space="preserve">disconnections, but </w:t>
      </w:r>
      <w:r w:rsidR="00FC3A4C">
        <w:t>only tr</w:t>
      </w:r>
      <w:r w:rsidR="000D51B0">
        <w:t xml:space="preserve">iggers a penalty if PSE </w:t>
      </w:r>
      <w:r w:rsidR="00FC3A4C">
        <w:t>exceeds</w:t>
      </w:r>
      <w:r w:rsidR="003257D3">
        <w:t xml:space="preserve"> the disconnection ratio</w:t>
      </w:r>
      <w:r w:rsidR="00FC3A4C">
        <w:t>.</w:t>
      </w:r>
      <w:r w:rsidR="00FC3A4C">
        <w:rPr>
          <w:rStyle w:val="FootnoteReference"/>
        </w:rPr>
        <w:footnoteReference w:id="400"/>
      </w:r>
      <w:r w:rsidR="00FC3A4C">
        <w:t xml:space="preserve">  </w:t>
      </w:r>
      <w:r w:rsidR="003257D3">
        <w:t>Of course, the same argument can be made for any SQI metric:  t</w:t>
      </w:r>
      <w:r w:rsidR="00577690">
        <w:t>he Company can ignore any</w:t>
      </w:r>
      <w:r w:rsidR="003257D3">
        <w:t xml:space="preserve"> metric as long as it is willing to pay the fine, regardless </w:t>
      </w:r>
      <w:r w:rsidR="00A93374">
        <w:t>of the impact on customer</w:t>
      </w:r>
      <w:r w:rsidR="00E310D2">
        <w:t>s.  Surely, Public Counsel and t</w:t>
      </w:r>
      <w:r w:rsidR="003257D3">
        <w:t>he Energy Project would oppose such behavior.</w:t>
      </w:r>
    </w:p>
    <w:p w:rsidR="003257D3" w:rsidRPr="003257D3" w:rsidRDefault="00FA02D3" w:rsidP="00FA02D3">
      <w:pPr>
        <w:pStyle w:val="NoSpacing"/>
        <w:numPr>
          <w:ilvl w:val="0"/>
          <w:numId w:val="1"/>
        </w:numPr>
        <w:spacing w:line="480" w:lineRule="auto"/>
      </w:pPr>
      <w:r>
        <w:tab/>
      </w:r>
      <w:r w:rsidR="003257D3">
        <w:t xml:space="preserve">Moreover, penalties for violating SQI-9 </w:t>
      </w:r>
      <w:r w:rsidR="006046DA">
        <w:t>are significant, ranging</w:t>
      </w:r>
      <w:r w:rsidR="0025335C">
        <w:t xml:space="preserve"> from $337</w:t>
      </w:r>
      <w:r w:rsidR="00F26B2F">
        <w:t>,000 to $1</w:t>
      </w:r>
      <w:r w:rsidR="0025335C">
        <w:t>.5</w:t>
      </w:r>
      <w:r w:rsidR="00F26B2F">
        <w:t xml:space="preserve"> million.</w:t>
      </w:r>
      <w:r w:rsidR="00F26B2F">
        <w:rPr>
          <w:rStyle w:val="FootnoteReference"/>
        </w:rPr>
        <w:footnoteReference w:id="401"/>
      </w:r>
      <w:r w:rsidR="00591164">
        <w:t xml:space="preserve">  It would be</w:t>
      </w:r>
      <w:r w:rsidR="000D51B0">
        <w:t xml:space="preserve"> </w:t>
      </w:r>
      <w:r w:rsidR="006046DA">
        <w:t xml:space="preserve">inappropriate </w:t>
      </w:r>
      <w:r w:rsidR="00F26B2F">
        <w:t>for Publi</w:t>
      </w:r>
      <w:r w:rsidR="00E310D2">
        <w:t>c Counsel and t</w:t>
      </w:r>
      <w:r w:rsidR="00591164">
        <w:t xml:space="preserve">he Energy Project to </w:t>
      </w:r>
      <w:r w:rsidR="00F0520D">
        <w:t>argue</w:t>
      </w:r>
      <w:r w:rsidR="00F26B2F">
        <w:t xml:space="preserve"> that </w:t>
      </w:r>
      <w:r w:rsidR="00E310D2">
        <w:t>PSE</w:t>
      </w:r>
      <w:r w:rsidR="007511D6">
        <w:t xml:space="preserve"> c</w:t>
      </w:r>
      <w:r w:rsidR="005D00B9">
        <w:t>ould</w:t>
      </w:r>
      <w:r w:rsidR="00A93374">
        <w:t xml:space="preserve"> simply </w:t>
      </w:r>
      <w:r w:rsidR="007511D6">
        <w:t>exceed the SQI-9 ratio and pay the</w:t>
      </w:r>
      <w:r w:rsidR="00E310D2">
        <w:t xml:space="preserve"> </w:t>
      </w:r>
      <w:r w:rsidR="006046DA">
        <w:t>fines</w:t>
      </w:r>
      <w:r w:rsidR="00994CBF">
        <w:t>.</w:t>
      </w:r>
    </w:p>
    <w:p w:rsidR="00BE363F" w:rsidRDefault="00DF316E" w:rsidP="00FA02D3">
      <w:pPr>
        <w:keepNext/>
        <w:spacing w:after="0" w:line="480" w:lineRule="auto"/>
        <w:jc w:val="center"/>
        <w:rPr>
          <w:rFonts w:ascii="Times New Roman" w:hAnsi="Times New Roman" w:cs="Times New Roman"/>
          <w:b/>
          <w:sz w:val="24"/>
          <w:szCs w:val="24"/>
        </w:rPr>
      </w:pPr>
      <w:r w:rsidRPr="00DF316E">
        <w:rPr>
          <w:rFonts w:ascii="Times New Roman" w:hAnsi="Times New Roman" w:cs="Times New Roman"/>
          <w:b/>
          <w:sz w:val="24"/>
          <w:szCs w:val="24"/>
        </w:rPr>
        <w:t>VII.</w:t>
      </w:r>
      <w:r w:rsidRPr="00DF316E">
        <w:rPr>
          <w:rFonts w:ascii="Times New Roman" w:hAnsi="Times New Roman" w:cs="Times New Roman"/>
          <w:b/>
          <w:sz w:val="24"/>
          <w:szCs w:val="24"/>
        </w:rPr>
        <w:tab/>
      </w:r>
      <w:r w:rsidR="00864137">
        <w:rPr>
          <w:rFonts w:ascii="Times New Roman" w:hAnsi="Times New Roman" w:cs="Times New Roman"/>
          <w:b/>
          <w:sz w:val="24"/>
          <w:szCs w:val="24"/>
        </w:rPr>
        <w:t>LOW INCOME ASSISTANCE</w:t>
      </w:r>
    </w:p>
    <w:p w:rsidR="00864137" w:rsidRPr="00B65F5A" w:rsidRDefault="00FA02D3" w:rsidP="00FA02D3">
      <w:pPr>
        <w:pStyle w:val="Heading3"/>
        <w:numPr>
          <w:ilvl w:val="0"/>
          <w:numId w:val="1"/>
        </w:numPr>
        <w:rPr>
          <w:b w:val="0"/>
        </w:rPr>
      </w:pPr>
      <w:r>
        <w:rPr>
          <w:b w:val="0"/>
        </w:rPr>
        <w:tab/>
      </w:r>
      <w:r w:rsidR="00864137">
        <w:rPr>
          <w:b w:val="0"/>
        </w:rPr>
        <w:t xml:space="preserve">The Energy Project </w:t>
      </w:r>
      <w:r w:rsidR="00864137" w:rsidRPr="00864137">
        <w:rPr>
          <w:b w:val="0"/>
        </w:rPr>
        <w:t>proposes</w:t>
      </w:r>
      <w:r w:rsidR="00B65F5A">
        <w:rPr>
          <w:b w:val="0"/>
        </w:rPr>
        <w:t xml:space="preserve"> that PSE </w:t>
      </w:r>
      <w:r w:rsidR="00864137" w:rsidRPr="00864137">
        <w:rPr>
          <w:b w:val="0"/>
        </w:rPr>
        <w:t>inc</w:t>
      </w:r>
      <w:r w:rsidR="00B65F5A">
        <w:rPr>
          <w:b w:val="0"/>
        </w:rPr>
        <w:t xml:space="preserve">rease its funding for </w:t>
      </w:r>
      <w:r w:rsidR="00864137" w:rsidRPr="00864137">
        <w:rPr>
          <w:b w:val="0"/>
        </w:rPr>
        <w:t xml:space="preserve">low-income residential </w:t>
      </w:r>
      <w:r w:rsidR="00B65F5A">
        <w:rPr>
          <w:b w:val="0"/>
        </w:rPr>
        <w:t>bill assistance</w:t>
      </w:r>
      <w:r w:rsidR="00864137" w:rsidRPr="00864137">
        <w:rPr>
          <w:b w:val="0"/>
        </w:rPr>
        <w:t xml:space="preserve"> from .51 percent t</w:t>
      </w:r>
      <w:r w:rsidR="00B65F5A">
        <w:rPr>
          <w:b w:val="0"/>
        </w:rPr>
        <w:t>o .665 percent of total annual operating revenues.</w:t>
      </w:r>
      <w:r w:rsidR="00864137" w:rsidRPr="00864137">
        <w:rPr>
          <w:rStyle w:val="FootnoteReference"/>
          <w:b w:val="0"/>
        </w:rPr>
        <w:footnoteReference w:id="402"/>
      </w:r>
      <w:r w:rsidR="00B65F5A">
        <w:rPr>
          <w:b w:val="0"/>
        </w:rPr>
        <w:t xml:space="preserve">  This </w:t>
      </w:r>
      <w:r w:rsidR="00B65F5A" w:rsidRPr="00B65F5A">
        <w:rPr>
          <w:b w:val="0"/>
        </w:rPr>
        <w:t xml:space="preserve">is </w:t>
      </w:r>
      <w:r w:rsidR="00864137" w:rsidRPr="00B65F5A">
        <w:rPr>
          <w:b w:val="0"/>
        </w:rPr>
        <w:t xml:space="preserve">a </w:t>
      </w:r>
      <w:r w:rsidR="007326D8" w:rsidRPr="00B65F5A">
        <w:rPr>
          <w:b w:val="0"/>
        </w:rPr>
        <w:lastRenderedPageBreak/>
        <w:t xml:space="preserve">relatively </w:t>
      </w:r>
      <w:r w:rsidR="000D51B0">
        <w:rPr>
          <w:b w:val="0"/>
        </w:rPr>
        <w:t xml:space="preserve">minor increase with little impact on the </w:t>
      </w:r>
      <w:r w:rsidR="00864137" w:rsidRPr="00B65F5A">
        <w:rPr>
          <w:b w:val="0"/>
        </w:rPr>
        <w:t xml:space="preserve">remaining customers that </w:t>
      </w:r>
      <w:r w:rsidR="000D51B0">
        <w:rPr>
          <w:b w:val="0"/>
        </w:rPr>
        <w:t>fund the program</w:t>
      </w:r>
      <w:r w:rsidR="00701C80" w:rsidRPr="00B65F5A">
        <w:rPr>
          <w:b w:val="0"/>
        </w:rPr>
        <w:t xml:space="preserve"> through </w:t>
      </w:r>
      <w:r w:rsidR="000D51B0">
        <w:rPr>
          <w:b w:val="0"/>
        </w:rPr>
        <w:t>a surcharge</w:t>
      </w:r>
      <w:r w:rsidR="00864137" w:rsidRPr="00B65F5A">
        <w:rPr>
          <w:b w:val="0"/>
        </w:rPr>
        <w:t>.  T</w:t>
      </w:r>
      <w:r w:rsidR="000D51B0">
        <w:rPr>
          <w:b w:val="0"/>
        </w:rPr>
        <w:t xml:space="preserve">herefore, Staff recommends </w:t>
      </w:r>
      <w:r w:rsidR="00864137" w:rsidRPr="00B65F5A">
        <w:rPr>
          <w:b w:val="0"/>
        </w:rPr>
        <w:t>the Commission approve the proposal.</w:t>
      </w:r>
      <w:r w:rsidR="00864137" w:rsidRPr="00B65F5A">
        <w:rPr>
          <w:rStyle w:val="FootnoteReference"/>
          <w:b w:val="0"/>
        </w:rPr>
        <w:footnoteReference w:id="403"/>
      </w:r>
    </w:p>
    <w:p w:rsidR="00864137" w:rsidRPr="00105582" w:rsidRDefault="00FA02D3" w:rsidP="00864137">
      <w:pPr>
        <w:pStyle w:val="Heading3"/>
        <w:numPr>
          <w:ilvl w:val="0"/>
          <w:numId w:val="1"/>
        </w:numPr>
        <w:rPr>
          <w:b w:val="0"/>
        </w:rPr>
      </w:pPr>
      <w:r w:rsidRPr="00105582">
        <w:tab/>
      </w:r>
      <w:r w:rsidR="00864137" w:rsidRPr="00105582">
        <w:rPr>
          <w:b w:val="0"/>
        </w:rPr>
        <w:t xml:space="preserve">However, </w:t>
      </w:r>
      <w:r w:rsidR="00E310D2" w:rsidRPr="00105582">
        <w:rPr>
          <w:b w:val="0"/>
        </w:rPr>
        <w:t>t</w:t>
      </w:r>
      <w:r w:rsidR="00864137" w:rsidRPr="00105582">
        <w:rPr>
          <w:b w:val="0"/>
        </w:rPr>
        <w:t>he Energy Project’s proposal is based solely on</w:t>
      </w:r>
      <w:r w:rsidR="007326D8" w:rsidRPr="00105582">
        <w:rPr>
          <w:b w:val="0"/>
        </w:rPr>
        <w:t xml:space="preserve"> a comparison of PSE’s </w:t>
      </w:r>
      <w:r w:rsidR="00864137" w:rsidRPr="00105582">
        <w:rPr>
          <w:b w:val="0"/>
        </w:rPr>
        <w:t xml:space="preserve">low-income </w:t>
      </w:r>
      <w:r w:rsidR="007326D8" w:rsidRPr="00105582">
        <w:rPr>
          <w:b w:val="0"/>
        </w:rPr>
        <w:t>funding</w:t>
      </w:r>
      <w:r w:rsidR="00E262B8">
        <w:rPr>
          <w:b w:val="0"/>
        </w:rPr>
        <w:t xml:space="preserve"> to </w:t>
      </w:r>
      <w:r w:rsidR="00864137" w:rsidRPr="00105582">
        <w:rPr>
          <w:b w:val="0"/>
        </w:rPr>
        <w:t>similar programs by Avista, Seattle City Light, Snohomish PUD, three utilities in California, and t</w:t>
      </w:r>
      <w:r w:rsidR="00701C80" w:rsidRPr="00105582">
        <w:rPr>
          <w:b w:val="0"/>
        </w:rPr>
        <w:t xml:space="preserve">hree utilities in New England. </w:t>
      </w:r>
      <w:r w:rsidR="00701C80" w:rsidRPr="00105582">
        <w:rPr>
          <w:rStyle w:val="FootnoteReference"/>
          <w:b w:val="0"/>
        </w:rPr>
        <w:footnoteReference w:id="404"/>
      </w:r>
      <w:r w:rsidR="00B65F5A" w:rsidRPr="00105582">
        <w:rPr>
          <w:b w:val="0"/>
        </w:rPr>
        <w:t xml:space="preserve">  This </w:t>
      </w:r>
      <w:r w:rsidR="00864137" w:rsidRPr="00105582">
        <w:rPr>
          <w:b w:val="0"/>
        </w:rPr>
        <w:t>does not a</w:t>
      </w:r>
      <w:r w:rsidR="00B65F5A" w:rsidRPr="00105582">
        <w:rPr>
          <w:b w:val="0"/>
        </w:rPr>
        <w:t xml:space="preserve">ccount </w:t>
      </w:r>
      <w:r w:rsidR="00964435" w:rsidRPr="00105582">
        <w:rPr>
          <w:b w:val="0"/>
        </w:rPr>
        <w:t xml:space="preserve">explicitly </w:t>
      </w:r>
      <w:r w:rsidR="00964435">
        <w:rPr>
          <w:b w:val="0"/>
        </w:rPr>
        <w:t>for factors</w:t>
      </w:r>
      <w:r w:rsidR="00B65F5A" w:rsidRPr="00105582">
        <w:rPr>
          <w:b w:val="0"/>
        </w:rPr>
        <w:t xml:space="preserve"> </w:t>
      </w:r>
      <w:r w:rsidR="00864137" w:rsidRPr="00105582">
        <w:rPr>
          <w:b w:val="0"/>
        </w:rPr>
        <w:t>impact</w:t>
      </w:r>
      <w:r w:rsidR="00B65F5A" w:rsidRPr="00105582">
        <w:rPr>
          <w:b w:val="0"/>
        </w:rPr>
        <w:t>ing</w:t>
      </w:r>
      <w:r w:rsidR="00864137" w:rsidRPr="00105582">
        <w:rPr>
          <w:b w:val="0"/>
        </w:rPr>
        <w:t xml:space="preserve"> </w:t>
      </w:r>
      <w:r w:rsidR="000D51B0" w:rsidRPr="00105582">
        <w:rPr>
          <w:b w:val="0"/>
        </w:rPr>
        <w:t xml:space="preserve">the need for low income </w:t>
      </w:r>
      <w:r w:rsidR="00864137" w:rsidRPr="00105582">
        <w:rPr>
          <w:b w:val="0"/>
        </w:rPr>
        <w:t>assi</w:t>
      </w:r>
      <w:r w:rsidR="005D00B9" w:rsidRPr="00105582">
        <w:rPr>
          <w:b w:val="0"/>
        </w:rPr>
        <w:t>stance</w:t>
      </w:r>
      <w:r w:rsidR="00964435">
        <w:rPr>
          <w:b w:val="0"/>
        </w:rPr>
        <w:t xml:space="preserve">, such </w:t>
      </w:r>
      <w:r w:rsidR="00864137" w:rsidRPr="00105582">
        <w:rPr>
          <w:b w:val="0"/>
        </w:rPr>
        <w:t>customer demographics and economic condition</w:t>
      </w:r>
      <w:r w:rsidR="0085548C" w:rsidRPr="00105582">
        <w:rPr>
          <w:b w:val="0"/>
        </w:rPr>
        <w:t>s</w:t>
      </w:r>
      <w:r w:rsidR="00864137" w:rsidRPr="00105582">
        <w:rPr>
          <w:b w:val="0"/>
        </w:rPr>
        <w:t>.</w:t>
      </w:r>
      <w:r w:rsidR="0075230A" w:rsidRPr="00105582">
        <w:rPr>
          <w:rStyle w:val="FootnoteReference"/>
          <w:b w:val="0"/>
        </w:rPr>
        <w:footnoteReference w:id="405"/>
      </w:r>
      <w:r w:rsidR="00864137" w:rsidRPr="00105582">
        <w:rPr>
          <w:b w:val="0"/>
        </w:rPr>
        <w:t xml:space="preserve">  </w:t>
      </w:r>
      <w:r w:rsidR="000D51B0" w:rsidRPr="00105582">
        <w:rPr>
          <w:b w:val="0"/>
        </w:rPr>
        <w:t>Therefore,</w:t>
      </w:r>
      <w:r w:rsidR="00701C80" w:rsidRPr="00105582">
        <w:rPr>
          <w:b w:val="0"/>
        </w:rPr>
        <w:t xml:space="preserve"> the Commission </w:t>
      </w:r>
      <w:r w:rsidR="005D00B9" w:rsidRPr="00105582">
        <w:rPr>
          <w:b w:val="0"/>
        </w:rPr>
        <w:t xml:space="preserve">should </w:t>
      </w:r>
      <w:r w:rsidR="00701C80" w:rsidRPr="00105582">
        <w:rPr>
          <w:b w:val="0"/>
        </w:rPr>
        <w:t xml:space="preserve">warn </w:t>
      </w:r>
      <w:r w:rsidR="00864137" w:rsidRPr="00105582">
        <w:rPr>
          <w:b w:val="0"/>
        </w:rPr>
        <w:t>any par</w:t>
      </w:r>
      <w:r w:rsidR="000D51B0" w:rsidRPr="00105582">
        <w:rPr>
          <w:b w:val="0"/>
        </w:rPr>
        <w:t xml:space="preserve">ty proposing further increases </w:t>
      </w:r>
      <w:r w:rsidR="00864137" w:rsidRPr="00105582">
        <w:rPr>
          <w:b w:val="0"/>
        </w:rPr>
        <w:t>in</w:t>
      </w:r>
      <w:r w:rsidR="00701C80" w:rsidRPr="00105582">
        <w:rPr>
          <w:b w:val="0"/>
        </w:rPr>
        <w:t xml:space="preserve"> later PSE rate cases that they should</w:t>
      </w:r>
      <w:r w:rsidR="00864137" w:rsidRPr="00105582">
        <w:rPr>
          <w:b w:val="0"/>
        </w:rPr>
        <w:t xml:space="preserve"> support that proposal with more det</w:t>
      </w:r>
      <w:r w:rsidR="00964435">
        <w:rPr>
          <w:b w:val="0"/>
        </w:rPr>
        <w:t xml:space="preserve">ailed analysis of these and </w:t>
      </w:r>
      <w:r w:rsidR="00864137" w:rsidRPr="00105582">
        <w:rPr>
          <w:b w:val="0"/>
        </w:rPr>
        <w:t>other relevant factors.</w:t>
      </w:r>
      <w:r w:rsidR="00701C80" w:rsidRPr="00105582">
        <w:rPr>
          <w:rStyle w:val="FootnoteReference"/>
          <w:b w:val="0"/>
        </w:rPr>
        <w:footnoteReference w:id="406"/>
      </w:r>
      <w:r w:rsidR="00864137" w:rsidRPr="00105582">
        <w:rPr>
          <w:b w:val="0"/>
        </w:rPr>
        <w:t xml:space="preserve">  </w:t>
      </w:r>
    </w:p>
    <w:p w:rsidR="004C7121" w:rsidRPr="004C7121" w:rsidRDefault="004C7121" w:rsidP="004C7121">
      <w:pPr>
        <w:spacing w:after="0" w:line="240" w:lineRule="auto"/>
        <w:ind w:left="720"/>
        <w:rPr>
          <w:rFonts w:ascii="Times New Roman" w:hAnsi="Times New Roman" w:cs="Times New Roman"/>
          <w:sz w:val="24"/>
          <w:szCs w:val="24"/>
        </w:rPr>
      </w:pPr>
      <w:r w:rsidRPr="004C7121">
        <w:rPr>
          <w:rFonts w:ascii="Times New Roman" w:hAnsi="Times New Roman" w:cs="Times New Roman"/>
          <w:sz w:val="24"/>
          <w:szCs w:val="24"/>
        </w:rPr>
        <w:t xml:space="preserve">DATED this </w:t>
      </w:r>
      <w:r>
        <w:rPr>
          <w:rFonts w:ascii="Times New Roman" w:hAnsi="Times New Roman" w:cs="Times New Roman"/>
          <w:sz w:val="24"/>
          <w:szCs w:val="24"/>
        </w:rPr>
        <w:t>16th</w:t>
      </w:r>
      <w:r w:rsidRPr="004C7121">
        <w:rPr>
          <w:rFonts w:ascii="Times New Roman" w:hAnsi="Times New Roman" w:cs="Times New Roman"/>
          <w:sz w:val="24"/>
          <w:szCs w:val="24"/>
        </w:rPr>
        <w:t xml:space="preserve"> day of </w:t>
      </w:r>
      <w:r>
        <w:rPr>
          <w:rFonts w:ascii="Times New Roman" w:hAnsi="Times New Roman" w:cs="Times New Roman"/>
          <w:sz w:val="24"/>
          <w:szCs w:val="24"/>
        </w:rPr>
        <w:t xml:space="preserve">March </w:t>
      </w:r>
      <w:r w:rsidRPr="004C7121">
        <w:rPr>
          <w:rFonts w:ascii="Times New Roman" w:hAnsi="Times New Roman" w:cs="Times New Roman"/>
          <w:sz w:val="24"/>
          <w:szCs w:val="24"/>
        </w:rPr>
        <w:t>2012.</w:t>
      </w:r>
    </w:p>
    <w:p w:rsidR="004C7121" w:rsidRPr="004C7121" w:rsidRDefault="004C7121" w:rsidP="004C7121">
      <w:pPr>
        <w:pStyle w:val="BodyTextIndent2"/>
        <w:spacing w:after="0" w:line="240" w:lineRule="auto"/>
        <w:ind w:left="0"/>
        <w:rPr>
          <w:rFonts w:ascii="Times New Roman" w:hAnsi="Times New Roman" w:cs="Times New Roman"/>
          <w:sz w:val="24"/>
          <w:szCs w:val="24"/>
        </w:rPr>
      </w:pP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 xml:space="preserve">Respectfully submitted, </w:t>
      </w:r>
    </w:p>
    <w:p w:rsidR="004C7121" w:rsidRPr="004C7121" w:rsidRDefault="004C7121" w:rsidP="004C7121">
      <w:pPr>
        <w:spacing w:after="0" w:line="240" w:lineRule="auto"/>
        <w:ind w:left="4320"/>
        <w:jc w:val="both"/>
        <w:rPr>
          <w:rFonts w:ascii="Times New Roman" w:hAnsi="Times New Roman" w:cs="Times New Roman"/>
          <w:sz w:val="24"/>
          <w:szCs w:val="24"/>
        </w:rPr>
      </w:pP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 xml:space="preserve">ROBERT M. MCKENNA </w:t>
      </w: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Attorney General</w:t>
      </w:r>
    </w:p>
    <w:p w:rsidR="004C7121" w:rsidRPr="004C7121" w:rsidRDefault="004C7121" w:rsidP="004C7121">
      <w:pPr>
        <w:spacing w:after="0" w:line="240" w:lineRule="auto"/>
        <w:ind w:left="4320"/>
        <w:jc w:val="both"/>
        <w:rPr>
          <w:rFonts w:ascii="Times New Roman" w:hAnsi="Times New Roman" w:cs="Times New Roman"/>
          <w:sz w:val="24"/>
          <w:szCs w:val="24"/>
        </w:rPr>
      </w:pPr>
    </w:p>
    <w:p w:rsidR="004C7121" w:rsidRPr="004C7121" w:rsidRDefault="004C7121" w:rsidP="004C7121">
      <w:pPr>
        <w:spacing w:after="0" w:line="240" w:lineRule="auto"/>
        <w:ind w:left="4320"/>
        <w:jc w:val="both"/>
        <w:rPr>
          <w:rFonts w:ascii="Times New Roman" w:hAnsi="Times New Roman" w:cs="Times New Roman"/>
          <w:sz w:val="24"/>
          <w:szCs w:val="24"/>
        </w:rPr>
      </w:pPr>
    </w:p>
    <w:p w:rsidR="004C7121" w:rsidRPr="004C7121" w:rsidRDefault="004C7121" w:rsidP="004C7121">
      <w:pPr>
        <w:spacing w:after="0" w:line="240" w:lineRule="auto"/>
        <w:ind w:left="4320"/>
        <w:jc w:val="both"/>
        <w:rPr>
          <w:rFonts w:ascii="Times New Roman" w:hAnsi="Times New Roman" w:cs="Times New Roman"/>
          <w:sz w:val="24"/>
          <w:szCs w:val="24"/>
        </w:rPr>
      </w:pP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______________________________________</w:t>
      </w:r>
    </w:p>
    <w:p w:rsidR="004C7121" w:rsidRPr="004C7121" w:rsidRDefault="004C7121" w:rsidP="004C7121">
      <w:p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ROBERT D. CEDARBAUM </w:t>
      </w: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Assistant Attorney General</w:t>
      </w:r>
    </w:p>
    <w:p w:rsidR="004C7121" w:rsidRPr="004C7121" w:rsidRDefault="004C7121" w:rsidP="004C7121">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Counsel for Washington Utilities and</w:t>
      </w:r>
    </w:p>
    <w:p w:rsidR="008E0D31" w:rsidRPr="00864137" w:rsidRDefault="004C7121" w:rsidP="00DA0B38">
      <w:pPr>
        <w:spacing w:after="0" w:line="240" w:lineRule="auto"/>
        <w:ind w:left="4320"/>
        <w:jc w:val="both"/>
        <w:rPr>
          <w:rFonts w:ascii="Times New Roman" w:hAnsi="Times New Roman" w:cs="Times New Roman"/>
          <w:sz w:val="24"/>
          <w:szCs w:val="24"/>
        </w:rPr>
      </w:pPr>
      <w:r w:rsidRPr="004C7121">
        <w:rPr>
          <w:rFonts w:ascii="Times New Roman" w:hAnsi="Times New Roman" w:cs="Times New Roman"/>
          <w:sz w:val="24"/>
          <w:szCs w:val="24"/>
        </w:rPr>
        <w:t>Transportation Commission Staff</w:t>
      </w:r>
    </w:p>
    <w:sectPr w:rsidR="008E0D31" w:rsidRPr="00864137" w:rsidSect="007C3894">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2D" w:rsidRDefault="006E272D" w:rsidP="00527B50">
      <w:pPr>
        <w:spacing w:after="0" w:line="240" w:lineRule="auto"/>
      </w:pPr>
      <w:r>
        <w:separator/>
      </w:r>
    </w:p>
  </w:endnote>
  <w:endnote w:type="continuationSeparator" w:id="0">
    <w:p w:rsidR="006E272D" w:rsidRDefault="006E272D" w:rsidP="0052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2D" w:rsidRPr="00FF431B" w:rsidRDefault="006E272D">
    <w:pPr>
      <w:pStyle w:val="Footer"/>
    </w:pPr>
  </w:p>
  <w:p w:rsidR="006E272D" w:rsidRPr="00FF431B" w:rsidRDefault="006E272D">
    <w:pPr>
      <w:pStyle w:val="Footer"/>
      <w:rPr>
        <w:sz w:val="20"/>
        <w:szCs w:val="20"/>
      </w:rPr>
    </w:pPr>
    <w:r>
      <w:rPr>
        <w:sz w:val="20"/>
        <w:szCs w:val="20"/>
      </w:rPr>
      <w:t>COMMISSION STAFF INITIAL BRIEF</w:t>
    </w:r>
    <w:r w:rsidRPr="00FF431B">
      <w:rPr>
        <w:sz w:val="20"/>
        <w:szCs w:val="20"/>
      </w:rPr>
      <w:t xml:space="preserve">-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8B47F6">
      <w:rPr>
        <w:rStyle w:val="PageNumber"/>
        <w:noProof/>
        <w:sz w:val="20"/>
        <w:szCs w:val="20"/>
      </w:rPr>
      <w:t>viii</w:t>
    </w:r>
    <w:r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2D" w:rsidRPr="00271D1A" w:rsidRDefault="006E272D" w:rsidP="00271D1A">
    <w:pPr>
      <w:pStyle w:val="Footer"/>
      <w:rPr>
        <w:sz w:val="20"/>
        <w:szCs w:val="20"/>
      </w:rPr>
    </w:pPr>
    <w:r w:rsidRPr="00271D1A">
      <w:rPr>
        <w:sz w:val="20"/>
        <w:szCs w:val="20"/>
      </w:rPr>
      <w:t xml:space="preserve">COMMISSION STAFF INITIAL BRIEF - </w:t>
    </w:r>
    <w:r w:rsidRPr="00271D1A">
      <w:rPr>
        <w:sz w:val="20"/>
        <w:szCs w:val="20"/>
      </w:rPr>
      <w:fldChar w:fldCharType="begin"/>
    </w:r>
    <w:r w:rsidRPr="00271D1A">
      <w:rPr>
        <w:sz w:val="20"/>
        <w:szCs w:val="20"/>
      </w:rPr>
      <w:instrText xml:space="preserve"> PAGE   \* MERGEFORMAT </w:instrText>
    </w:r>
    <w:r w:rsidRPr="00271D1A">
      <w:rPr>
        <w:sz w:val="20"/>
        <w:szCs w:val="20"/>
      </w:rPr>
      <w:fldChar w:fldCharType="separate"/>
    </w:r>
    <w:r w:rsidR="008B47F6">
      <w:rPr>
        <w:noProof/>
        <w:sz w:val="20"/>
        <w:szCs w:val="20"/>
      </w:rPr>
      <w:t>47</w:t>
    </w:r>
    <w:r w:rsidRPr="00271D1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2D" w:rsidRDefault="006E272D" w:rsidP="00527B50">
      <w:pPr>
        <w:spacing w:after="0" w:line="240" w:lineRule="auto"/>
      </w:pPr>
      <w:r>
        <w:separator/>
      </w:r>
    </w:p>
  </w:footnote>
  <w:footnote w:type="continuationSeparator" w:id="0">
    <w:p w:rsidR="006E272D" w:rsidRDefault="006E272D" w:rsidP="00527B50">
      <w:pPr>
        <w:spacing w:after="0" w:line="240" w:lineRule="auto"/>
      </w:pPr>
      <w:r>
        <w:continuationSeparator/>
      </w:r>
    </w:p>
  </w:footnote>
  <w:footnote w:id="1">
    <w:p w:rsidR="006E272D" w:rsidRPr="005607ED" w:rsidRDefault="006E272D" w:rsidP="00527B50">
      <w:pPr>
        <w:pStyle w:val="FootnoteText"/>
      </w:pPr>
      <w:r w:rsidRPr="005607ED">
        <w:rPr>
          <w:rStyle w:val="FootnoteReference"/>
        </w:rPr>
        <w:footnoteRef/>
      </w:r>
      <w:r>
        <w:t xml:space="preserve"> Story, Exh. No. JHS-22 at 1:13 and Stranik, Exh. No. MJS-14 at 1:15.  </w:t>
      </w:r>
    </w:p>
  </w:footnote>
  <w:footnote w:id="2">
    <w:p w:rsidR="006E272D" w:rsidRDefault="006E272D">
      <w:pPr>
        <w:pStyle w:val="FootnoteText"/>
      </w:pPr>
      <w:r>
        <w:rPr>
          <w:rStyle w:val="FootnoteReference"/>
        </w:rPr>
        <w:footnoteRef/>
      </w:r>
      <w:r>
        <w:t xml:space="preserve"> Piliaris, Exh. No. JAP-1T at 38-39, Tables 3 and 4.</w:t>
      </w:r>
    </w:p>
  </w:footnote>
  <w:footnote w:id="3">
    <w:p w:rsidR="006E272D" w:rsidRPr="000C2680" w:rsidRDefault="006E272D" w:rsidP="00B44975">
      <w:pPr>
        <w:pStyle w:val="FootnoteText"/>
      </w:pPr>
      <w:r w:rsidRPr="000C2680">
        <w:rPr>
          <w:rStyle w:val="FootnoteReference"/>
        </w:rPr>
        <w:footnoteRef/>
      </w:r>
      <w:r>
        <w:t xml:space="preserve"> </w:t>
      </w:r>
      <w:r w:rsidRPr="002D2FB8">
        <w:t>Martin, Exh. No. RCM-2 at 1:2 (January 30, 2012 Version) and Mickelson, Exh. N</w:t>
      </w:r>
      <w:r>
        <w:t xml:space="preserve">o. CTM-2 at 2:2.  </w:t>
      </w:r>
      <w:r w:rsidRPr="002D2FB8">
        <w:t xml:space="preserve">Staff’s electric and gas revenue requirements are </w:t>
      </w:r>
      <w:r>
        <w:t xml:space="preserve">now </w:t>
      </w:r>
      <w:r w:rsidRPr="002D2FB8">
        <w:t>slightly higher than shown in these exhibits because Staff has w</w:t>
      </w:r>
      <w:r>
        <w:t xml:space="preserve">ithdrawn some of its </w:t>
      </w:r>
      <w:r w:rsidRPr="002D2FB8">
        <w:t>adjustments based on the Company’s rebuttal presentation</w:t>
      </w:r>
      <w:r>
        <w:t>, as discussed below for each relevant adjustment</w:t>
      </w:r>
      <w:r w:rsidRPr="002D2FB8">
        <w:t>.  Staff will rerun its revenue requirement exhibits if requested by the Commission.</w:t>
      </w:r>
    </w:p>
  </w:footnote>
  <w:footnote w:id="4">
    <w:p w:rsidR="006E272D" w:rsidRDefault="006E272D">
      <w:pPr>
        <w:pStyle w:val="FootnoteText"/>
      </w:pPr>
      <w:r>
        <w:rPr>
          <w:rStyle w:val="FootnoteReference"/>
        </w:rPr>
        <w:footnoteRef/>
      </w:r>
      <w:r>
        <w:t xml:space="preserve"> RCW 80.28.010(1) and RCW 80.28.020.</w:t>
      </w:r>
    </w:p>
  </w:footnote>
  <w:footnote w:id="5">
    <w:p w:rsidR="006E272D" w:rsidRPr="00187465" w:rsidRDefault="006E272D">
      <w:pPr>
        <w:pStyle w:val="FootnoteText"/>
      </w:pPr>
      <w:r w:rsidRPr="00187465">
        <w:rPr>
          <w:rStyle w:val="FootnoteReference"/>
        </w:rPr>
        <w:footnoteRef/>
      </w:r>
      <w:r>
        <w:t xml:space="preserve"> All parties use a short term debt ratio of 4.0 percent, a short term debt cost of 2.68 percent, and a long term debt cost of 6.22 percent</w:t>
      </w:r>
      <w:r w:rsidRPr="00187465">
        <w:t xml:space="preserve">.  </w:t>
      </w:r>
      <w:r>
        <w:t>The difference in long term debt ratio between PSE (48 percent) and Staff/ICNU (50 percent) is the result of the other capital structure recommendations.</w:t>
      </w:r>
    </w:p>
  </w:footnote>
  <w:footnote w:id="6">
    <w:p w:rsidR="006E272D" w:rsidRDefault="006E272D" w:rsidP="008E2456">
      <w:pPr>
        <w:pStyle w:val="FootnoteText"/>
      </w:pPr>
      <w:r>
        <w:rPr>
          <w:rStyle w:val="FootnoteReference"/>
        </w:rPr>
        <w:footnoteRef/>
      </w:r>
      <w:r>
        <w:t xml:space="preserve"> Gaines, Exh. No. DEG-4 at 2:</w:t>
      </w:r>
      <w:r w:rsidRPr="00EE050B">
        <w:t>17, column (O).</w:t>
      </w:r>
      <w:r w:rsidRPr="005374E8">
        <w:rPr>
          <w:i/>
        </w:rPr>
        <w:t xml:space="preserve">  </w:t>
      </w:r>
      <w:r>
        <w:rPr>
          <w:i/>
        </w:rPr>
        <w:t xml:space="preserve"> </w:t>
      </w:r>
    </w:p>
  </w:footnote>
  <w:footnote w:id="7">
    <w:p w:rsidR="006E272D" w:rsidRDefault="006E272D">
      <w:pPr>
        <w:pStyle w:val="FootnoteText"/>
      </w:pPr>
      <w:r>
        <w:rPr>
          <w:rStyle w:val="FootnoteReference"/>
        </w:rPr>
        <w:footnoteRef/>
      </w:r>
      <w:r>
        <w:t xml:space="preserve"> </w:t>
      </w:r>
      <w:r w:rsidRPr="00A84C85">
        <w:rPr>
          <w:i/>
        </w:rPr>
        <w:t>WUTC v. Puget Sound Energy, Inc.</w:t>
      </w:r>
      <w:r w:rsidRPr="00A84C85">
        <w:t>, Dockets UE-040641 and UG-040640, Order 06 at ¶27 (February 1</w:t>
      </w:r>
      <w:r>
        <w:t>8, 2007)</w:t>
      </w:r>
      <w:r w:rsidRPr="00083D0F">
        <w:t>.</w:t>
      </w:r>
    </w:p>
  </w:footnote>
  <w:footnote w:id="8">
    <w:p w:rsidR="006E272D" w:rsidRPr="00232B4C" w:rsidRDefault="006E272D" w:rsidP="007C422C">
      <w:pPr>
        <w:pStyle w:val="FootnoteText"/>
      </w:pPr>
      <w:r>
        <w:rPr>
          <w:rStyle w:val="FootnoteReference"/>
        </w:rPr>
        <w:footnoteRef/>
      </w:r>
      <w:r>
        <w:t xml:space="preserve"> Elgin, Exh. No. KLE-1T at 13:18-22.</w:t>
      </w:r>
      <w:r w:rsidRPr="00E93B94">
        <w:rPr>
          <w:i/>
        </w:rPr>
        <w:t xml:space="preserve"> </w:t>
      </w:r>
      <w:r>
        <w:rPr>
          <w:i/>
        </w:rPr>
        <w:t xml:space="preserve"> </w:t>
      </w:r>
      <w:r>
        <w:t xml:space="preserve">See also, </w:t>
      </w:r>
      <w:r w:rsidRPr="00232B4C">
        <w:rPr>
          <w:i/>
        </w:rPr>
        <w:t>Schneidewind v. ANR Pipeline Co.</w:t>
      </w:r>
      <w:r>
        <w:t>, 485 U.S. 293, 302 (1988) (authority of commission to adjust ratemaking capital structure to limit burden on ratepayers of high equity costs).</w:t>
      </w:r>
    </w:p>
  </w:footnote>
  <w:footnote w:id="9">
    <w:p w:rsidR="006E272D" w:rsidRPr="000116E8" w:rsidRDefault="006E272D" w:rsidP="000116E8">
      <w:pPr>
        <w:tabs>
          <w:tab w:val="left" w:pos="720"/>
          <w:tab w:val="left" w:pos="1440"/>
          <w:tab w:val="left" w:pos="9240"/>
        </w:tabs>
        <w:spacing w:after="0"/>
        <w:ind w:left="720" w:hanging="720"/>
        <w:rPr>
          <w:rFonts w:ascii="Times New Roman" w:hAnsi="Times New Roman" w:cs="Times New Roman"/>
          <w:sz w:val="20"/>
          <w:szCs w:val="20"/>
        </w:rPr>
      </w:pPr>
      <w:r w:rsidRPr="000116E8">
        <w:rPr>
          <w:rStyle w:val="FootnoteReference"/>
          <w:rFonts w:ascii="Times New Roman" w:hAnsi="Times New Roman"/>
          <w:sz w:val="20"/>
          <w:szCs w:val="20"/>
        </w:rPr>
        <w:footnoteRef/>
      </w:r>
      <w:r w:rsidRPr="000116E8">
        <w:rPr>
          <w:rFonts w:ascii="Times New Roman" w:hAnsi="Times New Roman" w:cs="Times New Roman"/>
          <w:sz w:val="20"/>
          <w:szCs w:val="20"/>
        </w:rPr>
        <w:t xml:space="preserve"> </w:t>
      </w:r>
      <w:r w:rsidRPr="000116E8">
        <w:rPr>
          <w:rFonts w:ascii="Times New Roman" w:hAnsi="Times New Roman" w:cs="Times New Roman"/>
          <w:i/>
          <w:sz w:val="20"/>
          <w:szCs w:val="20"/>
        </w:rPr>
        <w:t>WUTC v. PacifiCorp, d/b/a Pacific Power &amp; Light Co.</w:t>
      </w:r>
      <w:r>
        <w:rPr>
          <w:rFonts w:ascii="Times New Roman" w:hAnsi="Times New Roman" w:cs="Times New Roman"/>
          <w:sz w:val="20"/>
          <w:szCs w:val="20"/>
        </w:rPr>
        <w:t>, Docket UE-10</w:t>
      </w:r>
      <w:r w:rsidRPr="000116E8">
        <w:rPr>
          <w:rFonts w:ascii="Times New Roman" w:hAnsi="Times New Roman" w:cs="Times New Roman"/>
          <w:sz w:val="20"/>
          <w:szCs w:val="20"/>
        </w:rPr>
        <w:t>0749, Order 07 at ¶10 (May 12, 2011).</w:t>
      </w:r>
    </w:p>
  </w:footnote>
  <w:footnote w:id="10">
    <w:p w:rsidR="006E272D" w:rsidRDefault="006E272D" w:rsidP="000116E8">
      <w:pPr>
        <w:pStyle w:val="FootnoteText"/>
      </w:pPr>
      <w:r>
        <w:rPr>
          <w:rStyle w:val="FootnoteReference"/>
        </w:rPr>
        <w:footnoteRef/>
      </w:r>
      <w:r>
        <w:t xml:space="preserve"> Elgin, Exh. No. KLE-1T at 14:1-18.  See also, </w:t>
      </w:r>
      <w:r w:rsidRPr="00BD5BD5">
        <w:rPr>
          <w:i/>
        </w:rPr>
        <w:t>Schneidewind v. ANR Pipeline Co</w:t>
      </w:r>
      <w:r>
        <w:t>., 485 U.S. 293, 302 (1988).</w:t>
      </w:r>
    </w:p>
  </w:footnote>
  <w:footnote w:id="11">
    <w:p w:rsidR="006E272D" w:rsidRDefault="006E272D">
      <w:pPr>
        <w:pStyle w:val="FootnoteText"/>
      </w:pPr>
      <w:r>
        <w:rPr>
          <w:rStyle w:val="FootnoteReference"/>
        </w:rPr>
        <w:footnoteRef/>
      </w:r>
      <w:r>
        <w:t xml:space="preserve"> In 2008, PSE paid dividends to Puget Energy of $145 million.  That payment increased in 2010 to $187 million.  Gaines, Exh. No. DEG-22CX at 2 and Gaines, TR. 823:9-824:20.</w:t>
      </w:r>
    </w:p>
  </w:footnote>
  <w:footnote w:id="12">
    <w:p w:rsidR="006E272D" w:rsidRDefault="006E272D" w:rsidP="009C760A">
      <w:pPr>
        <w:pStyle w:val="FootnoteText"/>
      </w:pPr>
      <w:r>
        <w:rPr>
          <w:rStyle w:val="FootnoteReference"/>
        </w:rPr>
        <w:footnoteRef/>
      </w:r>
      <w:r>
        <w:t xml:space="preserve"> Elgin, Exh. No. B-13C.</w:t>
      </w:r>
    </w:p>
  </w:footnote>
  <w:footnote w:id="13">
    <w:p w:rsidR="006E272D" w:rsidRDefault="006E272D">
      <w:pPr>
        <w:pStyle w:val="FootnoteText"/>
      </w:pPr>
      <w:r w:rsidRPr="004C0E9B">
        <w:rPr>
          <w:rStyle w:val="FootnoteReference"/>
        </w:rPr>
        <w:footnoteRef/>
      </w:r>
      <w:r w:rsidRPr="004C0E9B">
        <w:t xml:space="preserve"> </w:t>
      </w:r>
      <w:r w:rsidRPr="004C0E9B">
        <w:rPr>
          <w:i/>
        </w:rPr>
        <w:t>In the Matter of the Joint Application of Puget Holdings LLC and Puget Sound Energy, Inc</w:t>
      </w:r>
      <w:r>
        <w:t>., Docket U-072375, Order 08, Attachment A, Appendix A, Commitment 24 (December 30, 2008).</w:t>
      </w:r>
    </w:p>
  </w:footnote>
  <w:footnote w:id="14">
    <w:p w:rsidR="006E272D" w:rsidRDefault="006E272D">
      <w:pPr>
        <w:pStyle w:val="FootnoteText"/>
      </w:pPr>
      <w:r>
        <w:rPr>
          <w:rStyle w:val="FootnoteReference"/>
        </w:rPr>
        <w:footnoteRef/>
      </w:r>
      <w:r>
        <w:t xml:space="preserve"> Elgin, Exh. No. KLE-1T at 15:18-16:2.</w:t>
      </w:r>
    </w:p>
  </w:footnote>
  <w:footnote w:id="15">
    <w:p w:rsidR="006E272D" w:rsidRDefault="006E272D">
      <w:pPr>
        <w:pStyle w:val="FootnoteText"/>
      </w:pPr>
      <w:r>
        <w:rPr>
          <w:rStyle w:val="FootnoteReference"/>
        </w:rPr>
        <w:footnoteRef/>
      </w:r>
      <w:r>
        <w:t xml:space="preserve"> Elgin, Exh. No. KLE-1T at 16:3-9.</w:t>
      </w:r>
    </w:p>
  </w:footnote>
  <w:footnote w:id="16">
    <w:p w:rsidR="006E272D" w:rsidRDefault="006E272D">
      <w:pPr>
        <w:pStyle w:val="FootnoteText"/>
      </w:pPr>
      <w:r>
        <w:rPr>
          <w:rStyle w:val="FootnoteReference"/>
        </w:rPr>
        <w:footnoteRef/>
      </w:r>
      <w:r>
        <w:t xml:space="preserve"> Elgin, Exh. No. KLE-1T at 16:9-11.</w:t>
      </w:r>
    </w:p>
  </w:footnote>
  <w:footnote w:id="17">
    <w:p w:rsidR="006E272D" w:rsidRDefault="006E272D">
      <w:pPr>
        <w:pStyle w:val="FootnoteText"/>
      </w:pPr>
      <w:r>
        <w:rPr>
          <w:rStyle w:val="FootnoteReference"/>
        </w:rPr>
        <w:footnoteRef/>
      </w:r>
      <w:r>
        <w:t xml:space="preserve"> Elgin, Exh. No. KLE-1T at 16:18-17:16.</w:t>
      </w:r>
    </w:p>
  </w:footnote>
  <w:footnote w:id="18">
    <w:p w:rsidR="006E272D" w:rsidRDefault="006E272D">
      <w:pPr>
        <w:pStyle w:val="FootnoteText"/>
      </w:pPr>
      <w:r>
        <w:rPr>
          <w:rStyle w:val="FootnoteReference"/>
        </w:rPr>
        <w:footnoteRef/>
      </w:r>
      <w:r>
        <w:t xml:space="preserve"> Elgin, Exh. No. KLE-1T at 17:18-18:10.</w:t>
      </w:r>
      <w:r w:rsidRPr="006B1F80">
        <w:t xml:space="preserve"> </w:t>
      </w:r>
      <w:r>
        <w:t xml:space="preserve">Mr. Gorman recommends a 46 percent equity ratio also because it supports PSE’s current bond rating.  Gorman, Exh. No. MPG-1T at 2:10-11. </w:t>
      </w:r>
    </w:p>
  </w:footnote>
  <w:footnote w:id="19">
    <w:p w:rsidR="006E272D" w:rsidRPr="00BD7039" w:rsidRDefault="006E272D">
      <w:pPr>
        <w:pStyle w:val="FootnoteText"/>
      </w:pPr>
      <w:r w:rsidRPr="00BD7039">
        <w:rPr>
          <w:rStyle w:val="FootnoteReference"/>
        </w:rPr>
        <w:footnoteRef/>
      </w:r>
      <w:r w:rsidRPr="00BD7039">
        <w:t xml:space="preserve"> </w:t>
      </w:r>
      <w:r>
        <w:t xml:space="preserve">Elgin, </w:t>
      </w:r>
      <w:r w:rsidRPr="00BD7039">
        <w:t>Ex</w:t>
      </w:r>
      <w:r>
        <w:t>h. No. KLE-1T at 16:12-13</w:t>
      </w:r>
      <w:r w:rsidRPr="00BD7039">
        <w:t>.</w:t>
      </w:r>
    </w:p>
  </w:footnote>
  <w:footnote w:id="20">
    <w:p w:rsidR="006E272D" w:rsidRDefault="006E272D" w:rsidP="00B31A27">
      <w:pPr>
        <w:pStyle w:val="FootnoteText"/>
        <w:ind w:right="-180"/>
      </w:pPr>
      <w:r>
        <w:rPr>
          <w:rStyle w:val="FootnoteReference"/>
        </w:rPr>
        <w:footnoteRef/>
      </w:r>
      <w:r>
        <w:t xml:space="preserve"> Elgin, Exh. No. KLE-1T at 19:4-12; Gaines, Exh. No. DEG-1T at 7:2-4; and Gaines, Exh. No. DEG-23CX at ¶270.</w:t>
      </w:r>
    </w:p>
  </w:footnote>
  <w:footnote w:id="21">
    <w:p w:rsidR="006E272D" w:rsidRDefault="006E272D">
      <w:pPr>
        <w:pStyle w:val="FootnoteText"/>
      </w:pPr>
      <w:r>
        <w:rPr>
          <w:rStyle w:val="FootnoteReference"/>
        </w:rPr>
        <w:footnoteRef/>
      </w:r>
      <w:r>
        <w:t xml:space="preserve"> Elgin, Exh. No. KLE-8CX at 2.</w:t>
      </w:r>
    </w:p>
  </w:footnote>
  <w:footnote w:id="22">
    <w:p w:rsidR="006E272D" w:rsidRPr="00AB5E6A" w:rsidRDefault="006E272D" w:rsidP="00FB4F83">
      <w:pPr>
        <w:pStyle w:val="FootnoteText"/>
      </w:pPr>
      <w:r w:rsidRPr="00AB5E6A">
        <w:rPr>
          <w:rStyle w:val="FootnoteReference"/>
        </w:rPr>
        <w:footnoteRef/>
      </w:r>
      <w:r w:rsidRPr="00AB5E6A">
        <w:t xml:space="preserve"> Gaines, Exh. No. DEG-1T at 12:1-4 and Gaines, Exh. No. DEG-14T at 12:4-6.</w:t>
      </w:r>
    </w:p>
  </w:footnote>
  <w:footnote w:id="23">
    <w:p w:rsidR="006E272D" w:rsidRPr="00AB5E6A" w:rsidRDefault="006E272D" w:rsidP="006B1F80">
      <w:pPr>
        <w:pStyle w:val="FootnoteText"/>
      </w:pPr>
      <w:r w:rsidRPr="00AB5E6A">
        <w:rPr>
          <w:rStyle w:val="FootnoteReference"/>
        </w:rPr>
        <w:footnoteRef/>
      </w:r>
      <w:r w:rsidRPr="00AB5E6A">
        <w:t xml:space="preserve"> Gaines, Exh. No. DEG-14T at 12:1-13:11.</w:t>
      </w:r>
    </w:p>
  </w:footnote>
  <w:footnote w:id="24">
    <w:p w:rsidR="006E272D" w:rsidRPr="00AB5E6A" w:rsidRDefault="006E272D" w:rsidP="006B1F80">
      <w:pPr>
        <w:tabs>
          <w:tab w:val="left" w:pos="9240"/>
        </w:tabs>
        <w:spacing w:after="0" w:line="240" w:lineRule="auto"/>
        <w:rPr>
          <w:rFonts w:ascii="Times New Roman" w:hAnsi="Times New Roman" w:cs="Times New Roman"/>
          <w:sz w:val="20"/>
          <w:szCs w:val="20"/>
        </w:rPr>
      </w:pPr>
      <w:r w:rsidRPr="00AB5E6A">
        <w:rPr>
          <w:rStyle w:val="FootnoteReference"/>
          <w:rFonts w:ascii="Times New Roman" w:hAnsi="Times New Roman"/>
          <w:sz w:val="20"/>
          <w:szCs w:val="20"/>
        </w:rPr>
        <w:footnoteRef/>
      </w:r>
      <w:r w:rsidRPr="00AB5E6A">
        <w:rPr>
          <w:rFonts w:ascii="Times New Roman" w:hAnsi="Times New Roman" w:cs="Times New Roman"/>
          <w:sz w:val="20"/>
          <w:szCs w:val="20"/>
        </w:rPr>
        <w:t xml:space="preserve"> </w:t>
      </w:r>
      <w:r w:rsidRPr="00AB5E6A">
        <w:rPr>
          <w:rFonts w:ascii="Times New Roman" w:hAnsi="Times New Roman" w:cs="Times New Roman"/>
          <w:i/>
          <w:sz w:val="20"/>
          <w:szCs w:val="20"/>
        </w:rPr>
        <w:t>WUTC v. PacifiCorp, d/b/a Pacific Power &amp; Light Co.</w:t>
      </w:r>
      <w:r w:rsidRPr="00AB5E6A">
        <w:rPr>
          <w:rFonts w:ascii="Times New Roman" w:hAnsi="Times New Roman" w:cs="Times New Roman"/>
          <w:sz w:val="20"/>
          <w:szCs w:val="20"/>
        </w:rPr>
        <w:t>, Doc</w:t>
      </w:r>
      <w:r>
        <w:rPr>
          <w:rFonts w:ascii="Times New Roman" w:hAnsi="Times New Roman" w:cs="Times New Roman"/>
          <w:sz w:val="20"/>
          <w:szCs w:val="20"/>
        </w:rPr>
        <w:t>ket UE-100749, Order 07 at ¶¶8-</w:t>
      </w:r>
      <w:r w:rsidRPr="00AB5E6A">
        <w:rPr>
          <w:rFonts w:ascii="Times New Roman" w:hAnsi="Times New Roman" w:cs="Times New Roman"/>
          <w:sz w:val="20"/>
          <w:szCs w:val="20"/>
        </w:rPr>
        <w:t>10 (May 12, 2011).</w:t>
      </w:r>
    </w:p>
  </w:footnote>
  <w:footnote w:id="25">
    <w:p w:rsidR="006E272D" w:rsidRDefault="006E272D">
      <w:pPr>
        <w:pStyle w:val="FootnoteText"/>
      </w:pPr>
      <w:r>
        <w:rPr>
          <w:rStyle w:val="FootnoteReference"/>
        </w:rPr>
        <w:footnoteRef/>
      </w:r>
      <w:r>
        <w:t xml:space="preserve"> Elgin, Exh. No. KLE-8CX.</w:t>
      </w:r>
    </w:p>
  </w:footnote>
  <w:footnote w:id="26">
    <w:p w:rsidR="006E272D" w:rsidRDefault="006E272D">
      <w:pPr>
        <w:pStyle w:val="FootnoteText"/>
      </w:pPr>
      <w:r>
        <w:rPr>
          <w:rStyle w:val="FootnoteReference"/>
        </w:rPr>
        <w:footnoteRef/>
      </w:r>
      <w:r>
        <w:t xml:space="preserve"> Gaines, Exh. No. DEG-14T at 13:7-11.  Nowhere in the 2009 rate case does the Commission describe Staff’s approach as adopting the actual capital structure in place on average during the test year.  In fact, the Commission cites Mr. Parcell’s assertion that PSE’s actual capital structure should not be used because it reflects decisions of the new owners and may not be balance safety and economy.  Gaines, Exh. No. DEG-23CX at 3-4, ¶272.</w:t>
      </w:r>
    </w:p>
  </w:footnote>
  <w:footnote w:id="27">
    <w:p w:rsidR="006E272D" w:rsidRDefault="006E272D" w:rsidP="00FB4F83">
      <w:pPr>
        <w:pStyle w:val="FootnoteText"/>
      </w:pPr>
      <w:r>
        <w:rPr>
          <w:rStyle w:val="FootnoteReference"/>
        </w:rPr>
        <w:footnoteRef/>
      </w:r>
      <w:r>
        <w:t xml:space="preserve"> Gaines, Exh. No. DEG-1T at 9:16-18.</w:t>
      </w:r>
    </w:p>
  </w:footnote>
  <w:footnote w:id="28">
    <w:p w:rsidR="006E272D" w:rsidRDefault="006E272D">
      <w:pPr>
        <w:pStyle w:val="FootnoteText"/>
      </w:pPr>
      <w:r>
        <w:rPr>
          <w:rStyle w:val="FootnoteReference"/>
        </w:rPr>
        <w:footnoteRef/>
      </w:r>
      <w:r>
        <w:t xml:space="preserve"> Elgin, Exh. No. KLE-1T at 21:1-18 and Gaines, TR. 831:17-21.  </w:t>
      </w:r>
    </w:p>
  </w:footnote>
  <w:footnote w:id="29">
    <w:p w:rsidR="006E272D" w:rsidRDefault="006E272D">
      <w:pPr>
        <w:pStyle w:val="FootnoteText"/>
      </w:pPr>
      <w:r>
        <w:rPr>
          <w:rStyle w:val="FootnoteReference"/>
        </w:rPr>
        <w:footnoteRef/>
      </w:r>
      <w:r>
        <w:t xml:space="preserve"> Gaines, Exh. No. DEG-14T at 5:12-19.</w:t>
      </w:r>
    </w:p>
  </w:footnote>
  <w:footnote w:id="30">
    <w:p w:rsidR="006E272D" w:rsidRDefault="006E272D">
      <w:pPr>
        <w:pStyle w:val="FootnoteText"/>
      </w:pPr>
      <w:r>
        <w:rPr>
          <w:rStyle w:val="FootnoteReference"/>
        </w:rPr>
        <w:footnoteRef/>
      </w:r>
      <w:r>
        <w:t xml:space="preserve"> Gaines, TR. 827:19-24 and Gaines, Exh. No. DEG-17.  Even that information was bloated by double counting equity ratios for combination gas and electric utilities and by including old data.  Gaines, TR. 828:19-830:14.</w:t>
      </w:r>
    </w:p>
  </w:footnote>
  <w:footnote w:id="31">
    <w:p w:rsidR="006E272D" w:rsidRDefault="006E272D">
      <w:pPr>
        <w:pStyle w:val="FootnoteText"/>
      </w:pPr>
      <w:r>
        <w:rPr>
          <w:rStyle w:val="FootnoteReference"/>
        </w:rPr>
        <w:footnoteRef/>
      </w:r>
      <w:r>
        <w:t xml:space="preserve"> Elgin, Exh. No. KLE-10CX.</w:t>
      </w:r>
    </w:p>
  </w:footnote>
  <w:footnote w:id="32">
    <w:p w:rsidR="006E272D" w:rsidRDefault="006E272D">
      <w:pPr>
        <w:pStyle w:val="FootnoteText"/>
      </w:pPr>
      <w:r>
        <w:rPr>
          <w:rStyle w:val="FootnoteReference"/>
        </w:rPr>
        <w:footnoteRef/>
      </w:r>
      <w:r>
        <w:t xml:space="preserve"> Elgin, Exh. No. KLE-10CX.</w:t>
      </w:r>
    </w:p>
  </w:footnote>
  <w:footnote w:id="33">
    <w:p w:rsidR="006E272D" w:rsidRDefault="006E272D">
      <w:pPr>
        <w:pStyle w:val="FootnoteText"/>
      </w:pPr>
      <w:r>
        <w:rPr>
          <w:rStyle w:val="FootnoteReference"/>
        </w:rPr>
        <w:footnoteRef/>
      </w:r>
      <w:r>
        <w:t xml:space="preserve"> Gaines, Exh. No. DEG-14T at 16:6-16.</w:t>
      </w:r>
    </w:p>
  </w:footnote>
  <w:footnote w:id="34">
    <w:p w:rsidR="006E272D" w:rsidRDefault="006E272D" w:rsidP="004465F4">
      <w:pPr>
        <w:pStyle w:val="FootnoteText"/>
      </w:pPr>
      <w:r w:rsidRPr="005021ED">
        <w:rPr>
          <w:rStyle w:val="FootnoteReference"/>
        </w:rPr>
        <w:footnoteRef/>
      </w:r>
      <w:r w:rsidRPr="005021ED">
        <w:t xml:space="preserve"> PSE projects</w:t>
      </w:r>
      <w:r>
        <w:t xml:space="preserve"> long-term debt of $3.773 million at the end of the rate year. Gaines, Exh. No. </w:t>
      </w:r>
      <w:proofErr w:type="gramStart"/>
      <w:r>
        <w:t>DEG-15 at 4.</w:t>
      </w:r>
      <w:proofErr w:type="gramEnd"/>
      <w:r>
        <w:t xml:space="preserve">  Thus, it needs the same amount of equity given its proposed capital structure of 48 percent for both equity and long-term debt.  The Company’s financial forecast does not show that amount of equity until 2016. </w:t>
      </w:r>
      <w:r w:rsidRPr="00D8058E">
        <w:t xml:space="preserve"> </w:t>
      </w:r>
      <w:r>
        <w:t>Elgin, Exh. No. KLE-9CX at 103 and Elgin, TR. 874:12-875:13.</w:t>
      </w:r>
    </w:p>
  </w:footnote>
  <w:footnote w:id="35">
    <w:p w:rsidR="006E272D" w:rsidRPr="00F65570" w:rsidRDefault="006E272D" w:rsidP="00F83E49">
      <w:pPr>
        <w:pStyle w:val="FootnoteText"/>
        <w:ind w:right="-72"/>
      </w:pPr>
      <w:r w:rsidRPr="00F65570">
        <w:rPr>
          <w:rStyle w:val="FootnoteReference"/>
        </w:rPr>
        <w:footnoteRef/>
      </w:r>
      <w:r w:rsidRPr="00F65570">
        <w:t xml:space="preserve"> </w:t>
      </w:r>
      <w:r w:rsidRPr="00F65570">
        <w:rPr>
          <w:i/>
        </w:rPr>
        <w:t>WUTC v. Puget Sound Energy, Inc.</w:t>
      </w:r>
      <w:r w:rsidRPr="00F65570">
        <w:t>,</w:t>
      </w:r>
      <w:r>
        <w:t xml:space="preserve"> Dockets UE-090704 and UG-090705, Order 11 at ¶301 (April 2, 2010</w:t>
      </w:r>
      <w:r w:rsidRPr="00F65570">
        <w:t>).</w:t>
      </w:r>
    </w:p>
  </w:footnote>
  <w:footnote w:id="36">
    <w:p w:rsidR="006E272D" w:rsidRPr="000570C1" w:rsidRDefault="006E272D" w:rsidP="00D17843">
      <w:pPr>
        <w:pStyle w:val="FootnoteText"/>
      </w:pPr>
      <w:r w:rsidRPr="00967839">
        <w:rPr>
          <w:rStyle w:val="FootnoteReference"/>
        </w:rPr>
        <w:footnoteRef/>
      </w:r>
      <w:r w:rsidRPr="00967839">
        <w:t xml:space="preserve"> C</w:t>
      </w:r>
      <w:r w:rsidRPr="00967839">
        <w:rPr>
          <w:bCs/>
        </w:rPr>
        <w:t>ost of cap</w:t>
      </w:r>
      <w:r>
        <w:rPr>
          <w:bCs/>
        </w:rPr>
        <w:t xml:space="preserve">ital witnesses must support a </w:t>
      </w:r>
      <w:r w:rsidRPr="00967839">
        <w:rPr>
          <w:bCs/>
        </w:rPr>
        <w:t>change in the authorized return on equity with evidence of changed circumstances in th</w:t>
      </w:r>
      <w:r>
        <w:rPr>
          <w:bCs/>
        </w:rPr>
        <w:t>e capital markets</w:t>
      </w:r>
      <w:r w:rsidRPr="00967839">
        <w:rPr>
          <w:bCs/>
        </w:rPr>
        <w:t xml:space="preserve">.  </w:t>
      </w:r>
      <w:r w:rsidRPr="00967839">
        <w:rPr>
          <w:i/>
        </w:rPr>
        <w:t>WUTC v. Puget Sound Energy, Inc</w:t>
      </w:r>
      <w:r w:rsidRPr="00967839">
        <w:t>., Dockets UE-060266 and UG-060267, Order</w:t>
      </w:r>
      <w:r>
        <w:t xml:space="preserve"> 08 at ¶84 (January 5, 2007).  </w:t>
      </w:r>
    </w:p>
  </w:footnote>
  <w:footnote w:id="37">
    <w:p w:rsidR="006E272D" w:rsidRDefault="006E272D">
      <w:pPr>
        <w:pStyle w:val="FootnoteText"/>
      </w:pPr>
      <w:r>
        <w:rPr>
          <w:rStyle w:val="FootnoteReference"/>
        </w:rPr>
        <w:footnoteRef/>
      </w:r>
      <w:r>
        <w:t xml:space="preserve"> </w:t>
      </w:r>
      <w:r w:rsidRPr="008334C4">
        <w:rPr>
          <w:i/>
        </w:rPr>
        <w:t>WUTC v. PacifiCorp d/b/a Pacific Power &amp; Light</w:t>
      </w:r>
      <w:r>
        <w:rPr>
          <w:i/>
        </w:rPr>
        <w:t xml:space="preserve"> Co.</w:t>
      </w:r>
      <w:r>
        <w:t>, Docket UE-100749, Order 6 at ¶94 (March 25, 2011).</w:t>
      </w:r>
    </w:p>
  </w:footnote>
  <w:footnote w:id="38">
    <w:p w:rsidR="006E272D" w:rsidRDefault="006E272D">
      <w:pPr>
        <w:pStyle w:val="FootnoteText"/>
      </w:pPr>
      <w:r>
        <w:rPr>
          <w:rStyle w:val="FootnoteReference"/>
        </w:rPr>
        <w:footnoteRef/>
      </w:r>
      <w:r>
        <w:t xml:space="preserve"> Elgin, Exh. No. KLE-1T at 49:3-10.</w:t>
      </w:r>
    </w:p>
  </w:footnote>
  <w:footnote w:id="39">
    <w:p w:rsidR="006E272D" w:rsidRDefault="006E272D">
      <w:pPr>
        <w:pStyle w:val="FootnoteText"/>
      </w:pPr>
      <w:r>
        <w:rPr>
          <w:rStyle w:val="FootnoteReference"/>
        </w:rPr>
        <w:footnoteRef/>
      </w:r>
      <w:r>
        <w:t xml:space="preserve"> Elgin, Exh. No. KLE-1T at 9:5-10.</w:t>
      </w:r>
    </w:p>
  </w:footnote>
  <w:footnote w:id="40">
    <w:p w:rsidR="006E272D" w:rsidRDefault="006E272D">
      <w:pPr>
        <w:pStyle w:val="FootnoteText"/>
      </w:pPr>
      <w:r>
        <w:rPr>
          <w:rStyle w:val="FootnoteReference"/>
        </w:rPr>
        <w:footnoteRef/>
      </w:r>
      <w:r>
        <w:t xml:space="preserve"> </w:t>
      </w:r>
      <w:r>
        <w:rPr>
          <w:i/>
        </w:rPr>
        <w:t xml:space="preserve">Federal Power Commission </w:t>
      </w:r>
      <w:r w:rsidRPr="00432C3E">
        <w:rPr>
          <w:i/>
        </w:rPr>
        <w:t>v. Natural Gas Pipeline</w:t>
      </w:r>
      <w:r>
        <w:t>, 315 U.S. 575, 585 (1942).</w:t>
      </w:r>
    </w:p>
  </w:footnote>
  <w:footnote w:id="41">
    <w:p w:rsidR="006E272D" w:rsidRDefault="006E272D" w:rsidP="006755D9">
      <w:pPr>
        <w:pStyle w:val="FootnoteText"/>
      </w:pPr>
      <w:r>
        <w:rPr>
          <w:rStyle w:val="FootnoteReference"/>
        </w:rPr>
        <w:footnoteRef/>
      </w:r>
      <w:r>
        <w:t xml:space="preserve"> </w:t>
      </w:r>
      <w:r w:rsidRPr="009864AC">
        <w:rPr>
          <w:i/>
        </w:rPr>
        <w:t>Federal Power Comm</w:t>
      </w:r>
      <w:r>
        <w:rPr>
          <w:i/>
        </w:rPr>
        <w:t>ission</w:t>
      </w:r>
      <w:r w:rsidRPr="009864AC">
        <w:rPr>
          <w:i/>
        </w:rPr>
        <w:t xml:space="preserve"> v. Hope Natural Gas Co.</w:t>
      </w:r>
      <w:r>
        <w:t xml:space="preserve">, 320 U.S. 591, 603 (1942).  </w:t>
      </w:r>
    </w:p>
  </w:footnote>
  <w:footnote w:id="42">
    <w:p w:rsidR="006E272D" w:rsidRPr="000140AF" w:rsidRDefault="006E272D" w:rsidP="006755D9">
      <w:pPr>
        <w:spacing w:after="0" w:line="240" w:lineRule="auto"/>
        <w:rPr>
          <w:rFonts w:ascii="Times New Roman" w:hAnsi="Times New Roman"/>
          <w:sz w:val="20"/>
          <w:szCs w:val="20"/>
        </w:rPr>
      </w:pPr>
      <w:r w:rsidRPr="000140AF">
        <w:rPr>
          <w:rStyle w:val="FootnoteReference"/>
          <w:rFonts w:ascii="Times New Roman" w:hAnsi="Times New Roman"/>
          <w:sz w:val="20"/>
          <w:szCs w:val="20"/>
        </w:rPr>
        <w:footnoteRef/>
      </w:r>
      <w:r>
        <w:rPr>
          <w:rFonts w:ascii="Times New Roman" w:hAnsi="Times New Roman"/>
          <w:sz w:val="20"/>
          <w:szCs w:val="20"/>
        </w:rPr>
        <w:t xml:space="preserve"> </w:t>
      </w:r>
      <w:r w:rsidRPr="003C0DB7">
        <w:rPr>
          <w:rFonts w:ascii="Times New Roman" w:hAnsi="Times New Roman"/>
          <w:i/>
          <w:sz w:val="20"/>
          <w:szCs w:val="20"/>
        </w:rPr>
        <w:t>WUTC v. Puget Sound Energy, Inc</w:t>
      </w:r>
      <w:r>
        <w:rPr>
          <w:rFonts w:ascii="Times New Roman" w:hAnsi="Times New Roman"/>
          <w:sz w:val="20"/>
          <w:szCs w:val="20"/>
        </w:rPr>
        <w:t>., Dockets UG-040641 and UG-040640, Order 06 at ¶73 (February 18, 2005).</w:t>
      </w:r>
    </w:p>
  </w:footnote>
  <w:footnote w:id="43">
    <w:p w:rsidR="006E272D" w:rsidRDefault="006E272D">
      <w:pPr>
        <w:pStyle w:val="FootnoteText"/>
      </w:pPr>
      <w:r>
        <w:rPr>
          <w:rStyle w:val="FootnoteReference"/>
        </w:rPr>
        <w:footnoteRef/>
      </w:r>
      <w:r>
        <w:t xml:space="preserve"> Elgin, Exh. No. KLE-1T at 24:19-25:8.</w:t>
      </w:r>
    </w:p>
  </w:footnote>
  <w:footnote w:id="44">
    <w:p w:rsidR="006E272D" w:rsidRDefault="006E272D">
      <w:pPr>
        <w:pStyle w:val="FootnoteText"/>
      </w:pPr>
      <w:r>
        <w:rPr>
          <w:rStyle w:val="FootnoteReference"/>
        </w:rPr>
        <w:footnoteRef/>
      </w:r>
      <w:r>
        <w:t xml:space="preserve"> Elgin, Exh. No. KLE-1T at 25:9-18.</w:t>
      </w:r>
    </w:p>
  </w:footnote>
  <w:footnote w:id="45">
    <w:p w:rsidR="006E272D" w:rsidRDefault="006E272D" w:rsidP="00BE3E24">
      <w:pPr>
        <w:pStyle w:val="FootnoteText"/>
      </w:pPr>
      <w:r>
        <w:rPr>
          <w:rStyle w:val="FootnoteReference"/>
        </w:rPr>
        <w:footnoteRef/>
      </w:r>
      <w:r>
        <w:t xml:space="preserve"> Elgin, Exh. No. KLE-1T at 28:8-30:2.</w:t>
      </w:r>
    </w:p>
  </w:footnote>
  <w:footnote w:id="46">
    <w:p w:rsidR="006E272D" w:rsidRDefault="006E272D">
      <w:pPr>
        <w:pStyle w:val="FootnoteText"/>
      </w:pPr>
      <w:r>
        <w:rPr>
          <w:rStyle w:val="FootnoteReference"/>
        </w:rPr>
        <w:footnoteRef/>
      </w:r>
      <w:r>
        <w:t xml:space="preserve"> Elgin, Exh. No. KLE-1T at 31:11-37:11 and Elgin, TR. 854:12-22.</w:t>
      </w:r>
    </w:p>
  </w:footnote>
  <w:footnote w:id="47">
    <w:p w:rsidR="006E272D" w:rsidRDefault="006E272D">
      <w:pPr>
        <w:pStyle w:val="FootnoteText"/>
      </w:pPr>
      <w:r>
        <w:rPr>
          <w:rStyle w:val="FootnoteReference"/>
        </w:rPr>
        <w:footnoteRef/>
      </w:r>
      <w:r>
        <w:t xml:space="preserve"> Elgin, Exh. No. KLE-1T at 38:4-12.</w:t>
      </w:r>
    </w:p>
  </w:footnote>
  <w:footnote w:id="48">
    <w:p w:rsidR="006E272D" w:rsidRDefault="006E272D">
      <w:pPr>
        <w:pStyle w:val="FootnoteText"/>
      </w:pPr>
      <w:r>
        <w:rPr>
          <w:rStyle w:val="FootnoteReference"/>
        </w:rPr>
        <w:footnoteRef/>
      </w:r>
      <w:r>
        <w:t xml:space="preserve"> Elgin, Exh. No. KLE-1T at 45:7-16.</w:t>
      </w:r>
    </w:p>
  </w:footnote>
  <w:footnote w:id="49">
    <w:p w:rsidR="006E272D" w:rsidRDefault="006E272D">
      <w:pPr>
        <w:pStyle w:val="FootnoteText"/>
      </w:pPr>
      <w:r>
        <w:rPr>
          <w:rStyle w:val="FootnoteReference"/>
        </w:rPr>
        <w:footnoteRef/>
      </w:r>
      <w:r>
        <w:t xml:space="preserve"> Elgin, Exh. No. KLE-1T at 48:5-12.</w:t>
      </w:r>
    </w:p>
  </w:footnote>
  <w:footnote w:id="50">
    <w:p w:rsidR="006E272D" w:rsidRDefault="006E272D">
      <w:pPr>
        <w:pStyle w:val="FootnoteText"/>
      </w:pPr>
      <w:r>
        <w:rPr>
          <w:rStyle w:val="FootnoteReference"/>
        </w:rPr>
        <w:footnoteRef/>
      </w:r>
      <w:r>
        <w:t xml:space="preserve"> Olson, Exh. No. CEO-4.</w:t>
      </w:r>
    </w:p>
  </w:footnote>
  <w:footnote w:id="51">
    <w:p w:rsidR="006E272D" w:rsidRDefault="006E272D" w:rsidP="003811EC">
      <w:pPr>
        <w:pStyle w:val="FootnoteText"/>
      </w:pPr>
      <w:r>
        <w:rPr>
          <w:rStyle w:val="FootnoteReference"/>
        </w:rPr>
        <w:footnoteRef/>
      </w:r>
      <w:r>
        <w:t xml:space="preserve"> Elgin, Exh. No. KLE-1T at 56:15-57:5.</w:t>
      </w:r>
    </w:p>
  </w:footnote>
  <w:footnote w:id="52">
    <w:p w:rsidR="006E272D" w:rsidRDefault="006E272D">
      <w:pPr>
        <w:pStyle w:val="FootnoteText"/>
      </w:pPr>
      <w:r>
        <w:rPr>
          <w:rStyle w:val="FootnoteReference"/>
        </w:rPr>
        <w:footnoteRef/>
      </w:r>
      <w:r>
        <w:t xml:space="preserve"> Elgin, TR. 856:8-20.</w:t>
      </w:r>
    </w:p>
  </w:footnote>
  <w:footnote w:id="53">
    <w:p w:rsidR="006E272D" w:rsidRDefault="006E272D">
      <w:pPr>
        <w:pStyle w:val="FootnoteText"/>
      </w:pPr>
      <w:r w:rsidRPr="00BA4168">
        <w:rPr>
          <w:rStyle w:val="FootnoteReference"/>
        </w:rPr>
        <w:footnoteRef/>
      </w:r>
      <w:r w:rsidRPr="00BA4168">
        <w:t xml:space="preserve"> </w:t>
      </w:r>
      <w:r>
        <w:t>PSE cites an article for the notion that analysts’ earnings estimates must be used exclusively to estimate long-term dividend growth.  Olson, Exh. No. CEO-11T at 7:6-12.  However, the article states only that future earnings estimates are superior to historical results.  The article does not state that future earnings are superior to the future estimates of growth in book value, retained earnings or dividends that Mr. Elgin used.  Olson, Exh. No. CEO-18CX.</w:t>
      </w:r>
    </w:p>
  </w:footnote>
  <w:footnote w:id="54">
    <w:p w:rsidR="006E272D" w:rsidRDefault="006E272D">
      <w:pPr>
        <w:pStyle w:val="FootnoteText"/>
      </w:pPr>
      <w:r>
        <w:rPr>
          <w:rStyle w:val="FootnoteReference"/>
        </w:rPr>
        <w:footnoteRef/>
      </w:r>
      <w:r>
        <w:t xml:space="preserve"> The same conclusion can be reached for Mr. Gorman who also relied exclusively on analysts’ earnings estimates.  However, he acknowledged the propriety of using internal growth as used by Mr. Elgin.  Gorman, Exh. No. MPG-1T at 21:6-22:5.  His DCF estimate of 9.83 percent would have declined had he used internal growth.  Compare the average (6.43 percent) and median (5.79 percent) analysts’ growth rates in Gorman, Exh. No. MPG-6 with the average (4.93 percent) and median (4.87 percent) sustainable growth rates using an internal growth methodology in Gorman, Exh. No. MPG-10 at 1. </w:t>
      </w:r>
    </w:p>
  </w:footnote>
  <w:footnote w:id="55">
    <w:p w:rsidR="006E272D" w:rsidRDefault="006E272D">
      <w:pPr>
        <w:pStyle w:val="FootnoteText"/>
      </w:pPr>
      <w:r>
        <w:rPr>
          <w:rStyle w:val="FootnoteReference"/>
        </w:rPr>
        <w:footnoteRef/>
      </w:r>
      <w:r>
        <w:t xml:space="preserve"> Elgin, Exh. No. KLE-1T at 58:1-10.</w:t>
      </w:r>
    </w:p>
  </w:footnote>
  <w:footnote w:id="56">
    <w:p w:rsidR="006E272D" w:rsidRPr="00536BBF" w:rsidRDefault="006E272D" w:rsidP="001D5285">
      <w:pPr>
        <w:pStyle w:val="FootnoteText"/>
      </w:pPr>
      <w:r w:rsidRPr="00536BBF">
        <w:rPr>
          <w:rStyle w:val="FootnoteReference"/>
        </w:rPr>
        <w:footnoteRef/>
      </w:r>
      <w:r w:rsidRPr="00536BBF">
        <w:t xml:space="preserve"> </w:t>
      </w:r>
      <w:r>
        <w:t>Olson, Exh. No. CEO-4</w:t>
      </w:r>
      <w:r w:rsidRPr="00C42F67">
        <w:t>.</w:t>
      </w:r>
    </w:p>
  </w:footnote>
  <w:footnote w:id="57">
    <w:p w:rsidR="006E272D" w:rsidRPr="000D5164" w:rsidRDefault="006E272D" w:rsidP="00A27DB7">
      <w:pPr>
        <w:pStyle w:val="FootnoteText"/>
      </w:pPr>
      <w:r w:rsidRPr="000D5164">
        <w:rPr>
          <w:rStyle w:val="FootnoteReference"/>
        </w:rPr>
        <w:footnoteRef/>
      </w:r>
      <w:r w:rsidRPr="000D5164">
        <w:t xml:space="preserve"> </w:t>
      </w:r>
      <w:r>
        <w:t xml:space="preserve">Olson, </w:t>
      </w:r>
      <w:r w:rsidRPr="000D5164">
        <w:t>Exh</w:t>
      </w:r>
      <w:r>
        <w:t>. No. CEO-1T at 7:19-8:17; Olson, Exh. No. CEO-16CX; and Elgin, Exh. No. KLE-1T at 63:14-19.  PSE also proposes the Conservation Savings Adjustment as a remedy for its alleged attrition.  Elgin, Exh. No. KLE-1T at 63:19.  We address the shortcomings of the CSA in Section IV below.</w:t>
      </w:r>
    </w:p>
  </w:footnote>
  <w:footnote w:id="58">
    <w:p w:rsidR="006E272D" w:rsidRPr="002E67C1" w:rsidRDefault="006E272D" w:rsidP="00A27DB7">
      <w:pPr>
        <w:pStyle w:val="FootnoteText"/>
      </w:pPr>
      <w:r w:rsidRPr="002E67C1">
        <w:rPr>
          <w:rStyle w:val="FootnoteReference"/>
        </w:rPr>
        <w:footnoteRef/>
      </w:r>
      <w:r w:rsidRPr="002E67C1">
        <w:t xml:space="preserve"> </w:t>
      </w:r>
      <w:r>
        <w:t>Olson, Exh. No. CEO-15CX.</w:t>
      </w:r>
    </w:p>
  </w:footnote>
  <w:footnote w:id="59">
    <w:p w:rsidR="006E272D" w:rsidRDefault="006E272D" w:rsidP="00A27DB7">
      <w:pPr>
        <w:pStyle w:val="FootnoteText"/>
      </w:pPr>
      <w:r w:rsidRPr="002E67C1">
        <w:rPr>
          <w:rStyle w:val="FootnoteReference"/>
        </w:rPr>
        <w:footnoteRef/>
      </w:r>
      <w:r w:rsidRPr="002E67C1">
        <w:t xml:space="preserve"> </w:t>
      </w:r>
      <w:r>
        <w:t>Olson, Exh. No. CEO-12CX.</w:t>
      </w:r>
    </w:p>
  </w:footnote>
  <w:footnote w:id="60">
    <w:p w:rsidR="006E272D" w:rsidRDefault="006E272D" w:rsidP="00A27DB7">
      <w:pPr>
        <w:pStyle w:val="FootnoteText"/>
      </w:pPr>
      <w:r w:rsidRPr="008D0C81">
        <w:rPr>
          <w:rStyle w:val="FootnoteReference"/>
        </w:rPr>
        <w:footnoteRef/>
      </w:r>
      <w:r w:rsidRPr="008D0C81">
        <w:t xml:space="preserve"> </w:t>
      </w:r>
      <w:r>
        <w:t>Elgin, Exh. No.</w:t>
      </w:r>
      <w:r w:rsidRPr="008D0C81">
        <w:t xml:space="preserve"> KLE-1T at</w:t>
      </w:r>
      <w:r>
        <w:t xml:space="preserve"> 67.</w:t>
      </w:r>
    </w:p>
  </w:footnote>
  <w:footnote w:id="61">
    <w:p w:rsidR="006E272D" w:rsidRPr="00872D55" w:rsidRDefault="006E272D" w:rsidP="00A27DB7">
      <w:pPr>
        <w:pStyle w:val="FootnoteText"/>
      </w:pPr>
      <w:r w:rsidRPr="00872D55">
        <w:rPr>
          <w:rStyle w:val="FootnoteReference"/>
        </w:rPr>
        <w:footnoteRef/>
      </w:r>
      <w:r w:rsidRPr="00872D55">
        <w:t xml:space="preserve"> </w:t>
      </w:r>
      <w:r>
        <w:t xml:space="preserve">RCW 80.28.020.  Excerpts from relevant </w:t>
      </w:r>
      <w:r w:rsidRPr="00872D55">
        <w:t xml:space="preserve">Commission orders are contained in </w:t>
      </w:r>
      <w:r>
        <w:t>Elgin, Exh. No.</w:t>
      </w:r>
      <w:r w:rsidRPr="00872D55">
        <w:t xml:space="preserve"> KLE-6.</w:t>
      </w:r>
    </w:p>
  </w:footnote>
  <w:footnote w:id="62">
    <w:p w:rsidR="006E272D" w:rsidRPr="00243AF0" w:rsidRDefault="006E272D" w:rsidP="00A27DB7">
      <w:pPr>
        <w:pStyle w:val="FootnoteText"/>
      </w:pPr>
      <w:r w:rsidRPr="00243AF0">
        <w:rPr>
          <w:rStyle w:val="FootnoteReference"/>
        </w:rPr>
        <w:footnoteRef/>
      </w:r>
      <w:r w:rsidRPr="00243AF0">
        <w:t xml:space="preserve"> </w:t>
      </w:r>
      <w:r>
        <w:t>Gaines, Exh. No. DEG-14T at 22:14-15.</w:t>
      </w:r>
    </w:p>
  </w:footnote>
  <w:footnote w:id="63">
    <w:p w:rsidR="006E272D" w:rsidRPr="00AA3731" w:rsidRDefault="006E272D" w:rsidP="00A27DB7">
      <w:pPr>
        <w:pStyle w:val="FootnoteText"/>
      </w:pPr>
      <w:r w:rsidRPr="00AA3731">
        <w:rPr>
          <w:rStyle w:val="FootnoteReference"/>
        </w:rPr>
        <w:footnoteRef/>
      </w:r>
      <w:r w:rsidRPr="00AA3731">
        <w:t xml:space="preserve"> </w:t>
      </w:r>
      <w:r w:rsidRPr="00894309">
        <w:rPr>
          <w:i/>
        </w:rPr>
        <w:t>In the Matter of the Washington Utilities and Transportation Commission’s Investigation into Energy Conservation Incentives</w:t>
      </w:r>
      <w:r w:rsidRPr="00894309">
        <w:t>, Docket U-100522, Report an</w:t>
      </w:r>
      <w:r>
        <w:t>d Policy Statement, ¶34 (November 4, 2010) (“Decoupling Policy Statement”).</w:t>
      </w:r>
    </w:p>
  </w:footnote>
  <w:footnote w:id="64">
    <w:p w:rsidR="006E272D" w:rsidRDefault="006E272D" w:rsidP="00A27DB7">
      <w:pPr>
        <w:pStyle w:val="FootnoteText"/>
      </w:pPr>
      <w:r w:rsidRPr="00352D83">
        <w:rPr>
          <w:rStyle w:val="FootnoteReference"/>
        </w:rPr>
        <w:footnoteRef/>
      </w:r>
      <w:r w:rsidRPr="00352D83">
        <w:t xml:space="preserve"> </w:t>
      </w:r>
      <w:r>
        <w:t>In its 2006 general rate case, the Company presented an attrition study it asserted was necessary to address regulatory lag and erosion of earnings due to increasing costs of new plant.  Elgin, Exh. No. KLE-1T at 74:1-12.  No reason was given in the current case why an attrition study could not be provided to address the very same problems.</w:t>
      </w:r>
    </w:p>
  </w:footnote>
  <w:footnote w:id="65">
    <w:p w:rsidR="006E272D" w:rsidRPr="00352D83" w:rsidRDefault="006E272D" w:rsidP="00A27DB7">
      <w:pPr>
        <w:pStyle w:val="FootnoteText"/>
      </w:pPr>
      <w:r w:rsidRPr="00352D83">
        <w:rPr>
          <w:rStyle w:val="FootnoteReference"/>
        </w:rPr>
        <w:footnoteRef/>
      </w:r>
      <w:r>
        <w:t xml:space="preserve"> Gaines, Exh. No. DEG-1T at 23, Chart 1.</w:t>
      </w:r>
    </w:p>
  </w:footnote>
  <w:footnote w:id="66">
    <w:p w:rsidR="006E272D" w:rsidRPr="00352D83" w:rsidRDefault="006E272D" w:rsidP="00A27DB7">
      <w:pPr>
        <w:pStyle w:val="FootnoteText"/>
      </w:pPr>
      <w:r w:rsidRPr="00352D83">
        <w:rPr>
          <w:rStyle w:val="FootnoteReference"/>
        </w:rPr>
        <w:footnoteRef/>
      </w:r>
      <w:r w:rsidRPr="00352D83">
        <w:t xml:space="preserve"> </w:t>
      </w:r>
      <w:r>
        <w:t>Olson, Exh. No.</w:t>
      </w:r>
      <w:r w:rsidRPr="00352D83">
        <w:t xml:space="preserve"> </w:t>
      </w:r>
      <w:r>
        <w:t xml:space="preserve">CEO-1T at </w:t>
      </w:r>
      <w:r w:rsidRPr="00352D83">
        <w:t>8</w:t>
      </w:r>
      <w:r>
        <w:t>:10-12 and 15-17.</w:t>
      </w:r>
    </w:p>
  </w:footnote>
  <w:footnote w:id="67">
    <w:p w:rsidR="006E272D" w:rsidRDefault="006E272D" w:rsidP="00A27DB7">
      <w:pPr>
        <w:pStyle w:val="FootnoteText"/>
      </w:pPr>
      <w:r>
        <w:rPr>
          <w:rStyle w:val="FootnoteReference"/>
        </w:rPr>
        <w:footnoteRef/>
      </w:r>
      <w:r>
        <w:t xml:space="preserve"> Gaines, Exh. No. DEG-21CX at 11.</w:t>
      </w:r>
    </w:p>
  </w:footnote>
  <w:footnote w:id="68">
    <w:p w:rsidR="006E272D" w:rsidRPr="00DA15C0" w:rsidRDefault="006E272D" w:rsidP="00A27DB7">
      <w:pPr>
        <w:pStyle w:val="FootnoteText"/>
      </w:pPr>
      <w:r w:rsidRPr="00DA15C0">
        <w:rPr>
          <w:rStyle w:val="FootnoteReference"/>
        </w:rPr>
        <w:footnoteRef/>
      </w:r>
      <w:r w:rsidRPr="00DA15C0">
        <w:t xml:space="preserve"> </w:t>
      </w:r>
      <w:r w:rsidRPr="00DA15C0">
        <w:rPr>
          <w:i/>
        </w:rPr>
        <w:t>Federal Power Commission v. Hope Natural Gas Co.</w:t>
      </w:r>
      <w:r w:rsidRPr="00DA15C0">
        <w:t>, 320 U.S. 591, 605 (1942).</w:t>
      </w:r>
    </w:p>
  </w:footnote>
  <w:footnote w:id="69">
    <w:p w:rsidR="006E272D" w:rsidRPr="00CB3EC4" w:rsidRDefault="006E272D" w:rsidP="00A27DB7">
      <w:pPr>
        <w:pStyle w:val="FootnoteText"/>
      </w:pPr>
      <w:r w:rsidRPr="00CB3EC4">
        <w:rPr>
          <w:rStyle w:val="FootnoteReference"/>
        </w:rPr>
        <w:footnoteRef/>
      </w:r>
      <w:r w:rsidRPr="00CB3EC4">
        <w:t xml:space="preserve"> </w:t>
      </w:r>
      <w:r>
        <w:t>Elgin, Exh. No. KLE-1T at 74:14-18</w:t>
      </w:r>
      <w:r w:rsidRPr="00CB3EC4">
        <w:t>.</w:t>
      </w:r>
      <w:r>
        <w:t xml:space="preserve">  See also Elgin, Exh. No. KLE-1T at 76:9-21.</w:t>
      </w:r>
    </w:p>
  </w:footnote>
  <w:footnote w:id="70">
    <w:p w:rsidR="006E272D" w:rsidRPr="00BA7BE8" w:rsidRDefault="006E272D" w:rsidP="00A27DB7">
      <w:pPr>
        <w:pStyle w:val="FootnoteText"/>
      </w:pPr>
      <w:r w:rsidRPr="00BA7BE8">
        <w:rPr>
          <w:rStyle w:val="FootnoteReference"/>
        </w:rPr>
        <w:footnoteRef/>
      </w:r>
      <w:r w:rsidRPr="00BA7BE8">
        <w:t xml:space="preserve"> </w:t>
      </w:r>
      <w:r>
        <w:t>Harris, Exh. No. KJH-1T at 3:15-22</w:t>
      </w:r>
      <w:r w:rsidRPr="00BA7BE8">
        <w:t>.</w:t>
      </w:r>
    </w:p>
  </w:footnote>
  <w:footnote w:id="71">
    <w:p w:rsidR="006E272D" w:rsidRPr="00353D86" w:rsidRDefault="006E272D" w:rsidP="00A27DB7">
      <w:pPr>
        <w:pStyle w:val="FootnoteText"/>
      </w:pPr>
      <w:r w:rsidRPr="00353D86">
        <w:rPr>
          <w:rStyle w:val="FootnoteReference"/>
        </w:rPr>
        <w:footnoteRef/>
      </w:r>
      <w:r w:rsidRPr="00353D86">
        <w:t xml:space="preserve"> </w:t>
      </w:r>
      <w:r>
        <w:t>Elgin, Exh. No. KLE-1T at 75:21-76:77.</w:t>
      </w:r>
    </w:p>
  </w:footnote>
  <w:footnote w:id="72">
    <w:p w:rsidR="006E272D" w:rsidRPr="00C5554F" w:rsidRDefault="006E272D" w:rsidP="00A27DB7">
      <w:pPr>
        <w:pStyle w:val="FootnoteText"/>
      </w:pPr>
      <w:r w:rsidRPr="00C5554F">
        <w:rPr>
          <w:rStyle w:val="FootnoteReference"/>
        </w:rPr>
        <w:footnoteRef/>
      </w:r>
      <w:r>
        <w:t xml:space="preserve"> Gaines, Exh. No. DEG-1T at</w:t>
      </w:r>
      <w:r w:rsidRPr="00C5554F">
        <w:t xml:space="preserve"> 23, Chart 1</w:t>
      </w:r>
      <w:r>
        <w:t>.</w:t>
      </w:r>
    </w:p>
  </w:footnote>
  <w:footnote w:id="73">
    <w:p w:rsidR="006E272D" w:rsidRPr="00C5554F" w:rsidRDefault="006E272D" w:rsidP="00A27DB7">
      <w:pPr>
        <w:pStyle w:val="FootnoteText"/>
      </w:pPr>
      <w:r w:rsidRPr="00C5554F">
        <w:rPr>
          <w:rStyle w:val="FootnoteReference"/>
        </w:rPr>
        <w:footnoteRef/>
      </w:r>
      <w:r w:rsidRPr="00C5554F">
        <w:t xml:space="preserve"> </w:t>
      </w:r>
      <w:r>
        <w:t>The Company drew attention to a Moody’s statement expressing concern with PSE’s under-earning relative to authorized returns.  However, Moody’s statement uses information provided by PSE and cannot be considered an entirely independent evaluation.  Elgin, TR. 842:13-18.</w:t>
      </w:r>
    </w:p>
  </w:footnote>
  <w:footnote w:id="74">
    <w:p w:rsidR="006E272D" w:rsidRPr="00ED3202" w:rsidRDefault="006E272D" w:rsidP="006755D9">
      <w:pPr>
        <w:pStyle w:val="FootnoteText"/>
      </w:pPr>
      <w:r w:rsidRPr="00ED3202">
        <w:rPr>
          <w:rStyle w:val="FootnoteReference"/>
        </w:rPr>
        <w:footnoteRef/>
      </w:r>
      <w:r>
        <w:t xml:space="preserve"> McLain, Exh. No. SML-1T.</w:t>
      </w:r>
    </w:p>
  </w:footnote>
  <w:footnote w:id="75">
    <w:p w:rsidR="006E272D" w:rsidRDefault="006E272D">
      <w:pPr>
        <w:pStyle w:val="FootnoteText"/>
      </w:pPr>
      <w:r>
        <w:rPr>
          <w:rStyle w:val="FootnoteReference"/>
        </w:rPr>
        <w:footnoteRef/>
      </w:r>
      <w:r>
        <w:t xml:space="preserve"> WAC 480-90-257 (gas) and WAC 480-100-257 (electric).</w:t>
      </w:r>
    </w:p>
  </w:footnote>
  <w:footnote w:id="76">
    <w:p w:rsidR="006E272D" w:rsidRPr="00334615" w:rsidRDefault="006E272D" w:rsidP="00315310">
      <w:pPr>
        <w:pStyle w:val="FootnoteText"/>
      </w:pPr>
      <w:r w:rsidRPr="00334615">
        <w:rPr>
          <w:rStyle w:val="FootnoteReference"/>
        </w:rPr>
        <w:footnoteRef/>
      </w:r>
      <w:r w:rsidRPr="00334615">
        <w:t xml:space="preserve"> </w:t>
      </w:r>
      <w:r>
        <w:t>Elgin, Exh. No. KLE-1T at 82:21-83:8.</w:t>
      </w:r>
    </w:p>
  </w:footnote>
  <w:footnote w:id="77">
    <w:p w:rsidR="006E272D" w:rsidRPr="00BA5191" w:rsidRDefault="006E272D">
      <w:pPr>
        <w:pStyle w:val="FootnoteText"/>
      </w:pPr>
      <w:r w:rsidRPr="00BA5191">
        <w:rPr>
          <w:rStyle w:val="FootnoteReference"/>
        </w:rPr>
        <w:footnoteRef/>
      </w:r>
      <w:r w:rsidRPr="00BA5191">
        <w:t xml:space="preserve"> </w:t>
      </w:r>
      <w:r>
        <w:t>Elgin, Exh. No. KLE-1T at 81:5-22.</w:t>
      </w:r>
    </w:p>
  </w:footnote>
  <w:footnote w:id="78">
    <w:p w:rsidR="006E272D" w:rsidRDefault="006E272D">
      <w:pPr>
        <w:pStyle w:val="FootnoteText"/>
      </w:pPr>
      <w:r w:rsidRPr="00BA5191">
        <w:rPr>
          <w:rStyle w:val="FootnoteReference"/>
        </w:rPr>
        <w:footnoteRef/>
      </w:r>
      <w:r w:rsidRPr="00BA5191">
        <w:t xml:space="preserve"> </w:t>
      </w:r>
      <w:r>
        <w:t>Elgin, Exh. No. KLE-1T at 8:7-17</w:t>
      </w:r>
      <w:r w:rsidRPr="00BA5191">
        <w:t>.</w:t>
      </w:r>
      <w:r>
        <w:t xml:space="preserve">  See Schooley, Exh. No. TES-1T at 8:12-10:5 for a description of the particular regulatory difficulties presented currently by PSE that could be alleviated by Staff’s proposal.</w:t>
      </w:r>
    </w:p>
  </w:footnote>
  <w:footnote w:id="79">
    <w:p w:rsidR="006E272D" w:rsidRPr="00894309" w:rsidRDefault="006E272D">
      <w:pPr>
        <w:pStyle w:val="FootnoteText"/>
      </w:pPr>
      <w:r w:rsidRPr="00894309">
        <w:rPr>
          <w:rStyle w:val="FootnoteReference"/>
        </w:rPr>
        <w:footnoteRef/>
      </w:r>
      <w:r w:rsidRPr="00894309">
        <w:t xml:space="preserve"> </w:t>
      </w:r>
      <w:r>
        <w:t>Olson, Exh. No. CEO-17CX.</w:t>
      </w:r>
    </w:p>
  </w:footnote>
  <w:footnote w:id="80">
    <w:p w:rsidR="006E272D" w:rsidRPr="00270914" w:rsidRDefault="006E272D">
      <w:pPr>
        <w:pStyle w:val="FootnoteText"/>
      </w:pPr>
      <w:r w:rsidRPr="00270914">
        <w:rPr>
          <w:rStyle w:val="FootnoteReference"/>
        </w:rPr>
        <w:footnoteRef/>
      </w:r>
      <w:r w:rsidRPr="00270914">
        <w:t xml:space="preserve"> </w:t>
      </w:r>
      <w:r>
        <w:t>Olson, Exh. No. CEO-1T at 10:1-4.</w:t>
      </w:r>
    </w:p>
  </w:footnote>
  <w:footnote w:id="81">
    <w:p w:rsidR="006E272D" w:rsidRPr="00B90661" w:rsidRDefault="006E272D" w:rsidP="00B90661">
      <w:pPr>
        <w:pStyle w:val="FootnoteText"/>
      </w:pPr>
      <w:r w:rsidRPr="00B90661">
        <w:rPr>
          <w:rStyle w:val="FootnoteReference"/>
        </w:rPr>
        <w:footnoteRef/>
      </w:r>
      <w:r w:rsidRPr="00B90661">
        <w:t xml:space="preserve"> </w:t>
      </w:r>
      <w:r w:rsidRPr="00B90661">
        <w:rPr>
          <w:i/>
        </w:rPr>
        <w:t>WUTC v. Washington Water Power Company,</w:t>
      </w:r>
      <w:r w:rsidRPr="00B90661">
        <w:t xml:space="preserve"> Cause No. U-81-15/16, 2</w:t>
      </w:r>
      <w:r w:rsidRPr="00B90661">
        <w:rPr>
          <w:vertAlign w:val="superscript"/>
        </w:rPr>
        <w:t>nd</w:t>
      </w:r>
      <w:r w:rsidRPr="00B90661">
        <w:t xml:space="preserve"> Sup</w:t>
      </w:r>
      <w:r>
        <w:t>pl. Order at 7</w:t>
      </w:r>
      <w:r w:rsidRPr="00B90661">
        <w:t xml:space="preserve"> (November 25, 1981).</w:t>
      </w:r>
    </w:p>
  </w:footnote>
  <w:footnote w:id="82">
    <w:p w:rsidR="006E272D" w:rsidRPr="00B90661" w:rsidRDefault="006E272D">
      <w:pPr>
        <w:pStyle w:val="FootnoteText"/>
      </w:pPr>
      <w:r w:rsidRPr="00B90661">
        <w:rPr>
          <w:rStyle w:val="FootnoteReference"/>
        </w:rPr>
        <w:footnoteRef/>
      </w:r>
      <w:r w:rsidRPr="00B90661">
        <w:t xml:space="preserve"> </w:t>
      </w:r>
      <w:r>
        <w:t>Olson TR. 811:21812:22</w:t>
      </w:r>
      <w:r w:rsidRPr="00B90661">
        <w:t xml:space="preserve">.  See also </w:t>
      </w:r>
      <w:r>
        <w:t>Elgin, Exh. No. KLE-1T at 68:21-69:3.</w:t>
      </w:r>
    </w:p>
  </w:footnote>
  <w:footnote w:id="83">
    <w:p w:rsidR="006E272D" w:rsidRPr="00B90661" w:rsidRDefault="006E272D" w:rsidP="00B90661">
      <w:pPr>
        <w:pStyle w:val="FootnoteText"/>
      </w:pPr>
      <w:r w:rsidRPr="00B90661">
        <w:rPr>
          <w:rStyle w:val="FootnoteReference"/>
        </w:rPr>
        <w:footnoteRef/>
      </w:r>
      <w:r w:rsidRPr="00B90661">
        <w:t xml:space="preserve"> </w:t>
      </w:r>
      <w:r>
        <w:rPr>
          <w:i/>
        </w:rPr>
        <w:t>In the Matter of the WUTC</w:t>
      </w:r>
      <w:r w:rsidRPr="00B90661">
        <w:rPr>
          <w:i/>
        </w:rPr>
        <w:t xml:space="preserve">’s Investigation into Energy </w:t>
      </w:r>
      <w:r>
        <w:rPr>
          <w:i/>
        </w:rPr>
        <w:t>C</w:t>
      </w:r>
      <w:r w:rsidRPr="00B90661">
        <w:rPr>
          <w:i/>
        </w:rPr>
        <w:t>onservation Incentives</w:t>
      </w:r>
      <w:r w:rsidRPr="00B90661">
        <w:t>, Docket U-100522, Report</w:t>
      </w:r>
      <w:r>
        <w:t xml:space="preserve"> and Policy Statement, </w:t>
      </w:r>
      <w:r w:rsidRPr="00B90661">
        <w:t>¶26 (November 4, 20</w:t>
      </w:r>
      <w:r>
        <w:t>10).</w:t>
      </w:r>
    </w:p>
  </w:footnote>
  <w:footnote w:id="84">
    <w:p w:rsidR="006E272D" w:rsidRPr="00C218DB" w:rsidRDefault="006E272D" w:rsidP="00315310">
      <w:pPr>
        <w:pStyle w:val="FootnoteText"/>
      </w:pPr>
      <w:r w:rsidRPr="00C218DB">
        <w:rPr>
          <w:rStyle w:val="FootnoteReference"/>
        </w:rPr>
        <w:footnoteRef/>
      </w:r>
      <w:r w:rsidRPr="00C218DB">
        <w:t xml:space="preserve"> </w:t>
      </w:r>
      <w:r>
        <w:t>Olson, TR. 811:11-20.</w:t>
      </w:r>
    </w:p>
  </w:footnote>
  <w:footnote w:id="85">
    <w:p w:rsidR="006E272D" w:rsidRPr="00BA7BEE" w:rsidRDefault="006E272D">
      <w:pPr>
        <w:pStyle w:val="FootnoteText"/>
      </w:pPr>
      <w:r w:rsidRPr="00BA7BEE">
        <w:rPr>
          <w:rStyle w:val="FootnoteReference"/>
        </w:rPr>
        <w:footnoteRef/>
      </w:r>
      <w:r w:rsidRPr="00BA7BEE">
        <w:t xml:space="preserve"> </w:t>
      </w:r>
      <w:r>
        <w:t>Story, TR</w:t>
      </w:r>
      <w:r w:rsidRPr="00BA7BEE">
        <w:t>. 1065:16-25</w:t>
      </w:r>
      <w:r>
        <w:t xml:space="preserve"> </w:t>
      </w:r>
      <w:r w:rsidRPr="00BA7BEE">
        <w:t xml:space="preserve">and </w:t>
      </w:r>
      <w:r>
        <w:t>Story, TR.1066:20-25.</w:t>
      </w:r>
    </w:p>
  </w:footnote>
  <w:footnote w:id="86">
    <w:p w:rsidR="006E272D" w:rsidRPr="00A37153" w:rsidRDefault="006E272D">
      <w:pPr>
        <w:pStyle w:val="FootnoteText"/>
      </w:pPr>
      <w:r w:rsidRPr="00A37153">
        <w:rPr>
          <w:rStyle w:val="FootnoteReference"/>
        </w:rPr>
        <w:footnoteRef/>
      </w:r>
      <w:r w:rsidRPr="00A37153">
        <w:t xml:space="preserve"> WAC 480-07-505(1) and WAC 480-07-510.</w:t>
      </w:r>
    </w:p>
  </w:footnote>
  <w:footnote w:id="87">
    <w:p w:rsidR="006E272D" w:rsidRDefault="006E272D">
      <w:pPr>
        <w:pStyle w:val="FootnoteText"/>
      </w:pPr>
      <w:r>
        <w:rPr>
          <w:rStyle w:val="FootnoteReference"/>
        </w:rPr>
        <w:footnoteRef/>
      </w:r>
      <w:r>
        <w:t xml:space="preserve"> RCW 80.04.130(1).</w:t>
      </w:r>
    </w:p>
  </w:footnote>
  <w:footnote w:id="88">
    <w:p w:rsidR="006E272D" w:rsidRPr="001B2ED1" w:rsidRDefault="006E272D">
      <w:pPr>
        <w:pStyle w:val="FootnoteText"/>
      </w:pPr>
      <w:r w:rsidRPr="001B2ED1">
        <w:rPr>
          <w:rStyle w:val="FootnoteReference"/>
        </w:rPr>
        <w:footnoteRef/>
      </w:r>
      <w:r w:rsidRPr="001B2ED1">
        <w:t xml:space="preserve"> </w:t>
      </w:r>
      <w:r>
        <w:t>DeBoer, TR</w:t>
      </w:r>
      <w:r w:rsidRPr="001B2ED1">
        <w:t>. 531:5-19</w:t>
      </w:r>
      <w:r>
        <w:t>.</w:t>
      </w:r>
    </w:p>
  </w:footnote>
  <w:footnote w:id="89">
    <w:p w:rsidR="006E272D" w:rsidRDefault="006E272D">
      <w:pPr>
        <w:pStyle w:val="FootnoteText"/>
      </w:pPr>
      <w:r w:rsidRPr="001B2ED1">
        <w:rPr>
          <w:rStyle w:val="FootnoteReference"/>
        </w:rPr>
        <w:footnoteRef/>
      </w:r>
      <w:r>
        <w:t xml:space="preserve"> Schooley, Exh. No. TES-1T at 7:11-8:3 </w:t>
      </w:r>
      <w:r w:rsidRPr="001B2ED1">
        <w:t xml:space="preserve">and </w:t>
      </w:r>
      <w:r>
        <w:t>Elgin, Exh. No.  KLE-1T at 82:21-83:8.</w:t>
      </w:r>
    </w:p>
  </w:footnote>
  <w:footnote w:id="90">
    <w:p w:rsidR="006E272D" w:rsidRPr="00453062" w:rsidRDefault="006E272D" w:rsidP="00122F9F">
      <w:pPr>
        <w:pStyle w:val="FootnoteText"/>
      </w:pPr>
      <w:r w:rsidRPr="00453062">
        <w:rPr>
          <w:rStyle w:val="FootnoteReference"/>
        </w:rPr>
        <w:footnoteRef/>
      </w:r>
      <w:r w:rsidRPr="00453062">
        <w:t xml:space="preserve"> </w:t>
      </w:r>
      <w:r>
        <w:t>Elgin, TR. 861:25-862:5.</w:t>
      </w:r>
    </w:p>
  </w:footnote>
  <w:footnote w:id="91">
    <w:p w:rsidR="006E272D" w:rsidRPr="007702A8" w:rsidRDefault="006E272D" w:rsidP="00E3331E">
      <w:pPr>
        <w:pStyle w:val="FootnoteText"/>
      </w:pPr>
      <w:r w:rsidRPr="007702A8">
        <w:rPr>
          <w:rStyle w:val="FootnoteReference"/>
        </w:rPr>
        <w:footnoteRef/>
      </w:r>
      <w:r>
        <w:t xml:space="preserve"> Garratt, Exh. No. RG-26C.</w:t>
      </w:r>
    </w:p>
  </w:footnote>
  <w:footnote w:id="92">
    <w:p w:rsidR="006E272D" w:rsidRPr="007702A8" w:rsidRDefault="006E272D" w:rsidP="00E3331E">
      <w:pPr>
        <w:pStyle w:val="FootnoteText"/>
      </w:pPr>
      <w:r w:rsidRPr="007702A8">
        <w:rPr>
          <w:rStyle w:val="FootnoteReference"/>
        </w:rPr>
        <w:footnoteRef/>
      </w:r>
      <w:r>
        <w:t xml:space="preserve"> Garratt, Exh. No. RG-3 at 10.</w:t>
      </w:r>
    </w:p>
  </w:footnote>
  <w:footnote w:id="93">
    <w:p w:rsidR="006E272D" w:rsidRPr="005E360D" w:rsidRDefault="006E272D" w:rsidP="00E3331E">
      <w:pPr>
        <w:pStyle w:val="FootnoteText"/>
      </w:pPr>
      <w:r w:rsidRPr="005E360D">
        <w:rPr>
          <w:rStyle w:val="FootnoteReference"/>
        </w:rPr>
        <w:footnoteRef/>
      </w:r>
      <w:r>
        <w:t xml:space="preserve"> Selig, Exh. No. AS-3HC at </w:t>
      </w:r>
      <w:r w:rsidRPr="005E360D">
        <w:t>54 and 55</w:t>
      </w:r>
      <w:r>
        <w:t>.</w:t>
      </w:r>
    </w:p>
  </w:footnote>
  <w:footnote w:id="94">
    <w:p w:rsidR="006E272D" w:rsidRPr="00D76FB3" w:rsidRDefault="006E272D" w:rsidP="00E3331E">
      <w:pPr>
        <w:pStyle w:val="FootnoteText"/>
      </w:pPr>
      <w:r>
        <w:rPr>
          <w:rStyle w:val="FootnoteReference"/>
        </w:rPr>
        <w:footnoteRef/>
      </w:r>
      <w:r>
        <w:t xml:space="preserve"> Garratt, Exh. No. RG-1HCT at </w:t>
      </w:r>
      <w:r w:rsidRPr="00CB27F2">
        <w:t>3</w:t>
      </w:r>
      <w:r>
        <w:t>.</w:t>
      </w:r>
    </w:p>
  </w:footnote>
  <w:footnote w:id="95">
    <w:p w:rsidR="006E272D" w:rsidRPr="007F3E8E" w:rsidRDefault="006E272D" w:rsidP="00A40FB9">
      <w:pPr>
        <w:pStyle w:val="FootnoteText"/>
      </w:pPr>
      <w:r>
        <w:rPr>
          <w:rStyle w:val="FootnoteReference"/>
        </w:rPr>
        <w:footnoteRef/>
      </w:r>
      <w:r>
        <w:t xml:space="preserve"> Garratt, Exh. No. RG-13HC at </w:t>
      </w:r>
      <w:r w:rsidRPr="00F24E15">
        <w:t>22, Table 6</w:t>
      </w:r>
      <w:r>
        <w:t>.</w:t>
      </w:r>
    </w:p>
  </w:footnote>
  <w:footnote w:id="96">
    <w:p w:rsidR="006E272D" w:rsidRPr="0074728E" w:rsidRDefault="006E272D" w:rsidP="00A40FB9">
      <w:pPr>
        <w:pStyle w:val="FootnoteText"/>
      </w:pPr>
      <w:r w:rsidRPr="0074728E">
        <w:rPr>
          <w:rStyle w:val="FootnoteReference"/>
        </w:rPr>
        <w:footnoteRef/>
      </w:r>
      <w:r>
        <w:t xml:space="preserve"> Selig, Exh. No. </w:t>
      </w:r>
      <w:r w:rsidRPr="0074728E">
        <w:t>AS-3HC</w:t>
      </w:r>
      <w:r>
        <w:t xml:space="preserve"> at</w:t>
      </w:r>
      <w:r w:rsidRPr="0074728E">
        <w:t xml:space="preserve"> 372</w:t>
      </w:r>
      <w:r>
        <w:t>.</w:t>
      </w:r>
    </w:p>
  </w:footnote>
  <w:footnote w:id="97">
    <w:p w:rsidR="006E272D" w:rsidRDefault="006E272D" w:rsidP="00557504">
      <w:pPr>
        <w:pStyle w:val="FootnoteText"/>
      </w:pPr>
      <w:r w:rsidRPr="004D41C1">
        <w:rPr>
          <w:rStyle w:val="FootnoteReference"/>
        </w:rPr>
        <w:footnoteRef/>
      </w:r>
      <w:r w:rsidRPr="004D41C1">
        <w:t xml:space="preserve"> RCW 80.04.250.</w:t>
      </w:r>
    </w:p>
  </w:footnote>
  <w:footnote w:id="98">
    <w:p w:rsidR="006E272D" w:rsidRDefault="006E272D" w:rsidP="00557504">
      <w:pPr>
        <w:pStyle w:val="FootnoteText"/>
      </w:pPr>
      <w:r w:rsidRPr="004D41C1">
        <w:rPr>
          <w:rStyle w:val="FootnoteReference"/>
        </w:rPr>
        <w:footnoteRef/>
      </w:r>
      <w:r w:rsidRPr="004D41C1">
        <w:t xml:space="preserve"> </w:t>
      </w:r>
      <w:r w:rsidRPr="004D41C1">
        <w:rPr>
          <w:i/>
        </w:rPr>
        <w:t>W</w:t>
      </w:r>
      <w:r>
        <w:rPr>
          <w:i/>
        </w:rPr>
        <w:t xml:space="preserve">UTC </w:t>
      </w:r>
      <w:r w:rsidRPr="004D41C1">
        <w:rPr>
          <w:i/>
        </w:rPr>
        <w:t>v. PacifiCorp</w:t>
      </w:r>
      <w:r>
        <w:rPr>
          <w:i/>
        </w:rPr>
        <w:t>, d/b/a Pacific Power &amp; Light Co.</w:t>
      </w:r>
      <w:r w:rsidRPr="004D41C1">
        <w:rPr>
          <w:i/>
        </w:rPr>
        <w:t>,</w:t>
      </w:r>
      <w:r w:rsidRPr="00D17B52">
        <w:t xml:space="preserve"> Docket UE-050684, Order 04</w:t>
      </w:r>
      <w:r>
        <w:t xml:space="preserve"> at ¶50</w:t>
      </w:r>
      <w:r w:rsidRPr="00D17B52">
        <w:rPr>
          <w:bCs/>
        </w:rPr>
        <w:t xml:space="preserve"> (April 17, 2006)</w:t>
      </w:r>
      <w:r w:rsidRPr="00D17B52">
        <w:t>.</w:t>
      </w:r>
    </w:p>
  </w:footnote>
  <w:footnote w:id="99">
    <w:p w:rsidR="006E272D" w:rsidRDefault="006E272D" w:rsidP="00557504">
      <w:pPr>
        <w:pStyle w:val="FootnoteText"/>
      </w:pPr>
      <w:r w:rsidRPr="00BB55BC">
        <w:rPr>
          <w:rStyle w:val="FootnoteReference"/>
        </w:rPr>
        <w:footnoteRef/>
      </w:r>
      <w:r>
        <w:rPr>
          <w:i/>
        </w:rPr>
        <w:t xml:space="preserve">Id. </w:t>
      </w:r>
      <w:r w:rsidRPr="00DD37EE">
        <w:t>at</w:t>
      </w:r>
      <w:r>
        <w:t xml:space="preserve"> ¶</w:t>
      </w:r>
      <w:r w:rsidRPr="00DD37EE">
        <w:t>68.</w:t>
      </w:r>
    </w:p>
  </w:footnote>
  <w:footnote w:id="100">
    <w:p w:rsidR="006E272D" w:rsidRPr="0074728E" w:rsidRDefault="006E272D" w:rsidP="00510839">
      <w:pPr>
        <w:pStyle w:val="FootnoteText"/>
      </w:pPr>
      <w:r w:rsidRPr="0074728E">
        <w:rPr>
          <w:rStyle w:val="FootnoteReference"/>
        </w:rPr>
        <w:footnoteRef/>
      </w:r>
      <w:r w:rsidRPr="0074728E">
        <w:t xml:space="preserve"> </w:t>
      </w:r>
      <w:r w:rsidRPr="00F24E15">
        <w:rPr>
          <w:i/>
        </w:rPr>
        <w:t>In the Matter of the Washington Utilities and Transportation Commission’s Inquiry on Regulatory Treatment for Renewable Energy Resources</w:t>
      </w:r>
      <w:r>
        <w:t>,</w:t>
      </w:r>
      <w:r w:rsidRPr="00F24E15">
        <w:t xml:space="preserve"> Docket UE-100849, Report and Policy Statement Concerning Acquisition of Renewable Resources by Investor-Owned Utilities</w:t>
      </w:r>
      <w:r>
        <w:t xml:space="preserve"> at </w:t>
      </w:r>
      <w:r w:rsidRPr="0074728E">
        <w:t>¶55</w:t>
      </w:r>
      <w:r>
        <w:t xml:space="preserve"> (January 3, 2011) (“Renewable Policy Statement”).</w:t>
      </w:r>
    </w:p>
  </w:footnote>
  <w:footnote w:id="101">
    <w:p w:rsidR="006E272D" w:rsidRPr="007C5274" w:rsidRDefault="006E272D" w:rsidP="00510839">
      <w:pPr>
        <w:pStyle w:val="FootnoteText"/>
      </w:pPr>
      <w:r w:rsidRPr="007C5274">
        <w:rPr>
          <w:rStyle w:val="FootnoteReference"/>
        </w:rPr>
        <w:footnoteRef/>
      </w:r>
      <w:r>
        <w:t xml:space="preserve"> Renewable </w:t>
      </w:r>
      <w:r w:rsidRPr="007C5274">
        <w:t>Policy</w:t>
      </w:r>
      <w:r>
        <w:t xml:space="preserve"> Statement at</w:t>
      </w:r>
      <w:r w:rsidRPr="007C5274">
        <w:t xml:space="preserve"> ¶40.</w:t>
      </w:r>
    </w:p>
  </w:footnote>
  <w:footnote w:id="102">
    <w:p w:rsidR="006E272D" w:rsidRPr="004926E3" w:rsidRDefault="006E272D" w:rsidP="00E3331E">
      <w:pPr>
        <w:pStyle w:val="FootnoteText"/>
      </w:pPr>
      <w:r w:rsidRPr="00BB55BC">
        <w:rPr>
          <w:rStyle w:val="FootnoteReference"/>
        </w:rPr>
        <w:footnoteRef/>
      </w:r>
      <w:r w:rsidRPr="00D17B52">
        <w:t xml:space="preserve"> </w:t>
      </w:r>
      <w:r w:rsidRPr="004926E3">
        <w:rPr>
          <w:i/>
        </w:rPr>
        <w:t>W</w:t>
      </w:r>
      <w:r>
        <w:rPr>
          <w:i/>
        </w:rPr>
        <w:t xml:space="preserve">UTC </w:t>
      </w:r>
      <w:r w:rsidRPr="004926E3">
        <w:rPr>
          <w:i/>
        </w:rPr>
        <w:t>v. Puget Sound Energy, Inc.,</w:t>
      </w:r>
      <w:r w:rsidRPr="004926E3">
        <w:t xml:space="preserve"> Docket UE-031725, Order 12 a</w:t>
      </w:r>
      <w:r>
        <w:t>t ¶19 (April 7, 2004)</w:t>
      </w:r>
      <w:r w:rsidRPr="004926E3">
        <w:t xml:space="preserve">.  </w:t>
      </w:r>
    </w:p>
  </w:footnote>
  <w:footnote w:id="103">
    <w:p w:rsidR="006E272D" w:rsidRPr="00364AB6" w:rsidRDefault="006E272D">
      <w:pPr>
        <w:pStyle w:val="FootnoteText"/>
      </w:pPr>
      <w:r>
        <w:rPr>
          <w:rStyle w:val="FootnoteReference"/>
        </w:rPr>
        <w:footnoteRef/>
      </w:r>
      <w:r>
        <w:t xml:space="preserve"> </w:t>
      </w:r>
      <w:r w:rsidRPr="004926E3">
        <w:rPr>
          <w:i/>
        </w:rPr>
        <w:t>W</w:t>
      </w:r>
      <w:r>
        <w:rPr>
          <w:i/>
        </w:rPr>
        <w:t xml:space="preserve">UTC </w:t>
      </w:r>
      <w:r w:rsidRPr="004926E3">
        <w:rPr>
          <w:i/>
        </w:rPr>
        <w:t>v. Puget Sound Energy</w:t>
      </w:r>
      <w:r>
        <w:rPr>
          <w:i/>
        </w:rPr>
        <w:t>, Inc.</w:t>
      </w:r>
      <w:r>
        <w:t>, Dockets UE-090704 and UG-090705, Order 11 at ¶320 (April 2, 2010).</w:t>
      </w:r>
    </w:p>
  </w:footnote>
  <w:footnote w:id="104">
    <w:p w:rsidR="006E272D" w:rsidRPr="0074728E" w:rsidRDefault="006E272D" w:rsidP="00BD776A">
      <w:pPr>
        <w:pStyle w:val="FootnoteText"/>
      </w:pPr>
      <w:r w:rsidRPr="0074728E">
        <w:rPr>
          <w:rStyle w:val="FootnoteReference"/>
        </w:rPr>
        <w:footnoteRef/>
      </w:r>
      <w:r w:rsidRPr="0074728E">
        <w:t xml:space="preserve"> </w:t>
      </w:r>
      <w:r w:rsidRPr="00236E83">
        <w:t>Renewable</w:t>
      </w:r>
      <w:r w:rsidRPr="0074728E" w:rsidDel="00236E83">
        <w:t xml:space="preserve"> </w:t>
      </w:r>
      <w:r>
        <w:t>Policy Statement at</w:t>
      </w:r>
      <w:r w:rsidRPr="0074728E">
        <w:t xml:space="preserve"> ¶¶</w:t>
      </w:r>
      <w:r>
        <w:t xml:space="preserve">52 and </w:t>
      </w:r>
      <w:r w:rsidRPr="0074728E">
        <w:t>56.</w:t>
      </w:r>
    </w:p>
  </w:footnote>
  <w:footnote w:id="105">
    <w:p w:rsidR="006E272D" w:rsidRDefault="006E272D">
      <w:pPr>
        <w:pStyle w:val="FootnoteText"/>
      </w:pPr>
      <w:r w:rsidRPr="00C376D1">
        <w:rPr>
          <w:rStyle w:val="FootnoteReference"/>
        </w:rPr>
        <w:footnoteRef/>
      </w:r>
      <w:r>
        <w:t xml:space="preserve"> Nightingale, TR. 370:9-15.</w:t>
      </w:r>
    </w:p>
  </w:footnote>
  <w:footnote w:id="106">
    <w:p w:rsidR="006E272D" w:rsidRDefault="006E272D">
      <w:pPr>
        <w:pStyle w:val="FootnoteText"/>
      </w:pPr>
      <w:r>
        <w:rPr>
          <w:rStyle w:val="FootnoteReference"/>
        </w:rPr>
        <w:footnoteRef/>
      </w:r>
      <w:r>
        <w:t xml:space="preserve"> Nightingale, Exh. No. DN-1HCT at 5:6-13; Nightingale, Exh. No. DN-16CX; and Nightingale, Exh. No. DN-17CX.  Mr. Nightingale also reviewed the acquisition by PSE of the Mint Farm Generation Facility.  The Commission concurred with his opinion that the acquisition was prudent.  </w:t>
      </w:r>
      <w:r w:rsidRPr="0099230C">
        <w:rPr>
          <w:i/>
        </w:rPr>
        <w:t>WUTC v. Puget Sound Energy, Inc.</w:t>
      </w:r>
      <w:r w:rsidRPr="0099230C">
        <w:t xml:space="preserve">, Dockets UE-090704 </w:t>
      </w:r>
      <w:r>
        <w:t xml:space="preserve">and UG-090705, Order 11 at </w:t>
      </w:r>
      <w:r w:rsidRPr="0074728E">
        <w:t>¶¶</w:t>
      </w:r>
      <w:r w:rsidRPr="0099230C">
        <w:t xml:space="preserve"> </w:t>
      </w:r>
      <w:r>
        <w:t xml:space="preserve">327 and 337 </w:t>
      </w:r>
      <w:r w:rsidRPr="0099230C">
        <w:t>(April 2, 2010</w:t>
      </w:r>
      <w:r>
        <w:t xml:space="preserve">). </w:t>
      </w:r>
    </w:p>
  </w:footnote>
  <w:footnote w:id="107">
    <w:p w:rsidR="006E272D" w:rsidRDefault="006E272D" w:rsidP="00273D1C">
      <w:pPr>
        <w:pStyle w:val="FootnoteText"/>
      </w:pPr>
      <w:r>
        <w:rPr>
          <w:rStyle w:val="FootnoteReference"/>
        </w:rPr>
        <w:footnoteRef/>
      </w:r>
      <w:r>
        <w:t xml:space="preserve"> Nightingale, Exh. No. DN-1HCT at 1</w:t>
      </w:r>
      <w:r>
        <w:rPr>
          <w:rFonts w:cstheme="minorHAnsi"/>
        </w:rPr>
        <w:t>1:7- 16; Garratt, Exh. No. RG-1HCT at 7-13; and Selig, Exh. No.  AS-3HC at 5-6.</w:t>
      </w:r>
    </w:p>
  </w:footnote>
  <w:footnote w:id="108">
    <w:p w:rsidR="006E272D" w:rsidRPr="00EB7DD6" w:rsidRDefault="006E272D" w:rsidP="00273D1C">
      <w:pPr>
        <w:pStyle w:val="FootnoteText"/>
      </w:pPr>
      <w:r w:rsidRPr="00F24E15">
        <w:rPr>
          <w:rStyle w:val="FootnoteReference"/>
        </w:rPr>
        <w:footnoteRef/>
      </w:r>
      <w:r>
        <w:t xml:space="preserve"> Garratt, Exh. No. </w:t>
      </w:r>
      <w:r w:rsidRPr="00F24E15">
        <w:t>RG-3</w:t>
      </w:r>
      <w:r>
        <w:t xml:space="preserve"> at 10</w:t>
      </w:r>
      <w:r w:rsidRPr="00F24E15">
        <w:t>, Figure</w:t>
      </w:r>
      <w:r>
        <w:t>s</w:t>
      </w:r>
      <w:r w:rsidRPr="00F24E15">
        <w:t xml:space="preserve"> 1-4</w:t>
      </w:r>
      <w:r>
        <w:t xml:space="preserve"> and Garratt, Exh. No. RG-16HC at 5.</w:t>
      </w:r>
    </w:p>
  </w:footnote>
  <w:footnote w:id="109">
    <w:p w:rsidR="006E272D" w:rsidRPr="00BB7E0E" w:rsidRDefault="006E272D" w:rsidP="008552A3">
      <w:pPr>
        <w:pStyle w:val="FootnoteText"/>
      </w:pPr>
      <w:r w:rsidRPr="00BB7E0E">
        <w:rPr>
          <w:rStyle w:val="FootnoteReference"/>
        </w:rPr>
        <w:footnoteRef/>
      </w:r>
      <w:r w:rsidRPr="00BB7E0E">
        <w:t xml:space="preserve"> </w:t>
      </w:r>
      <w:r>
        <w:t>Garratt, Exh. No. RG-5.</w:t>
      </w:r>
    </w:p>
  </w:footnote>
  <w:footnote w:id="110">
    <w:p w:rsidR="006E272D" w:rsidRPr="0009416E" w:rsidRDefault="006E272D" w:rsidP="008552A3">
      <w:pPr>
        <w:pStyle w:val="FootnoteText"/>
      </w:pPr>
      <w:r w:rsidRPr="0009416E">
        <w:rPr>
          <w:rStyle w:val="FootnoteReference"/>
        </w:rPr>
        <w:footnoteRef/>
      </w:r>
      <w:r>
        <w:t xml:space="preserve"> Seelig, Exh. No.</w:t>
      </w:r>
      <w:r w:rsidRPr="0009416E">
        <w:t xml:space="preserve"> AS-3HC</w:t>
      </w:r>
      <w:r>
        <w:t xml:space="preserve"> at </w:t>
      </w:r>
      <w:r w:rsidRPr="0009416E">
        <w:t>17</w:t>
      </w:r>
      <w:r>
        <w:t>.</w:t>
      </w:r>
    </w:p>
  </w:footnote>
  <w:footnote w:id="111">
    <w:p w:rsidR="006E272D" w:rsidRDefault="006E272D" w:rsidP="00CB3E68">
      <w:pPr>
        <w:pStyle w:val="FootnoteText"/>
      </w:pPr>
      <w:r>
        <w:rPr>
          <w:rStyle w:val="FootnoteReference"/>
        </w:rPr>
        <w:footnoteRef/>
      </w:r>
      <w:r>
        <w:t xml:space="preserve"> Seelig, Exh. No. AS-1HCT at 3: 9-17 and Selig, Exh. No. AS-3HC at 157-160.</w:t>
      </w:r>
    </w:p>
  </w:footnote>
  <w:footnote w:id="112">
    <w:p w:rsidR="006E272D" w:rsidRDefault="006E272D" w:rsidP="00CB3E68">
      <w:pPr>
        <w:pStyle w:val="FootnoteText"/>
      </w:pPr>
      <w:r>
        <w:rPr>
          <w:rStyle w:val="FootnoteReference"/>
        </w:rPr>
        <w:footnoteRef/>
      </w:r>
      <w:r>
        <w:t xml:space="preserve"> Seelig, Exh. No. AS-3HC at 42.</w:t>
      </w:r>
    </w:p>
  </w:footnote>
  <w:footnote w:id="113">
    <w:p w:rsidR="006E272D" w:rsidRDefault="006E272D" w:rsidP="00A40FB9">
      <w:pPr>
        <w:spacing w:after="0" w:line="240" w:lineRule="auto"/>
      </w:pPr>
      <w:r w:rsidRPr="007A798E">
        <w:rPr>
          <w:rStyle w:val="FootnoteReference"/>
          <w:rFonts w:ascii="Times New Roman" w:hAnsi="Times New Roman"/>
          <w:sz w:val="20"/>
          <w:szCs w:val="20"/>
        </w:rPr>
        <w:footnoteRef/>
      </w:r>
      <w:r w:rsidRPr="007A798E">
        <w:rPr>
          <w:rFonts w:ascii="Times New Roman" w:hAnsi="Times New Roman" w:cs="Times New Roman"/>
          <w:sz w:val="20"/>
          <w:szCs w:val="20"/>
        </w:rPr>
        <w:t xml:space="preserve"> The cumulative discount from the federal and s</w:t>
      </w:r>
      <w:r>
        <w:rPr>
          <w:rFonts w:ascii="Times New Roman" w:hAnsi="Times New Roman" w:cs="Times New Roman"/>
          <w:sz w:val="20"/>
          <w:szCs w:val="20"/>
        </w:rPr>
        <w:t xml:space="preserve">tate incentives is 35.4 percent: </w:t>
      </w:r>
      <w:r w:rsidRPr="007A798E">
        <w:rPr>
          <w:rFonts w:ascii="Times New Roman" w:hAnsi="Times New Roman" w:cs="Times New Roman"/>
          <w:sz w:val="20"/>
          <w:szCs w:val="20"/>
        </w:rPr>
        <w:t xml:space="preserve"> </w:t>
      </w:r>
      <w:r>
        <w:rPr>
          <w:rFonts w:ascii="Times New Roman" w:hAnsi="Times New Roman" w:cs="Times New Roman"/>
          <w:sz w:val="20"/>
          <w:szCs w:val="20"/>
        </w:rPr>
        <w:t xml:space="preserve">30 percent from Treasury grants </w:t>
      </w:r>
      <w:r w:rsidRPr="007A798E">
        <w:rPr>
          <w:rFonts w:ascii="Times New Roman" w:hAnsi="Times New Roman" w:cs="Times New Roman"/>
          <w:sz w:val="20"/>
          <w:szCs w:val="20"/>
        </w:rPr>
        <w:t>and 5.4 percent from sales tax exemption.</w:t>
      </w:r>
      <w:r>
        <w:rPr>
          <w:rFonts w:ascii="Times New Roman" w:hAnsi="Times New Roman" w:cs="Times New Roman"/>
          <w:sz w:val="20"/>
          <w:szCs w:val="20"/>
        </w:rPr>
        <w:t xml:space="preserve">  Nightingale, Exh. No. </w:t>
      </w:r>
      <w:r w:rsidRPr="007A798E">
        <w:rPr>
          <w:rFonts w:ascii="Times New Roman" w:hAnsi="Times New Roman" w:cs="Times New Roman"/>
          <w:sz w:val="20"/>
          <w:szCs w:val="20"/>
        </w:rPr>
        <w:t>DN-1HCT at 1</w:t>
      </w:r>
      <w:r>
        <w:rPr>
          <w:rFonts w:ascii="Times New Roman" w:hAnsi="Times New Roman" w:cs="Times New Roman"/>
          <w:sz w:val="20"/>
          <w:szCs w:val="20"/>
        </w:rPr>
        <w:t>7:15-16.</w:t>
      </w:r>
    </w:p>
  </w:footnote>
  <w:footnote w:id="114">
    <w:p w:rsidR="006E272D" w:rsidRDefault="006E272D" w:rsidP="0028773F">
      <w:pPr>
        <w:pStyle w:val="FootnoteText"/>
      </w:pPr>
      <w:r>
        <w:rPr>
          <w:rStyle w:val="FootnoteReference"/>
        </w:rPr>
        <w:footnoteRef/>
      </w:r>
      <w:r>
        <w:t xml:space="preserve"> Seelig, TR. 344:2-13.</w:t>
      </w:r>
    </w:p>
  </w:footnote>
  <w:footnote w:id="115">
    <w:p w:rsidR="006E272D" w:rsidRPr="006F348F" w:rsidRDefault="006E272D" w:rsidP="006F348F">
      <w:pPr>
        <w:spacing w:after="0" w:line="240" w:lineRule="auto"/>
        <w:rPr>
          <w:rFonts w:ascii="Times New Roman" w:hAnsi="Times New Roman"/>
          <w:sz w:val="20"/>
          <w:szCs w:val="20"/>
        </w:rPr>
      </w:pPr>
      <w:r w:rsidRPr="00986EDC">
        <w:rPr>
          <w:rStyle w:val="FootnoteReference"/>
          <w:rFonts w:ascii="Times New Roman" w:hAnsi="Times New Roman"/>
          <w:sz w:val="20"/>
          <w:szCs w:val="20"/>
        </w:rPr>
        <w:footnoteRef/>
      </w:r>
      <w:r w:rsidRPr="00986EDC">
        <w:rPr>
          <w:rFonts w:ascii="Times New Roman" w:hAnsi="Times New Roman"/>
          <w:sz w:val="20"/>
          <w:szCs w:val="20"/>
        </w:rPr>
        <w:t xml:space="preserve"> Nightingale, Exh. No. DN-1THC, pages 21-22.</w:t>
      </w:r>
      <w:r w:rsidRPr="00986EDC">
        <w:rPr>
          <w:rFonts w:ascii="Times New Roman" w:hAnsi="Times New Roman" w:cs="Times New Roman"/>
          <w:sz w:val="20"/>
          <w:szCs w:val="20"/>
        </w:rPr>
        <w:t xml:space="preserve">  Other renewable proposals suffered from one or more significant qualitative risks: 1) </w:t>
      </w:r>
      <w:r w:rsidRPr="00986EDC">
        <w:rPr>
          <w:rFonts w:ascii="Times New Roman" w:hAnsi="Times New Roman"/>
          <w:sz w:val="20"/>
          <w:szCs w:val="20"/>
        </w:rPr>
        <w:t>Incomplete planning and permitting; 2) Lack of available transmission; 3) Lack of wind study to substantiate resource claims; 4) Lack of long-term agreements with dependent operations or fuel supply; 5) Improper wind turbine placement that would require project redesign; and 6) Lack of wind turbine site suitability and construction and start dates that made it unlikely the project would meet Treasury grant deadlines</w:t>
      </w:r>
      <w:r w:rsidRPr="00986EDC">
        <w:rPr>
          <w:rFonts w:ascii="Times New Roman" w:hAnsi="Times New Roman" w:cs="Times New Roman"/>
          <w:sz w:val="20"/>
          <w:szCs w:val="20"/>
        </w:rPr>
        <w:t>.</w:t>
      </w:r>
      <w:r w:rsidRPr="006F348F">
        <w:rPr>
          <w:rFonts w:ascii="Times New Roman" w:hAnsi="Times New Roman" w:cs="Times New Roman"/>
          <w:sz w:val="20"/>
          <w:szCs w:val="20"/>
        </w:rPr>
        <w:t xml:space="preserve">  </w:t>
      </w:r>
      <w:r>
        <w:rPr>
          <w:rFonts w:ascii="Times New Roman" w:hAnsi="Times New Roman" w:cs="Times New Roman"/>
          <w:sz w:val="20"/>
          <w:szCs w:val="20"/>
        </w:rPr>
        <w:t>Seelig, Exh. No. AS-3HC at 42.</w:t>
      </w:r>
    </w:p>
  </w:footnote>
  <w:footnote w:id="116">
    <w:p w:rsidR="006E272D" w:rsidRDefault="006E272D">
      <w:pPr>
        <w:pStyle w:val="FootnoteText"/>
      </w:pPr>
      <w:r w:rsidRPr="002152C1">
        <w:rPr>
          <w:rStyle w:val="FootnoteReference"/>
        </w:rPr>
        <w:footnoteRef/>
      </w:r>
      <w:r>
        <w:t xml:space="preserve"> Norwood, Exh. No. SN-1T at 3:8-11.</w:t>
      </w:r>
    </w:p>
  </w:footnote>
  <w:footnote w:id="117">
    <w:p w:rsidR="006E272D" w:rsidRPr="007C5274" w:rsidRDefault="006E272D" w:rsidP="001D6453">
      <w:pPr>
        <w:pStyle w:val="FootnoteText"/>
      </w:pPr>
      <w:r w:rsidRPr="007C5274">
        <w:rPr>
          <w:rStyle w:val="FootnoteReference"/>
        </w:rPr>
        <w:footnoteRef/>
      </w:r>
      <w:r>
        <w:t xml:space="preserve"> Renewable </w:t>
      </w:r>
      <w:r w:rsidRPr="007C5274">
        <w:t>Policy</w:t>
      </w:r>
      <w:r>
        <w:t xml:space="preserve"> Statement at </w:t>
      </w:r>
      <w:r w:rsidRPr="007C5274">
        <w:t>¶¶40</w:t>
      </w:r>
      <w:r>
        <w:t xml:space="preserve"> and 55 (Emphasis added)</w:t>
      </w:r>
      <w:r w:rsidRPr="007C5274">
        <w:t>.</w:t>
      </w:r>
    </w:p>
  </w:footnote>
  <w:footnote w:id="118">
    <w:p w:rsidR="006E272D" w:rsidRPr="007C5274" w:rsidRDefault="006E272D" w:rsidP="00173DDC">
      <w:pPr>
        <w:pStyle w:val="FootnoteText"/>
      </w:pPr>
      <w:r w:rsidRPr="007C5274">
        <w:rPr>
          <w:rStyle w:val="FootnoteReference"/>
        </w:rPr>
        <w:footnoteRef/>
      </w:r>
      <w:r w:rsidRPr="007C5274">
        <w:t xml:space="preserve"> </w:t>
      </w:r>
      <w:r>
        <w:t xml:space="preserve">Norwood, Exh. No. </w:t>
      </w:r>
      <w:r w:rsidRPr="007C5274">
        <w:t>SN-1CT</w:t>
      </w:r>
      <w:r>
        <w:t xml:space="preserve"> at </w:t>
      </w:r>
      <w:r w:rsidRPr="007C5274">
        <w:t>3</w:t>
      </w:r>
      <w:r>
        <w:t>:6</w:t>
      </w:r>
      <w:r w:rsidRPr="007C5274">
        <w:t>-16</w:t>
      </w:r>
      <w:r>
        <w:t>.</w:t>
      </w:r>
    </w:p>
  </w:footnote>
  <w:footnote w:id="119">
    <w:p w:rsidR="006E272D" w:rsidRDefault="006E272D">
      <w:pPr>
        <w:pStyle w:val="FootnoteText"/>
      </w:pPr>
      <w:r>
        <w:rPr>
          <w:rStyle w:val="FootnoteReference"/>
        </w:rPr>
        <w:footnoteRef/>
      </w:r>
      <w:r>
        <w:t xml:space="preserve"> Norwood, Exh. No. </w:t>
      </w:r>
      <w:r w:rsidRPr="007C5274">
        <w:t>SN-1CT</w:t>
      </w:r>
      <w:r>
        <w:t xml:space="preserve"> at 5-6.</w:t>
      </w:r>
    </w:p>
  </w:footnote>
  <w:footnote w:id="120">
    <w:p w:rsidR="006E272D" w:rsidRPr="00505A67" w:rsidRDefault="006E272D" w:rsidP="00001F94">
      <w:pPr>
        <w:pStyle w:val="FootnoteText"/>
      </w:pPr>
      <w:r w:rsidRPr="007C5274">
        <w:rPr>
          <w:rStyle w:val="FootnoteReference"/>
        </w:rPr>
        <w:footnoteRef/>
      </w:r>
      <w:r w:rsidRPr="007C5274">
        <w:t xml:space="preserve"> </w:t>
      </w:r>
      <w:r w:rsidRPr="007C5274">
        <w:rPr>
          <w:i/>
        </w:rPr>
        <w:t>Id</w:t>
      </w:r>
      <w:r w:rsidRPr="007C5274">
        <w:t>.</w:t>
      </w:r>
      <w:r>
        <w:t xml:space="preserve"> (footnote omitted).</w:t>
      </w:r>
    </w:p>
  </w:footnote>
  <w:footnote w:id="121">
    <w:p w:rsidR="006E272D" w:rsidRPr="00505A67" w:rsidRDefault="006E272D" w:rsidP="006E1094">
      <w:pPr>
        <w:pStyle w:val="FootnoteText"/>
      </w:pPr>
      <w:r w:rsidRPr="00505A67">
        <w:rPr>
          <w:rStyle w:val="FootnoteReference"/>
        </w:rPr>
        <w:footnoteRef/>
      </w:r>
      <w:r>
        <w:t xml:space="preserve"> Renewable </w:t>
      </w:r>
      <w:r w:rsidRPr="00505A67">
        <w:t>Policy</w:t>
      </w:r>
      <w:r>
        <w:t xml:space="preserve"> Statement at </w:t>
      </w:r>
      <w:r w:rsidRPr="00505A67">
        <w:t>¶52.</w:t>
      </w:r>
    </w:p>
  </w:footnote>
  <w:footnote w:id="122">
    <w:p w:rsidR="006E272D" w:rsidRDefault="006E272D">
      <w:pPr>
        <w:pStyle w:val="FootnoteText"/>
      </w:pPr>
      <w:r>
        <w:rPr>
          <w:rStyle w:val="FootnoteReference"/>
        </w:rPr>
        <w:footnoteRef/>
      </w:r>
      <w:r>
        <w:t xml:space="preserve"> Nightingale, Exh. No. DN-2T at 5:19-20.</w:t>
      </w:r>
    </w:p>
  </w:footnote>
  <w:footnote w:id="123">
    <w:p w:rsidR="006E272D" w:rsidRDefault="006E272D" w:rsidP="0010355B">
      <w:pPr>
        <w:pStyle w:val="FootnoteText"/>
      </w:pPr>
      <w:r>
        <w:rPr>
          <w:rStyle w:val="FootnoteReference"/>
        </w:rPr>
        <w:footnoteRef/>
      </w:r>
      <w:r>
        <w:t xml:space="preserve"> Norwood, Exh. No. SN-1T at 34-35.</w:t>
      </w:r>
    </w:p>
  </w:footnote>
  <w:footnote w:id="124">
    <w:p w:rsidR="006E272D" w:rsidRPr="00505A67" w:rsidRDefault="006E272D" w:rsidP="0010355B">
      <w:pPr>
        <w:pStyle w:val="FootnoteText"/>
      </w:pPr>
      <w:r w:rsidRPr="00505A67">
        <w:rPr>
          <w:rStyle w:val="FootnoteReference"/>
        </w:rPr>
        <w:footnoteRef/>
      </w:r>
      <w:r w:rsidRPr="00505A67">
        <w:t xml:space="preserve"> </w:t>
      </w:r>
      <w:r>
        <w:t>Nightingale, Exh. No. DN-2T at 13:11-14.</w:t>
      </w:r>
    </w:p>
  </w:footnote>
  <w:footnote w:id="125">
    <w:p w:rsidR="006E272D" w:rsidRDefault="006E272D">
      <w:pPr>
        <w:pStyle w:val="FootnoteText"/>
      </w:pPr>
      <w:r>
        <w:rPr>
          <w:rStyle w:val="FootnoteReference"/>
        </w:rPr>
        <w:footnoteRef/>
      </w:r>
      <w:r>
        <w:t xml:space="preserve"> Nightingale, Exh. No. DN-2T at 13, n.24 and Nightingale, Exh. No. DN-13CX.</w:t>
      </w:r>
    </w:p>
  </w:footnote>
  <w:footnote w:id="126">
    <w:p w:rsidR="006E272D" w:rsidRDefault="006E272D">
      <w:pPr>
        <w:pStyle w:val="FootnoteText"/>
      </w:pPr>
      <w:r w:rsidRPr="00214F5B">
        <w:rPr>
          <w:rStyle w:val="FootnoteReference"/>
        </w:rPr>
        <w:footnoteRef/>
      </w:r>
      <w:r>
        <w:t xml:space="preserve"> Garratt TR</w:t>
      </w:r>
      <w:r w:rsidRPr="00214F5B">
        <w:t>. 196</w:t>
      </w:r>
      <w:r>
        <w:t>:2-10.</w:t>
      </w:r>
    </w:p>
  </w:footnote>
  <w:footnote w:id="127">
    <w:p w:rsidR="006E272D" w:rsidRPr="00505A67" w:rsidRDefault="006E272D" w:rsidP="00E638E5">
      <w:pPr>
        <w:pStyle w:val="FootnoteText"/>
      </w:pPr>
      <w:r w:rsidRPr="00505A67">
        <w:rPr>
          <w:rStyle w:val="FootnoteReference"/>
        </w:rPr>
        <w:footnoteRef/>
      </w:r>
      <w:r>
        <w:t xml:space="preserve"> Norwood, Exh. No. SN-1CT at </w:t>
      </w:r>
      <w:r w:rsidRPr="00505A67">
        <w:t>42</w:t>
      </w:r>
      <w:r>
        <w:t xml:space="preserve"> and Norwood, Exh. No. SN-11C.</w:t>
      </w:r>
    </w:p>
  </w:footnote>
  <w:footnote w:id="128">
    <w:p w:rsidR="006E272D" w:rsidRDefault="006E272D" w:rsidP="00F713B9">
      <w:pPr>
        <w:spacing w:after="0" w:line="240" w:lineRule="auto"/>
      </w:pPr>
      <w:r w:rsidRPr="00EC1A2B">
        <w:rPr>
          <w:rStyle w:val="FootnoteReference"/>
          <w:rFonts w:ascii="Times New Roman" w:hAnsi="Times New Roman"/>
          <w:sz w:val="20"/>
          <w:szCs w:val="20"/>
        </w:rPr>
        <w:footnoteRef/>
      </w:r>
      <w:r w:rsidRPr="00EC1A2B">
        <w:rPr>
          <w:rFonts w:ascii="Times New Roman" w:hAnsi="Times New Roman" w:cs="Times New Roman"/>
          <w:sz w:val="20"/>
          <w:szCs w:val="20"/>
        </w:rPr>
        <w:t xml:space="preserve"> </w:t>
      </w:r>
      <w:r>
        <w:rPr>
          <w:rFonts w:ascii="Times New Roman" w:hAnsi="Times New Roman" w:cs="Times New Roman"/>
          <w:sz w:val="20"/>
          <w:szCs w:val="20"/>
        </w:rPr>
        <w:t xml:space="preserve">Nightingale, Exh. No. </w:t>
      </w:r>
      <w:r w:rsidRPr="00B176A8">
        <w:rPr>
          <w:rFonts w:ascii="Times New Roman" w:hAnsi="Times New Roman" w:cs="Times New Roman"/>
          <w:sz w:val="20"/>
          <w:szCs w:val="20"/>
        </w:rPr>
        <w:t>DN-2T a</w:t>
      </w:r>
      <w:r>
        <w:rPr>
          <w:rFonts w:ascii="Times New Roman" w:hAnsi="Times New Roman" w:cs="Times New Roman"/>
          <w:sz w:val="20"/>
          <w:szCs w:val="20"/>
        </w:rPr>
        <w:t>t 7:19-8:8 and 10:16-18.  A</w:t>
      </w:r>
      <w:r w:rsidRPr="00B176A8">
        <w:rPr>
          <w:rFonts w:ascii="Times New Roman" w:hAnsi="Times New Roman" w:cs="Times New Roman"/>
          <w:sz w:val="20"/>
          <w:szCs w:val="20"/>
        </w:rPr>
        <w:t>n IRP is limited to general power plann</w:t>
      </w:r>
      <w:r>
        <w:rPr>
          <w:rFonts w:ascii="Times New Roman" w:hAnsi="Times New Roman" w:cs="Times New Roman"/>
          <w:sz w:val="20"/>
          <w:szCs w:val="20"/>
        </w:rPr>
        <w:t xml:space="preserve">ing and </w:t>
      </w:r>
      <w:r>
        <w:rPr>
          <w:rFonts w:ascii="Times New Roman" w:hAnsi="Times New Roman"/>
          <w:sz w:val="20"/>
          <w:szCs w:val="20"/>
        </w:rPr>
        <w:t>identifying</w:t>
      </w:r>
      <w:r w:rsidRPr="00B176A8">
        <w:rPr>
          <w:rFonts w:ascii="Times New Roman" w:hAnsi="Times New Roman"/>
          <w:sz w:val="20"/>
          <w:szCs w:val="20"/>
        </w:rPr>
        <w:t xml:space="preserve"> the likelihood of fut</w:t>
      </w:r>
      <w:r>
        <w:rPr>
          <w:rFonts w:ascii="Times New Roman" w:hAnsi="Times New Roman"/>
          <w:sz w:val="20"/>
          <w:szCs w:val="20"/>
        </w:rPr>
        <w:t xml:space="preserve">ure resource needs and </w:t>
      </w:r>
      <w:r w:rsidRPr="00B176A8">
        <w:rPr>
          <w:rFonts w:ascii="Times New Roman" w:hAnsi="Times New Roman"/>
          <w:sz w:val="20"/>
          <w:szCs w:val="20"/>
        </w:rPr>
        <w:t>what kind of resource</w:t>
      </w:r>
      <w:r>
        <w:rPr>
          <w:rFonts w:ascii="Times New Roman" w:hAnsi="Times New Roman"/>
          <w:sz w:val="20"/>
          <w:szCs w:val="20"/>
        </w:rPr>
        <w:t>s might best fill that need.  I</w:t>
      </w:r>
      <w:r w:rsidRPr="00B176A8">
        <w:rPr>
          <w:rFonts w:ascii="Times New Roman" w:hAnsi="Times New Roman"/>
          <w:sz w:val="20"/>
          <w:szCs w:val="20"/>
        </w:rPr>
        <w:t xml:space="preserve">t does not provide specific analysis relative to any particular resources bid into a future RFP nor does it identify what specific resource should be used to fill identified needs.  </w:t>
      </w:r>
      <w:r>
        <w:rPr>
          <w:rFonts w:ascii="Times New Roman" w:hAnsi="Times New Roman"/>
          <w:sz w:val="20"/>
          <w:szCs w:val="20"/>
        </w:rPr>
        <w:t>Nightingale, Exh. No.</w:t>
      </w:r>
      <w:r>
        <w:rPr>
          <w:rFonts w:ascii="Times New Roman" w:hAnsi="Times New Roman" w:cs="Times New Roman"/>
          <w:sz w:val="20"/>
          <w:szCs w:val="20"/>
        </w:rPr>
        <w:t xml:space="preserve"> DN-2T at 8:10-10:4.</w:t>
      </w:r>
    </w:p>
  </w:footnote>
  <w:footnote w:id="129">
    <w:p w:rsidR="006E272D" w:rsidRDefault="006E272D">
      <w:pPr>
        <w:pStyle w:val="FootnoteText"/>
      </w:pPr>
      <w:r>
        <w:rPr>
          <w:rStyle w:val="FootnoteReference"/>
        </w:rPr>
        <w:footnoteRef/>
      </w:r>
      <w:r>
        <w:t xml:space="preserve"> Nightingale, Exh. No. DN-2T at 11:3-6.  A more detailed critique of the flaws in Mr. Norwood’s end-effects analysis is found at Nightingale, Exh. No. DN-2T at 11:11-12:10.</w:t>
      </w:r>
    </w:p>
  </w:footnote>
  <w:footnote w:id="130">
    <w:p w:rsidR="006E272D" w:rsidRDefault="006E272D">
      <w:pPr>
        <w:pStyle w:val="FootnoteText"/>
      </w:pPr>
      <w:r w:rsidRPr="00FA55BE">
        <w:rPr>
          <w:rStyle w:val="FootnoteReference"/>
        </w:rPr>
        <w:footnoteRef/>
      </w:r>
      <w:r>
        <w:t xml:space="preserve"> Nightingale, Exh. No. DN-8CX and Nightingale, Exh. No. DN-11CX.</w:t>
      </w:r>
    </w:p>
  </w:footnote>
  <w:footnote w:id="131">
    <w:p w:rsidR="006E272D" w:rsidRDefault="006E272D">
      <w:pPr>
        <w:pStyle w:val="FootnoteText"/>
      </w:pPr>
      <w:r>
        <w:rPr>
          <w:rStyle w:val="FootnoteReference"/>
        </w:rPr>
        <w:footnoteRef/>
      </w:r>
      <w:r>
        <w:t xml:space="preserve"> Norwood, Exh. No. SN-1T at 36-38.</w:t>
      </w:r>
    </w:p>
  </w:footnote>
  <w:footnote w:id="132">
    <w:p w:rsidR="006E272D" w:rsidRDefault="006E272D">
      <w:pPr>
        <w:pStyle w:val="FootnoteText"/>
      </w:pPr>
      <w:r>
        <w:rPr>
          <w:rStyle w:val="FootnoteReference"/>
        </w:rPr>
        <w:footnoteRef/>
      </w:r>
      <w:r>
        <w:t xml:space="preserve"> Garratt, Exh. No. RG-7HC at 5.</w:t>
      </w:r>
    </w:p>
  </w:footnote>
  <w:footnote w:id="133">
    <w:p w:rsidR="006E272D" w:rsidRDefault="006E272D">
      <w:pPr>
        <w:pStyle w:val="FootnoteText"/>
      </w:pPr>
      <w:r w:rsidRPr="00B45482">
        <w:rPr>
          <w:rStyle w:val="FootnoteReference"/>
        </w:rPr>
        <w:footnoteRef/>
      </w:r>
      <w:r w:rsidRPr="00B45482">
        <w:t xml:space="preserve"> Norwood</w:t>
      </w:r>
      <w:r>
        <w:t>, Exh. No.</w:t>
      </w:r>
      <w:r w:rsidRPr="00B45482">
        <w:t xml:space="preserve"> </w:t>
      </w:r>
      <w:r>
        <w:t>Exhibit SN-1T at 38-41.</w:t>
      </w:r>
    </w:p>
  </w:footnote>
  <w:footnote w:id="134">
    <w:p w:rsidR="006E272D" w:rsidRDefault="006E272D">
      <w:pPr>
        <w:pStyle w:val="FootnoteText"/>
      </w:pPr>
      <w:r>
        <w:rPr>
          <w:rStyle w:val="FootnoteReference"/>
        </w:rPr>
        <w:footnoteRef/>
      </w:r>
      <w:r>
        <w:t xml:space="preserve"> Nightingale, Exh. No. DN-14CX at 1.</w:t>
      </w:r>
    </w:p>
  </w:footnote>
  <w:footnote w:id="135">
    <w:p w:rsidR="006E272D" w:rsidRDefault="006E272D" w:rsidP="00B45482">
      <w:pPr>
        <w:pStyle w:val="FootnoteText"/>
      </w:pPr>
      <w:r>
        <w:rPr>
          <w:rStyle w:val="FootnoteReference"/>
        </w:rPr>
        <w:footnoteRef/>
      </w:r>
      <w:r>
        <w:t xml:space="preserve"> Seelig, Exh. No. AS-3HC at 31, 163 and 165, and Nightingale, Exh. No. DN-14CX.</w:t>
      </w:r>
    </w:p>
  </w:footnote>
  <w:footnote w:id="136">
    <w:p w:rsidR="006E272D" w:rsidRDefault="006E272D">
      <w:pPr>
        <w:pStyle w:val="FootnoteText"/>
      </w:pPr>
      <w:r>
        <w:rPr>
          <w:rStyle w:val="FootnoteReference"/>
        </w:rPr>
        <w:footnoteRef/>
      </w:r>
      <w:r>
        <w:t xml:space="preserve"> Garratt, Exh. No. RG-13HC at 203; Nightingale, Exh. No. DN-14CX at 1; and Nightingale, Exh. No. DN-15CX.</w:t>
      </w:r>
    </w:p>
  </w:footnote>
  <w:footnote w:id="137">
    <w:p w:rsidR="006E272D" w:rsidRPr="00461B7B" w:rsidRDefault="006E272D">
      <w:pPr>
        <w:pStyle w:val="FootnoteText"/>
      </w:pPr>
      <w:r>
        <w:rPr>
          <w:rStyle w:val="FootnoteReference"/>
        </w:rPr>
        <w:footnoteRef/>
      </w:r>
      <w:r>
        <w:t xml:space="preserve"> Norwood, Exh. No. SN-1T at 43-44.</w:t>
      </w:r>
    </w:p>
  </w:footnote>
  <w:footnote w:id="138">
    <w:p w:rsidR="006E272D" w:rsidRPr="00461B7B" w:rsidRDefault="006E272D">
      <w:pPr>
        <w:pStyle w:val="FootnoteText"/>
      </w:pPr>
      <w:r w:rsidRPr="00461B7B">
        <w:rPr>
          <w:rStyle w:val="FootnoteReference"/>
        </w:rPr>
        <w:footnoteRef/>
      </w:r>
      <w:r>
        <w:t xml:space="preserve"> Seelig, TR. 344:2-13.</w:t>
      </w:r>
    </w:p>
  </w:footnote>
  <w:footnote w:id="139">
    <w:p w:rsidR="006E272D" w:rsidRPr="00505A67" w:rsidRDefault="006E272D" w:rsidP="00460C8B">
      <w:pPr>
        <w:pStyle w:val="FootnoteText"/>
      </w:pPr>
      <w:r w:rsidRPr="00505A67">
        <w:rPr>
          <w:rStyle w:val="FootnoteReference"/>
        </w:rPr>
        <w:footnoteRef/>
      </w:r>
      <w:r>
        <w:t xml:space="preserve"> Seelig, Exh. No. </w:t>
      </w:r>
      <w:r w:rsidRPr="00505A67">
        <w:t>AS-3HC</w:t>
      </w:r>
      <w:r>
        <w:t xml:space="preserve"> at 117 and 125.</w:t>
      </w:r>
    </w:p>
  </w:footnote>
  <w:footnote w:id="140">
    <w:p w:rsidR="006E272D" w:rsidRPr="00505A67" w:rsidRDefault="006E272D" w:rsidP="00AC7CED">
      <w:pPr>
        <w:pStyle w:val="FootnoteText"/>
      </w:pPr>
      <w:r w:rsidRPr="00505A67">
        <w:rPr>
          <w:rStyle w:val="FootnoteReference"/>
        </w:rPr>
        <w:footnoteRef/>
      </w:r>
      <w:r>
        <w:t xml:space="preserve"> Nightingale, Exh. No. DN-2T at 12:12-19.</w:t>
      </w:r>
    </w:p>
  </w:footnote>
  <w:footnote w:id="141">
    <w:p w:rsidR="006E272D" w:rsidRDefault="006E272D">
      <w:pPr>
        <w:pStyle w:val="FootnoteText"/>
      </w:pPr>
      <w:r>
        <w:rPr>
          <w:rStyle w:val="FootnoteReference"/>
        </w:rPr>
        <w:footnoteRef/>
      </w:r>
      <w:r>
        <w:t xml:space="preserve"> Seelig, Exh. No. AS-5HC at 5; Seelig, Exh. No. AS-73CX at 6; and Nightingale, TR. 371:16-372:6.</w:t>
      </w:r>
    </w:p>
  </w:footnote>
  <w:footnote w:id="142">
    <w:p w:rsidR="006E272D" w:rsidRDefault="006E272D" w:rsidP="00093047">
      <w:pPr>
        <w:pStyle w:val="FootnoteText"/>
      </w:pPr>
      <w:r>
        <w:rPr>
          <w:rStyle w:val="FootnoteReference"/>
        </w:rPr>
        <w:footnoteRef/>
      </w:r>
      <w:r>
        <w:t xml:space="preserve"> Seelig, TR. 338:9-340:15.</w:t>
      </w:r>
    </w:p>
  </w:footnote>
  <w:footnote w:id="143">
    <w:p w:rsidR="006E272D" w:rsidRDefault="006E272D">
      <w:pPr>
        <w:pStyle w:val="FootnoteText"/>
      </w:pPr>
      <w:r>
        <w:rPr>
          <w:rStyle w:val="FootnoteReference"/>
        </w:rPr>
        <w:footnoteRef/>
      </w:r>
      <w:r>
        <w:t xml:space="preserve"> Nightingale, TR.358:3-361:4 and Nightingale, TR. 372:11-24.</w:t>
      </w:r>
    </w:p>
  </w:footnote>
  <w:footnote w:id="144">
    <w:p w:rsidR="006E272D" w:rsidRDefault="006E272D" w:rsidP="00093047">
      <w:pPr>
        <w:pStyle w:val="FootnoteText"/>
      </w:pPr>
      <w:r>
        <w:rPr>
          <w:rStyle w:val="FootnoteReference"/>
        </w:rPr>
        <w:footnoteRef/>
      </w:r>
      <w:r>
        <w:t xml:space="preserve"> Norwood, TR. 377:18.</w:t>
      </w:r>
    </w:p>
  </w:footnote>
  <w:footnote w:id="145">
    <w:p w:rsidR="006E272D" w:rsidRDefault="006E272D" w:rsidP="00093047">
      <w:pPr>
        <w:pStyle w:val="FootnoteText"/>
      </w:pPr>
      <w:r>
        <w:rPr>
          <w:rStyle w:val="FootnoteReference"/>
        </w:rPr>
        <w:footnoteRef/>
      </w:r>
      <w:r>
        <w:t xml:space="preserve"> Norwood, Exh. No. SN-1CT at 4.</w:t>
      </w:r>
    </w:p>
  </w:footnote>
  <w:footnote w:id="146">
    <w:p w:rsidR="006E272D" w:rsidRDefault="006E272D" w:rsidP="00093047">
      <w:pPr>
        <w:pStyle w:val="FootnoteText"/>
      </w:pPr>
      <w:r>
        <w:rPr>
          <w:rStyle w:val="FootnoteReference"/>
        </w:rPr>
        <w:footnoteRef/>
      </w:r>
      <w:r>
        <w:t xml:space="preserve"> Norwood, Exh. No. SN-1CT at 4.</w:t>
      </w:r>
    </w:p>
  </w:footnote>
  <w:footnote w:id="147">
    <w:p w:rsidR="006E272D" w:rsidRDefault="006E272D" w:rsidP="00675C6F">
      <w:pPr>
        <w:pStyle w:val="FootnoteText"/>
      </w:pPr>
      <w:r>
        <w:rPr>
          <w:rStyle w:val="FootnoteReference"/>
        </w:rPr>
        <w:footnoteRef/>
      </w:r>
      <w:r>
        <w:t xml:space="preserve"> The amendment occurred through Section 1096 of the National Defense Authorization Act for Fiscal Year 2012, H.R. 1540, 112</w:t>
      </w:r>
      <w:r w:rsidRPr="000971C4">
        <w:rPr>
          <w:vertAlign w:val="superscript"/>
        </w:rPr>
        <w:t>th</w:t>
      </w:r>
      <w:r>
        <w:t xml:space="preserve"> Congress, 1st Session.</w:t>
      </w:r>
    </w:p>
  </w:footnote>
  <w:footnote w:id="148">
    <w:p w:rsidR="006E272D" w:rsidRDefault="006E272D" w:rsidP="00675C6F">
      <w:pPr>
        <w:pStyle w:val="FootnoteText"/>
      </w:pPr>
      <w:r>
        <w:rPr>
          <w:rStyle w:val="FootnoteReference"/>
        </w:rPr>
        <w:footnoteRef/>
      </w:r>
      <w:r>
        <w:t xml:space="preserve"> Schooley, Exh. No.TES-3T at 4:13-18. </w:t>
      </w:r>
    </w:p>
  </w:footnote>
  <w:footnote w:id="149">
    <w:p w:rsidR="006E272D" w:rsidRDefault="006E272D" w:rsidP="0009757C">
      <w:pPr>
        <w:spacing w:after="0"/>
        <w:rPr>
          <w:rFonts w:ascii="Times New Roman" w:hAnsi="Times New Roman" w:cs="Times New Roman"/>
          <w:sz w:val="20"/>
          <w:szCs w:val="20"/>
        </w:rPr>
      </w:pPr>
      <w:r>
        <w:rPr>
          <w:rStyle w:val="FootnoteReference"/>
        </w:rPr>
        <w:footnoteRef/>
      </w:r>
      <w:r>
        <w:t xml:space="preserve"> </w:t>
      </w:r>
      <w:r w:rsidRPr="00937AB5">
        <w:rPr>
          <w:rFonts w:ascii="Times New Roman" w:hAnsi="Times New Roman" w:cs="Times New Roman"/>
          <w:sz w:val="20"/>
          <w:szCs w:val="20"/>
        </w:rPr>
        <w:t>The elimination o</w:t>
      </w:r>
      <w:r>
        <w:rPr>
          <w:rFonts w:ascii="Times New Roman" w:hAnsi="Times New Roman" w:cs="Times New Roman"/>
          <w:sz w:val="20"/>
          <w:szCs w:val="20"/>
        </w:rPr>
        <w:t xml:space="preserve">f normalization </w:t>
      </w:r>
      <w:r w:rsidRPr="00937AB5">
        <w:rPr>
          <w:rFonts w:ascii="Times New Roman" w:hAnsi="Times New Roman" w:cs="Times New Roman"/>
          <w:sz w:val="20"/>
          <w:szCs w:val="20"/>
        </w:rPr>
        <w:t>requi</w:t>
      </w:r>
      <w:r>
        <w:rPr>
          <w:rFonts w:ascii="Times New Roman" w:hAnsi="Times New Roman" w:cs="Times New Roman"/>
          <w:sz w:val="20"/>
          <w:szCs w:val="20"/>
        </w:rPr>
        <w:t>res revisiting the Treasury grant</w:t>
      </w:r>
      <w:r w:rsidRPr="00937AB5">
        <w:rPr>
          <w:rFonts w:ascii="Times New Roman" w:hAnsi="Times New Roman" w:cs="Times New Roman"/>
          <w:sz w:val="20"/>
          <w:szCs w:val="20"/>
        </w:rPr>
        <w:t xml:space="preserve"> </w:t>
      </w:r>
      <w:r>
        <w:rPr>
          <w:rFonts w:ascii="Times New Roman" w:hAnsi="Times New Roman" w:cs="Times New Roman"/>
          <w:sz w:val="20"/>
          <w:szCs w:val="20"/>
        </w:rPr>
        <w:t>for</w:t>
      </w:r>
      <w:r w:rsidRPr="00937AB5">
        <w:rPr>
          <w:rFonts w:ascii="Times New Roman" w:hAnsi="Times New Roman" w:cs="Times New Roman"/>
          <w:sz w:val="20"/>
          <w:szCs w:val="20"/>
        </w:rPr>
        <w:t xml:space="preserve"> </w:t>
      </w:r>
      <w:r>
        <w:rPr>
          <w:rFonts w:ascii="Times New Roman" w:hAnsi="Times New Roman" w:cs="Times New Roman"/>
          <w:sz w:val="20"/>
          <w:szCs w:val="20"/>
        </w:rPr>
        <w:t>the Wild Horse Expansion</w:t>
      </w:r>
      <w:r w:rsidRPr="00937AB5">
        <w:rPr>
          <w:rFonts w:ascii="Times New Roman" w:hAnsi="Times New Roman" w:cs="Times New Roman"/>
          <w:sz w:val="20"/>
          <w:szCs w:val="20"/>
        </w:rPr>
        <w:t xml:space="preserve"> </w:t>
      </w:r>
      <w:r>
        <w:rPr>
          <w:rFonts w:ascii="Times New Roman" w:hAnsi="Times New Roman" w:cs="Times New Roman"/>
          <w:sz w:val="20"/>
          <w:szCs w:val="20"/>
        </w:rPr>
        <w:t xml:space="preserve">that was </w:t>
      </w:r>
      <w:r w:rsidRPr="00937AB5">
        <w:rPr>
          <w:rFonts w:ascii="Times New Roman" w:hAnsi="Times New Roman" w:cs="Times New Roman"/>
          <w:sz w:val="20"/>
          <w:szCs w:val="20"/>
        </w:rPr>
        <w:t xml:space="preserve">received by PSE </w:t>
      </w:r>
      <w:r>
        <w:rPr>
          <w:rFonts w:ascii="Times New Roman" w:hAnsi="Times New Roman" w:cs="Times New Roman"/>
          <w:sz w:val="20"/>
          <w:szCs w:val="20"/>
        </w:rPr>
        <w:t xml:space="preserve">during the test year </w:t>
      </w:r>
      <w:r w:rsidRPr="00937AB5">
        <w:rPr>
          <w:rFonts w:ascii="Times New Roman" w:hAnsi="Times New Roman" w:cs="Times New Roman"/>
          <w:sz w:val="20"/>
          <w:szCs w:val="20"/>
        </w:rPr>
        <w:t xml:space="preserve">on February 23, 2010 and amortized in rates starting January 1, 2011.  </w:t>
      </w:r>
      <w:r w:rsidRPr="00937AB5">
        <w:rPr>
          <w:rFonts w:ascii="Times New Roman" w:hAnsi="Times New Roman" w:cs="Times New Roman"/>
          <w:i/>
          <w:sz w:val="20"/>
          <w:szCs w:val="20"/>
        </w:rPr>
        <w:t>In the Matter of Puget Sound Energy, Inc. for an Accounting Order Regarding the Treatment of U.S. Treasury Grant</w:t>
      </w:r>
      <w:r w:rsidRPr="00937AB5">
        <w:rPr>
          <w:rFonts w:ascii="Times New Roman" w:hAnsi="Times New Roman" w:cs="Times New Roman"/>
          <w:sz w:val="20"/>
          <w:szCs w:val="20"/>
        </w:rPr>
        <w:t xml:space="preserve">, Docket UE-091570, Order 01 (December 10, 2009).  </w:t>
      </w:r>
      <w:r>
        <w:rPr>
          <w:rFonts w:ascii="Times New Roman" w:hAnsi="Times New Roman" w:cs="Times New Roman"/>
          <w:sz w:val="20"/>
          <w:szCs w:val="20"/>
        </w:rPr>
        <w:t xml:space="preserve">PSE states that eliminating normalization for the grant changes the allocation of $375,811 total investor supplied working capital between electric, gas and non-operating, but that the change occurred too late </w:t>
      </w:r>
      <w:r w:rsidRPr="00937AB5">
        <w:rPr>
          <w:rFonts w:ascii="Times New Roman" w:hAnsi="Times New Roman" w:cs="Times New Roman"/>
          <w:sz w:val="20"/>
          <w:szCs w:val="20"/>
        </w:rPr>
        <w:t>t</w:t>
      </w:r>
      <w:r>
        <w:rPr>
          <w:rFonts w:ascii="Times New Roman" w:hAnsi="Times New Roman" w:cs="Times New Roman"/>
          <w:sz w:val="20"/>
          <w:szCs w:val="20"/>
        </w:rPr>
        <w:t xml:space="preserve">o reflect </w:t>
      </w:r>
      <w:r w:rsidRPr="00937AB5">
        <w:rPr>
          <w:rFonts w:ascii="Times New Roman" w:hAnsi="Times New Roman" w:cs="Times New Roman"/>
          <w:sz w:val="20"/>
          <w:szCs w:val="20"/>
        </w:rPr>
        <w:t>in this docket.</w:t>
      </w:r>
      <w:r>
        <w:rPr>
          <w:rFonts w:ascii="Times New Roman" w:hAnsi="Times New Roman" w:cs="Times New Roman"/>
          <w:sz w:val="20"/>
          <w:szCs w:val="20"/>
        </w:rPr>
        <w:t xml:space="preserve">  The rate of return on the </w:t>
      </w:r>
      <w:r w:rsidRPr="00937AB5">
        <w:rPr>
          <w:rFonts w:ascii="Times New Roman" w:hAnsi="Times New Roman" w:cs="Times New Roman"/>
          <w:sz w:val="20"/>
          <w:szCs w:val="20"/>
        </w:rPr>
        <w:t>gra</w:t>
      </w:r>
      <w:r>
        <w:rPr>
          <w:rFonts w:ascii="Times New Roman" w:hAnsi="Times New Roman" w:cs="Times New Roman"/>
          <w:sz w:val="20"/>
          <w:szCs w:val="20"/>
        </w:rPr>
        <w:t>nt liability i</w:t>
      </w:r>
      <w:r w:rsidRPr="00937AB5">
        <w:rPr>
          <w:rFonts w:ascii="Times New Roman" w:hAnsi="Times New Roman" w:cs="Times New Roman"/>
          <w:sz w:val="20"/>
          <w:szCs w:val="20"/>
        </w:rPr>
        <w:t>s included in</w:t>
      </w:r>
      <w:r>
        <w:rPr>
          <w:rFonts w:ascii="Times New Roman" w:hAnsi="Times New Roman" w:cs="Times New Roman"/>
          <w:sz w:val="20"/>
          <w:szCs w:val="20"/>
        </w:rPr>
        <w:t xml:space="preserve"> a separate Schedule 95A filing submitted on </w:t>
      </w:r>
      <w:r w:rsidRPr="00937AB5">
        <w:rPr>
          <w:rFonts w:ascii="Times New Roman" w:hAnsi="Times New Roman" w:cs="Times New Roman"/>
          <w:sz w:val="20"/>
          <w:szCs w:val="20"/>
        </w:rPr>
        <w:t xml:space="preserve">February 29, 2012 in Docket UE-120277.  </w:t>
      </w:r>
      <w:r>
        <w:rPr>
          <w:rFonts w:ascii="Times New Roman" w:hAnsi="Times New Roman" w:cs="Times New Roman"/>
          <w:sz w:val="20"/>
          <w:szCs w:val="20"/>
        </w:rPr>
        <w:t xml:space="preserve">Story, Ex. No. B-23, B.   </w:t>
      </w:r>
    </w:p>
    <w:p w:rsidR="006E272D" w:rsidRPr="00937AB5" w:rsidRDefault="006E272D" w:rsidP="00E12AB4">
      <w:pPr>
        <w:spacing w:after="0"/>
        <w:ind w:firstLine="720"/>
      </w:pPr>
      <w:r>
        <w:rPr>
          <w:rFonts w:ascii="Times New Roman" w:hAnsi="Times New Roman" w:cs="Times New Roman"/>
          <w:sz w:val="20"/>
          <w:szCs w:val="20"/>
        </w:rPr>
        <w:t xml:space="preserve">The amendment to ARRA states that the elimination of normalization is effective “as if included in section 1603 of the [ARRA] of 2009”.  Thus, an issue in Docket </w:t>
      </w:r>
      <w:r w:rsidRPr="00937AB5">
        <w:rPr>
          <w:rFonts w:ascii="Times New Roman" w:hAnsi="Times New Roman" w:cs="Times New Roman"/>
          <w:sz w:val="20"/>
          <w:szCs w:val="20"/>
        </w:rPr>
        <w:t>UE-120277</w:t>
      </w:r>
      <w:r>
        <w:rPr>
          <w:rFonts w:ascii="Times New Roman" w:hAnsi="Times New Roman" w:cs="Times New Roman"/>
          <w:sz w:val="20"/>
          <w:szCs w:val="20"/>
        </w:rPr>
        <w:t xml:space="preserve"> is whether PSE should </w:t>
      </w:r>
      <w:r w:rsidRPr="00937AB5">
        <w:rPr>
          <w:rFonts w:ascii="Times New Roman" w:hAnsi="Times New Roman" w:cs="Times New Roman"/>
          <w:sz w:val="20"/>
          <w:szCs w:val="20"/>
        </w:rPr>
        <w:t>compute the rate of retur</w:t>
      </w:r>
      <w:r>
        <w:rPr>
          <w:rFonts w:ascii="Times New Roman" w:hAnsi="Times New Roman" w:cs="Times New Roman"/>
          <w:sz w:val="20"/>
          <w:szCs w:val="20"/>
        </w:rPr>
        <w:t>n benefit during the period February 23, 2010</w:t>
      </w:r>
      <w:r w:rsidRPr="00937AB5">
        <w:rPr>
          <w:rFonts w:ascii="Times New Roman" w:hAnsi="Times New Roman" w:cs="Times New Roman"/>
          <w:sz w:val="20"/>
          <w:szCs w:val="20"/>
        </w:rPr>
        <w:t xml:space="preserve"> </w:t>
      </w:r>
      <w:r>
        <w:rPr>
          <w:rFonts w:ascii="Times New Roman" w:hAnsi="Times New Roman" w:cs="Times New Roman"/>
          <w:sz w:val="20"/>
          <w:szCs w:val="20"/>
        </w:rPr>
        <w:t xml:space="preserve">(the date the grant was received) </w:t>
      </w:r>
      <w:r w:rsidRPr="00937AB5">
        <w:rPr>
          <w:rFonts w:ascii="Times New Roman" w:hAnsi="Times New Roman" w:cs="Times New Roman"/>
          <w:sz w:val="20"/>
          <w:szCs w:val="20"/>
        </w:rPr>
        <w:t>through December 31, 2011</w:t>
      </w:r>
      <w:r>
        <w:rPr>
          <w:rFonts w:ascii="Times New Roman" w:hAnsi="Times New Roman" w:cs="Times New Roman"/>
          <w:sz w:val="20"/>
          <w:szCs w:val="20"/>
        </w:rPr>
        <w:t xml:space="preserve"> (the date the amendment to ARRA was enacted).  Staff reserves the right to address this issue in Docket UE-120277.</w:t>
      </w:r>
    </w:p>
  </w:footnote>
  <w:footnote w:id="150">
    <w:p w:rsidR="006E272D" w:rsidRPr="002E7A0E" w:rsidRDefault="006E272D">
      <w:pPr>
        <w:pStyle w:val="FootnoteText"/>
      </w:pPr>
      <w:r w:rsidRPr="002E7A0E">
        <w:rPr>
          <w:rStyle w:val="FootnoteReference"/>
        </w:rPr>
        <w:footnoteRef/>
      </w:r>
      <w:r>
        <w:t xml:space="preserve"> Adjustment numbers </w:t>
      </w:r>
      <w:r w:rsidRPr="002E7A0E">
        <w:t xml:space="preserve">are consistent with Exhibit RCM-2 (Martin) </w:t>
      </w:r>
      <w:r>
        <w:t xml:space="preserve">for electricity </w:t>
      </w:r>
      <w:r w:rsidRPr="002E7A0E">
        <w:t>and Exhibit CTM-2 (Mickelson)</w:t>
      </w:r>
      <w:r>
        <w:t xml:space="preserve"> for natural gas</w:t>
      </w:r>
      <w:r w:rsidRPr="002E7A0E">
        <w:t xml:space="preserve">.  </w:t>
      </w:r>
      <w:r>
        <w:t>Corresponding PSE adjustments commence with “20” for electricity and “13” for natural gas.</w:t>
      </w:r>
    </w:p>
  </w:footnote>
  <w:footnote w:id="151">
    <w:p w:rsidR="006E272D" w:rsidRPr="00FF24DA" w:rsidRDefault="006E272D">
      <w:pPr>
        <w:pStyle w:val="FootnoteText"/>
      </w:pPr>
      <w:r w:rsidRPr="00FF24DA">
        <w:rPr>
          <w:rStyle w:val="FootnoteReference"/>
        </w:rPr>
        <w:footnoteRef/>
      </w:r>
      <w:r w:rsidRPr="00FF24DA">
        <w:t xml:space="preserve"> </w:t>
      </w:r>
      <w:r>
        <w:t>Hunt, Exh. No. TMH-11T at 13:2-8.</w:t>
      </w:r>
    </w:p>
  </w:footnote>
  <w:footnote w:id="152">
    <w:p w:rsidR="006E272D" w:rsidRPr="00AE5F36" w:rsidRDefault="006E272D" w:rsidP="004B2CA5">
      <w:pPr>
        <w:pStyle w:val="BodyTextIndent2"/>
        <w:tabs>
          <w:tab w:val="left" w:pos="-3780"/>
          <w:tab w:val="left" w:pos="-3600"/>
        </w:tabs>
        <w:spacing w:after="0" w:line="240" w:lineRule="auto"/>
        <w:ind w:left="0" w:hanging="90"/>
        <w:rPr>
          <w:rFonts w:ascii="Times New Roman" w:hAnsi="Times New Roman" w:cs="Times New Roman"/>
        </w:rPr>
      </w:pPr>
      <w:r>
        <w:rPr>
          <w:rFonts w:ascii="Times New Roman" w:hAnsi="Times New Roman" w:cs="Times New Roman"/>
          <w:sz w:val="20"/>
          <w:szCs w:val="20"/>
        </w:rPr>
        <w:tab/>
      </w:r>
      <w:r w:rsidRPr="00FF24DA">
        <w:rPr>
          <w:rStyle w:val="FootnoteReference"/>
          <w:rFonts w:ascii="Times New Roman" w:hAnsi="Times New Roman"/>
          <w:sz w:val="20"/>
          <w:szCs w:val="20"/>
        </w:rPr>
        <w:footnoteRef/>
      </w:r>
      <w:r>
        <w:rPr>
          <w:rFonts w:ascii="Times New Roman" w:hAnsi="Times New Roman" w:cs="Times New Roman"/>
          <w:sz w:val="20"/>
          <w:szCs w:val="20"/>
        </w:rPr>
        <w:t xml:space="preserve"> Erdahl, Exh. No. BAE-1T 11:8-18.</w:t>
      </w:r>
    </w:p>
  </w:footnote>
  <w:footnote w:id="153">
    <w:p w:rsidR="006E272D" w:rsidRPr="005E3DDE" w:rsidRDefault="006E272D">
      <w:pPr>
        <w:pStyle w:val="FootnoteText"/>
      </w:pPr>
      <w:r w:rsidRPr="005E3DDE">
        <w:rPr>
          <w:rStyle w:val="FootnoteReference"/>
        </w:rPr>
        <w:footnoteRef/>
      </w:r>
      <w:r w:rsidRPr="005E3DDE">
        <w:t xml:space="preserve"> </w:t>
      </w:r>
      <w:r>
        <w:t>Hunt, Exh. No. TMH-12.</w:t>
      </w:r>
    </w:p>
  </w:footnote>
  <w:footnote w:id="154">
    <w:p w:rsidR="006E272D" w:rsidRDefault="006E272D">
      <w:pPr>
        <w:pStyle w:val="FootnoteText"/>
      </w:pPr>
      <w:r>
        <w:rPr>
          <w:rStyle w:val="FootnoteReference"/>
        </w:rPr>
        <w:footnoteRef/>
      </w:r>
      <w:r>
        <w:t xml:space="preserve"> Story, Exh. No. JHS-18T at 46:16-20 and Stranik, Exh. No. MJS-10T at 7:13-20.</w:t>
      </w:r>
    </w:p>
  </w:footnote>
  <w:footnote w:id="155">
    <w:p w:rsidR="006E272D" w:rsidRPr="00546C60" w:rsidRDefault="006E272D" w:rsidP="00F91DAE">
      <w:pPr>
        <w:pStyle w:val="FootnoteText"/>
      </w:pPr>
      <w:r w:rsidRPr="00546C60">
        <w:rPr>
          <w:rStyle w:val="FootnoteReference"/>
        </w:rPr>
        <w:footnoteRef/>
      </w:r>
      <w:r w:rsidRPr="00546C60">
        <w:t xml:space="preserve"> </w:t>
      </w:r>
      <w:r>
        <w:t>Story, Exh. No. JHS-18T at 25:4-14.</w:t>
      </w:r>
    </w:p>
  </w:footnote>
  <w:footnote w:id="156">
    <w:p w:rsidR="006E272D" w:rsidRDefault="006E272D" w:rsidP="002107E8">
      <w:pPr>
        <w:pStyle w:val="FootnoteText"/>
      </w:pPr>
      <w:r>
        <w:rPr>
          <w:rStyle w:val="FootnoteReference"/>
        </w:rPr>
        <w:footnoteRef/>
      </w:r>
      <w:r>
        <w:t xml:space="preserve"> Story, Exh. No. JHS-1T at 21:9-12.</w:t>
      </w:r>
    </w:p>
  </w:footnote>
  <w:footnote w:id="157">
    <w:p w:rsidR="006E272D" w:rsidRPr="00463980" w:rsidRDefault="006E272D" w:rsidP="005E3DDE">
      <w:pPr>
        <w:pStyle w:val="FootnoteText"/>
      </w:pPr>
      <w:r w:rsidRPr="00463980">
        <w:rPr>
          <w:rStyle w:val="FootnoteReference"/>
        </w:rPr>
        <w:footnoteRef/>
      </w:r>
      <w:r w:rsidRPr="00463980">
        <w:t xml:space="preserve"> </w:t>
      </w:r>
      <w:r>
        <w:t>Buckley, Exh. No. APB-2.</w:t>
      </w:r>
    </w:p>
  </w:footnote>
  <w:footnote w:id="158">
    <w:p w:rsidR="006E272D" w:rsidRPr="00463980" w:rsidRDefault="006E272D">
      <w:pPr>
        <w:pStyle w:val="FootnoteText"/>
      </w:pPr>
      <w:r w:rsidRPr="00463980">
        <w:rPr>
          <w:rStyle w:val="FootnoteReference"/>
        </w:rPr>
        <w:footnoteRef/>
      </w:r>
      <w:r>
        <w:t xml:space="preserve"> The cost</w:t>
      </w:r>
      <w:r w:rsidRPr="00463980">
        <w:t xml:space="preserve"> of major maintenance of natural gas turbines under</w:t>
      </w:r>
      <w:r>
        <w:t xml:space="preserve"> a long term service agreement </w:t>
      </w:r>
      <w:r w:rsidRPr="00463980">
        <w:t xml:space="preserve">or a </w:t>
      </w:r>
      <w:r>
        <w:t>contract service agreement is addressed below in the discussion of Adjustment 13.10, Regulatory Assets &amp; Liabilities.</w:t>
      </w:r>
    </w:p>
  </w:footnote>
  <w:footnote w:id="159">
    <w:p w:rsidR="006E272D" w:rsidRPr="00184383" w:rsidRDefault="006E272D">
      <w:pPr>
        <w:pStyle w:val="FootnoteText"/>
      </w:pPr>
      <w:r w:rsidRPr="00184383">
        <w:rPr>
          <w:rStyle w:val="FootnoteReference"/>
        </w:rPr>
        <w:footnoteRef/>
      </w:r>
      <w:r>
        <w:t xml:space="preserve"> Buckley, Exh. No. APB-3.</w:t>
      </w:r>
    </w:p>
  </w:footnote>
  <w:footnote w:id="160">
    <w:p w:rsidR="006E272D" w:rsidRPr="000964BA" w:rsidRDefault="006E272D">
      <w:pPr>
        <w:pStyle w:val="FootnoteText"/>
      </w:pPr>
      <w:r w:rsidRPr="000964BA">
        <w:rPr>
          <w:rStyle w:val="FootnoteReference"/>
        </w:rPr>
        <w:footnoteRef/>
      </w:r>
      <w:r w:rsidRPr="000964BA">
        <w:t xml:space="preserve"> </w:t>
      </w:r>
      <w:r>
        <w:t>Buckley, Exh. No. APB-1CT at 8:1-10 and Buckley, Exh. No. APB-2, line 1.</w:t>
      </w:r>
    </w:p>
  </w:footnote>
  <w:footnote w:id="161">
    <w:p w:rsidR="006E272D" w:rsidRPr="00267760" w:rsidRDefault="006E272D">
      <w:pPr>
        <w:pStyle w:val="FootnoteText"/>
      </w:pPr>
      <w:r w:rsidRPr="00267760">
        <w:rPr>
          <w:rStyle w:val="FootnoteReference"/>
        </w:rPr>
        <w:footnoteRef/>
      </w:r>
      <w:r>
        <w:t xml:space="preserve"> Gould, Exh. No.WRG-1T at 19:1-13.</w:t>
      </w:r>
    </w:p>
  </w:footnote>
  <w:footnote w:id="162">
    <w:p w:rsidR="006E272D" w:rsidRPr="00743E3D" w:rsidRDefault="006E272D">
      <w:pPr>
        <w:pStyle w:val="FootnoteText"/>
      </w:pPr>
      <w:r w:rsidRPr="00743E3D">
        <w:rPr>
          <w:rStyle w:val="FootnoteReference"/>
        </w:rPr>
        <w:footnoteRef/>
      </w:r>
      <w:r w:rsidRPr="00743E3D">
        <w:t xml:space="preserve"> </w:t>
      </w:r>
      <w:r>
        <w:t>Gould, Exh. No.</w:t>
      </w:r>
      <w:r w:rsidRPr="00743E3D">
        <w:t xml:space="preserve"> WRG-1T at </w:t>
      </w:r>
      <w:r>
        <w:t>20:4-15.</w:t>
      </w:r>
    </w:p>
  </w:footnote>
  <w:footnote w:id="163">
    <w:p w:rsidR="006E272D" w:rsidRPr="00743E3D" w:rsidRDefault="006E272D">
      <w:pPr>
        <w:pStyle w:val="FootnoteText"/>
      </w:pPr>
      <w:r w:rsidRPr="00743E3D">
        <w:rPr>
          <w:rStyle w:val="FootnoteReference"/>
        </w:rPr>
        <w:footnoteRef/>
      </w:r>
      <w:r>
        <w:t xml:space="preserve"> Gould, Exh. No.WRG-1T at 20:12-15 and Buckley, Exh. No. APB-10CX.</w:t>
      </w:r>
    </w:p>
  </w:footnote>
  <w:footnote w:id="164">
    <w:p w:rsidR="006E272D" w:rsidRPr="00743E3D" w:rsidRDefault="006E272D">
      <w:pPr>
        <w:pStyle w:val="FootnoteText"/>
      </w:pPr>
      <w:r w:rsidRPr="00743E3D">
        <w:rPr>
          <w:rStyle w:val="FootnoteReference"/>
        </w:rPr>
        <w:footnoteRef/>
      </w:r>
      <w:r w:rsidRPr="00743E3D">
        <w:t xml:space="preserve"> </w:t>
      </w:r>
      <w:r>
        <w:t>Story, Exh. No. JHS-18T at 18:15-19:3.</w:t>
      </w:r>
    </w:p>
  </w:footnote>
  <w:footnote w:id="165">
    <w:p w:rsidR="006E272D" w:rsidRPr="00743E3D" w:rsidRDefault="006E272D">
      <w:pPr>
        <w:pStyle w:val="FootnoteText"/>
      </w:pPr>
      <w:r w:rsidRPr="00743E3D">
        <w:rPr>
          <w:rStyle w:val="FootnoteReference"/>
        </w:rPr>
        <w:footnoteRef/>
      </w:r>
      <w:r>
        <w:t xml:space="preserve"> Buckley, Exh. No. APB-10CX.</w:t>
      </w:r>
    </w:p>
  </w:footnote>
  <w:footnote w:id="166">
    <w:p w:rsidR="006E272D" w:rsidRPr="00DD0564" w:rsidRDefault="006E272D">
      <w:pPr>
        <w:pStyle w:val="FootnoteText"/>
      </w:pPr>
      <w:r w:rsidRPr="00743E3D">
        <w:rPr>
          <w:rStyle w:val="FootnoteReference"/>
        </w:rPr>
        <w:footnoteRef/>
      </w:r>
      <w:r w:rsidRPr="00743E3D">
        <w:t xml:space="preserve"> WAC 480</w:t>
      </w:r>
      <w:r w:rsidRPr="00DD0564">
        <w:t>-07-510(3)(e)(iii).</w:t>
      </w:r>
    </w:p>
  </w:footnote>
  <w:footnote w:id="167">
    <w:p w:rsidR="006E272D" w:rsidRPr="00274882" w:rsidRDefault="006E272D">
      <w:pPr>
        <w:pStyle w:val="FootnoteText"/>
      </w:pPr>
      <w:r w:rsidRPr="00274882">
        <w:rPr>
          <w:rStyle w:val="FootnoteReference"/>
        </w:rPr>
        <w:footnoteRef/>
      </w:r>
      <w:r>
        <w:t xml:space="preserve"> Buckley, Exh. No. APB-1CT at 13:4-14.</w:t>
      </w:r>
    </w:p>
  </w:footnote>
  <w:footnote w:id="168">
    <w:p w:rsidR="006E272D" w:rsidRPr="00FD7C03" w:rsidRDefault="006E272D">
      <w:pPr>
        <w:pStyle w:val="FootnoteText"/>
      </w:pPr>
      <w:r w:rsidRPr="00FD7C03">
        <w:rPr>
          <w:rStyle w:val="FootnoteReference"/>
        </w:rPr>
        <w:footnoteRef/>
      </w:r>
      <w:r w:rsidRPr="00FD7C03">
        <w:t xml:space="preserve"> </w:t>
      </w:r>
      <w:r>
        <w:t>Buckley, Exh. No. APB-1CT at 14:19-15:8.  Presumably, PSE entered gas hedge volumes greater than shown by its normalized production cost model runs to support energy transactions above what is included in base rates.</w:t>
      </w:r>
    </w:p>
  </w:footnote>
  <w:footnote w:id="169">
    <w:p w:rsidR="006E272D" w:rsidRPr="00A67D96" w:rsidRDefault="006E272D">
      <w:pPr>
        <w:pStyle w:val="FootnoteText"/>
      </w:pPr>
      <w:r w:rsidRPr="00A67D96">
        <w:rPr>
          <w:rStyle w:val="FootnoteReference"/>
        </w:rPr>
        <w:footnoteRef/>
      </w:r>
      <w:r>
        <w:t xml:space="preserve"> Mills, Exh. No. DEM-1CT at </w:t>
      </w:r>
      <w:r w:rsidRPr="00A67D96">
        <w:t>15</w:t>
      </w:r>
      <w:r>
        <w:t>:</w:t>
      </w:r>
      <w:r w:rsidRPr="00A67D96">
        <w:t>11 -13</w:t>
      </w:r>
      <w:r>
        <w:t>.</w:t>
      </w:r>
    </w:p>
  </w:footnote>
  <w:footnote w:id="170">
    <w:p w:rsidR="006E272D" w:rsidRPr="00034ABF" w:rsidRDefault="006E272D">
      <w:pPr>
        <w:pStyle w:val="FootnoteText"/>
      </w:pPr>
      <w:r w:rsidRPr="00034ABF">
        <w:rPr>
          <w:rStyle w:val="FootnoteReference"/>
        </w:rPr>
        <w:footnoteRef/>
      </w:r>
      <w:r w:rsidRPr="00034ABF">
        <w:t xml:space="preserve"> </w:t>
      </w:r>
      <w:r>
        <w:t>Buckley, Exh. No. APB-1CT at 22:11-19 and Buckley, Exh. No. APB-2, line 5.</w:t>
      </w:r>
    </w:p>
  </w:footnote>
  <w:footnote w:id="171">
    <w:p w:rsidR="006E272D" w:rsidRDefault="006E272D">
      <w:pPr>
        <w:pStyle w:val="FootnoteText"/>
      </w:pPr>
      <w:r w:rsidRPr="009A320A">
        <w:rPr>
          <w:rStyle w:val="FootnoteReference"/>
        </w:rPr>
        <w:footnoteRef/>
      </w:r>
      <w:r w:rsidRPr="009A320A">
        <w:t xml:space="preserve"> </w:t>
      </w:r>
      <w:r>
        <w:t>Mills, Exh. No. DEM-11CT at 43:14-44:2.</w:t>
      </w:r>
    </w:p>
  </w:footnote>
  <w:footnote w:id="172">
    <w:p w:rsidR="006E272D" w:rsidRDefault="006E272D">
      <w:pPr>
        <w:pStyle w:val="FootnoteText"/>
      </w:pPr>
      <w:r w:rsidRPr="009A320A">
        <w:rPr>
          <w:rStyle w:val="FootnoteReference"/>
        </w:rPr>
        <w:footnoteRef/>
      </w:r>
      <w:r w:rsidRPr="009A320A">
        <w:t xml:space="preserve"> </w:t>
      </w:r>
      <w:r>
        <w:t>Mills, Exh. No. DEM-11CT at 44:3-11.</w:t>
      </w:r>
    </w:p>
  </w:footnote>
  <w:footnote w:id="173">
    <w:p w:rsidR="006E272D" w:rsidRPr="00722A16" w:rsidRDefault="006E272D">
      <w:pPr>
        <w:pStyle w:val="FootnoteText"/>
      </w:pPr>
      <w:r w:rsidRPr="00722A16">
        <w:rPr>
          <w:rStyle w:val="FootnoteReference"/>
        </w:rPr>
        <w:footnoteRef/>
      </w:r>
      <w:r w:rsidRPr="00722A16">
        <w:t xml:space="preserve"> </w:t>
      </w:r>
      <w:r>
        <w:t>Mills, Exh. No. DEM-1T at 25:3-6.</w:t>
      </w:r>
    </w:p>
  </w:footnote>
  <w:footnote w:id="174">
    <w:p w:rsidR="006E272D" w:rsidRPr="00AF2224" w:rsidRDefault="006E272D">
      <w:pPr>
        <w:pStyle w:val="FootnoteText"/>
      </w:pPr>
      <w:r w:rsidRPr="00AF2224">
        <w:rPr>
          <w:rStyle w:val="FootnoteReference"/>
        </w:rPr>
        <w:footnoteRef/>
      </w:r>
      <w:r w:rsidRPr="00AF2224">
        <w:t xml:space="preserve"> </w:t>
      </w:r>
      <w:r>
        <w:t>Buckley, Exh. No. APB-6.</w:t>
      </w:r>
    </w:p>
  </w:footnote>
  <w:footnote w:id="175">
    <w:p w:rsidR="006E272D" w:rsidRDefault="006E272D">
      <w:pPr>
        <w:pStyle w:val="FootnoteText"/>
      </w:pPr>
      <w:r w:rsidRPr="00451057">
        <w:rPr>
          <w:rStyle w:val="FootnoteReference"/>
        </w:rPr>
        <w:footnoteRef/>
      </w:r>
      <w:r>
        <w:t xml:space="preserve"> Buckley, Exh. No. APB-1CT at 18:12-19:2.</w:t>
      </w:r>
    </w:p>
  </w:footnote>
  <w:footnote w:id="176">
    <w:p w:rsidR="006E272D" w:rsidRDefault="006E272D">
      <w:pPr>
        <w:pStyle w:val="FootnoteText"/>
      </w:pPr>
      <w:r w:rsidRPr="00451057">
        <w:rPr>
          <w:rStyle w:val="FootnoteReference"/>
        </w:rPr>
        <w:footnoteRef/>
      </w:r>
      <w:r>
        <w:t xml:space="preserve"> Buckley, Exh. No. </w:t>
      </w:r>
      <w:r w:rsidRPr="00451057">
        <w:t>APB</w:t>
      </w:r>
      <w:r>
        <w:t>-1CT at 5:7-16.</w:t>
      </w:r>
    </w:p>
  </w:footnote>
  <w:footnote w:id="177">
    <w:p w:rsidR="006E272D" w:rsidRPr="00513D65" w:rsidRDefault="006E272D">
      <w:pPr>
        <w:pStyle w:val="FootnoteText"/>
      </w:pPr>
      <w:r w:rsidRPr="00513D65">
        <w:rPr>
          <w:rStyle w:val="FootnoteReference"/>
        </w:rPr>
        <w:footnoteRef/>
      </w:r>
      <w:r>
        <w:t xml:space="preserve"> Mills, Exh. No. DEM-11T at 14:1-16:20.</w:t>
      </w:r>
    </w:p>
  </w:footnote>
  <w:footnote w:id="178">
    <w:p w:rsidR="006E272D" w:rsidRDefault="006E272D">
      <w:pPr>
        <w:pStyle w:val="FootnoteText"/>
      </w:pPr>
      <w:r w:rsidRPr="008606C2">
        <w:rPr>
          <w:rStyle w:val="FootnoteReference"/>
        </w:rPr>
        <w:footnoteRef/>
      </w:r>
      <w:r w:rsidRPr="008606C2">
        <w:t xml:space="preserve"> </w:t>
      </w:r>
      <w:r>
        <w:t>Mills, Exh. No.</w:t>
      </w:r>
      <w:r w:rsidRPr="008606C2">
        <w:t xml:space="preserve"> DEM</w:t>
      </w:r>
      <w:r>
        <w:t>-11T at 17:3-5.</w:t>
      </w:r>
    </w:p>
  </w:footnote>
  <w:footnote w:id="179">
    <w:p w:rsidR="006E272D" w:rsidRPr="00997157" w:rsidRDefault="006E272D">
      <w:pPr>
        <w:pStyle w:val="FootnoteText"/>
      </w:pPr>
      <w:r w:rsidRPr="00997157">
        <w:rPr>
          <w:rStyle w:val="FootnoteReference"/>
        </w:rPr>
        <w:footnoteRef/>
      </w:r>
      <w:r w:rsidRPr="00997157">
        <w:t xml:space="preserve"> </w:t>
      </w:r>
      <w:r>
        <w:t xml:space="preserve">Mills, Exh. No. </w:t>
      </w:r>
      <w:r w:rsidRPr="008606C2">
        <w:t>DEM</w:t>
      </w:r>
      <w:r>
        <w:t>-11T at 19:1-14</w:t>
      </w:r>
      <w:r w:rsidRPr="00513D65">
        <w:t>.</w:t>
      </w:r>
    </w:p>
  </w:footnote>
  <w:footnote w:id="180">
    <w:p w:rsidR="006E272D" w:rsidRPr="0084188A" w:rsidRDefault="006E272D">
      <w:pPr>
        <w:pStyle w:val="FootnoteText"/>
      </w:pPr>
      <w:r w:rsidRPr="0084188A">
        <w:rPr>
          <w:rStyle w:val="FootnoteReference"/>
        </w:rPr>
        <w:footnoteRef/>
      </w:r>
      <w:r w:rsidRPr="0084188A">
        <w:t xml:space="preserve"> </w:t>
      </w:r>
      <w:r>
        <w:t>Buckley, Exh. No. APB-1CT at 23:6-17.</w:t>
      </w:r>
    </w:p>
  </w:footnote>
  <w:footnote w:id="181">
    <w:p w:rsidR="006E272D" w:rsidRPr="007F066A" w:rsidRDefault="006E272D">
      <w:pPr>
        <w:pStyle w:val="FootnoteText"/>
      </w:pPr>
      <w:r w:rsidRPr="007F066A">
        <w:rPr>
          <w:rStyle w:val="FootnoteReference"/>
        </w:rPr>
        <w:footnoteRef/>
      </w:r>
      <w:r w:rsidRPr="007F066A">
        <w:t xml:space="preserve"> </w:t>
      </w:r>
      <w:r>
        <w:t>Mills, Exh. No. DEM-11CT at 32:11-15.</w:t>
      </w:r>
    </w:p>
  </w:footnote>
  <w:footnote w:id="182">
    <w:p w:rsidR="006E272D" w:rsidRPr="00DD0564" w:rsidRDefault="006E272D">
      <w:pPr>
        <w:pStyle w:val="FootnoteText"/>
      </w:pPr>
      <w:r w:rsidRPr="005D11C2">
        <w:rPr>
          <w:rStyle w:val="FootnoteReference"/>
        </w:rPr>
        <w:footnoteRef/>
      </w:r>
      <w:r>
        <w:t xml:space="preserve"> Mills, Exh. No. DEM-11CT at 32:15-17.</w:t>
      </w:r>
    </w:p>
  </w:footnote>
  <w:footnote w:id="183">
    <w:p w:rsidR="006E272D" w:rsidRPr="002E627B" w:rsidRDefault="006E272D" w:rsidP="00AC4FF6">
      <w:pPr>
        <w:pStyle w:val="FootnoteText"/>
      </w:pPr>
      <w:r w:rsidRPr="002E627B">
        <w:rPr>
          <w:rStyle w:val="FootnoteReference"/>
        </w:rPr>
        <w:footnoteRef/>
      </w:r>
      <w:r w:rsidRPr="002E627B">
        <w:t xml:space="preserve"> </w:t>
      </w:r>
      <w:r>
        <w:t>Buckley, Exh. No. APB-1CT at 24:1-13 and Buckley, Exh. No. APB-2, line 6</w:t>
      </w:r>
      <w:r w:rsidRPr="00891C26">
        <w:t>.</w:t>
      </w:r>
      <w:r>
        <w:t xml:space="preserve">  Staff’s adjustment removed the MTM costs assigned to Cedar Hills in order to exclude the cost of hedging associated gas not acquired for resale.</w:t>
      </w:r>
    </w:p>
  </w:footnote>
  <w:footnote w:id="184">
    <w:p w:rsidR="006E272D" w:rsidRPr="001B49FA" w:rsidRDefault="006E272D">
      <w:pPr>
        <w:pStyle w:val="FootnoteText"/>
      </w:pPr>
      <w:r w:rsidRPr="001B49FA">
        <w:rPr>
          <w:rStyle w:val="FootnoteReference"/>
        </w:rPr>
        <w:footnoteRef/>
      </w:r>
      <w:r w:rsidRPr="001B49FA">
        <w:t xml:space="preserve"> </w:t>
      </w:r>
      <w:r>
        <w:t>Buckley, Exh. No. APB-1CT at 26:1-18.</w:t>
      </w:r>
    </w:p>
  </w:footnote>
  <w:footnote w:id="185">
    <w:p w:rsidR="006E272D" w:rsidRDefault="006E272D">
      <w:pPr>
        <w:pStyle w:val="FootnoteText"/>
      </w:pPr>
      <w:r w:rsidRPr="001B49FA">
        <w:rPr>
          <w:rStyle w:val="FootnoteReference"/>
        </w:rPr>
        <w:footnoteRef/>
      </w:r>
      <w:r>
        <w:t xml:space="preserve"> Buckley, Exh. No. APB-1CT at 26:19-27:2.</w:t>
      </w:r>
    </w:p>
  </w:footnote>
  <w:footnote w:id="186">
    <w:p w:rsidR="006E272D" w:rsidRPr="00762997" w:rsidRDefault="006E272D">
      <w:pPr>
        <w:pStyle w:val="FootnoteText"/>
      </w:pPr>
      <w:r w:rsidRPr="00762997">
        <w:rPr>
          <w:rStyle w:val="FootnoteReference"/>
        </w:rPr>
        <w:footnoteRef/>
      </w:r>
      <w:r>
        <w:t xml:space="preserve"> Buckley, Exh. No. </w:t>
      </w:r>
      <w:r w:rsidRPr="00762997">
        <w:t>APB-2</w:t>
      </w:r>
      <w:r>
        <w:t>, line 7.</w:t>
      </w:r>
    </w:p>
  </w:footnote>
  <w:footnote w:id="187">
    <w:p w:rsidR="006E272D" w:rsidRPr="00EC2F12" w:rsidRDefault="006E272D">
      <w:pPr>
        <w:pStyle w:val="FootnoteText"/>
      </w:pPr>
      <w:r w:rsidRPr="00EC2F12">
        <w:rPr>
          <w:rStyle w:val="FootnoteReference"/>
        </w:rPr>
        <w:footnoteRef/>
      </w:r>
      <w:r w:rsidRPr="00EC2F12">
        <w:t xml:space="preserve"> </w:t>
      </w:r>
      <w:r>
        <w:t>Gould, Exh. No. WRG-8.</w:t>
      </w:r>
    </w:p>
  </w:footnote>
  <w:footnote w:id="188">
    <w:p w:rsidR="006E272D" w:rsidRPr="00EC2F12" w:rsidRDefault="006E272D">
      <w:pPr>
        <w:pStyle w:val="FootnoteText"/>
      </w:pPr>
      <w:r w:rsidRPr="00EC2F12">
        <w:rPr>
          <w:rStyle w:val="FootnoteReference"/>
        </w:rPr>
        <w:footnoteRef/>
      </w:r>
      <w:r>
        <w:t xml:space="preserve"> Gould, Exh. No. WRG-1T at 23:1-19.</w:t>
      </w:r>
    </w:p>
  </w:footnote>
  <w:footnote w:id="189">
    <w:p w:rsidR="006E272D" w:rsidRPr="00404F9F" w:rsidRDefault="006E272D">
      <w:pPr>
        <w:pStyle w:val="FootnoteText"/>
      </w:pPr>
      <w:r w:rsidRPr="00404F9F">
        <w:rPr>
          <w:rStyle w:val="FootnoteReference"/>
        </w:rPr>
        <w:footnoteRef/>
      </w:r>
      <w:r w:rsidRPr="00404F9F">
        <w:t xml:space="preserve"> </w:t>
      </w:r>
      <w:r>
        <w:t>Martin, Exh. No. RCM-1T at 12:20-13:5 and Mills, Exh. No. DEM-11CT at 53:3-15.</w:t>
      </w:r>
    </w:p>
  </w:footnote>
  <w:footnote w:id="190">
    <w:p w:rsidR="006E272D" w:rsidRPr="00282ABF" w:rsidRDefault="006E272D">
      <w:pPr>
        <w:pStyle w:val="FootnoteText"/>
      </w:pPr>
      <w:r w:rsidRPr="00282ABF">
        <w:rPr>
          <w:rStyle w:val="FootnoteReference"/>
        </w:rPr>
        <w:footnoteRef/>
      </w:r>
      <w:r w:rsidRPr="00282ABF">
        <w:t xml:space="preserve"> </w:t>
      </w:r>
      <w:r>
        <w:t>Buckley, Exh. No. APB-1CT at 29:9-17.</w:t>
      </w:r>
    </w:p>
  </w:footnote>
  <w:footnote w:id="191">
    <w:p w:rsidR="006E272D" w:rsidRPr="00B11A00" w:rsidRDefault="006E272D" w:rsidP="00F30A20">
      <w:pPr>
        <w:pStyle w:val="FootnoteText"/>
      </w:pPr>
      <w:r w:rsidRPr="00B11A00">
        <w:rPr>
          <w:rStyle w:val="FootnoteReference"/>
        </w:rPr>
        <w:footnoteRef/>
      </w:r>
      <w:r>
        <w:t xml:space="preserve"> Mills, Exh. No. </w:t>
      </w:r>
      <w:r w:rsidRPr="00B11A00">
        <w:t>D</w:t>
      </w:r>
      <w:r>
        <w:t>EM-11CT at 61, Table 10.</w:t>
      </w:r>
    </w:p>
  </w:footnote>
  <w:footnote w:id="192">
    <w:p w:rsidR="006E272D" w:rsidRDefault="006E272D">
      <w:pPr>
        <w:pStyle w:val="FootnoteText"/>
      </w:pPr>
      <w:r w:rsidRPr="00282ABF">
        <w:rPr>
          <w:rStyle w:val="FootnoteReference"/>
        </w:rPr>
        <w:footnoteRef/>
      </w:r>
      <w:r>
        <w:t xml:space="preserve"> Mills, Exh. No. </w:t>
      </w:r>
      <w:r w:rsidRPr="00282ABF">
        <w:t>DEM</w:t>
      </w:r>
      <w:r>
        <w:t>-11CT at 61, Table 10.</w:t>
      </w:r>
    </w:p>
  </w:footnote>
  <w:footnote w:id="193">
    <w:p w:rsidR="006E272D" w:rsidRPr="00B11A00" w:rsidRDefault="006E272D">
      <w:pPr>
        <w:pStyle w:val="FootnoteText"/>
      </w:pPr>
      <w:r w:rsidRPr="00B11A00">
        <w:rPr>
          <w:rStyle w:val="FootnoteReference"/>
        </w:rPr>
        <w:footnoteRef/>
      </w:r>
      <w:r>
        <w:t xml:space="preserve"> Buckley, Exh, No. B-21 (Staff Response to Bench Request 21B).</w:t>
      </w:r>
    </w:p>
  </w:footnote>
  <w:footnote w:id="194">
    <w:p w:rsidR="006E272D" w:rsidRPr="00140C5B" w:rsidRDefault="006E272D">
      <w:pPr>
        <w:pStyle w:val="FootnoteText"/>
      </w:pPr>
      <w:r w:rsidRPr="00140C5B">
        <w:rPr>
          <w:rStyle w:val="FootnoteReference"/>
        </w:rPr>
        <w:footnoteRef/>
      </w:r>
      <w:r w:rsidRPr="00140C5B">
        <w:t xml:space="preserve"> </w:t>
      </w:r>
      <w:r>
        <w:t>Martin, Exh. No.</w:t>
      </w:r>
      <w:r w:rsidRPr="00140C5B">
        <w:t xml:space="preserve"> RCM-1</w:t>
      </w:r>
      <w:r>
        <w:t>T at 12:6-13:5.</w:t>
      </w:r>
    </w:p>
  </w:footnote>
  <w:footnote w:id="195">
    <w:p w:rsidR="006E272D" w:rsidRDefault="006E272D">
      <w:pPr>
        <w:pStyle w:val="FootnoteText"/>
      </w:pPr>
      <w:r w:rsidRPr="00140C5B">
        <w:rPr>
          <w:rStyle w:val="FootnoteReference"/>
        </w:rPr>
        <w:footnoteRef/>
      </w:r>
      <w:r>
        <w:t xml:space="preserve"> Mills, Exh. No. DEM-11CT at 53:3-15.</w:t>
      </w:r>
    </w:p>
  </w:footnote>
  <w:footnote w:id="196">
    <w:p w:rsidR="006E272D" w:rsidRDefault="006E272D">
      <w:pPr>
        <w:pStyle w:val="FootnoteText"/>
      </w:pPr>
      <w:r w:rsidRPr="00734EDC">
        <w:rPr>
          <w:rStyle w:val="FootnoteReference"/>
        </w:rPr>
        <w:footnoteRef/>
      </w:r>
      <w:r w:rsidRPr="00734EDC">
        <w:t xml:space="preserve"> This is significant becau</w:t>
      </w:r>
      <w:r>
        <w:t xml:space="preserve">se, under the PCA, the </w:t>
      </w:r>
      <w:r w:rsidRPr="00734EDC">
        <w:t xml:space="preserve">fixed power expense included in base rates does not vary until it is reset in the next general rate case.  In contrast, variable expenses are used at their actual levels in determining </w:t>
      </w:r>
      <w:r>
        <w:t>amounts subject</w:t>
      </w:r>
      <w:r w:rsidRPr="00734EDC">
        <w:t xml:space="preserve"> to the sharing bands of the P</w:t>
      </w:r>
      <w:r>
        <w:t xml:space="preserve">CA.  Thus, </w:t>
      </w:r>
      <w:r w:rsidRPr="00734EDC">
        <w:t>reclassifying the rental expense from fi</w:t>
      </w:r>
      <w:r>
        <w:t xml:space="preserve">xed to variable </w:t>
      </w:r>
      <w:r w:rsidRPr="00734EDC">
        <w:t>enables PSE to true-up to actual the estimated amount in the power cost rate</w:t>
      </w:r>
      <w:r>
        <w:t>.  Martin, Exh. No.</w:t>
      </w:r>
      <w:r w:rsidRPr="00734EDC">
        <w:t xml:space="preserve"> RCM-1T at 11:7</w:t>
      </w:r>
      <w:r>
        <w:t>-14.</w:t>
      </w:r>
    </w:p>
  </w:footnote>
  <w:footnote w:id="197">
    <w:p w:rsidR="006E272D" w:rsidRPr="006D4CB3" w:rsidRDefault="006E272D">
      <w:pPr>
        <w:pStyle w:val="FootnoteText"/>
      </w:pPr>
      <w:r w:rsidRPr="001C3208">
        <w:rPr>
          <w:rStyle w:val="FootnoteReference"/>
        </w:rPr>
        <w:footnoteRef/>
      </w:r>
      <w:r>
        <w:t xml:space="preserve"> Story, Exh. No. JHS-1T at 15:7-8.</w:t>
      </w:r>
    </w:p>
  </w:footnote>
  <w:footnote w:id="198">
    <w:p w:rsidR="006E272D" w:rsidRPr="006878AE" w:rsidRDefault="006E272D" w:rsidP="0037034D">
      <w:pPr>
        <w:pStyle w:val="FootnoteText"/>
      </w:pPr>
      <w:r w:rsidRPr="000A0207">
        <w:rPr>
          <w:rStyle w:val="FootnoteReference"/>
        </w:rPr>
        <w:footnoteRef/>
      </w:r>
      <w:r w:rsidRPr="000A0207">
        <w:t xml:space="preserve"> </w:t>
      </w:r>
      <w:r>
        <w:t>Story, TR. 1035:20-1036:10.</w:t>
      </w:r>
    </w:p>
  </w:footnote>
  <w:footnote w:id="199">
    <w:p w:rsidR="006E272D" w:rsidRPr="0037034D" w:rsidRDefault="006E272D">
      <w:pPr>
        <w:pStyle w:val="FootnoteText"/>
      </w:pPr>
      <w:r w:rsidRPr="0037034D">
        <w:rPr>
          <w:rStyle w:val="FootnoteReference"/>
        </w:rPr>
        <w:footnoteRef/>
      </w:r>
      <w:r w:rsidRPr="0037034D">
        <w:t xml:space="preserve"> </w:t>
      </w:r>
      <w:r>
        <w:t>Martin, Exh. No. RCM-1T at 11:19-21.</w:t>
      </w:r>
    </w:p>
  </w:footnote>
  <w:footnote w:id="200">
    <w:p w:rsidR="006E272D" w:rsidRPr="006878AE" w:rsidRDefault="006E272D" w:rsidP="004A213E">
      <w:pPr>
        <w:pStyle w:val="FootnoteText"/>
      </w:pPr>
      <w:r w:rsidRPr="006878AE">
        <w:rPr>
          <w:rStyle w:val="FootnoteReference"/>
        </w:rPr>
        <w:footnoteRef/>
      </w:r>
      <w:r>
        <w:t xml:space="preserve"> Martin, Exh. No. RCM-1T at 11:16-12:4 and Riding, TR. 930:22-931:1.</w:t>
      </w:r>
    </w:p>
  </w:footnote>
  <w:footnote w:id="201">
    <w:p w:rsidR="006E272D" w:rsidRPr="004A213E" w:rsidRDefault="006E272D">
      <w:pPr>
        <w:pStyle w:val="FootnoteText"/>
      </w:pPr>
      <w:r w:rsidRPr="004A213E">
        <w:rPr>
          <w:rStyle w:val="FootnoteReference"/>
        </w:rPr>
        <w:footnoteRef/>
      </w:r>
      <w:r w:rsidRPr="004A213E">
        <w:t xml:space="preserve"> </w:t>
      </w:r>
      <w:r>
        <w:t>Martin, Exh. No. RCM-1T at 11:22-12:4.</w:t>
      </w:r>
    </w:p>
  </w:footnote>
  <w:footnote w:id="202">
    <w:p w:rsidR="006E272D" w:rsidRPr="00184383" w:rsidRDefault="006E272D" w:rsidP="00546C60">
      <w:pPr>
        <w:pStyle w:val="FootnoteText"/>
      </w:pPr>
      <w:r w:rsidRPr="005D11C2">
        <w:rPr>
          <w:vertAlign w:val="superscript"/>
        </w:rPr>
        <w:footnoteRef/>
      </w:r>
      <w:r w:rsidRPr="005D11C2">
        <w:rPr>
          <w:vertAlign w:val="superscript"/>
        </w:rPr>
        <w:t xml:space="preserve"> </w:t>
      </w:r>
      <w:r>
        <w:rPr>
          <w:vertAlign w:val="superscript"/>
        </w:rPr>
        <w:t xml:space="preserve"> </w:t>
      </w:r>
      <w:r>
        <w:t>Story, Exh. No.</w:t>
      </w:r>
      <w:r w:rsidRPr="00184383">
        <w:t xml:space="preserve"> JHS-1T at 18:1</w:t>
      </w:r>
      <w:r>
        <w:t>3 and 19:18-20:11.</w:t>
      </w:r>
    </w:p>
  </w:footnote>
  <w:footnote w:id="203">
    <w:p w:rsidR="006E272D" w:rsidRPr="00184383" w:rsidRDefault="006E272D" w:rsidP="00546C60">
      <w:pPr>
        <w:pStyle w:val="FootnoteText"/>
      </w:pPr>
      <w:r w:rsidRPr="005D11C2">
        <w:rPr>
          <w:vertAlign w:val="superscript"/>
        </w:rPr>
        <w:footnoteRef/>
      </w:r>
      <w:r w:rsidRPr="005D11C2">
        <w:rPr>
          <w:vertAlign w:val="superscript"/>
        </w:rPr>
        <w:t xml:space="preserve"> </w:t>
      </w:r>
      <w:r>
        <w:rPr>
          <w:vertAlign w:val="superscript"/>
        </w:rPr>
        <w:t xml:space="preserve"> </w:t>
      </w:r>
      <w:r w:rsidRPr="003B0857">
        <w:t>Story, Exh. No</w:t>
      </w:r>
      <w:r>
        <w:t>. JHS-18T at 24:19-22.</w:t>
      </w:r>
    </w:p>
  </w:footnote>
  <w:footnote w:id="204">
    <w:p w:rsidR="006E272D" w:rsidRPr="00184383" w:rsidRDefault="006E272D" w:rsidP="00546C60">
      <w:pPr>
        <w:pStyle w:val="FootnoteText"/>
      </w:pPr>
      <w:r w:rsidRPr="005D11C2">
        <w:rPr>
          <w:vertAlign w:val="superscript"/>
        </w:rPr>
        <w:footnoteRef/>
      </w:r>
      <w:r w:rsidRPr="005D11C2">
        <w:rPr>
          <w:vertAlign w:val="superscript"/>
        </w:rPr>
        <w:t xml:space="preserve"> </w:t>
      </w:r>
      <w:r>
        <w:rPr>
          <w:vertAlign w:val="superscript"/>
        </w:rPr>
        <w:t xml:space="preserve"> </w:t>
      </w:r>
      <w:r>
        <w:t>Story, TR</w:t>
      </w:r>
      <w:r w:rsidRPr="00184383">
        <w:t>. 1025:10-1026:11</w:t>
      </w:r>
      <w:r>
        <w:t xml:space="preserve"> and Story, Exh. No. JHS-20 at 3.</w:t>
      </w:r>
    </w:p>
  </w:footnote>
  <w:footnote w:id="205">
    <w:p w:rsidR="006E272D" w:rsidRPr="00184383" w:rsidRDefault="006E272D" w:rsidP="00546C60">
      <w:pPr>
        <w:pStyle w:val="FootnoteText"/>
      </w:pPr>
      <w:r w:rsidRPr="005D11C2">
        <w:rPr>
          <w:vertAlign w:val="superscript"/>
        </w:rPr>
        <w:footnoteRef/>
      </w:r>
      <w:r w:rsidRPr="005D11C2">
        <w:rPr>
          <w:vertAlign w:val="superscript"/>
        </w:rPr>
        <w:t xml:space="preserve"> </w:t>
      </w:r>
      <w:r>
        <w:t xml:space="preserve">Applegate, Exh. No. </w:t>
      </w:r>
      <w:r w:rsidRPr="00184383">
        <w:t>RTA-1T at 6:20</w:t>
      </w:r>
      <w:r>
        <w:t>.</w:t>
      </w:r>
    </w:p>
  </w:footnote>
  <w:footnote w:id="206">
    <w:p w:rsidR="006E272D" w:rsidRPr="00184383" w:rsidRDefault="006E272D" w:rsidP="00546C60">
      <w:pPr>
        <w:pStyle w:val="FootnoteText"/>
      </w:pPr>
      <w:r w:rsidRPr="00184383">
        <w:rPr>
          <w:rStyle w:val="FootnoteReference"/>
        </w:rPr>
        <w:footnoteRef/>
      </w:r>
      <w:r w:rsidRPr="00184383">
        <w:t xml:space="preserve"> </w:t>
      </w:r>
      <w:r>
        <w:t xml:space="preserve">Applegate, Exh. No. </w:t>
      </w:r>
      <w:r w:rsidRPr="00184383">
        <w:t>RTA-1T at 6:6-9</w:t>
      </w:r>
      <w:r>
        <w:t>.</w:t>
      </w:r>
    </w:p>
  </w:footnote>
  <w:footnote w:id="207">
    <w:p w:rsidR="006E272D" w:rsidRPr="00184383" w:rsidRDefault="006E272D" w:rsidP="00412F8A">
      <w:pPr>
        <w:pStyle w:val="FootnoteText"/>
      </w:pPr>
      <w:r w:rsidRPr="00184383">
        <w:rPr>
          <w:rStyle w:val="FootnoteReference"/>
        </w:rPr>
        <w:footnoteRef/>
      </w:r>
      <w:r w:rsidRPr="00184383">
        <w:t xml:space="preserve"> </w:t>
      </w:r>
      <w:r>
        <w:t xml:space="preserve">Applegate, Exh. No. </w:t>
      </w:r>
      <w:r w:rsidRPr="00184383">
        <w:t>RTA-1T at 5:19-21</w:t>
      </w:r>
      <w:r>
        <w:t xml:space="preserve"> and </w:t>
      </w:r>
      <w:r w:rsidRPr="00184383">
        <w:t>6:19</w:t>
      </w:r>
      <w:r>
        <w:t>.</w:t>
      </w:r>
    </w:p>
  </w:footnote>
  <w:footnote w:id="208">
    <w:p w:rsidR="006E272D" w:rsidRDefault="006E272D">
      <w:pPr>
        <w:pStyle w:val="FootnoteText"/>
      </w:pPr>
      <w:r>
        <w:rPr>
          <w:rStyle w:val="FootnoteReference"/>
        </w:rPr>
        <w:footnoteRef/>
      </w:r>
      <w:r>
        <w:t xml:space="preserve"> </w:t>
      </w:r>
      <w:r w:rsidRPr="00184383">
        <w:rPr>
          <w:i/>
        </w:rPr>
        <w:t>WUTC v. Puget Sound Energy, Inc</w:t>
      </w:r>
      <w:r>
        <w:t xml:space="preserve">., Dockets </w:t>
      </w:r>
      <w:r w:rsidRPr="00184383">
        <w:t xml:space="preserve">UE-090704 </w:t>
      </w:r>
      <w:r>
        <w:t>and UG-090705, Order 12 at ¶</w:t>
      </w:r>
      <w:r w:rsidRPr="00184383">
        <w:t>232</w:t>
      </w:r>
      <w:r>
        <w:t xml:space="preserve"> (April 2, 2010).</w:t>
      </w:r>
    </w:p>
  </w:footnote>
  <w:footnote w:id="209">
    <w:p w:rsidR="006E272D" w:rsidRPr="00184383" w:rsidRDefault="006E272D" w:rsidP="00546C60">
      <w:pPr>
        <w:pStyle w:val="FootnoteText"/>
      </w:pPr>
      <w:r w:rsidRPr="00184383">
        <w:rPr>
          <w:rStyle w:val="FootnoteReference"/>
        </w:rPr>
        <w:footnoteRef/>
      </w:r>
      <w:r w:rsidRPr="00184383">
        <w:t xml:space="preserve"> </w:t>
      </w:r>
      <w:r>
        <w:t>Story, TR. 1029:14-16.</w:t>
      </w:r>
    </w:p>
  </w:footnote>
  <w:footnote w:id="210">
    <w:p w:rsidR="006E272D" w:rsidRPr="00184383" w:rsidRDefault="006E272D" w:rsidP="00546C60">
      <w:pPr>
        <w:pStyle w:val="FootnoteText"/>
      </w:pPr>
      <w:r w:rsidRPr="00184383">
        <w:rPr>
          <w:rStyle w:val="FootnoteReference"/>
        </w:rPr>
        <w:footnoteRef/>
      </w:r>
      <w:r>
        <w:t xml:space="preserve"> Marcelia, TR. 957:8-11.</w:t>
      </w:r>
    </w:p>
  </w:footnote>
  <w:footnote w:id="211">
    <w:p w:rsidR="006E272D" w:rsidRPr="00184383" w:rsidRDefault="006E272D" w:rsidP="00546C60">
      <w:pPr>
        <w:pStyle w:val="FootnoteText"/>
      </w:pPr>
      <w:r w:rsidRPr="00184383">
        <w:rPr>
          <w:rStyle w:val="FootnoteReference"/>
        </w:rPr>
        <w:footnoteRef/>
      </w:r>
      <w:r>
        <w:t xml:space="preserve"> Marcelia, TR. 958:9-11.</w:t>
      </w:r>
    </w:p>
  </w:footnote>
  <w:footnote w:id="212">
    <w:p w:rsidR="006E272D" w:rsidRPr="006015F4" w:rsidRDefault="006E272D" w:rsidP="00546C60">
      <w:pPr>
        <w:pStyle w:val="FootnoteText"/>
      </w:pPr>
      <w:r w:rsidRPr="006015F4">
        <w:rPr>
          <w:rStyle w:val="FootnoteReference"/>
        </w:rPr>
        <w:footnoteRef/>
      </w:r>
      <w:r>
        <w:t xml:space="preserve"> Story, Exh. No. </w:t>
      </w:r>
      <w:r w:rsidRPr="006015F4">
        <w:t>JHS-18T at 3:14-17 and 7:23-8:8</w:t>
      </w:r>
      <w:r>
        <w:t>.</w:t>
      </w:r>
    </w:p>
  </w:footnote>
  <w:footnote w:id="213">
    <w:p w:rsidR="006E272D" w:rsidRDefault="006E272D">
      <w:pPr>
        <w:pStyle w:val="FootnoteText"/>
      </w:pPr>
      <w:r w:rsidRPr="00A25B57">
        <w:rPr>
          <w:rStyle w:val="FootnoteReference"/>
        </w:rPr>
        <w:footnoteRef/>
      </w:r>
      <w:r w:rsidRPr="00A25B57">
        <w:t xml:space="preserve"> </w:t>
      </w:r>
      <w:r w:rsidRPr="00A25B57">
        <w:rPr>
          <w:i/>
        </w:rPr>
        <w:t>WUTC v. Puget</w:t>
      </w:r>
      <w:r w:rsidRPr="00184383">
        <w:rPr>
          <w:i/>
        </w:rPr>
        <w:t xml:space="preserve"> Sound Energy, Inc</w:t>
      </w:r>
      <w:r>
        <w:t xml:space="preserve">., Dockets </w:t>
      </w:r>
      <w:r w:rsidRPr="00184383">
        <w:t xml:space="preserve">UE-090704 </w:t>
      </w:r>
      <w:r>
        <w:t>and UG-090705, Order 12 at ¶231 (April 2, 2010).</w:t>
      </w:r>
    </w:p>
  </w:footnote>
  <w:footnote w:id="214">
    <w:p w:rsidR="006E272D" w:rsidRPr="005E3DDE" w:rsidRDefault="006E272D" w:rsidP="00331140">
      <w:pPr>
        <w:spacing w:after="0" w:line="240" w:lineRule="auto"/>
        <w:rPr>
          <w:rFonts w:ascii="Times New Roman" w:hAnsi="Times New Roman" w:cs="Times New Roman"/>
          <w:sz w:val="20"/>
          <w:szCs w:val="20"/>
        </w:rPr>
      </w:pPr>
      <w:r w:rsidRPr="005E3DDE">
        <w:rPr>
          <w:rStyle w:val="FootnoteReference"/>
          <w:rFonts w:ascii="Times New Roman" w:hAnsi="Times New Roman"/>
          <w:sz w:val="20"/>
          <w:szCs w:val="20"/>
        </w:rPr>
        <w:footnoteRef/>
      </w:r>
      <w:r w:rsidRPr="005E3DDE">
        <w:rPr>
          <w:rFonts w:ascii="Times New Roman" w:hAnsi="Times New Roman" w:cs="Times New Roman"/>
          <w:sz w:val="20"/>
          <w:szCs w:val="20"/>
        </w:rPr>
        <w:t xml:space="preserve"> </w:t>
      </w:r>
      <w:r>
        <w:rPr>
          <w:rFonts w:ascii="Times New Roman" w:hAnsi="Times New Roman" w:cs="Times New Roman"/>
          <w:sz w:val="20"/>
          <w:szCs w:val="20"/>
        </w:rPr>
        <w:t>Story, Exh. No.</w:t>
      </w:r>
      <w:r w:rsidRPr="005E3DDE">
        <w:rPr>
          <w:rFonts w:ascii="Times New Roman" w:hAnsi="Times New Roman" w:cs="Times New Roman"/>
          <w:bCs/>
          <w:sz w:val="20"/>
          <w:szCs w:val="20"/>
        </w:rPr>
        <w:t xml:space="preserve"> JHS-18T at 25:16-20</w:t>
      </w:r>
      <w:r>
        <w:rPr>
          <w:rFonts w:ascii="Times New Roman" w:hAnsi="Times New Roman" w:cs="Times New Roman"/>
          <w:bCs/>
          <w:sz w:val="20"/>
          <w:szCs w:val="20"/>
        </w:rPr>
        <w:t>.</w:t>
      </w:r>
    </w:p>
  </w:footnote>
  <w:footnote w:id="215">
    <w:p w:rsidR="006E272D" w:rsidRDefault="006E272D">
      <w:pPr>
        <w:pStyle w:val="FootnoteText"/>
      </w:pPr>
      <w:r>
        <w:rPr>
          <w:rStyle w:val="FootnoteReference"/>
        </w:rPr>
        <w:footnoteRef/>
      </w:r>
      <w:r>
        <w:t xml:space="preserve"> Applegate, Exh. No. RTA-1T at 7:5-13</w:t>
      </w:r>
      <w:r w:rsidRPr="00E279F2">
        <w:t>.</w:t>
      </w:r>
      <w:r>
        <w:t xml:space="preserve">  See also Story, Exh. No. JHS-18T at 30:1.</w:t>
      </w:r>
    </w:p>
  </w:footnote>
  <w:footnote w:id="216">
    <w:p w:rsidR="006E272D" w:rsidRPr="00B11A00" w:rsidRDefault="006E272D" w:rsidP="006B637C">
      <w:pPr>
        <w:pStyle w:val="FootnoteText"/>
      </w:pPr>
      <w:r w:rsidRPr="00B11A00">
        <w:rPr>
          <w:rStyle w:val="FootnoteReference"/>
        </w:rPr>
        <w:footnoteRef/>
      </w:r>
      <w:r w:rsidRPr="00B11A00">
        <w:t xml:space="preserve"> </w:t>
      </w:r>
      <w:r>
        <w:t xml:space="preserve">Applegate, Exh. No. RTA-1T </w:t>
      </w:r>
      <w:r w:rsidRPr="00B11A00">
        <w:t>at 7:16-</w:t>
      </w:r>
      <w:r>
        <w:t>22.</w:t>
      </w:r>
    </w:p>
  </w:footnote>
  <w:footnote w:id="217">
    <w:p w:rsidR="006E272D" w:rsidRDefault="006E272D" w:rsidP="006B637C">
      <w:pPr>
        <w:pStyle w:val="FootnoteText"/>
      </w:pPr>
      <w:r>
        <w:rPr>
          <w:rStyle w:val="FootnoteReference"/>
        </w:rPr>
        <w:footnoteRef/>
      </w:r>
      <w:r>
        <w:t xml:space="preserve"> There are two storm items shown for 2008 in Exhibit JHS-20 at 8:24 and 25.  Staff’s revision affects only the 2008 item on line 25 ($86,185) and the 2010 item on line 26 ($13,909,769).</w:t>
      </w:r>
    </w:p>
  </w:footnote>
  <w:footnote w:id="218">
    <w:p w:rsidR="006E272D" w:rsidRPr="00B11A00" w:rsidRDefault="006E272D" w:rsidP="006B637C">
      <w:pPr>
        <w:pStyle w:val="FootnoteText"/>
      </w:pPr>
      <w:r w:rsidRPr="00B11A00">
        <w:rPr>
          <w:rStyle w:val="FootnoteReference"/>
        </w:rPr>
        <w:footnoteRef/>
      </w:r>
      <w:r w:rsidRPr="00B11A00">
        <w:t xml:space="preserve"> </w:t>
      </w:r>
      <w:r>
        <w:t xml:space="preserve">Applegate, Exh. No. </w:t>
      </w:r>
      <w:r w:rsidRPr="00B11A00">
        <w:t>RTA-1T at 12:2</w:t>
      </w:r>
      <w:r>
        <w:t xml:space="preserve"> and Story, Exh. No. </w:t>
      </w:r>
      <w:r w:rsidRPr="00B11A00">
        <w:t>JHS-18T at 33:15</w:t>
      </w:r>
      <w:r>
        <w:t>.</w:t>
      </w:r>
    </w:p>
  </w:footnote>
  <w:footnote w:id="219">
    <w:p w:rsidR="006E272D" w:rsidRPr="00401025" w:rsidRDefault="006E272D" w:rsidP="006B637C">
      <w:pPr>
        <w:pStyle w:val="FootnoteText"/>
      </w:pPr>
      <w:r w:rsidRPr="00401025">
        <w:rPr>
          <w:rStyle w:val="FootnoteReference"/>
        </w:rPr>
        <w:footnoteRef/>
      </w:r>
      <w:r>
        <w:t xml:space="preserve"> Applegate, Exh. No. RTA-1T </w:t>
      </w:r>
      <w:r w:rsidRPr="00401025">
        <w:t xml:space="preserve">at </w:t>
      </w:r>
      <w:r>
        <w:t>8:19-9:13.</w:t>
      </w:r>
    </w:p>
  </w:footnote>
  <w:footnote w:id="220">
    <w:p w:rsidR="006E272D" w:rsidRPr="00401025" w:rsidRDefault="006E272D" w:rsidP="006B637C">
      <w:pPr>
        <w:pStyle w:val="FootnoteText"/>
      </w:pPr>
      <w:r w:rsidRPr="00401025">
        <w:rPr>
          <w:rStyle w:val="FootnoteReference"/>
        </w:rPr>
        <w:footnoteRef/>
      </w:r>
      <w:r>
        <w:t xml:space="preserve"> Applegate, Exh. No. RTA-1T at 10:9-12.</w:t>
      </w:r>
    </w:p>
  </w:footnote>
  <w:footnote w:id="221">
    <w:p w:rsidR="006E272D" w:rsidRPr="00401025" w:rsidRDefault="006E272D" w:rsidP="006B637C">
      <w:pPr>
        <w:pStyle w:val="FootnoteText"/>
      </w:pPr>
      <w:r w:rsidRPr="00401025">
        <w:rPr>
          <w:rStyle w:val="FootnoteReference"/>
        </w:rPr>
        <w:footnoteRef/>
      </w:r>
      <w:r>
        <w:t xml:space="preserve"> Applegate, Exh. No. RTA-1T at 8:18-9:2.</w:t>
      </w:r>
    </w:p>
  </w:footnote>
  <w:footnote w:id="222">
    <w:p w:rsidR="006E272D" w:rsidRPr="00401025" w:rsidRDefault="006E272D" w:rsidP="006B637C">
      <w:pPr>
        <w:pStyle w:val="FootnoteText"/>
      </w:pPr>
      <w:r w:rsidRPr="00401025">
        <w:rPr>
          <w:rStyle w:val="FootnoteReference"/>
        </w:rPr>
        <w:footnoteRef/>
      </w:r>
      <w:r w:rsidRPr="00401025">
        <w:t xml:space="preserve"> </w:t>
      </w:r>
      <w:r>
        <w:t xml:space="preserve">Story, Exh. No. </w:t>
      </w:r>
      <w:r w:rsidRPr="00401025">
        <w:t xml:space="preserve">JHS-18T at 31:11-13 </w:t>
      </w:r>
      <w:r>
        <w:t xml:space="preserve">and </w:t>
      </w:r>
      <w:r w:rsidRPr="00401025">
        <w:t>32:6-</w:t>
      </w:r>
      <w:r>
        <w:t>13.</w:t>
      </w:r>
    </w:p>
  </w:footnote>
  <w:footnote w:id="223">
    <w:p w:rsidR="006E272D" w:rsidRDefault="006E272D">
      <w:pPr>
        <w:pStyle w:val="FootnoteText"/>
      </w:pPr>
      <w:r>
        <w:rPr>
          <w:rStyle w:val="FootnoteReference"/>
        </w:rPr>
        <w:footnoteRef/>
      </w:r>
      <w:r>
        <w:t xml:space="preserve"> PSE claims Staff’s conclusion is “disingenuous” given the allegation that Staff argued in Docket UG-110723 that return on equity should be reduced for a lesser amount than is at issue for storm damage.  Story, Exh. No. JHS-18T at 31:11-20.  PSE’s characterization is not based on any specific Staff presentation in Docket UG-110723.  It relies solely on its own interpretation.  Story, TR. 1033:2-10.  Moreover, the Company based its claim, in part, on informal discussions with Staff that it then characterized at hearing as confidential settlement discussions.  Story, Exh. No. JHS-32CX at 2, last paragraph and TR. 1034:4-13.</w:t>
      </w:r>
    </w:p>
  </w:footnote>
  <w:footnote w:id="224">
    <w:p w:rsidR="006E272D" w:rsidRPr="00401025" w:rsidRDefault="006E272D" w:rsidP="006B637C">
      <w:pPr>
        <w:pStyle w:val="FootnoteText"/>
      </w:pPr>
      <w:r w:rsidRPr="00401025">
        <w:rPr>
          <w:rStyle w:val="FootnoteReference"/>
        </w:rPr>
        <w:footnoteRef/>
      </w:r>
      <w:r>
        <w:t xml:space="preserve"> Applegate, Exh. No. RTA-1T at 11:2-7. </w:t>
      </w:r>
    </w:p>
  </w:footnote>
  <w:footnote w:id="225">
    <w:p w:rsidR="006E272D" w:rsidRPr="00401025" w:rsidRDefault="006E272D" w:rsidP="006B637C">
      <w:pPr>
        <w:pStyle w:val="FootnoteText"/>
      </w:pPr>
      <w:r w:rsidRPr="00401025">
        <w:rPr>
          <w:rStyle w:val="FootnoteReference"/>
        </w:rPr>
        <w:footnoteRef/>
      </w:r>
      <w:r>
        <w:t xml:space="preserve"> Applegate, Exh. No. RTA-1T at 11:19-20</w:t>
      </w:r>
      <w:r w:rsidRPr="00401025">
        <w:t>.</w:t>
      </w:r>
    </w:p>
  </w:footnote>
  <w:footnote w:id="226">
    <w:p w:rsidR="006E272D" w:rsidRPr="00DB4FCC" w:rsidRDefault="006E272D" w:rsidP="00675E20">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0" w:firstLine="0"/>
        <w:rPr>
          <w:sz w:val="20"/>
          <w:szCs w:val="20"/>
        </w:rPr>
      </w:pPr>
      <w:r w:rsidRPr="00DB4FCC">
        <w:rPr>
          <w:rStyle w:val="FootnoteReference"/>
          <w:sz w:val="20"/>
          <w:szCs w:val="20"/>
        </w:rPr>
        <w:footnoteRef/>
      </w:r>
      <w:r w:rsidRPr="00DB4FCC">
        <w:rPr>
          <w:sz w:val="20"/>
          <w:szCs w:val="20"/>
        </w:rPr>
        <w:t xml:space="preserve"> The unco</w:t>
      </w:r>
      <w:r>
        <w:rPr>
          <w:sz w:val="20"/>
          <w:szCs w:val="20"/>
        </w:rPr>
        <w:t>ntested elements are listed at Martin, Exh. No. RCM-1t at 13:1-10.</w:t>
      </w:r>
      <w:r w:rsidRPr="002107E8">
        <w:rPr>
          <w:sz w:val="20"/>
          <w:szCs w:val="20"/>
        </w:rPr>
        <w:t xml:space="preserve"> </w:t>
      </w:r>
      <w:r>
        <w:rPr>
          <w:sz w:val="20"/>
          <w:szCs w:val="20"/>
        </w:rPr>
        <w:t>Additional uncontested adjustments were inadvertently excluded from this list, including White River Relicensing &amp; CWIP, Westcoast Pipeline Capacity-UE-100503 (BNP Paribus), and FERC Part 12 Study Non-Construction Costs UE-070074.</w:t>
      </w:r>
    </w:p>
  </w:footnote>
  <w:footnote w:id="227">
    <w:p w:rsidR="006E272D" w:rsidRPr="00E8744B" w:rsidRDefault="006E272D">
      <w:pPr>
        <w:pStyle w:val="FootnoteText"/>
      </w:pPr>
      <w:r w:rsidRPr="00E8744B">
        <w:rPr>
          <w:rStyle w:val="FootnoteReference"/>
        </w:rPr>
        <w:footnoteRef/>
      </w:r>
      <w:r w:rsidRPr="00E8744B">
        <w:t xml:space="preserve"> </w:t>
      </w:r>
      <w:r>
        <w:t>Settling Parties, Exh. No. SPE-1T at 11:20-12:6.</w:t>
      </w:r>
    </w:p>
  </w:footnote>
  <w:footnote w:id="228">
    <w:p w:rsidR="006E272D" w:rsidRPr="00675E20" w:rsidRDefault="006E272D">
      <w:pPr>
        <w:pStyle w:val="FootnoteText"/>
      </w:pPr>
      <w:r w:rsidRPr="00675E20">
        <w:rPr>
          <w:rStyle w:val="FootnoteReference"/>
        </w:rPr>
        <w:footnoteRef/>
      </w:r>
      <w:r w:rsidRPr="00675E20">
        <w:t xml:space="preserve"> All elements of the Staff Adjustment 13.10 are listed in </w:t>
      </w:r>
      <w:r>
        <w:t>Martin, Exh. No. RCM-2 at 15.</w:t>
      </w:r>
    </w:p>
  </w:footnote>
  <w:footnote w:id="229">
    <w:p w:rsidR="006E272D" w:rsidRPr="00775BF2" w:rsidRDefault="006E272D" w:rsidP="00426B8C">
      <w:pPr>
        <w:pStyle w:val="FootnoteText"/>
      </w:pPr>
      <w:r w:rsidRPr="00775BF2">
        <w:rPr>
          <w:rStyle w:val="FootnoteReference"/>
        </w:rPr>
        <w:footnoteRef/>
      </w:r>
      <w:r w:rsidRPr="00775BF2">
        <w:t xml:space="preserve"> </w:t>
      </w:r>
      <w:r>
        <w:t>Story, Exh. No. JHS-18T at 37:20-38:2.</w:t>
      </w:r>
    </w:p>
  </w:footnote>
  <w:footnote w:id="230">
    <w:p w:rsidR="006E272D" w:rsidRDefault="006E272D">
      <w:pPr>
        <w:pStyle w:val="FootnoteText"/>
      </w:pPr>
      <w:r>
        <w:rPr>
          <w:rStyle w:val="FootnoteReference"/>
        </w:rPr>
        <w:footnoteRef/>
      </w:r>
      <w:r>
        <w:t xml:space="preserve"> Martin, Exh. No. RCM-1T at 15:17-22.</w:t>
      </w:r>
    </w:p>
  </w:footnote>
  <w:footnote w:id="231">
    <w:p w:rsidR="006E272D" w:rsidRPr="005019EC" w:rsidRDefault="006E272D">
      <w:pPr>
        <w:pStyle w:val="FootnoteText"/>
      </w:pPr>
      <w:r w:rsidRPr="005019EC">
        <w:rPr>
          <w:rStyle w:val="FootnoteReference"/>
        </w:rPr>
        <w:footnoteRef/>
      </w:r>
      <w:r>
        <w:t xml:space="preserve"> Martin, Exh. No.RCM-1T at 16:1-8.</w:t>
      </w:r>
    </w:p>
  </w:footnote>
  <w:footnote w:id="232">
    <w:p w:rsidR="006E272D" w:rsidRDefault="006E272D">
      <w:pPr>
        <w:pStyle w:val="FootnoteText"/>
      </w:pPr>
      <w:r>
        <w:rPr>
          <w:rStyle w:val="FootnoteReference"/>
        </w:rPr>
        <w:footnoteRef/>
      </w:r>
      <w:r>
        <w:t xml:space="preserve"> The major maintenance contracts at issue are the </w:t>
      </w:r>
      <w:r w:rsidRPr="00675E20">
        <w:t>Sumas November 2010 HGP Inspection</w:t>
      </w:r>
      <w:r>
        <w:t>, Freddy 1 July 2009 HGP Inspection,</w:t>
      </w:r>
      <w:r w:rsidRPr="00675E20">
        <w:t xml:space="preserve"> </w:t>
      </w:r>
      <w:r>
        <w:t>Goldendale May 2009 Combustion Inspection, Sumas November 2008 Combustion Inspection, and Mint Farm June 2010 Combustion Inspection.  Martin, Exh. No. RCM-1T at 14:12-20.</w:t>
      </w:r>
    </w:p>
  </w:footnote>
  <w:footnote w:id="233">
    <w:p w:rsidR="006E272D" w:rsidRPr="007C77E1" w:rsidRDefault="006E272D" w:rsidP="00C07345">
      <w:pPr>
        <w:pStyle w:val="FootnoteText"/>
      </w:pPr>
      <w:r w:rsidRPr="00675993">
        <w:rPr>
          <w:rStyle w:val="FootnoteReference"/>
        </w:rPr>
        <w:footnoteRef/>
      </w:r>
      <w:r w:rsidRPr="00675993">
        <w:t xml:space="preserve"> </w:t>
      </w:r>
      <w:r w:rsidRPr="00FE1719">
        <w:rPr>
          <w:i/>
        </w:rPr>
        <w:t>WUTC v. Puget Sound Energy, Inc.</w:t>
      </w:r>
      <w:r w:rsidRPr="004E5E3F">
        <w:t>,</w:t>
      </w:r>
      <w:r>
        <w:t xml:space="preserve"> </w:t>
      </w:r>
      <w:r w:rsidRPr="00675993">
        <w:t>Docket Nos. UE-011570 a</w:t>
      </w:r>
      <w:r>
        <w:t>nd UG-011571, 12th Suppl.</w:t>
      </w:r>
      <w:r w:rsidRPr="00675993">
        <w:t xml:space="preserve"> Order</w:t>
      </w:r>
      <w:r>
        <w:t>,</w:t>
      </w:r>
      <w:r w:rsidRPr="00675993">
        <w:t xml:space="preserve"> Appendix</w:t>
      </w:r>
      <w:r>
        <w:t xml:space="preserve"> </w:t>
      </w:r>
      <w:r w:rsidRPr="00675993">
        <w:t xml:space="preserve">Exhibit A to Settlement Stipulation </w:t>
      </w:r>
      <w:r>
        <w:t>at 4 (Settlement Terms For PCA</w:t>
      </w:r>
      <w:r w:rsidRPr="00675993">
        <w:t>)</w:t>
      </w:r>
      <w:r>
        <w:t xml:space="preserve"> (June 20, 2002</w:t>
      </w:r>
      <w:r w:rsidRPr="007C77E1">
        <w:t>).</w:t>
      </w:r>
    </w:p>
  </w:footnote>
  <w:footnote w:id="234">
    <w:p w:rsidR="006E272D" w:rsidRPr="00E538BA" w:rsidRDefault="006E272D">
      <w:pPr>
        <w:pStyle w:val="FootnoteText"/>
      </w:pPr>
      <w:r w:rsidRPr="00E538BA">
        <w:rPr>
          <w:rStyle w:val="FootnoteReference"/>
        </w:rPr>
        <w:footnoteRef/>
      </w:r>
      <w:r w:rsidRPr="00E538BA">
        <w:t xml:space="preserve"> </w:t>
      </w:r>
      <w:r>
        <w:t>Story, Exh. No.</w:t>
      </w:r>
      <w:r w:rsidRPr="00E538BA">
        <w:t xml:space="preserve"> JHS-18T</w:t>
      </w:r>
      <w:r>
        <w:t xml:space="preserve"> at 41:10-42:3</w:t>
      </w:r>
      <w:r w:rsidRPr="00E538BA">
        <w:t>.</w:t>
      </w:r>
      <w:r>
        <w:t xml:space="preserve">  The two-year interval is contradicted by other testimony stating that the interval is every two to five years.  Gould, Exh. No. WRG-1T at 17:5.</w:t>
      </w:r>
    </w:p>
  </w:footnote>
  <w:footnote w:id="235">
    <w:p w:rsidR="006E272D" w:rsidRPr="00FC4A70" w:rsidRDefault="006E272D">
      <w:pPr>
        <w:pStyle w:val="FootnoteText"/>
      </w:pPr>
      <w:r w:rsidRPr="00FC4A70">
        <w:rPr>
          <w:rStyle w:val="FootnoteReference"/>
        </w:rPr>
        <w:footnoteRef/>
      </w:r>
      <w:r>
        <w:t xml:space="preserve"> Story, Exh. No. JHS-18T at 39:11-19</w:t>
      </w:r>
      <w:r w:rsidRPr="00FC4A70">
        <w:t>.</w:t>
      </w:r>
    </w:p>
  </w:footnote>
  <w:footnote w:id="236">
    <w:p w:rsidR="006E272D" w:rsidRDefault="006E272D" w:rsidP="0091287B">
      <w:pPr>
        <w:pStyle w:val="Answer-Testimony"/>
        <w:spacing w:line="240" w:lineRule="auto"/>
      </w:pPr>
      <w:r w:rsidRPr="00FC4A70">
        <w:rPr>
          <w:rStyle w:val="FootnoteReference"/>
          <w:sz w:val="20"/>
          <w:szCs w:val="20"/>
        </w:rPr>
        <w:footnoteRef/>
      </w:r>
      <w:r w:rsidRPr="00FC4A70">
        <w:rPr>
          <w:sz w:val="20"/>
          <w:szCs w:val="20"/>
        </w:rPr>
        <w:t xml:space="preserve"> </w:t>
      </w:r>
      <w:r>
        <w:rPr>
          <w:sz w:val="20"/>
          <w:szCs w:val="20"/>
        </w:rPr>
        <w:t xml:space="preserve">Gould, Exh. No. WRG-1T at </w:t>
      </w:r>
      <w:r w:rsidRPr="00FC4A70">
        <w:rPr>
          <w:sz w:val="20"/>
          <w:szCs w:val="20"/>
        </w:rPr>
        <w:t>13</w:t>
      </w:r>
      <w:r>
        <w:rPr>
          <w:sz w:val="20"/>
          <w:szCs w:val="20"/>
        </w:rPr>
        <w:t>:17-21.</w:t>
      </w:r>
    </w:p>
  </w:footnote>
  <w:footnote w:id="237">
    <w:p w:rsidR="006E272D" w:rsidRPr="0091287B" w:rsidRDefault="006E272D" w:rsidP="0091287B">
      <w:pPr>
        <w:pStyle w:val="FootnoteText"/>
      </w:pPr>
      <w:r w:rsidRPr="0091287B">
        <w:rPr>
          <w:rStyle w:val="FootnoteReference"/>
        </w:rPr>
        <w:footnoteRef/>
      </w:r>
      <w:r w:rsidRPr="0091287B">
        <w:t xml:space="preserve"> </w:t>
      </w:r>
      <w:r>
        <w:t>Martin, Exh. No. RCM-1T at 19:13-20:3.</w:t>
      </w:r>
    </w:p>
  </w:footnote>
  <w:footnote w:id="238">
    <w:p w:rsidR="006E272D" w:rsidRPr="00450C95" w:rsidRDefault="006E272D">
      <w:pPr>
        <w:pStyle w:val="FootnoteText"/>
      </w:pPr>
      <w:r w:rsidRPr="00450C95">
        <w:rPr>
          <w:rStyle w:val="FootnoteReference"/>
        </w:rPr>
        <w:footnoteRef/>
      </w:r>
      <w:r>
        <w:t xml:space="preserve"> Martin, Exh. No. RCM-1T at 20:5-21:3.</w:t>
      </w:r>
    </w:p>
  </w:footnote>
  <w:footnote w:id="239">
    <w:p w:rsidR="006E272D" w:rsidRDefault="006E272D">
      <w:pPr>
        <w:pStyle w:val="FootnoteText"/>
      </w:pPr>
      <w:r>
        <w:rPr>
          <w:rStyle w:val="FootnoteReference"/>
        </w:rPr>
        <w:footnoteRef/>
      </w:r>
      <w:r>
        <w:t xml:space="preserve"> PSE addressed this issue through a new separate Adjustment 20.12.</w:t>
      </w:r>
      <w:r w:rsidRPr="00C43F37">
        <w:t xml:space="preserve"> </w:t>
      </w:r>
      <w:r>
        <w:t xml:space="preserve"> Story, Exh. No. JHS-20 at 14.  Staff included this issue in Adjustment 13.10, Regulatory Assets and Liabilities.  Martin, Exh. No. RCM-2 at 15.</w:t>
      </w:r>
    </w:p>
  </w:footnote>
  <w:footnote w:id="240">
    <w:p w:rsidR="006E272D" w:rsidRPr="007C4F8A" w:rsidRDefault="006E272D">
      <w:pPr>
        <w:pStyle w:val="FootnoteText"/>
      </w:pPr>
      <w:r w:rsidRPr="007C4F8A">
        <w:rPr>
          <w:rStyle w:val="FootnoteReference"/>
        </w:rPr>
        <w:footnoteRef/>
      </w:r>
      <w:r>
        <w:t xml:space="preserve"> Story, Exh. No. JHS-18T at 44:15-45:1.</w:t>
      </w:r>
    </w:p>
  </w:footnote>
  <w:footnote w:id="241">
    <w:p w:rsidR="006E272D" w:rsidRPr="007C4F8A" w:rsidRDefault="006E272D">
      <w:pPr>
        <w:pStyle w:val="FootnoteText"/>
      </w:pPr>
      <w:r w:rsidRPr="007C4F8A">
        <w:rPr>
          <w:rStyle w:val="FootnoteReference"/>
        </w:rPr>
        <w:footnoteRef/>
      </w:r>
      <w:r>
        <w:t xml:space="preserve"> Story, Exh. No. </w:t>
      </w:r>
      <w:r w:rsidRPr="007C4F8A">
        <w:t xml:space="preserve">JHS-18T at </w:t>
      </w:r>
      <w:r>
        <w:t>4-13.</w:t>
      </w:r>
    </w:p>
  </w:footnote>
  <w:footnote w:id="242">
    <w:p w:rsidR="006E272D" w:rsidRPr="00B52A2F" w:rsidRDefault="006E272D">
      <w:pPr>
        <w:pStyle w:val="FootnoteText"/>
      </w:pPr>
      <w:r w:rsidRPr="00B52A2F">
        <w:rPr>
          <w:rStyle w:val="FootnoteReference"/>
        </w:rPr>
        <w:footnoteRef/>
      </w:r>
      <w:r>
        <w:t xml:space="preserve"> Story, TR. 1029:17-1031:24.</w:t>
      </w:r>
    </w:p>
  </w:footnote>
  <w:footnote w:id="243">
    <w:p w:rsidR="006E272D" w:rsidRPr="00711D59" w:rsidRDefault="006E272D">
      <w:pPr>
        <w:pStyle w:val="FootnoteText"/>
      </w:pPr>
      <w:r w:rsidRPr="00867F5D">
        <w:rPr>
          <w:rStyle w:val="FootnoteReference"/>
        </w:rPr>
        <w:footnoteRef/>
      </w:r>
      <w:r>
        <w:t xml:space="preserve"> The “effective date” of a final order is the date the commissioners sign the order and not the date thereafter when rates take effect in compliance with that order.  If the Commission decides to allow PSE to defer costs incurred between the </w:t>
      </w:r>
      <w:r w:rsidRPr="00BA4061">
        <w:rPr>
          <w:i/>
        </w:rPr>
        <w:t>order</w:t>
      </w:r>
      <w:r>
        <w:t xml:space="preserve"> effective date and the </w:t>
      </w:r>
      <w:r w:rsidRPr="00BA4061">
        <w:rPr>
          <w:i/>
        </w:rPr>
        <w:t>rate</w:t>
      </w:r>
      <w:r>
        <w:t xml:space="preserve"> effective date, it should state explicitly that its order regarding LSR deferrals is effective on the date new rates take effect.  Otherwise, PSE cannot defer costs during that short interim period.</w:t>
      </w:r>
    </w:p>
  </w:footnote>
  <w:footnote w:id="244">
    <w:p w:rsidR="006E272D" w:rsidRDefault="006E272D" w:rsidP="00316884">
      <w:pPr>
        <w:pStyle w:val="BodyTextIndent"/>
        <w:spacing w:line="240" w:lineRule="auto"/>
        <w:ind w:left="0" w:firstLine="0"/>
      </w:pPr>
      <w:r w:rsidRPr="00316884">
        <w:rPr>
          <w:rStyle w:val="FootnoteReference"/>
          <w:sz w:val="20"/>
          <w:szCs w:val="20"/>
        </w:rPr>
        <w:footnoteRef/>
      </w:r>
      <w:r w:rsidRPr="00316884">
        <w:rPr>
          <w:sz w:val="20"/>
          <w:szCs w:val="20"/>
        </w:rPr>
        <w:t xml:space="preserve"> </w:t>
      </w:r>
      <w:r>
        <w:rPr>
          <w:sz w:val="20"/>
          <w:szCs w:val="20"/>
        </w:rPr>
        <w:t>Story, Exh. No.</w:t>
      </w:r>
      <w:r w:rsidRPr="00316884">
        <w:rPr>
          <w:sz w:val="20"/>
          <w:szCs w:val="20"/>
        </w:rPr>
        <w:t xml:space="preserve"> JHS-18T at 13:</w:t>
      </w:r>
      <w:r>
        <w:rPr>
          <w:sz w:val="20"/>
          <w:szCs w:val="20"/>
        </w:rPr>
        <w:t>9-14.</w:t>
      </w:r>
    </w:p>
  </w:footnote>
  <w:footnote w:id="245">
    <w:p w:rsidR="006E272D" w:rsidRPr="00B30601" w:rsidRDefault="006E272D" w:rsidP="00316884">
      <w:pPr>
        <w:pStyle w:val="FootnoteText"/>
      </w:pPr>
      <w:r w:rsidRPr="00B30601">
        <w:rPr>
          <w:rStyle w:val="FootnoteReference"/>
        </w:rPr>
        <w:footnoteRef/>
      </w:r>
      <w:r>
        <w:t xml:space="preserve"> Martin, Exh. No. RCM-1T at 23:3-11.</w:t>
      </w:r>
    </w:p>
  </w:footnote>
  <w:footnote w:id="246">
    <w:p w:rsidR="006E272D" w:rsidRPr="00B30601" w:rsidRDefault="006E272D" w:rsidP="00316884">
      <w:pPr>
        <w:pStyle w:val="FootnoteText"/>
      </w:pPr>
      <w:r w:rsidRPr="00B30601">
        <w:rPr>
          <w:rStyle w:val="FootnoteReference"/>
        </w:rPr>
        <w:footnoteRef/>
      </w:r>
      <w:r>
        <w:t xml:space="preserve"> Story, Exh. No. JHS-18T at 43:1-6.</w:t>
      </w:r>
    </w:p>
  </w:footnote>
  <w:footnote w:id="247">
    <w:p w:rsidR="006E272D" w:rsidRDefault="006E272D">
      <w:pPr>
        <w:pStyle w:val="FootnoteText"/>
      </w:pPr>
      <w:r>
        <w:rPr>
          <w:rStyle w:val="FootnoteReference"/>
        </w:rPr>
        <w:footnoteRef/>
      </w:r>
      <w:r>
        <w:t xml:space="preserve"> Smith, Exh. No. RCS-1T at 33-40.</w:t>
      </w:r>
    </w:p>
  </w:footnote>
  <w:footnote w:id="248">
    <w:p w:rsidR="006E272D" w:rsidRDefault="006E272D">
      <w:pPr>
        <w:pStyle w:val="FootnoteText"/>
      </w:pPr>
      <w:r>
        <w:rPr>
          <w:rStyle w:val="FootnoteReference"/>
        </w:rPr>
        <w:footnoteRef/>
      </w:r>
      <w:r>
        <w:t xml:space="preserve"> Smith, Exh. No. RCS-1T at 31:8-19.</w:t>
      </w:r>
    </w:p>
  </w:footnote>
  <w:footnote w:id="249">
    <w:p w:rsidR="006E272D" w:rsidRDefault="006E272D">
      <w:pPr>
        <w:pStyle w:val="FootnoteText"/>
      </w:pPr>
      <w:r>
        <w:rPr>
          <w:rStyle w:val="FootnoteReference"/>
        </w:rPr>
        <w:footnoteRef/>
      </w:r>
      <w:r>
        <w:t xml:space="preserve"> Smith, Exh. No. RCS-3.</w:t>
      </w:r>
      <w:r w:rsidRPr="00D25FE2">
        <w:t xml:space="preserve"> </w:t>
      </w:r>
      <w:r>
        <w:t>The $41.414 million reduction in electric rate base is reflected in Adjustment 14.04, Federal Income Tax.  Martin, Exh. No. RCM-2 at 20:22. The $24.564 million reduction in gas rate base is reflected in Adjustment 6.04, Federal Income Tax.  Mickelson, Exh. No. CTM-2 at 13:26.</w:t>
      </w:r>
    </w:p>
  </w:footnote>
  <w:footnote w:id="250">
    <w:p w:rsidR="006E272D" w:rsidRDefault="006E272D" w:rsidP="00C30071">
      <w:pPr>
        <w:pStyle w:val="FootnoteText"/>
      </w:pPr>
      <w:r>
        <w:rPr>
          <w:rStyle w:val="FootnoteReference"/>
        </w:rPr>
        <w:footnoteRef/>
      </w:r>
      <w:r>
        <w:t xml:space="preserve"> Smith, Exh. No. RCS-1T at 4:1-2.</w:t>
      </w:r>
    </w:p>
  </w:footnote>
  <w:footnote w:id="251">
    <w:p w:rsidR="006E272D" w:rsidRDefault="006E272D" w:rsidP="00C30071">
      <w:pPr>
        <w:pStyle w:val="FootnoteText"/>
      </w:pPr>
      <w:r>
        <w:rPr>
          <w:rStyle w:val="FootnoteReference"/>
        </w:rPr>
        <w:footnoteRef/>
      </w:r>
      <w:r>
        <w:t xml:space="preserve"> Marcelia, TR. 959:18-25.</w:t>
      </w:r>
    </w:p>
  </w:footnote>
  <w:footnote w:id="252">
    <w:p w:rsidR="006E272D" w:rsidRDefault="006E272D" w:rsidP="00C30071">
      <w:pPr>
        <w:pStyle w:val="FootnoteText"/>
      </w:pPr>
      <w:r>
        <w:rPr>
          <w:rStyle w:val="FootnoteReference"/>
        </w:rPr>
        <w:footnoteRef/>
      </w:r>
      <w:r>
        <w:t xml:space="preserve"> Marcelia, TR. 958:24-959:4.</w:t>
      </w:r>
    </w:p>
  </w:footnote>
  <w:footnote w:id="253">
    <w:p w:rsidR="006E272D" w:rsidRDefault="006E272D" w:rsidP="00C30071">
      <w:pPr>
        <w:pStyle w:val="FootnoteText"/>
      </w:pPr>
      <w:r>
        <w:rPr>
          <w:rStyle w:val="FootnoteReference"/>
        </w:rPr>
        <w:footnoteRef/>
      </w:r>
      <w:r>
        <w:t xml:space="preserve"> Marcelia, TR. 960:3-7.</w:t>
      </w:r>
    </w:p>
  </w:footnote>
  <w:footnote w:id="254">
    <w:p w:rsidR="006E272D" w:rsidRDefault="006E272D" w:rsidP="00C30071">
      <w:pPr>
        <w:pStyle w:val="FootnoteText"/>
      </w:pPr>
      <w:r>
        <w:rPr>
          <w:rStyle w:val="FootnoteReference"/>
        </w:rPr>
        <w:footnoteRef/>
      </w:r>
      <w:r>
        <w:t xml:space="preserve"> Marcelia, TR. 960:12-23.</w:t>
      </w:r>
    </w:p>
  </w:footnote>
  <w:footnote w:id="255">
    <w:p w:rsidR="006E272D" w:rsidRDefault="006E272D">
      <w:pPr>
        <w:pStyle w:val="FootnoteText"/>
      </w:pPr>
      <w:r>
        <w:rPr>
          <w:rStyle w:val="FootnoteReference"/>
        </w:rPr>
        <w:footnoteRef/>
      </w:r>
      <w:r>
        <w:t xml:space="preserve"> Smith, Exh. No. RCS-3.</w:t>
      </w:r>
    </w:p>
  </w:footnote>
  <w:footnote w:id="256">
    <w:p w:rsidR="006E272D" w:rsidRDefault="006E272D">
      <w:pPr>
        <w:pStyle w:val="FootnoteText"/>
      </w:pPr>
      <w:r>
        <w:rPr>
          <w:rStyle w:val="FootnoteReference"/>
        </w:rPr>
        <w:footnoteRef/>
      </w:r>
      <w:r>
        <w:t xml:space="preserve"> Smith, Exh. No. RCS-1T at 5:7-11.</w:t>
      </w:r>
    </w:p>
  </w:footnote>
  <w:footnote w:id="257">
    <w:p w:rsidR="006E272D" w:rsidRDefault="006E272D" w:rsidP="00C30071">
      <w:pPr>
        <w:pStyle w:val="FootnoteText"/>
      </w:pPr>
      <w:r>
        <w:rPr>
          <w:rStyle w:val="FootnoteReference"/>
        </w:rPr>
        <w:footnoteRef/>
      </w:r>
      <w:r>
        <w:t xml:space="preserve"> Smith, Exh. No. RCS-1T at 8:10-21.</w:t>
      </w:r>
    </w:p>
  </w:footnote>
  <w:footnote w:id="258">
    <w:p w:rsidR="006E272D" w:rsidRDefault="006E272D" w:rsidP="00AA1CF5">
      <w:pPr>
        <w:pStyle w:val="FootnoteText"/>
      </w:pPr>
      <w:r>
        <w:rPr>
          <w:rStyle w:val="FootnoteReference"/>
        </w:rPr>
        <w:footnoteRef/>
      </w:r>
      <w:r>
        <w:t xml:space="preserve"> Marcelia, Exh. No. MRM-1T at 18-19 and Marcelia, Exh. No. MRM-14T at 45.</w:t>
      </w:r>
    </w:p>
  </w:footnote>
  <w:footnote w:id="259">
    <w:p w:rsidR="006E272D" w:rsidRDefault="006E272D">
      <w:pPr>
        <w:pStyle w:val="FootnoteText"/>
      </w:pPr>
      <w:r>
        <w:rPr>
          <w:rStyle w:val="FootnoteReference"/>
        </w:rPr>
        <w:footnoteRef/>
      </w:r>
      <w:r>
        <w:t xml:space="preserve"> </w:t>
      </w:r>
      <w:r w:rsidRPr="005D4677">
        <w:rPr>
          <w:i/>
        </w:rPr>
        <w:t>WUTC v. Puget Sound Energy, Inc</w:t>
      </w:r>
      <w:r>
        <w:t>., Dockets UE-090704 and UG-090705, Order 11 at ¶197 (April 2, 2010).</w:t>
      </w:r>
    </w:p>
  </w:footnote>
  <w:footnote w:id="260">
    <w:p w:rsidR="006E272D" w:rsidRDefault="006E272D">
      <w:pPr>
        <w:pStyle w:val="FootnoteText"/>
      </w:pPr>
      <w:r>
        <w:rPr>
          <w:rStyle w:val="FootnoteReference"/>
        </w:rPr>
        <w:footnoteRef/>
      </w:r>
      <w:r>
        <w:t xml:space="preserve"> </w:t>
      </w:r>
      <w:r w:rsidRPr="009F3429">
        <w:rPr>
          <w:i/>
        </w:rPr>
        <w:t>WUTC v. PacifiCorp, d/b/a Pacific Power &amp; Light Co</w:t>
      </w:r>
      <w:r>
        <w:rPr>
          <w:i/>
        </w:rPr>
        <w:t xml:space="preserve">., </w:t>
      </w:r>
      <w:r>
        <w:t>Docket UE-100749, Order 06 at ¶¶259-260 (March 25, 2011) (Emphasis added; Footnotes omitted).</w:t>
      </w:r>
    </w:p>
  </w:footnote>
  <w:footnote w:id="261">
    <w:p w:rsidR="006E272D" w:rsidRDefault="006E272D" w:rsidP="00C85CF9">
      <w:pPr>
        <w:pStyle w:val="FootnoteText"/>
      </w:pPr>
      <w:r>
        <w:rPr>
          <w:rStyle w:val="FootnoteReference"/>
        </w:rPr>
        <w:footnoteRef/>
      </w:r>
      <w:r>
        <w:t xml:space="preserve"> Marcelia, TR. 962:3-12 (PSE’s tax returns for 2008 and 2009 are under audit; the 2010 tax return is not presently under audit.)</w:t>
      </w:r>
    </w:p>
  </w:footnote>
  <w:footnote w:id="262">
    <w:p w:rsidR="006E272D" w:rsidRDefault="006E272D">
      <w:pPr>
        <w:pStyle w:val="FootnoteText"/>
      </w:pPr>
      <w:r>
        <w:rPr>
          <w:rStyle w:val="FootnoteReference"/>
        </w:rPr>
        <w:footnoteRef/>
      </w:r>
      <w:r>
        <w:t xml:space="preserve"> Smith, Exh. No. RCS-1T at 12:1-15.</w:t>
      </w:r>
    </w:p>
  </w:footnote>
  <w:footnote w:id="263">
    <w:p w:rsidR="006E272D" w:rsidRDefault="006E272D" w:rsidP="00346B81">
      <w:pPr>
        <w:pStyle w:val="FootnoteText"/>
      </w:pPr>
      <w:r>
        <w:rPr>
          <w:rStyle w:val="FootnoteReference"/>
        </w:rPr>
        <w:footnoteRef/>
      </w:r>
      <w:r>
        <w:t xml:space="preserve"> Marcelia, TR. at 962:13-25.</w:t>
      </w:r>
    </w:p>
  </w:footnote>
  <w:footnote w:id="264">
    <w:p w:rsidR="006E272D" w:rsidRDefault="006E272D" w:rsidP="00346B81">
      <w:pPr>
        <w:pStyle w:val="FootnoteText"/>
      </w:pPr>
      <w:r>
        <w:rPr>
          <w:rStyle w:val="FootnoteReference"/>
        </w:rPr>
        <w:footnoteRef/>
      </w:r>
      <w:r>
        <w:t xml:space="preserve"> Marcelia, TR. at 963:7-17.</w:t>
      </w:r>
    </w:p>
  </w:footnote>
  <w:footnote w:id="265">
    <w:p w:rsidR="006E272D" w:rsidRDefault="006E272D" w:rsidP="00346B81">
      <w:pPr>
        <w:pStyle w:val="FootnoteText"/>
      </w:pPr>
      <w:r>
        <w:rPr>
          <w:rStyle w:val="FootnoteReference"/>
        </w:rPr>
        <w:footnoteRef/>
      </w:r>
      <w:r>
        <w:t xml:space="preserve"> Marcelia, Exh. Nos. MRM-31CX at 12 and MRM-32CX at 14; Marcelia, TR. 966:24-967:24 (IRS audits of PacifiCorp complete only through 2003).  PacifiCorp’s financial statements also recognize that a company is subject to continuous examination by the IRS given the complex laws and regulations regarding income taxes, and that IRS audits generally take years to complete.  Marcelia, Exh. Nos. 31CX at 5 and 32CX at 6.  This disproves Mr. Marcelia’s opinion that the repairs tax accounting method change is somehow unique and complex, thereby, requiring an IRS completed audit before it can be recognized for ratemaking purposes.  See Marcelia, Exh. No. MRM-20CX at 2(1).</w:t>
      </w:r>
    </w:p>
  </w:footnote>
  <w:footnote w:id="266">
    <w:p w:rsidR="006E272D" w:rsidRDefault="006E272D" w:rsidP="000E4722">
      <w:pPr>
        <w:pStyle w:val="FootnoteText"/>
      </w:pPr>
      <w:r>
        <w:rPr>
          <w:rStyle w:val="FootnoteReference"/>
        </w:rPr>
        <w:footnoteRef/>
      </w:r>
      <w:r>
        <w:t xml:space="preserve"> Marcelia, TR. 960:25-961:2.</w:t>
      </w:r>
    </w:p>
  </w:footnote>
  <w:footnote w:id="267">
    <w:p w:rsidR="006E272D" w:rsidRDefault="006E272D" w:rsidP="00382A20">
      <w:pPr>
        <w:pStyle w:val="FootnoteText"/>
      </w:pPr>
      <w:r>
        <w:rPr>
          <w:rStyle w:val="FootnoteReference"/>
        </w:rPr>
        <w:footnoteRef/>
      </w:r>
      <w:r>
        <w:t xml:space="preserve"> Marcelia, TR. 961:3-15.</w:t>
      </w:r>
    </w:p>
  </w:footnote>
  <w:footnote w:id="268">
    <w:p w:rsidR="006E272D" w:rsidRDefault="006E272D" w:rsidP="00382A20">
      <w:pPr>
        <w:pStyle w:val="FootnoteText"/>
      </w:pPr>
      <w:r>
        <w:rPr>
          <w:rStyle w:val="FootnoteReference"/>
        </w:rPr>
        <w:footnoteRef/>
      </w:r>
      <w:r>
        <w:t xml:space="preserve"> Accounting Standards Codification (“ASC”) 740 including the former Financial Accounting Standard Board (“FASB”) Interpretation No. 48 (“FIN 48”) requires the Company to evaluate and disclose its uncertain tax positions. Marcelia, TR. 969:17-20.</w:t>
      </w:r>
    </w:p>
  </w:footnote>
  <w:footnote w:id="269">
    <w:p w:rsidR="006E272D" w:rsidRDefault="006E272D" w:rsidP="009441E3">
      <w:pPr>
        <w:pStyle w:val="FootnoteText"/>
      </w:pPr>
      <w:r>
        <w:rPr>
          <w:rStyle w:val="FootnoteReference"/>
        </w:rPr>
        <w:footnoteRef/>
      </w:r>
      <w:r>
        <w:t xml:space="preserve"> Marcelia, TR. 969:17-970:1; Marcelia, TR. 970:25-971:3; and Marcelia, Exh. No. MRM-23CX.</w:t>
      </w:r>
    </w:p>
  </w:footnote>
  <w:footnote w:id="270">
    <w:p w:rsidR="006E272D" w:rsidRDefault="006E272D" w:rsidP="005A606B">
      <w:pPr>
        <w:pStyle w:val="FootnoteText"/>
      </w:pPr>
      <w:r>
        <w:rPr>
          <w:rStyle w:val="FootnoteReference"/>
        </w:rPr>
        <w:footnoteRef/>
      </w:r>
      <w:r>
        <w:t xml:space="preserve"> Marcelia, TR. 972:13-976:6.</w:t>
      </w:r>
    </w:p>
  </w:footnote>
  <w:footnote w:id="271">
    <w:p w:rsidR="006E272D" w:rsidRDefault="006E272D" w:rsidP="0044313A">
      <w:pPr>
        <w:pStyle w:val="FootnoteText"/>
      </w:pPr>
      <w:r>
        <w:rPr>
          <w:rStyle w:val="FootnoteReference"/>
        </w:rPr>
        <w:footnoteRef/>
      </w:r>
      <w:r>
        <w:t xml:space="preserve"> Marcelia, TR. 976:15-20.  See WAC 480-100-203 (electric) and WAC 480-90-203 (gas).</w:t>
      </w:r>
    </w:p>
  </w:footnote>
  <w:footnote w:id="272">
    <w:p w:rsidR="006E272D" w:rsidRDefault="006E272D" w:rsidP="009E5B39">
      <w:pPr>
        <w:pStyle w:val="FootnoteText"/>
      </w:pPr>
      <w:r>
        <w:rPr>
          <w:rStyle w:val="FootnoteReference"/>
        </w:rPr>
        <w:footnoteRef/>
      </w:r>
      <w:r>
        <w:t xml:space="preserve"> Marcelia, TR. 976:21-23.</w:t>
      </w:r>
    </w:p>
  </w:footnote>
  <w:footnote w:id="273">
    <w:p w:rsidR="006E272D" w:rsidRDefault="006E272D">
      <w:pPr>
        <w:pStyle w:val="FootnoteText"/>
      </w:pPr>
      <w:r>
        <w:rPr>
          <w:rStyle w:val="FootnoteReference"/>
        </w:rPr>
        <w:footnoteRef/>
      </w:r>
      <w:r>
        <w:t xml:space="preserve"> Marcelia, TR. 976:25-977:4.</w:t>
      </w:r>
    </w:p>
  </w:footnote>
  <w:footnote w:id="274">
    <w:p w:rsidR="006E272D" w:rsidRDefault="006E272D" w:rsidP="009E5B39">
      <w:pPr>
        <w:pStyle w:val="FootnoteText"/>
      </w:pPr>
      <w:r>
        <w:rPr>
          <w:rStyle w:val="FootnoteReference"/>
        </w:rPr>
        <w:footnoteRef/>
      </w:r>
      <w:r>
        <w:t xml:space="preserve"> Marcelia, TR. 976:25-977:5.</w:t>
      </w:r>
    </w:p>
  </w:footnote>
  <w:footnote w:id="275">
    <w:p w:rsidR="006E272D" w:rsidRDefault="006E272D" w:rsidP="009E5B39">
      <w:pPr>
        <w:pStyle w:val="FootnoteText"/>
      </w:pPr>
      <w:r>
        <w:rPr>
          <w:rStyle w:val="FootnoteReference"/>
        </w:rPr>
        <w:footnoteRef/>
      </w:r>
      <w:r>
        <w:t xml:space="preserve"> Marcelia, TR. 977:13-20.</w:t>
      </w:r>
    </w:p>
  </w:footnote>
  <w:footnote w:id="276">
    <w:p w:rsidR="006E272D" w:rsidRDefault="006E272D" w:rsidP="00B934D7">
      <w:pPr>
        <w:pStyle w:val="FootnoteText"/>
      </w:pPr>
      <w:r>
        <w:rPr>
          <w:rStyle w:val="FootnoteReference"/>
        </w:rPr>
        <w:footnoteRef/>
      </w:r>
      <w:r>
        <w:t xml:space="preserve"> Marcelia, TR. 978:16-18.</w:t>
      </w:r>
    </w:p>
  </w:footnote>
  <w:footnote w:id="277">
    <w:p w:rsidR="006E272D" w:rsidRPr="00527850" w:rsidRDefault="006E272D">
      <w:pPr>
        <w:pStyle w:val="FootnoteText"/>
      </w:pPr>
      <w:r w:rsidRPr="00527850">
        <w:rPr>
          <w:rStyle w:val="FootnoteReference"/>
        </w:rPr>
        <w:footnoteRef/>
      </w:r>
      <w:r w:rsidRPr="00527850">
        <w:t xml:space="preserve"> </w:t>
      </w:r>
      <w:r>
        <w:t>Erdahl, Exh. No.</w:t>
      </w:r>
      <w:r w:rsidRPr="00527850">
        <w:t xml:space="preserve"> BAE-1T at 4</w:t>
      </w:r>
      <w:r>
        <w:t>:19-20 and 5:2-5</w:t>
      </w:r>
      <w:r w:rsidRPr="00527850">
        <w:t>.</w:t>
      </w:r>
      <w:r>
        <w:t xml:space="preserve">  Staff also reduced the allocation to utility operations of Kimberly Harris’ wages to the test year level of her predecessor.  PSE agrees.  Stranik, Exh. No. MJS-10T at 10:5-10.</w:t>
      </w:r>
    </w:p>
  </w:footnote>
  <w:footnote w:id="278">
    <w:p w:rsidR="006E272D" w:rsidRPr="00F15936" w:rsidRDefault="006E272D">
      <w:pPr>
        <w:pStyle w:val="FootnoteText"/>
      </w:pPr>
      <w:r w:rsidRPr="00144DE4">
        <w:rPr>
          <w:rStyle w:val="FootnoteReference"/>
        </w:rPr>
        <w:footnoteRef/>
      </w:r>
      <w:r w:rsidRPr="00144DE4">
        <w:t xml:space="preserve"> </w:t>
      </w:r>
      <w:r>
        <w:t>Stranik, Exh. No. MJS-10T) at 12:</w:t>
      </w:r>
      <w:r w:rsidRPr="00144DE4">
        <w:t>2-6</w:t>
      </w:r>
      <w:r>
        <w:t>.</w:t>
      </w:r>
    </w:p>
  </w:footnote>
  <w:footnote w:id="279">
    <w:p w:rsidR="006E272D" w:rsidRDefault="006E272D">
      <w:pPr>
        <w:pStyle w:val="FootnoteText"/>
      </w:pPr>
      <w:r w:rsidRPr="00855B38">
        <w:rPr>
          <w:rStyle w:val="FootnoteReference"/>
        </w:rPr>
        <w:footnoteRef/>
      </w:r>
      <w:r w:rsidRPr="00855B38">
        <w:t xml:space="preserve"> </w:t>
      </w:r>
      <w:r w:rsidRPr="00855B38">
        <w:rPr>
          <w:i/>
        </w:rPr>
        <w:t>WUTC v. Avista Corporation</w:t>
      </w:r>
      <w:r w:rsidRPr="00855B38">
        <w:t>, Dockets UE-090134, UG-</w:t>
      </w:r>
      <w:r>
        <w:t xml:space="preserve">090135 and UG-060518, Order 10 at </w:t>
      </w:r>
      <w:r w:rsidRPr="00855B38">
        <w:t>¶141-142 (December 22, 2009).</w:t>
      </w:r>
    </w:p>
  </w:footnote>
  <w:footnote w:id="280">
    <w:p w:rsidR="006E272D" w:rsidRPr="00855B38" w:rsidRDefault="006E272D">
      <w:pPr>
        <w:pStyle w:val="FootnoteText"/>
      </w:pPr>
      <w:r w:rsidRPr="00855B38">
        <w:rPr>
          <w:rStyle w:val="FootnoteReference"/>
        </w:rPr>
        <w:footnoteRef/>
      </w:r>
      <w:r w:rsidRPr="00855B38">
        <w:t xml:space="preserve"> </w:t>
      </w:r>
      <w:r w:rsidRPr="00855B38">
        <w:rPr>
          <w:i/>
        </w:rPr>
        <w:t>Id</w:t>
      </w:r>
      <w:r w:rsidRPr="00855B38">
        <w:t>. at ¶142, n.171.</w:t>
      </w:r>
    </w:p>
  </w:footnote>
  <w:footnote w:id="281">
    <w:p w:rsidR="006E272D" w:rsidRPr="0013368C" w:rsidRDefault="006E272D">
      <w:pPr>
        <w:pStyle w:val="FootnoteText"/>
      </w:pPr>
      <w:r w:rsidRPr="0013368C">
        <w:rPr>
          <w:rStyle w:val="FootnoteReference"/>
        </w:rPr>
        <w:footnoteRef/>
      </w:r>
      <w:r w:rsidRPr="0013368C">
        <w:t xml:space="preserve"> Staff </w:t>
      </w:r>
      <w:r>
        <w:t xml:space="preserve">and the Company adjustments both </w:t>
      </w:r>
      <w:r w:rsidRPr="0013368C">
        <w:t xml:space="preserve">exclude incentive compensation paid to executives.  </w:t>
      </w:r>
      <w:r>
        <w:t xml:space="preserve">Hunt, Exh. No. TMH-1T at 7:17-19 </w:t>
      </w:r>
      <w:r w:rsidRPr="0013368C">
        <w:t xml:space="preserve">and </w:t>
      </w:r>
      <w:r>
        <w:t>Erdahl, Exh. No. BAE-1T at 6:6-7.</w:t>
      </w:r>
    </w:p>
  </w:footnote>
  <w:footnote w:id="282">
    <w:p w:rsidR="006E272D" w:rsidRPr="00B134DF" w:rsidRDefault="006E272D">
      <w:pPr>
        <w:pStyle w:val="FootnoteText"/>
      </w:pPr>
      <w:r w:rsidRPr="00B134DF">
        <w:rPr>
          <w:rStyle w:val="FootnoteReference"/>
        </w:rPr>
        <w:footnoteRef/>
      </w:r>
      <w:r>
        <w:t xml:space="preserve"> Erdahl, Exh. No. BAE-1T at 7:5-8:4.</w:t>
      </w:r>
    </w:p>
  </w:footnote>
  <w:footnote w:id="283">
    <w:p w:rsidR="006E272D" w:rsidRPr="00C757EB" w:rsidRDefault="006E272D" w:rsidP="002A6DF3">
      <w:pPr>
        <w:pStyle w:val="FootnoteText"/>
      </w:pPr>
      <w:r w:rsidRPr="002A6DF3">
        <w:rPr>
          <w:rStyle w:val="FootnoteReference"/>
        </w:rPr>
        <w:footnoteRef/>
      </w:r>
      <w:r w:rsidRPr="002A6DF3">
        <w:rPr>
          <w:i/>
        </w:rPr>
        <w:t xml:space="preserve"> WUTC v. Avista Corporation</w:t>
      </w:r>
      <w:r w:rsidRPr="002A6DF3">
        <w:t xml:space="preserve">, Dockets UE-991606 and </w:t>
      </w:r>
      <w:r>
        <w:t>UG-991607, Third Supp. Order, ¶</w:t>
      </w:r>
      <w:r w:rsidRPr="002A6DF3">
        <w:t>271 (September 29, 2000);</w:t>
      </w:r>
      <w:r w:rsidRPr="00CC50C9">
        <w:rPr>
          <w:i/>
        </w:rPr>
        <w:t xml:space="preserve"> </w:t>
      </w:r>
      <w:r w:rsidRPr="00B50E6F">
        <w:rPr>
          <w:i/>
        </w:rPr>
        <w:t xml:space="preserve">WUTC v. </w:t>
      </w:r>
      <w:r>
        <w:rPr>
          <w:i/>
        </w:rPr>
        <w:t>Puget Sound Power &amp; Light Co.</w:t>
      </w:r>
      <w:r w:rsidRPr="00D2749C">
        <w:t>, Docket UE-0</w:t>
      </w:r>
      <w:r>
        <w:t>20433</w:t>
      </w:r>
      <w:r w:rsidRPr="00D2749C">
        <w:t xml:space="preserve">, </w:t>
      </w:r>
      <w:r>
        <w:t>11</w:t>
      </w:r>
      <w:r w:rsidRPr="00B45BE0">
        <w:rPr>
          <w:vertAlign w:val="superscript"/>
        </w:rPr>
        <w:t>th</w:t>
      </w:r>
      <w:r>
        <w:t xml:space="preserve"> Suppl. </w:t>
      </w:r>
      <w:r w:rsidRPr="00D2749C">
        <w:t xml:space="preserve">Order, </w:t>
      </w:r>
      <w:r>
        <w:t>page 61</w:t>
      </w:r>
      <w:r w:rsidRPr="00D2749C">
        <w:t xml:space="preserve"> </w:t>
      </w:r>
      <w:r>
        <w:t>(September</w:t>
      </w:r>
      <w:r w:rsidRPr="00D2749C">
        <w:t xml:space="preserve"> 2</w:t>
      </w:r>
      <w:r>
        <w:t>1</w:t>
      </w:r>
      <w:r w:rsidRPr="00D2749C">
        <w:t xml:space="preserve">, </w:t>
      </w:r>
      <w:r>
        <w:t>1993);</w:t>
      </w:r>
      <w:r w:rsidRPr="004B492E">
        <w:rPr>
          <w:i/>
        </w:rPr>
        <w:t xml:space="preserve"> </w:t>
      </w:r>
      <w:r w:rsidRPr="00B50E6F">
        <w:rPr>
          <w:i/>
        </w:rPr>
        <w:t xml:space="preserve">WUTC v. </w:t>
      </w:r>
      <w:r>
        <w:rPr>
          <w:i/>
        </w:rPr>
        <w:t>U S West</w:t>
      </w:r>
      <w:r w:rsidRPr="00D2749C">
        <w:t>, Docket U</w:t>
      </w:r>
      <w:r>
        <w:t>T</w:t>
      </w:r>
      <w:r w:rsidRPr="00D2749C">
        <w:t>-</w:t>
      </w:r>
      <w:r>
        <w:t>950200,</w:t>
      </w:r>
      <w:r w:rsidRPr="00D2749C">
        <w:t xml:space="preserve"> </w:t>
      </w:r>
      <w:r>
        <w:t>15</w:t>
      </w:r>
      <w:r w:rsidRPr="004B492E">
        <w:rPr>
          <w:vertAlign w:val="superscript"/>
        </w:rPr>
        <w:t>th</w:t>
      </w:r>
      <w:r>
        <w:t xml:space="preserve"> Supp. Order</w:t>
      </w:r>
      <w:r w:rsidRPr="00D2749C">
        <w:t xml:space="preserve">, </w:t>
      </w:r>
      <w:r>
        <w:t>page 47</w:t>
      </w:r>
      <w:r w:rsidRPr="00D2749C">
        <w:t xml:space="preserve"> </w:t>
      </w:r>
      <w:r>
        <w:t>(April</w:t>
      </w:r>
      <w:r w:rsidRPr="00D2749C">
        <w:t xml:space="preserve"> </w:t>
      </w:r>
      <w:r>
        <w:t>11</w:t>
      </w:r>
      <w:r w:rsidRPr="00D2749C">
        <w:t xml:space="preserve">, </w:t>
      </w:r>
      <w:r>
        <w:t>1996)</w:t>
      </w:r>
      <w:r w:rsidRPr="00D2749C">
        <w:t>.</w:t>
      </w:r>
    </w:p>
  </w:footnote>
  <w:footnote w:id="284">
    <w:p w:rsidR="006E272D" w:rsidRDefault="006E272D" w:rsidP="00935532">
      <w:pPr>
        <w:pStyle w:val="FootnoteText"/>
        <w:keepLines/>
      </w:pPr>
      <w:r w:rsidRPr="00935532">
        <w:rPr>
          <w:rStyle w:val="FootnoteReference"/>
        </w:rPr>
        <w:footnoteRef/>
      </w:r>
      <w:r w:rsidRPr="00935532">
        <w:t xml:space="preserve"> </w:t>
      </w:r>
      <w:r w:rsidRPr="004C143A">
        <w:rPr>
          <w:i/>
        </w:rPr>
        <w:t>WUTC v. Avista Corporation</w:t>
      </w:r>
      <w:r w:rsidRPr="004C143A">
        <w:t>, Dockets UE-090134, UG-090135 and UG-060518, Order</w:t>
      </w:r>
      <w:r>
        <w:t xml:space="preserve"> 10, ¶128-129 (December </w:t>
      </w:r>
      <w:r w:rsidRPr="004C143A">
        <w:t xml:space="preserve">22, 2009).  </w:t>
      </w:r>
    </w:p>
  </w:footnote>
  <w:footnote w:id="285">
    <w:p w:rsidR="006E272D" w:rsidRPr="00B134DF" w:rsidRDefault="006E272D" w:rsidP="003C4B35">
      <w:pPr>
        <w:pStyle w:val="FootnoteText"/>
      </w:pPr>
      <w:r w:rsidRPr="008334C4">
        <w:rPr>
          <w:rStyle w:val="FootnoteReference"/>
        </w:rPr>
        <w:footnoteRef/>
      </w:r>
      <w:r>
        <w:t xml:space="preserve"> Hunt, Exh. No. </w:t>
      </w:r>
      <w:r w:rsidRPr="008334C4">
        <w:t>TMH-11T</w:t>
      </w:r>
      <w:r>
        <w:t xml:space="preserve"> at 10:5-8.</w:t>
      </w:r>
    </w:p>
  </w:footnote>
  <w:footnote w:id="286">
    <w:p w:rsidR="006E272D" w:rsidRPr="00DF00A8" w:rsidRDefault="006E272D">
      <w:pPr>
        <w:pStyle w:val="FootnoteText"/>
      </w:pPr>
      <w:r w:rsidRPr="00794EE1">
        <w:rPr>
          <w:rStyle w:val="FootnoteReference"/>
        </w:rPr>
        <w:footnoteRef/>
      </w:r>
      <w:r w:rsidRPr="00794EE1">
        <w:t xml:space="preserve"> </w:t>
      </w:r>
      <w:r>
        <w:t xml:space="preserve">Hunt, Exh. No. TMH-11T at 10:8-10  and 11:13-20, </w:t>
      </w:r>
      <w:r w:rsidRPr="00371F1C">
        <w:rPr>
          <w:i/>
        </w:rPr>
        <w:t>citing</w:t>
      </w:r>
      <w:r>
        <w:t xml:space="preserve">, </w:t>
      </w:r>
      <w:r w:rsidRPr="008334C4">
        <w:rPr>
          <w:i/>
        </w:rPr>
        <w:t>WUTC v. PacifiCorp d/b/a Pacific Power &amp; Light</w:t>
      </w:r>
      <w:r>
        <w:t>, Docket UE-100749, Order 6 (March 25, 2011).</w:t>
      </w:r>
    </w:p>
  </w:footnote>
  <w:footnote w:id="287">
    <w:p w:rsidR="006E272D" w:rsidRPr="00DF00A8" w:rsidRDefault="006E272D">
      <w:pPr>
        <w:pStyle w:val="FootnoteText"/>
      </w:pPr>
      <w:r w:rsidRPr="00DF00A8">
        <w:rPr>
          <w:rStyle w:val="FootnoteReference"/>
        </w:rPr>
        <w:footnoteRef/>
      </w:r>
      <w:r w:rsidRPr="00DF00A8">
        <w:t xml:space="preserve"> </w:t>
      </w:r>
      <w:r w:rsidRPr="00DF00A8">
        <w:rPr>
          <w:i/>
        </w:rPr>
        <w:t>Id</w:t>
      </w:r>
      <w:r>
        <w:t>. at ¶</w:t>
      </w:r>
      <w:r w:rsidRPr="00DF00A8">
        <w:t>242.</w:t>
      </w:r>
    </w:p>
  </w:footnote>
  <w:footnote w:id="288">
    <w:p w:rsidR="006E272D" w:rsidRPr="00C95B11" w:rsidRDefault="006E272D">
      <w:pPr>
        <w:pStyle w:val="FootnoteText"/>
      </w:pPr>
      <w:r w:rsidRPr="00C95B11">
        <w:rPr>
          <w:rStyle w:val="FootnoteReference"/>
        </w:rPr>
        <w:footnoteRef/>
      </w:r>
      <w:r w:rsidRPr="00C95B11">
        <w:t xml:space="preserve"> </w:t>
      </w:r>
      <w:r w:rsidRPr="00C95B11">
        <w:rPr>
          <w:i/>
        </w:rPr>
        <w:t>Id</w:t>
      </w:r>
      <w:r w:rsidRPr="00C95B11">
        <w:t xml:space="preserve">. </w:t>
      </w:r>
    </w:p>
  </w:footnote>
  <w:footnote w:id="289">
    <w:p w:rsidR="006E272D" w:rsidRPr="009230D2" w:rsidRDefault="006E272D">
      <w:pPr>
        <w:pStyle w:val="FootnoteText"/>
      </w:pPr>
      <w:r w:rsidRPr="009230D2">
        <w:rPr>
          <w:rStyle w:val="FootnoteReference"/>
        </w:rPr>
        <w:footnoteRef/>
      </w:r>
      <w:r w:rsidRPr="009230D2">
        <w:t xml:space="preserve"> </w:t>
      </w:r>
      <w:r>
        <w:t>Hunt, Exh. No. TMH-10 at 4.</w:t>
      </w:r>
    </w:p>
  </w:footnote>
  <w:footnote w:id="290">
    <w:p w:rsidR="006E272D" w:rsidRPr="008334C4" w:rsidRDefault="006E272D">
      <w:pPr>
        <w:pStyle w:val="FootnoteText"/>
      </w:pPr>
      <w:r w:rsidRPr="008334C4">
        <w:rPr>
          <w:rStyle w:val="FootnoteReference"/>
        </w:rPr>
        <w:footnoteRef/>
      </w:r>
      <w:r>
        <w:t xml:space="preserve"> Hunt, Exh. No. TMH-11T at 9:14-17.</w:t>
      </w:r>
    </w:p>
  </w:footnote>
  <w:footnote w:id="291">
    <w:p w:rsidR="006E272D" w:rsidRPr="00196E3E" w:rsidRDefault="006E272D" w:rsidP="00CE70D8">
      <w:pPr>
        <w:pStyle w:val="FootnoteText"/>
      </w:pPr>
      <w:r w:rsidRPr="00196E3E">
        <w:rPr>
          <w:rStyle w:val="FootnoteReference"/>
        </w:rPr>
        <w:footnoteRef/>
      </w:r>
      <w:r w:rsidRPr="00196E3E">
        <w:t xml:space="preserve"> </w:t>
      </w:r>
      <w:r w:rsidRPr="00196E3E">
        <w:rPr>
          <w:i/>
        </w:rPr>
        <w:t>WUTC v. Puget Sound Energy, Inc</w:t>
      </w:r>
      <w:r w:rsidRPr="00196E3E">
        <w:t>., Dockets UE-0907</w:t>
      </w:r>
      <w:r>
        <w:t>04 and UG-090705, Order 12 at ¶</w:t>
      </w:r>
      <w:r w:rsidRPr="00196E3E">
        <w:t>59 (April 2, 2010).</w:t>
      </w:r>
    </w:p>
  </w:footnote>
  <w:footnote w:id="292">
    <w:p w:rsidR="006E272D" w:rsidRPr="00196E3E" w:rsidRDefault="006E272D" w:rsidP="00CE70D8">
      <w:pPr>
        <w:pStyle w:val="FootnoteText"/>
      </w:pPr>
      <w:r w:rsidRPr="00196E3E">
        <w:rPr>
          <w:rStyle w:val="FootnoteReference"/>
        </w:rPr>
        <w:footnoteRef/>
      </w:r>
      <w:r>
        <w:t xml:space="preserve"> Applegate, Exh. No. </w:t>
      </w:r>
      <w:r w:rsidRPr="00196E3E">
        <w:t>RTA</w:t>
      </w:r>
      <w:r>
        <w:t xml:space="preserve">-1T at 13:15-21 and Applegate, Exh. No. </w:t>
      </w:r>
      <w:r w:rsidRPr="00196E3E">
        <w:t xml:space="preserve">RTA-6 referencing </w:t>
      </w:r>
      <w:r>
        <w:t>Marcelia, Exh. No. MRM-13.</w:t>
      </w:r>
    </w:p>
  </w:footnote>
  <w:footnote w:id="293">
    <w:p w:rsidR="006E272D" w:rsidRDefault="006E272D">
      <w:pPr>
        <w:pStyle w:val="FootnoteText"/>
      </w:pPr>
      <w:r w:rsidRPr="007702A8">
        <w:rPr>
          <w:rStyle w:val="FootnoteReference"/>
        </w:rPr>
        <w:footnoteRef/>
      </w:r>
      <w:r w:rsidRPr="007702A8">
        <w:t xml:space="preserve"> </w:t>
      </w:r>
      <w:r>
        <w:t xml:space="preserve">Applegate, Exh. No. </w:t>
      </w:r>
      <w:r w:rsidRPr="00196E3E">
        <w:t>RTA</w:t>
      </w:r>
      <w:r>
        <w:t>-1T at 14</w:t>
      </w:r>
      <w:r w:rsidRPr="00196E3E">
        <w:t>:</w:t>
      </w:r>
      <w:r>
        <w:t>8-14.</w:t>
      </w:r>
    </w:p>
  </w:footnote>
  <w:footnote w:id="294">
    <w:p w:rsidR="006E272D" w:rsidRPr="00196E3E" w:rsidRDefault="006E272D" w:rsidP="00CE70D8">
      <w:pPr>
        <w:pStyle w:val="FootnoteText"/>
      </w:pPr>
      <w:r w:rsidRPr="00196E3E">
        <w:rPr>
          <w:rStyle w:val="FootnoteReference"/>
        </w:rPr>
        <w:footnoteRef/>
      </w:r>
      <w:r w:rsidRPr="00196E3E">
        <w:t xml:space="preserve"> </w:t>
      </w:r>
      <w:r>
        <w:t>Marcelia, TR</w:t>
      </w:r>
      <w:r w:rsidRPr="00196E3E">
        <w:t>. 1010:18-19</w:t>
      </w:r>
      <w:r>
        <w:t>.</w:t>
      </w:r>
    </w:p>
  </w:footnote>
  <w:footnote w:id="295">
    <w:p w:rsidR="006E272D" w:rsidRPr="00196E3E" w:rsidRDefault="006E272D" w:rsidP="00CE70D8">
      <w:pPr>
        <w:pStyle w:val="FootnoteText"/>
      </w:pPr>
      <w:r w:rsidRPr="00196E3E">
        <w:rPr>
          <w:rStyle w:val="FootnoteReference"/>
        </w:rPr>
        <w:footnoteRef/>
      </w:r>
      <w:r w:rsidRPr="00196E3E">
        <w:t xml:space="preserve"> </w:t>
      </w:r>
      <w:r>
        <w:t xml:space="preserve">Applegate, Exh. No. </w:t>
      </w:r>
      <w:r w:rsidRPr="00196E3E">
        <w:t>RTA</w:t>
      </w:r>
      <w:r>
        <w:t xml:space="preserve">-1T </w:t>
      </w:r>
      <w:r w:rsidRPr="00196E3E">
        <w:t>at 15:1-6</w:t>
      </w:r>
      <w:r>
        <w:t>.</w:t>
      </w:r>
    </w:p>
  </w:footnote>
  <w:footnote w:id="296">
    <w:p w:rsidR="006E272D" w:rsidRPr="00196E3E" w:rsidRDefault="006E272D" w:rsidP="00BA6484">
      <w:pPr>
        <w:spacing w:after="0" w:line="240" w:lineRule="auto"/>
      </w:pPr>
      <w:r w:rsidRPr="002545AA">
        <w:rPr>
          <w:rStyle w:val="FootnoteReference"/>
          <w:rFonts w:ascii="Times New Roman" w:hAnsi="Times New Roman"/>
          <w:sz w:val="20"/>
          <w:szCs w:val="20"/>
        </w:rPr>
        <w:footnoteRef/>
      </w:r>
      <w:r w:rsidRPr="002545AA">
        <w:rPr>
          <w:rFonts w:ascii="Times New Roman" w:hAnsi="Times New Roman" w:cs="Times New Roman"/>
          <w:sz w:val="20"/>
          <w:szCs w:val="20"/>
        </w:rPr>
        <w:t xml:space="preserve"> Marcelia, TR. 1003:16-1004:7.  PSE </w:t>
      </w:r>
      <w:r>
        <w:rPr>
          <w:rFonts w:ascii="Times New Roman" w:hAnsi="Times New Roman" w:cs="Times New Roman"/>
          <w:sz w:val="20"/>
          <w:szCs w:val="20"/>
        </w:rPr>
        <w:t xml:space="preserve">also </w:t>
      </w:r>
      <w:r w:rsidRPr="002545AA">
        <w:rPr>
          <w:rFonts w:ascii="Times New Roman" w:hAnsi="Times New Roman" w:cs="Times New Roman"/>
          <w:sz w:val="20"/>
          <w:szCs w:val="20"/>
        </w:rPr>
        <w:t>used forecast</w:t>
      </w:r>
      <w:r>
        <w:rPr>
          <w:rFonts w:ascii="Times New Roman" w:hAnsi="Times New Roman" w:cs="Times New Roman"/>
          <w:sz w:val="20"/>
          <w:szCs w:val="20"/>
        </w:rPr>
        <w:t>ed</w:t>
      </w:r>
      <w:r w:rsidRPr="002545AA">
        <w:rPr>
          <w:rFonts w:ascii="Times New Roman" w:hAnsi="Times New Roman" w:cs="Times New Roman"/>
          <w:sz w:val="20"/>
          <w:szCs w:val="20"/>
        </w:rPr>
        <w:t xml:space="preserve"> Washington electric and gas levy rates to calculate it</w:t>
      </w:r>
      <w:r>
        <w:rPr>
          <w:rFonts w:ascii="Times New Roman" w:hAnsi="Times New Roman" w:cs="Times New Roman"/>
          <w:sz w:val="20"/>
          <w:szCs w:val="20"/>
        </w:rPr>
        <w:t>s</w:t>
      </w:r>
      <w:r w:rsidRPr="002545AA">
        <w:rPr>
          <w:rFonts w:ascii="Times New Roman" w:hAnsi="Times New Roman" w:cs="Times New Roman"/>
          <w:sz w:val="20"/>
          <w:szCs w:val="20"/>
        </w:rPr>
        <w:t xml:space="preserve"> response to Bench Request 17</w:t>
      </w:r>
      <w:r>
        <w:rPr>
          <w:rFonts w:ascii="Times New Roman" w:hAnsi="Times New Roman" w:cs="Times New Roman"/>
          <w:sz w:val="20"/>
          <w:szCs w:val="20"/>
        </w:rPr>
        <w:t>.  Marcelia, Exh. No. B-17 at Attachment A:17.</w:t>
      </w:r>
    </w:p>
  </w:footnote>
  <w:footnote w:id="297">
    <w:p w:rsidR="006E272D" w:rsidRDefault="006E272D" w:rsidP="00BA6484">
      <w:pPr>
        <w:pStyle w:val="FootnoteText"/>
      </w:pPr>
      <w:r>
        <w:rPr>
          <w:rStyle w:val="FootnoteReference"/>
        </w:rPr>
        <w:footnoteRef/>
      </w:r>
      <w:r>
        <w:t xml:space="preserve"> Marcelia, Exh. No. B-19 at Attachment A.</w:t>
      </w:r>
    </w:p>
  </w:footnote>
  <w:footnote w:id="298">
    <w:p w:rsidR="006E272D" w:rsidRPr="0079294B" w:rsidRDefault="006E272D" w:rsidP="00101031">
      <w:pPr>
        <w:pStyle w:val="FootnoteText"/>
      </w:pPr>
      <w:r w:rsidRPr="0079294B">
        <w:rPr>
          <w:rStyle w:val="FootnoteReference"/>
        </w:rPr>
        <w:footnoteRef/>
      </w:r>
      <w:r>
        <w:t xml:space="preserve"> Marcelia, Exh. No. MRM-1T at 44:17-19.</w:t>
      </w:r>
    </w:p>
  </w:footnote>
  <w:footnote w:id="299">
    <w:p w:rsidR="006E272D" w:rsidRPr="0079294B" w:rsidRDefault="006E272D" w:rsidP="00101031">
      <w:pPr>
        <w:pStyle w:val="FootnoteText"/>
      </w:pPr>
      <w:r w:rsidRPr="0079294B">
        <w:rPr>
          <w:rStyle w:val="FootnoteReference"/>
        </w:rPr>
        <w:footnoteRef/>
      </w:r>
      <w:r>
        <w:t xml:space="preserve"> Marcelia, TR. 1010:5-7.</w:t>
      </w:r>
    </w:p>
  </w:footnote>
  <w:footnote w:id="300">
    <w:p w:rsidR="006E272D" w:rsidRPr="0079294B" w:rsidRDefault="006E272D" w:rsidP="00101031">
      <w:pPr>
        <w:pStyle w:val="FootnoteText"/>
      </w:pPr>
      <w:r w:rsidRPr="0079294B">
        <w:rPr>
          <w:rStyle w:val="FootnoteReference"/>
        </w:rPr>
        <w:footnoteRef/>
      </w:r>
      <w:r>
        <w:t xml:space="preserve"> Marcelia, TR. 1009:12-15.</w:t>
      </w:r>
    </w:p>
  </w:footnote>
  <w:footnote w:id="301">
    <w:p w:rsidR="006E272D" w:rsidRPr="0079294B" w:rsidRDefault="006E272D" w:rsidP="00101031">
      <w:pPr>
        <w:pStyle w:val="FootnoteText"/>
      </w:pPr>
      <w:r w:rsidRPr="0079294B">
        <w:rPr>
          <w:rStyle w:val="FootnoteReference"/>
        </w:rPr>
        <w:footnoteRef/>
      </w:r>
      <w:r>
        <w:t xml:space="preserve"> Applegate, Exh. No. </w:t>
      </w:r>
      <w:r w:rsidRPr="00196E3E">
        <w:t>RTA</w:t>
      </w:r>
      <w:r>
        <w:t>-1T at 14:6-14</w:t>
      </w:r>
      <w:r w:rsidRPr="0079294B">
        <w:t>.</w:t>
      </w:r>
    </w:p>
  </w:footnote>
  <w:footnote w:id="302">
    <w:p w:rsidR="006E272D" w:rsidRDefault="006E272D">
      <w:pPr>
        <w:pStyle w:val="FootnoteText"/>
      </w:pPr>
      <w:r>
        <w:rPr>
          <w:rStyle w:val="FootnoteReference"/>
        </w:rPr>
        <w:footnoteRef/>
      </w:r>
      <w:r>
        <w:t xml:space="preserve"> </w:t>
      </w:r>
      <w:r w:rsidRPr="00E71297">
        <w:rPr>
          <w:i/>
        </w:rPr>
        <w:t>WUTC v. Avista Corporation</w:t>
      </w:r>
      <w:r w:rsidRPr="00E71297">
        <w:t>, Dockets UE-090134, UG-090135 and UG</w:t>
      </w:r>
      <w:r>
        <w:t>-060518, Order 10 at ¶</w:t>
      </w:r>
      <w:r w:rsidRPr="00E71297">
        <w:t>141-142 (December</w:t>
      </w:r>
      <w:r w:rsidRPr="00D2749C">
        <w:t xml:space="preserve"> 22, 200</w:t>
      </w:r>
      <w:r>
        <w:t>9).</w:t>
      </w:r>
    </w:p>
  </w:footnote>
  <w:footnote w:id="303">
    <w:p w:rsidR="006E272D" w:rsidRPr="000A40FD" w:rsidRDefault="006E272D">
      <w:pPr>
        <w:pStyle w:val="FootnoteText"/>
      </w:pPr>
      <w:r w:rsidRPr="000A40FD">
        <w:rPr>
          <w:rStyle w:val="FootnoteReference"/>
        </w:rPr>
        <w:footnoteRef/>
      </w:r>
      <w:r w:rsidRPr="000A40FD">
        <w:t xml:space="preserve"> </w:t>
      </w:r>
      <w:r>
        <w:t>Erdahl, Exh. No. BAE-1T at 9:9-13.</w:t>
      </w:r>
    </w:p>
  </w:footnote>
  <w:footnote w:id="304">
    <w:p w:rsidR="006E272D" w:rsidRPr="00C757EB" w:rsidRDefault="006E272D" w:rsidP="0073589F">
      <w:pPr>
        <w:pStyle w:val="FootnoteText"/>
      </w:pPr>
      <w:r w:rsidRPr="00E71297">
        <w:rPr>
          <w:rStyle w:val="FootnoteReference"/>
        </w:rPr>
        <w:footnoteRef/>
      </w:r>
      <w:r w:rsidRPr="00E71297">
        <w:t xml:space="preserve"> </w:t>
      </w:r>
      <w:r w:rsidRPr="00E71297">
        <w:rPr>
          <w:i/>
        </w:rPr>
        <w:t>WUTC v. Avista Corporation</w:t>
      </w:r>
      <w:r w:rsidRPr="00E71297">
        <w:t>, Dockets UE-090134, UG-09</w:t>
      </w:r>
      <w:r>
        <w:t>0135 and UG-060518, Order 10 at ¶</w:t>
      </w:r>
      <w:r w:rsidRPr="00E71297">
        <w:t>141-142 (December</w:t>
      </w:r>
      <w:r w:rsidRPr="00D2749C">
        <w:t xml:space="preserve"> 22, 200</w:t>
      </w:r>
      <w:r>
        <w:t>9).</w:t>
      </w:r>
    </w:p>
  </w:footnote>
  <w:footnote w:id="305">
    <w:p w:rsidR="006E272D" w:rsidRPr="003A3217" w:rsidRDefault="006E272D">
      <w:pPr>
        <w:pStyle w:val="FootnoteText"/>
      </w:pPr>
      <w:r w:rsidRPr="003A3217">
        <w:rPr>
          <w:rStyle w:val="FootnoteReference"/>
        </w:rPr>
        <w:footnoteRef/>
      </w:r>
      <w:r w:rsidRPr="003A3217">
        <w:t xml:space="preserve"> </w:t>
      </w:r>
      <w:r>
        <w:t>Stranik, Exh. No. MJS-10T at 15:16-19.</w:t>
      </w:r>
    </w:p>
  </w:footnote>
  <w:footnote w:id="306">
    <w:p w:rsidR="006E272D" w:rsidRPr="003A3217" w:rsidRDefault="006E272D">
      <w:pPr>
        <w:pStyle w:val="FootnoteText"/>
      </w:pPr>
      <w:r w:rsidRPr="003A3217">
        <w:rPr>
          <w:rStyle w:val="FootnoteReference"/>
        </w:rPr>
        <w:footnoteRef/>
      </w:r>
      <w:r w:rsidRPr="003A3217">
        <w:t xml:space="preserve"> </w:t>
      </w:r>
      <w:r>
        <w:t>Stranik, Exh. No. MJS-10T at 16:12-15 and 17:12-13.</w:t>
      </w:r>
    </w:p>
  </w:footnote>
  <w:footnote w:id="307">
    <w:p w:rsidR="006E272D" w:rsidRPr="00501116" w:rsidRDefault="006E272D">
      <w:pPr>
        <w:pStyle w:val="FootnoteText"/>
      </w:pPr>
      <w:r w:rsidRPr="00501116">
        <w:rPr>
          <w:rStyle w:val="FootnoteReference"/>
        </w:rPr>
        <w:footnoteRef/>
      </w:r>
      <w:r>
        <w:t xml:space="preserve"> Stranik, Exh. No. MJS-22CX at 2:3-4.</w:t>
      </w:r>
    </w:p>
  </w:footnote>
  <w:footnote w:id="308">
    <w:p w:rsidR="006E272D" w:rsidRPr="00501116" w:rsidRDefault="006E272D">
      <w:pPr>
        <w:pStyle w:val="FootnoteText"/>
      </w:pPr>
      <w:r w:rsidRPr="00501116">
        <w:rPr>
          <w:rStyle w:val="FootnoteReference"/>
        </w:rPr>
        <w:footnoteRef/>
      </w:r>
      <w:r>
        <w:t xml:space="preserve"> Stranik, Exh. No. MJS-10T at 16:17-21.</w:t>
      </w:r>
    </w:p>
  </w:footnote>
  <w:footnote w:id="309">
    <w:p w:rsidR="006E272D" w:rsidRPr="00C757EB" w:rsidRDefault="006E272D" w:rsidP="000F276F">
      <w:pPr>
        <w:pStyle w:val="FootnoteText"/>
      </w:pPr>
      <w:r w:rsidRPr="009A4BB9">
        <w:rPr>
          <w:rStyle w:val="FootnoteReference"/>
        </w:rPr>
        <w:footnoteRef/>
      </w:r>
      <w:r w:rsidRPr="009A4BB9">
        <w:t xml:space="preserve"> </w:t>
      </w:r>
      <w:r w:rsidRPr="009A4BB9">
        <w:rPr>
          <w:i/>
        </w:rPr>
        <w:t>WUTC v.</w:t>
      </w:r>
      <w:r w:rsidRPr="000B2451">
        <w:rPr>
          <w:i/>
        </w:rPr>
        <w:t xml:space="preserve"> </w:t>
      </w:r>
      <w:r>
        <w:rPr>
          <w:i/>
        </w:rPr>
        <w:t>Puget Sound Energy, Inc.</w:t>
      </w:r>
      <w:r w:rsidRPr="00D2749C">
        <w:t>, Docket</w:t>
      </w:r>
      <w:r>
        <w:t>s</w:t>
      </w:r>
      <w:r w:rsidRPr="00D2749C">
        <w:t xml:space="preserve"> UE-090</w:t>
      </w:r>
      <w:r>
        <w:t>704 and</w:t>
      </w:r>
      <w:r w:rsidRPr="00D2749C">
        <w:t xml:space="preserve"> UG-09</w:t>
      </w:r>
      <w:r>
        <w:t>0705</w:t>
      </w:r>
      <w:r w:rsidRPr="00D2749C">
        <w:t>, Order 1</w:t>
      </w:r>
      <w:r>
        <w:t>1</w:t>
      </w:r>
      <w:r w:rsidRPr="00D2749C">
        <w:t xml:space="preserve">, </w:t>
      </w:r>
      <w:r>
        <w:t>¶60</w:t>
      </w:r>
      <w:r w:rsidRPr="00D2749C">
        <w:t xml:space="preserve"> </w:t>
      </w:r>
      <w:r>
        <w:t>(April</w:t>
      </w:r>
      <w:r w:rsidRPr="00D2749C">
        <w:t xml:space="preserve"> 2, 20</w:t>
      </w:r>
      <w:r>
        <w:t>10)</w:t>
      </w:r>
      <w:r w:rsidRPr="00D2749C">
        <w:t>.</w:t>
      </w:r>
    </w:p>
  </w:footnote>
  <w:footnote w:id="310">
    <w:p w:rsidR="006E272D" w:rsidRPr="0079294B" w:rsidRDefault="006E272D" w:rsidP="00CF1FE0">
      <w:pPr>
        <w:spacing w:after="0" w:line="240" w:lineRule="auto"/>
        <w:rPr>
          <w:rFonts w:ascii="Times New Roman" w:hAnsi="Times New Roman" w:cs="Times New Roman"/>
        </w:rPr>
      </w:pPr>
      <w:r w:rsidRPr="0079294B">
        <w:rPr>
          <w:rStyle w:val="FootnoteReference"/>
          <w:rFonts w:ascii="Times New Roman" w:hAnsi="Times New Roman"/>
          <w:sz w:val="20"/>
          <w:szCs w:val="20"/>
        </w:rPr>
        <w:footnoteRef/>
      </w:r>
      <w:r>
        <w:rPr>
          <w:rFonts w:ascii="Times New Roman" w:hAnsi="Times New Roman" w:cs="Times New Roman"/>
          <w:sz w:val="20"/>
          <w:szCs w:val="20"/>
        </w:rPr>
        <w:t xml:space="preserve"> Applegate, Exh. No.</w:t>
      </w:r>
      <w:r w:rsidRPr="0079294B">
        <w:rPr>
          <w:rFonts w:ascii="Times New Roman" w:hAnsi="Times New Roman" w:cs="Times New Roman"/>
          <w:sz w:val="20"/>
          <w:szCs w:val="20"/>
        </w:rPr>
        <w:t xml:space="preserve"> R</w:t>
      </w:r>
      <w:r>
        <w:rPr>
          <w:rFonts w:ascii="Times New Roman" w:hAnsi="Times New Roman" w:cs="Times New Roman"/>
          <w:sz w:val="20"/>
          <w:szCs w:val="20"/>
        </w:rPr>
        <w:t>TA-1T at 17:3-9</w:t>
      </w:r>
      <w:r w:rsidRPr="0079294B">
        <w:rPr>
          <w:rFonts w:ascii="Times New Roman" w:hAnsi="Times New Roman" w:cs="Times New Roman"/>
          <w:sz w:val="20"/>
          <w:szCs w:val="20"/>
        </w:rPr>
        <w:t xml:space="preserve">. </w:t>
      </w:r>
      <w:r>
        <w:rPr>
          <w:rFonts w:ascii="Times New Roman" w:hAnsi="Times New Roman" w:cs="Times New Roman"/>
          <w:sz w:val="20"/>
          <w:szCs w:val="20"/>
        </w:rPr>
        <w:t xml:space="preserve"> For </w:t>
      </w:r>
      <w:r w:rsidRPr="0079294B">
        <w:rPr>
          <w:rFonts w:ascii="Times New Roman" w:hAnsi="Times New Roman" w:cs="Times New Roman"/>
          <w:sz w:val="20"/>
          <w:szCs w:val="20"/>
        </w:rPr>
        <w:t>example</w:t>
      </w:r>
      <w:r>
        <w:rPr>
          <w:rFonts w:ascii="Times New Roman" w:hAnsi="Times New Roman" w:cs="Times New Roman"/>
          <w:sz w:val="20"/>
          <w:szCs w:val="20"/>
        </w:rPr>
        <w:t>, PSE’s last general rate case</w:t>
      </w:r>
      <w:r w:rsidRPr="0079294B">
        <w:rPr>
          <w:rFonts w:ascii="Times New Roman" w:hAnsi="Times New Roman" w:cs="Times New Roman"/>
          <w:sz w:val="20"/>
          <w:szCs w:val="20"/>
        </w:rPr>
        <w:t xml:space="preserve"> saw combined electric and natural gas charges of $</w:t>
      </w:r>
      <w:r>
        <w:rPr>
          <w:rFonts w:ascii="Times New Roman" w:hAnsi="Times New Roman" w:cs="Times New Roman"/>
          <w:sz w:val="20"/>
          <w:szCs w:val="20"/>
        </w:rPr>
        <w:t>109,000</w:t>
      </w:r>
      <w:r w:rsidRPr="0079294B">
        <w:rPr>
          <w:rFonts w:ascii="Times New Roman" w:hAnsi="Times New Roman" w:cs="Times New Roman"/>
          <w:sz w:val="20"/>
          <w:szCs w:val="20"/>
        </w:rPr>
        <w:t xml:space="preserve"> in 2008, $</w:t>
      </w:r>
      <w:r>
        <w:rPr>
          <w:rFonts w:ascii="Times New Roman" w:hAnsi="Times New Roman" w:cs="Times New Roman"/>
          <w:sz w:val="20"/>
          <w:szCs w:val="20"/>
        </w:rPr>
        <w:t>1,330,000</w:t>
      </w:r>
      <w:r w:rsidRPr="0079294B">
        <w:rPr>
          <w:rFonts w:ascii="Times New Roman" w:hAnsi="Times New Roman" w:cs="Times New Roman"/>
          <w:sz w:val="20"/>
          <w:szCs w:val="20"/>
        </w:rPr>
        <w:t xml:space="preserve"> in 2009, and $</w:t>
      </w:r>
      <w:r>
        <w:rPr>
          <w:rFonts w:ascii="Times New Roman" w:hAnsi="Times New Roman" w:cs="Times New Roman"/>
          <w:sz w:val="20"/>
          <w:szCs w:val="20"/>
        </w:rPr>
        <w:t>583,486,000</w:t>
      </w:r>
      <w:r w:rsidRPr="0079294B">
        <w:rPr>
          <w:rFonts w:ascii="Times New Roman" w:hAnsi="Times New Roman" w:cs="Times New Roman"/>
          <w:sz w:val="20"/>
          <w:szCs w:val="20"/>
        </w:rPr>
        <w:t xml:space="preserve"> in 2010.  In order to match a year’s revenue with a year’s expense, this adjustment would have to be normalized by the number of years reflecting expense, not the freque</w:t>
      </w:r>
      <w:r>
        <w:rPr>
          <w:rFonts w:ascii="Times New Roman" w:hAnsi="Times New Roman" w:cs="Times New Roman"/>
          <w:sz w:val="20"/>
          <w:szCs w:val="20"/>
        </w:rPr>
        <w:t xml:space="preserve">ncy of </w:t>
      </w:r>
      <w:r w:rsidRPr="0079294B">
        <w:rPr>
          <w:rFonts w:ascii="Times New Roman" w:hAnsi="Times New Roman" w:cs="Times New Roman"/>
          <w:sz w:val="20"/>
          <w:szCs w:val="20"/>
        </w:rPr>
        <w:t>filings as PSE has done.</w:t>
      </w:r>
    </w:p>
  </w:footnote>
  <w:footnote w:id="311">
    <w:p w:rsidR="006E272D" w:rsidRPr="0079294B" w:rsidRDefault="006E272D" w:rsidP="0079294B">
      <w:pPr>
        <w:pStyle w:val="FootnoteText"/>
      </w:pPr>
      <w:r w:rsidRPr="0079294B">
        <w:rPr>
          <w:rStyle w:val="FootnoteReference"/>
        </w:rPr>
        <w:footnoteRef/>
      </w:r>
      <w:r w:rsidRPr="0079294B">
        <w:t xml:space="preserve"> </w:t>
      </w:r>
      <w:r>
        <w:t>Applegate, Exh. No.</w:t>
      </w:r>
      <w:r w:rsidRPr="0079294B">
        <w:t xml:space="preserve"> R</w:t>
      </w:r>
      <w:r>
        <w:t>TA-1T at 17:10-14.</w:t>
      </w:r>
    </w:p>
  </w:footnote>
  <w:footnote w:id="312">
    <w:p w:rsidR="006E272D" w:rsidRPr="00191B4B" w:rsidRDefault="006E272D" w:rsidP="0079294B">
      <w:pPr>
        <w:pStyle w:val="FootnoteText"/>
      </w:pPr>
      <w:r w:rsidRPr="00191B4B">
        <w:rPr>
          <w:rStyle w:val="FootnoteReference"/>
        </w:rPr>
        <w:footnoteRef/>
      </w:r>
      <w:r>
        <w:t xml:space="preserve"> Applegate, Exh. No.</w:t>
      </w:r>
      <w:r w:rsidRPr="0079294B">
        <w:t xml:space="preserve"> R</w:t>
      </w:r>
      <w:r>
        <w:t>TA-1T at 17:15-22.</w:t>
      </w:r>
    </w:p>
  </w:footnote>
  <w:footnote w:id="313">
    <w:p w:rsidR="006E272D" w:rsidRPr="00191B4B" w:rsidRDefault="006E272D" w:rsidP="00C66C1C">
      <w:pPr>
        <w:pStyle w:val="FootnoteText"/>
      </w:pPr>
      <w:r w:rsidRPr="00191B4B">
        <w:rPr>
          <w:rStyle w:val="FootnoteReference"/>
        </w:rPr>
        <w:footnoteRef/>
      </w:r>
      <w:r>
        <w:t xml:space="preserve"> Applegate, Exh. No.</w:t>
      </w:r>
      <w:r w:rsidRPr="0079294B">
        <w:t xml:space="preserve"> R</w:t>
      </w:r>
      <w:r>
        <w:t xml:space="preserve">TA-1T at </w:t>
      </w:r>
      <w:r w:rsidRPr="00191B4B">
        <w:t>1</w:t>
      </w:r>
      <w:r>
        <w:t>6:13-18.  G</w:t>
      </w:r>
      <w:r w:rsidRPr="00191B4B">
        <w:t>eneral rate cas</w:t>
      </w:r>
      <w:r>
        <w:t xml:space="preserve">e expenses in the </w:t>
      </w:r>
      <w:r w:rsidRPr="00191B4B">
        <w:t xml:space="preserve">test year </w:t>
      </w:r>
      <w:r>
        <w:t>totaled</w:t>
      </w:r>
      <w:r w:rsidRPr="00191B4B">
        <w:t xml:space="preserve"> $912,000.  </w:t>
      </w:r>
    </w:p>
  </w:footnote>
  <w:footnote w:id="314">
    <w:p w:rsidR="006E272D" w:rsidRPr="00191B4B" w:rsidRDefault="006E272D" w:rsidP="00C66C1C">
      <w:pPr>
        <w:pStyle w:val="FootnoteText"/>
      </w:pPr>
      <w:r w:rsidRPr="00191B4B">
        <w:rPr>
          <w:rStyle w:val="FootnoteReference"/>
        </w:rPr>
        <w:footnoteRef/>
      </w:r>
      <w:r>
        <w:t xml:space="preserve"> Applegate, Exh. No.</w:t>
      </w:r>
      <w:r w:rsidRPr="0079294B">
        <w:t xml:space="preserve"> R</w:t>
      </w:r>
      <w:r>
        <w:t>TA-1T at 16:19-21.</w:t>
      </w:r>
    </w:p>
  </w:footnote>
  <w:footnote w:id="315">
    <w:p w:rsidR="006E272D" w:rsidRPr="00191B4B" w:rsidRDefault="006E272D" w:rsidP="00E12919">
      <w:pPr>
        <w:pStyle w:val="FootnoteText"/>
      </w:pPr>
      <w:r w:rsidRPr="00191B4B">
        <w:rPr>
          <w:rStyle w:val="FootnoteReference"/>
        </w:rPr>
        <w:footnoteRef/>
      </w:r>
      <w:r w:rsidRPr="00191B4B">
        <w:t xml:space="preserve"> </w:t>
      </w:r>
      <w:r>
        <w:t>Stranik, Exh. No. MJS-10T at 19:2-4 and Stranik, Exhibit MJS-21.</w:t>
      </w:r>
    </w:p>
  </w:footnote>
  <w:footnote w:id="316">
    <w:p w:rsidR="006E272D" w:rsidRPr="005E5255" w:rsidRDefault="006E272D">
      <w:pPr>
        <w:pStyle w:val="FootnoteText"/>
      </w:pPr>
      <w:r w:rsidRPr="005E5255">
        <w:rPr>
          <w:rStyle w:val="FootnoteReference"/>
        </w:rPr>
        <w:footnoteRef/>
      </w:r>
      <w:r>
        <w:t xml:space="preserve"> Stranik, Exh. No. MJS-10T at 24:9-16.</w:t>
      </w:r>
    </w:p>
  </w:footnote>
  <w:footnote w:id="317">
    <w:p w:rsidR="006E272D" w:rsidRDefault="006E272D">
      <w:pPr>
        <w:pStyle w:val="FootnoteText"/>
      </w:pPr>
      <w:r>
        <w:rPr>
          <w:rStyle w:val="FootnoteReference"/>
        </w:rPr>
        <w:footnoteRef/>
      </w:r>
      <w:r>
        <w:t xml:space="preserve"> Smith, Exh. No. RCS-1T at 33:3-5.</w:t>
      </w:r>
    </w:p>
  </w:footnote>
  <w:footnote w:id="318">
    <w:p w:rsidR="006E272D" w:rsidRDefault="006E272D" w:rsidP="00865BAA">
      <w:pPr>
        <w:pStyle w:val="FootnoteText"/>
      </w:pPr>
      <w:r>
        <w:rPr>
          <w:rStyle w:val="FootnoteReference"/>
        </w:rPr>
        <w:footnoteRef/>
      </w:r>
      <w:r>
        <w:t xml:space="preserve"> Marcelia, Exh. No. MRM-30CX at 4.</w:t>
      </w:r>
    </w:p>
  </w:footnote>
  <w:footnote w:id="319">
    <w:p w:rsidR="006E272D" w:rsidRDefault="006E272D">
      <w:pPr>
        <w:pStyle w:val="FootnoteText"/>
      </w:pPr>
      <w:r>
        <w:rPr>
          <w:rStyle w:val="FootnoteReference"/>
        </w:rPr>
        <w:footnoteRef/>
      </w:r>
      <w:r>
        <w:t xml:space="preserve"> Smith, Exh. No. RCS-1T at 33:5-15.</w:t>
      </w:r>
    </w:p>
  </w:footnote>
  <w:footnote w:id="320">
    <w:p w:rsidR="006E272D" w:rsidRDefault="006E272D" w:rsidP="00FB0429">
      <w:pPr>
        <w:spacing w:after="0" w:line="240" w:lineRule="auto"/>
      </w:pPr>
      <w:r w:rsidRPr="00432CEB">
        <w:rPr>
          <w:rStyle w:val="FootnoteReference"/>
          <w:rFonts w:ascii="Times New Roman" w:hAnsi="Times New Roman"/>
          <w:sz w:val="20"/>
          <w:szCs w:val="20"/>
        </w:rPr>
        <w:footnoteRef/>
      </w:r>
      <w:r w:rsidRPr="00432CEB">
        <w:rPr>
          <w:rFonts w:ascii="Times New Roman" w:hAnsi="Times New Roman" w:cs="Times New Roman"/>
          <w:sz w:val="20"/>
          <w:szCs w:val="20"/>
        </w:rPr>
        <w:t xml:space="preserve"> </w:t>
      </w:r>
      <w:r w:rsidRPr="00FB0429">
        <w:rPr>
          <w:rFonts w:ascii="Times New Roman" w:hAnsi="Times New Roman" w:cs="Times New Roman"/>
          <w:sz w:val="20"/>
          <w:szCs w:val="20"/>
        </w:rPr>
        <w:t xml:space="preserve">PSE’s balance </w:t>
      </w:r>
      <w:r>
        <w:rPr>
          <w:rFonts w:ascii="Times New Roman" w:hAnsi="Times New Roman" w:cs="Times New Roman"/>
          <w:sz w:val="20"/>
          <w:szCs w:val="20"/>
        </w:rPr>
        <w:t xml:space="preserve">in Account 236 has </w:t>
      </w:r>
      <w:r w:rsidRPr="00FB0429">
        <w:rPr>
          <w:rFonts w:ascii="Times New Roman" w:hAnsi="Times New Roman" w:cs="Times New Roman"/>
          <w:sz w:val="20"/>
          <w:szCs w:val="20"/>
        </w:rPr>
        <w:t>ranged fr</w:t>
      </w:r>
      <w:r>
        <w:rPr>
          <w:rFonts w:ascii="Times New Roman" w:hAnsi="Times New Roman" w:cs="Times New Roman"/>
          <w:sz w:val="20"/>
          <w:szCs w:val="20"/>
        </w:rPr>
        <w:t xml:space="preserve">om large credit balances to </w:t>
      </w:r>
      <w:r w:rsidRPr="00FB0429">
        <w:rPr>
          <w:rFonts w:ascii="Times New Roman" w:hAnsi="Times New Roman" w:cs="Times New Roman"/>
          <w:sz w:val="20"/>
          <w:szCs w:val="20"/>
        </w:rPr>
        <w:t xml:space="preserve">unusually high and abnormal debit balances in late 2009 and in 2010 when PSE realized that it had vastly over-projected its income tax liability and should instead be expecting substantial tax refunds.  </w:t>
      </w:r>
      <w:r>
        <w:rPr>
          <w:rFonts w:ascii="Times New Roman" w:hAnsi="Times New Roman" w:cs="Times New Roman"/>
          <w:sz w:val="20"/>
          <w:szCs w:val="20"/>
        </w:rPr>
        <w:t xml:space="preserve">Marcelia, Exh. Nos. MRM-14T at 59:11-13 </w:t>
      </w:r>
      <w:r w:rsidRPr="00FB0429">
        <w:rPr>
          <w:rFonts w:ascii="Times New Roman" w:hAnsi="Times New Roman" w:cs="Times New Roman"/>
          <w:sz w:val="20"/>
          <w:szCs w:val="20"/>
        </w:rPr>
        <w:t>an</w:t>
      </w:r>
      <w:r>
        <w:rPr>
          <w:rFonts w:ascii="Times New Roman" w:hAnsi="Times New Roman" w:cs="Times New Roman"/>
          <w:sz w:val="20"/>
          <w:szCs w:val="20"/>
        </w:rPr>
        <w:t>d MRM-27 at 3-4</w:t>
      </w:r>
      <w:r w:rsidRPr="00FB0429">
        <w:rPr>
          <w:rFonts w:ascii="Times New Roman" w:hAnsi="Times New Roman" w:cs="Times New Roman"/>
          <w:sz w:val="20"/>
          <w:szCs w:val="20"/>
        </w:rPr>
        <w:t xml:space="preserve">.  </w:t>
      </w:r>
      <w:r>
        <w:rPr>
          <w:rFonts w:ascii="Times New Roman" w:hAnsi="Times New Roman" w:cs="Times New Roman"/>
          <w:sz w:val="20"/>
          <w:szCs w:val="20"/>
        </w:rPr>
        <w:t>However, as noted, PSE’s A</w:t>
      </w:r>
      <w:r w:rsidRPr="00FB0429">
        <w:rPr>
          <w:rFonts w:ascii="Times New Roman" w:hAnsi="Times New Roman" w:cs="Times New Roman"/>
          <w:sz w:val="20"/>
          <w:szCs w:val="20"/>
        </w:rPr>
        <w:t>ccount 236 debit bal</w:t>
      </w:r>
      <w:r>
        <w:rPr>
          <w:rFonts w:ascii="Times New Roman" w:hAnsi="Times New Roman" w:cs="Times New Roman"/>
          <w:sz w:val="20"/>
          <w:szCs w:val="20"/>
        </w:rPr>
        <w:t xml:space="preserve">ance decreased by </w:t>
      </w:r>
      <w:r w:rsidRPr="00FB0429">
        <w:rPr>
          <w:rFonts w:ascii="Times New Roman" w:hAnsi="Times New Roman" w:cs="Times New Roman"/>
          <w:sz w:val="20"/>
          <w:szCs w:val="20"/>
        </w:rPr>
        <w:t>$49</w:t>
      </w:r>
      <w:r>
        <w:rPr>
          <w:rFonts w:ascii="Times New Roman" w:hAnsi="Times New Roman" w:cs="Times New Roman"/>
          <w:sz w:val="20"/>
          <w:szCs w:val="20"/>
        </w:rPr>
        <w:t>.66</w:t>
      </w:r>
      <w:r w:rsidRPr="00FB0429">
        <w:rPr>
          <w:rFonts w:ascii="Times New Roman" w:hAnsi="Times New Roman" w:cs="Times New Roman"/>
          <w:sz w:val="20"/>
          <w:szCs w:val="20"/>
        </w:rPr>
        <w:t xml:space="preserve"> million</w:t>
      </w:r>
      <w:r>
        <w:rPr>
          <w:rFonts w:ascii="Times New Roman" w:hAnsi="Times New Roman" w:cs="Times New Roman"/>
          <w:sz w:val="20"/>
          <w:szCs w:val="20"/>
        </w:rPr>
        <w:t xml:space="preserve"> in January 2011</w:t>
      </w:r>
      <w:r w:rsidRPr="00FB0429">
        <w:rPr>
          <w:rFonts w:ascii="Times New Roman" w:hAnsi="Times New Roman" w:cs="Times New Roman"/>
          <w:sz w:val="20"/>
          <w:szCs w:val="20"/>
        </w:rPr>
        <w:t>.  While PSE contin</w:t>
      </w:r>
      <w:r>
        <w:rPr>
          <w:rFonts w:ascii="Times New Roman" w:hAnsi="Times New Roman" w:cs="Times New Roman"/>
          <w:sz w:val="20"/>
          <w:szCs w:val="20"/>
        </w:rPr>
        <w:t xml:space="preserve">ues to have a debit balance </w:t>
      </w:r>
      <w:r w:rsidRPr="00FB0429">
        <w:rPr>
          <w:rFonts w:ascii="Times New Roman" w:hAnsi="Times New Roman" w:cs="Times New Roman"/>
          <w:sz w:val="20"/>
          <w:szCs w:val="20"/>
        </w:rPr>
        <w:t>in 2011 ran</w:t>
      </w:r>
      <w:r>
        <w:rPr>
          <w:rFonts w:ascii="Times New Roman" w:hAnsi="Times New Roman" w:cs="Times New Roman"/>
          <w:sz w:val="20"/>
          <w:szCs w:val="20"/>
        </w:rPr>
        <w:t>ging from $7.5 million to $11.1</w:t>
      </w:r>
      <w:r w:rsidRPr="00FB0429">
        <w:rPr>
          <w:rFonts w:ascii="Times New Roman" w:hAnsi="Times New Roman" w:cs="Times New Roman"/>
          <w:sz w:val="20"/>
          <w:szCs w:val="20"/>
        </w:rPr>
        <w:t xml:space="preserve"> million, those balances should </w:t>
      </w:r>
      <w:r>
        <w:rPr>
          <w:rFonts w:ascii="Times New Roman" w:hAnsi="Times New Roman" w:cs="Times New Roman"/>
          <w:sz w:val="20"/>
          <w:szCs w:val="20"/>
        </w:rPr>
        <w:t xml:space="preserve">easily </w:t>
      </w:r>
      <w:r w:rsidRPr="00FB0429">
        <w:rPr>
          <w:rFonts w:ascii="Times New Roman" w:hAnsi="Times New Roman" w:cs="Times New Roman"/>
          <w:sz w:val="20"/>
          <w:szCs w:val="20"/>
        </w:rPr>
        <w:t xml:space="preserve">revert to zero </w:t>
      </w:r>
      <w:r>
        <w:rPr>
          <w:rFonts w:ascii="Times New Roman" w:hAnsi="Times New Roman" w:cs="Times New Roman"/>
          <w:sz w:val="20"/>
          <w:szCs w:val="20"/>
        </w:rPr>
        <w:t xml:space="preserve">during the rate year given PSE’s large </w:t>
      </w:r>
      <w:r w:rsidRPr="00FB0429">
        <w:rPr>
          <w:rFonts w:ascii="Times New Roman" w:hAnsi="Times New Roman" w:cs="Times New Roman"/>
          <w:sz w:val="20"/>
          <w:szCs w:val="20"/>
        </w:rPr>
        <w:t>NOL carry-forwa</w:t>
      </w:r>
      <w:r>
        <w:rPr>
          <w:rFonts w:ascii="Times New Roman" w:hAnsi="Times New Roman" w:cs="Times New Roman"/>
          <w:sz w:val="20"/>
          <w:szCs w:val="20"/>
        </w:rPr>
        <w:t>rds.</w:t>
      </w:r>
    </w:p>
  </w:footnote>
  <w:footnote w:id="321">
    <w:p w:rsidR="006E272D" w:rsidRDefault="006E272D" w:rsidP="0024582A">
      <w:pPr>
        <w:pStyle w:val="FootnoteText"/>
      </w:pPr>
      <w:r>
        <w:rPr>
          <w:rStyle w:val="FootnoteReference"/>
        </w:rPr>
        <w:footnoteRef/>
      </w:r>
      <w:r>
        <w:t xml:space="preserve"> Marcelia, Exh. No. MRM-14T at 60:1-7.</w:t>
      </w:r>
    </w:p>
  </w:footnote>
  <w:footnote w:id="322">
    <w:p w:rsidR="006E272D" w:rsidRDefault="006E272D">
      <w:pPr>
        <w:pStyle w:val="FootnoteText"/>
      </w:pPr>
      <w:r>
        <w:rPr>
          <w:rStyle w:val="FootnoteReference"/>
        </w:rPr>
        <w:footnoteRef/>
      </w:r>
      <w:r>
        <w:t xml:space="preserve"> Marcelia, Exh. No. MRM-17.</w:t>
      </w:r>
    </w:p>
  </w:footnote>
  <w:footnote w:id="323">
    <w:p w:rsidR="006E272D" w:rsidRDefault="006E272D">
      <w:pPr>
        <w:pStyle w:val="FootnoteText"/>
      </w:pPr>
      <w:r>
        <w:rPr>
          <w:rStyle w:val="FootnoteReference"/>
        </w:rPr>
        <w:footnoteRef/>
      </w:r>
      <w:r>
        <w:t xml:space="preserve"> Marcelia, Exh. No. MRM-30CX at 6-7.</w:t>
      </w:r>
    </w:p>
  </w:footnote>
  <w:footnote w:id="324">
    <w:p w:rsidR="006E272D" w:rsidRDefault="006E272D" w:rsidP="0024582A">
      <w:pPr>
        <w:pStyle w:val="FootnoteText"/>
      </w:pPr>
      <w:r>
        <w:rPr>
          <w:rStyle w:val="FootnoteReference"/>
        </w:rPr>
        <w:footnoteRef/>
      </w:r>
      <w:r>
        <w:t xml:space="preserve"> Marcelia, Exh. No. MRM-30CX at 9.</w:t>
      </w:r>
    </w:p>
  </w:footnote>
  <w:footnote w:id="325">
    <w:p w:rsidR="006E272D" w:rsidRDefault="006E272D" w:rsidP="0024582A">
      <w:pPr>
        <w:pStyle w:val="FootnoteText"/>
      </w:pPr>
      <w:r>
        <w:rPr>
          <w:rStyle w:val="FootnoteReference"/>
        </w:rPr>
        <w:footnoteRef/>
      </w:r>
      <w:r>
        <w:t xml:space="preserve"> Marcelia, Exh. No. MRM-17.</w:t>
      </w:r>
    </w:p>
  </w:footnote>
  <w:footnote w:id="326">
    <w:p w:rsidR="006E272D" w:rsidRDefault="006E272D" w:rsidP="00210D89">
      <w:pPr>
        <w:pStyle w:val="FootnoteText"/>
      </w:pPr>
      <w:r>
        <w:rPr>
          <w:rStyle w:val="FootnoteReference"/>
        </w:rPr>
        <w:footnoteRef/>
      </w:r>
      <w:r>
        <w:t xml:space="preserve"> As shown in Martin, Exh. No. RCM-6 at 1:23 and Mickelson, Exh. No. CTM-2 at 31a:35, the $47.3 million Account 236 debit balance increased operating investments and decreased total investor supplied working capital by equal amounts, effectively preventing the Account 236 debit balance from inclusion in rate base as working capital. </w:t>
      </w:r>
    </w:p>
  </w:footnote>
  <w:footnote w:id="327">
    <w:p w:rsidR="006E272D" w:rsidRDefault="006E272D" w:rsidP="00FB0429">
      <w:pPr>
        <w:pStyle w:val="FootnoteText"/>
      </w:pPr>
      <w:r>
        <w:rPr>
          <w:rStyle w:val="FootnoteReference"/>
        </w:rPr>
        <w:footnoteRef/>
      </w:r>
      <w:r>
        <w:t xml:space="preserve"> Decoupling Policy Statement at </w:t>
      </w:r>
      <w:r w:rsidRPr="002C7F79">
        <w:t>¶¶</w:t>
      </w:r>
      <w:r>
        <w:t>18, 28, and 33.</w:t>
      </w:r>
    </w:p>
  </w:footnote>
  <w:footnote w:id="328">
    <w:p w:rsidR="006E272D" w:rsidRDefault="006E272D" w:rsidP="00FB0429">
      <w:pPr>
        <w:pStyle w:val="FootnoteText"/>
      </w:pPr>
      <w:r>
        <w:rPr>
          <w:rStyle w:val="FootnoteReference"/>
        </w:rPr>
        <w:footnoteRef/>
      </w:r>
      <w:r>
        <w:t xml:space="preserve"> RCW 34.05.230(1).</w:t>
      </w:r>
    </w:p>
  </w:footnote>
  <w:footnote w:id="329">
    <w:p w:rsidR="006E272D" w:rsidRDefault="006E272D" w:rsidP="00FB0429">
      <w:pPr>
        <w:pStyle w:val="FootnoteText"/>
      </w:pPr>
      <w:r>
        <w:rPr>
          <w:rStyle w:val="FootnoteReference"/>
        </w:rPr>
        <w:footnoteRef/>
      </w:r>
      <w:r>
        <w:t xml:space="preserve"> Reynolds, Exh. Nos. DJR-1T at 17:4-18:7 and DJR-3T at 3:1-11.  </w:t>
      </w:r>
    </w:p>
  </w:footnote>
  <w:footnote w:id="330">
    <w:p w:rsidR="006E272D" w:rsidRDefault="006E272D" w:rsidP="00FB0429">
      <w:pPr>
        <w:pStyle w:val="FootnoteText"/>
      </w:pPr>
      <w:r>
        <w:rPr>
          <w:rStyle w:val="FootnoteReference"/>
        </w:rPr>
        <w:footnoteRef/>
      </w:r>
      <w:r>
        <w:t xml:space="preserve"> Piliaris, TR. 659:20-660:8.</w:t>
      </w:r>
      <w:r w:rsidRPr="008D399F">
        <w:t xml:space="preserve"> </w:t>
      </w:r>
      <w:r>
        <w:t xml:space="preserve"> </w:t>
      </w:r>
    </w:p>
  </w:footnote>
  <w:footnote w:id="331">
    <w:p w:rsidR="006E272D" w:rsidRDefault="006E272D" w:rsidP="00DF0104">
      <w:pPr>
        <w:pStyle w:val="FootnoteText"/>
      </w:pPr>
      <w:r>
        <w:rPr>
          <w:rStyle w:val="FootnoteReference"/>
        </w:rPr>
        <w:footnoteRef/>
      </w:r>
      <w:r>
        <w:t xml:space="preserve"> Reynolds, Exh. No. DJR-1T at 20:13-21.</w:t>
      </w:r>
    </w:p>
  </w:footnote>
  <w:footnote w:id="332">
    <w:p w:rsidR="006E272D" w:rsidRDefault="006E272D" w:rsidP="004A1D00">
      <w:pPr>
        <w:pStyle w:val="FootnoteText"/>
      </w:pPr>
      <w:r w:rsidRPr="005E5255">
        <w:rPr>
          <w:rStyle w:val="FootnoteReference"/>
        </w:rPr>
        <w:footnoteRef/>
      </w:r>
      <w:r w:rsidRPr="005E5255">
        <w:t xml:space="preserve"> </w:t>
      </w:r>
      <w:r>
        <w:t>Piliaris, Exh. No. JAP-1T at 32:12-</w:t>
      </w:r>
      <w:r w:rsidRPr="005E5255">
        <w:t>35:2</w:t>
      </w:r>
      <w:r>
        <w:t>.</w:t>
      </w:r>
      <w:r w:rsidRPr="004A1D00">
        <w:t xml:space="preserve"> </w:t>
      </w:r>
      <w:r>
        <w:t xml:space="preserve"> “Limited decoupling” </w:t>
      </w:r>
      <w:r w:rsidRPr="003662F4">
        <w:t>permits the utility to “recover lost margin due only to the conservation efforts of the utility.” Decoupling Pol</w:t>
      </w:r>
      <w:r>
        <w:t xml:space="preserve">icy Statement at ¶ 12. </w:t>
      </w:r>
      <w:r w:rsidRPr="003662F4">
        <w:t>The CSA does not rely on “lost margin” to identif</w:t>
      </w:r>
      <w:r>
        <w:t xml:space="preserve">y </w:t>
      </w:r>
      <w:r w:rsidRPr="003662F4">
        <w:t>reduct</w:t>
      </w:r>
      <w:r>
        <w:t xml:space="preserve">ion in use, but does use </w:t>
      </w:r>
      <w:r w:rsidRPr="003662F4">
        <w:t>savings estimates from PSE’s conservation programs</w:t>
      </w:r>
      <w:r>
        <w:t xml:space="preserve"> for that purpose</w:t>
      </w:r>
      <w:r w:rsidRPr="003662F4">
        <w:t>.  It also shares with limited decoupling required elements of a true-up mechanism</w:t>
      </w:r>
      <w:r>
        <w:t xml:space="preserve"> and an earnings test</w:t>
      </w:r>
      <w:r w:rsidRPr="003662F4">
        <w:t xml:space="preserve">. </w:t>
      </w:r>
      <w:r>
        <w:t xml:space="preserve"> </w:t>
      </w:r>
      <w:r w:rsidRPr="003662F4">
        <w:t>Thus, it is reasonable to classify the C</w:t>
      </w:r>
      <w:r>
        <w:t xml:space="preserve">SA as a </w:t>
      </w:r>
      <w:r w:rsidRPr="003662F4">
        <w:t xml:space="preserve">form of limited decoupling.  </w:t>
      </w:r>
      <w:r>
        <w:t>Reynolds, Exh. No. DJR-1T at 17:8-21.</w:t>
      </w:r>
    </w:p>
  </w:footnote>
  <w:footnote w:id="333">
    <w:p w:rsidR="006E272D" w:rsidRDefault="006E272D" w:rsidP="008651A7">
      <w:pPr>
        <w:pStyle w:val="FootnoteText"/>
      </w:pPr>
      <w:r>
        <w:rPr>
          <w:rStyle w:val="FootnoteReference"/>
        </w:rPr>
        <w:footnoteRef/>
      </w:r>
      <w:r>
        <w:t xml:space="preserve"> Piliaris, Exh. No. </w:t>
      </w:r>
      <w:r w:rsidRPr="00FD7A64">
        <w:t>JAP-1T</w:t>
      </w:r>
      <w:r>
        <w:t xml:space="preserve"> at 35:4-</w:t>
      </w:r>
      <w:r w:rsidRPr="00FD7A64">
        <w:t>43:10</w:t>
      </w:r>
      <w:r>
        <w:t>.</w:t>
      </w:r>
    </w:p>
  </w:footnote>
  <w:footnote w:id="334">
    <w:p w:rsidR="006E272D" w:rsidRDefault="006E272D">
      <w:pPr>
        <w:pStyle w:val="FootnoteText"/>
      </w:pPr>
      <w:r>
        <w:rPr>
          <w:rStyle w:val="FootnoteReference"/>
        </w:rPr>
        <w:footnoteRef/>
      </w:r>
      <w:r>
        <w:t xml:space="preserve"> Reynolds, Exh. No. DJR-3T at 3:1-11.</w:t>
      </w:r>
    </w:p>
  </w:footnote>
  <w:footnote w:id="335">
    <w:p w:rsidR="006E272D" w:rsidRDefault="006E272D">
      <w:pPr>
        <w:pStyle w:val="FootnoteText"/>
      </w:pPr>
      <w:r>
        <w:rPr>
          <w:rStyle w:val="FootnoteReference"/>
        </w:rPr>
        <w:footnoteRef/>
      </w:r>
      <w:r>
        <w:t xml:space="preserve"> </w:t>
      </w:r>
      <w:proofErr w:type="gramStart"/>
      <w:r w:rsidRPr="00D519DA">
        <w:t>Decoupling Policy Statement at</w:t>
      </w:r>
      <w:r>
        <w:t xml:space="preserve"> </w:t>
      </w:r>
      <w:r w:rsidRPr="002C7F79">
        <w:t>¶¶</w:t>
      </w:r>
      <w:r>
        <w:t>18 and 27-28.</w:t>
      </w:r>
      <w:proofErr w:type="gramEnd"/>
      <w:r>
        <w:t xml:space="preserve">  See also, Elgin, Exh. No. KLE-1T at 78:20-79:3.</w:t>
      </w:r>
    </w:p>
  </w:footnote>
  <w:footnote w:id="336">
    <w:p w:rsidR="006E272D" w:rsidRDefault="006E272D">
      <w:pPr>
        <w:pStyle w:val="FootnoteText"/>
      </w:pPr>
      <w:r w:rsidRPr="00FA7C4A">
        <w:rPr>
          <w:rStyle w:val="FootnoteReference"/>
        </w:rPr>
        <w:footnoteRef/>
      </w:r>
      <w:r w:rsidRPr="00FA7C4A">
        <w:t xml:space="preserve"> </w:t>
      </w:r>
      <w:r>
        <w:t xml:space="preserve">Cavanagh, TR. </w:t>
      </w:r>
      <w:r w:rsidRPr="00FA7C4A">
        <w:t>476:13-17.</w:t>
      </w:r>
    </w:p>
  </w:footnote>
  <w:footnote w:id="337">
    <w:p w:rsidR="006E272D" w:rsidRDefault="006E272D">
      <w:pPr>
        <w:pStyle w:val="FootnoteText"/>
      </w:pPr>
      <w:r>
        <w:rPr>
          <w:rStyle w:val="FootnoteReference"/>
        </w:rPr>
        <w:footnoteRef/>
      </w:r>
      <w:r>
        <w:t xml:space="preserve"> Cavanagh, TR. 436:13-19.  Mr. Cavanagh opined that full decoupling could </w:t>
      </w:r>
      <w:r w:rsidRPr="00EA49B0">
        <w:rPr>
          <w:i/>
        </w:rPr>
        <w:t>increase</w:t>
      </w:r>
      <w:r>
        <w:t xml:space="preserve"> the cost of capital, but if reduced, ratepayers should get that benefit if and only if, and only after, the utility actually decreases its equity ratio.  Cavanagh, Exh. No. RCC-1T at 20:8-17.  The former opinion, however, was based on a Battle Group study that did not isolate the impact of decoupling on cost of equity.  Reynolds, Exh. No. DJR-3T at 8:11-15.  The latter opinion is actually contradicted by the Ratepayer Assistance Project report Mr. Cavanagh himself cites.  Reynolds, Exh. No. DJR-3T at 9:5-17.</w:t>
      </w:r>
    </w:p>
  </w:footnote>
  <w:footnote w:id="338">
    <w:p w:rsidR="006E272D" w:rsidRDefault="006E272D">
      <w:pPr>
        <w:pStyle w:val="FootnoteText"/>
      </w:pPr>
      <w:r>
        <w:rPr>
          <w:rStyle w:val="FootnoteReference"/>
        </w:rPr>
        <w:footnoteRef/>
      </w:r>
      <w:r>
        <w:t xml:space="preserve"> DeBoer, Exh. No.TAD-1T at 5:1-3.</w:t>
      </w:r>
    </w:p>
  </w:footnote>
  <w:footnote w:id="339">
    <w:p w:rsidR="006E272D" w:rsidRDefault="006E272D">
      <w:pPr>
        <w:pStyle w:val="FootnoteText"/>
      </w:pPr>
      <w:r>
        <w:rPr>
          <w:rStyle w:val="FootnoteReference"/>
        </w:rPr>
        <w:footnoteRef/>
      </w:r>
      <w:r>
        <w:t xml:space="preserve"> DeBoer, TR. 515:25.</w:t>
      </w:r>
    </w:p>
  </w:footnote>
  <w:footnote w:id="340">
    <w:p w:rsidR="006E272D" w:rsidRDefault="006E272D">
      <w:pPr>
        <w:pStyle w:val="FootnoteText"/>
      </w:pPr>
      <w:r>
        <w:rPr>
          <w:rStyle w:val="FootnoteReference"/>
        </w:rPr>
        <w:footnoteRef/>
      </w:r>
      <w:r>
        <w:t xml:space="preserve"> Gorman, TR. 424:3-6.</w:t>
      </w:r>
    </w:p>
  </w:footnote>
  <w:footnote w:id="341">
    <w:p w:rsidR="006E272D" w:rsidRDefault="006E272D">
      <w:pPr>
        <w:pStyle w:val="FootnoteText"/>
      </w:pPr>
      <w:r>
        <w:rPr>
          <w:rStyle w:val="FootnoteReference"/>
        </w:rPr>
        <w:footnoteRef/>
      </w:r>
      <w:r>
        <w:t xml:space="preserve"> </w:t>
      </w:r>
      <w:r w:rsidRPr="00D519DA">
        <w:t>Decoupling Policy Statement at</w:t>
      </w:r>
      <w:r>
        <w:t xml:space="preserve"> ¶18. </w:t>
      </w:r>
    </w:p>
  </w:footnote>
  <w:footnote w:id="342">
    <w:p w:rsidR="006E272D" w:rsidRDefault="006E272D">
      <w:pPr>
        <w:pStyle w:val="FootnoteText"/>
      </w:pPr>
      <w:r>
        <w:rPr>
          <w:rStyle w:val="FootnoteReference"/>
        </w:rPr>
        <w:footnoteRef/>
      </w:r>
      <w:r>
        <w:t xml:space="preserve"> </w:t>
      </w:r>
      <w:r w:rsidRPr="00D519DA">
        <w:t>Decoupling Policy Statement at</w:t>
      </w:r>
      <w:r>
        <w:t xml:space="preserve"> ¶28.</w:t>
      </w:r>
    </w:p>
  </w:footnote>
  <w:footnote w:id="343">
    <w:p w:rsidR="006E272D" w:rsidRDefault="006E272D" w:rsidP="00BB4F44">
      <w:pPr>
        <w:pStyle w:val="FootnoteText"/>
      </w:pPr>
      <w:r>
        <w:rPr>
          <w:rStyle w:val="FootnoteReference"/>
        </w:rPr>
        <w:footnoteRef/>
      </w:r>
      <w:r>
        <w:t xml:space="preserve"> Cavanagh, Exh. No. RCC-1T at 16:9.</w:t>
      </w:r>
    </w:p>
  </w:footnote>
  <w:footnote w:id="344">
    <w:p w:rsidR="006E272D" w:rsidRDefault="006E272D" w:rsidP="0083568F">
      <w:pPr>
        <w:pStyle w:val="FootnoteText"/>
      </w:pPr>
      <w:r>
        <w:rPr>
          <w:rStyle w:val="FootnoteReference"/>
        </w:rPr>
        <w:footnoteRef/>
      </w:r>
      <w:r>
        <w:t xml:space="preserve"> Reynolds, Exh. No. DJR-1T at 26:12-17.</w:t>
      </w:r>
    </w:p>
  </w:footnote>
  <w:footnote w:id="345">
    <w:p w:rsidR="006E272D" w:rsidRDefault="006E272D" w:rsidP="003561AF">
      <w:pPr>
        <w:pStyle w:val="FootnoteText"/>
      </w:pPr>
      <w:r>
        <w:rPr>
          <w:rStyle w:val="FootnoteReference"/>
        </w:rPr>
        <w:footnoteRef/>
      </w:r>
      <w:r>
        <w:t xml:space="preserve"> Reynolds, Exh. Nos. DJR-1T at 27:19-28:3 and DJR-3T at 15:12-17.</w:t>
      </w:r>
    </w:p>
  </w:footnote>
  <w:footnote w:id="346">
    <w:p w:rsidR="006E272D" w:rsidRDefault="006E272D">
      <w:pPr>
        <w:pStyle w:val="FootnoteText"/>
      </w:pPr>
      <w:r>
        <w:rPr>
          <w:rStyle w:val="FootnoteReference"/>
        </w:rPr>
        <w:footnoteRef/>
      </w:r>
      <w:r>
        <w:t xml:space="preserve"> DeBoer, Exh. No. </w:t>
      </w:r>
      <w:r w:rsidRPr="00A1479E">
        <w:t>TAD-1T at 20:17-19</w:t>
      </w:r>
      <w:r>
        <w:t>.</w:t>
      </w:r>
    </w:p>
  </w:footnote>
  <w:footnote w:id="347">
    <w:p w:rsidR="006E272D" w:rsidRDefault="006E272D" w:rsidP="0083568F">
      <w:pPr>
        <w:pStyle w:val="FootnoteText"/>
      </w:pPr>
      <w:r>
        <w:rPr>
          <w:rStyle w:val="FootnoteReference"/>
        </w:rPr>
        <w:footnoteRef/>
      </w:r>
      <w:r>
        <w:t xml:space="preserve"> DeBoer, TR. 546:1-7.</w:t>
      </w:r>
    </w:p>
  </w:footnote>
  <w:footnote w:id="348">
    <w:p w:rsidR="006E272D" w:rsidRDefault="006E272D" w:rsidP="009B76B5">
      <w:pPr>
        <w:pStyle w:val="FootnoteText"/>
      </w:pPr>
      <w:r>
        <w:rPr>
          <w:rStyle w:val="FootnoteReference"/>
        </w:rPr>
        <w:footnoteRef/>
      </w:r>
      <w:r>
        <w:t xml:space="preserve"> </w:t>
      </w:r>
      <w:r w:rsidRPr="00D519DA">
        <w:t>Decoupling Policy Statement at</w:t>
      </w:r>
      <w:r>
        <w:t xml:space="preserve"> ¶¶18 and 28.</w:t>
      </w:r>
    </w:p>
  </w:footnote>
  <w:footnote w:id="349">
    <w:p w:rsidR="006E272D" w:rsidRDefault="006E272D">
      <w:pPr>
        <w:pStyle w:val="FootnoteText"/>
      </w:pPr>
      <w:r>
        <w:rPr>
          <w:rStyle w:val="FootnoteReference"/>
        </w:rPr>
        <w:footnoteRef/>
      </w:r>
      <w:r>
        <w:t xml:space="preserve"> </w:t>
      </w:r>
      <w:r w:rsidRPr="00D519DA">
        <w:t>Decoupling Policy Statement at</w:t>
      </w:r>
      <w:r>
        <w:t xml:space="preserve"> ¶33.</w:t>
      </w:r>
    </w:p>
  </w:footnote>
  <w:footnote w:id="350">
    <w:p w:rsidR="006E272D" w:rsidRDefault="006E272D" w:rsidP="009B76B5">
      <w:pPr>
        <w:pStyle w:val="FootnoteText"/>
      </w:pPr>
      <w:r>
        <w:rPr>
          <w:rStyle w:val="FootnoteReference"/>
        </w:rPr>
        <w:footnoteRef/>
      </w:r>
      <w:r>
        <w:t xml:space="preserve"> Cavanagh, Exh. No. RCC-1T at 6-8.</w:t>
      </w:r>
      <w:r w:rsidRPr="003561AF">
        <w:t xml:space="preserve"> </w:t>
      </w:r>
      <w:r w:rsidRPr="006C789B">
        <w:t>Staff</w:t>
      </w:r>
      <w:r>
        <w:t xml:space="preserve"> has opined that it is</w:t>
      </w:r>
      <w:r w:rsidRPr="006C789B">
        <w:t xml:space="preserve"> enough to measure conservation acquired </w:t>
      </w:r>
      <w:r>
        <w:t>during the measurement period a</w:t>
      </w:r>
      <w:r w:rsidRPr="006C789B">
        <w:t xml:space="preserve">s long as the decoupling proposal describes how it will </w:t>
      </w:r>
      <w:r>
        <w:t>do so,</w:t>
      </w:r>
      <w:r w:rsidRPr="006C789B">
        <w:t xml:space="preserve"> including appropriate third party evaluatio</w:t>
      </w:r>
      <w:r>
        <w:t>n</w:t>
      </w:r>
      <w:r w:rsidRPr="006C789B">
        <w:t>.</w:t>
      </w:r>
      <w:r>
        <w:t xml:space="preserve">  Reynolds, Exh. No. DJR-3T at 17, n.40.  The Commission has not ruled on this issue.</w:t>
      </w:r>
    </w:p>
  </w:footnote>
  <w:footnote w:id="351">
    <w:p w:rsidR="006E272D" w:rsidRDefault="006E272D" w:rsidP="00DF2AB6">
      <w:pPr>
        <w:pStyle w:val="BodyTextIndent"/>
        <w:spacing w:line="240" w:lineRule="auto"/>
      </w:pPr>
      <w:r w:rsidRPr="00DF2AB6">
        <w:rPr>
          <w:rStyle w:val="FootnoteReference"/>
          <w:sz w:val="20"/>
          <w:szCs w:val="20"/>
        </w:rPr>
        <w:footnoteRef/>
      </w:r>
      <w:r w:rsidRPr="00DF2AB6">
        <w:rPr>
          <w:sz w:val="20"/>
          <w:szCs w:val="20"/>
        </w:rPr>
        <w:t xml:space="preserve"> </w:t>
      </w:r>
      <w:r>
        <w:rPr>
          <w:sz w:val="20"/>
          <w:szCs w:val="20"/>
        </w:rPr>
        <w:t xml:space="preserve">Reynolds, Exh. No. DJR-1T at </w:t>
      </w:r>
      <w:r w:rsidRPr="00DF2AB6">
        <w:rPr>
          <w:sz w:val="20"/>
          <w:szCs w:val="20"/>
        </w:rPr>
        <w:t>29:20-22</w:t>
      </w:r>
      <w:r>
        <w:rPr>
          <w:sz w:val="20"/>
          <w:szCs w:val="20"/>
        </w:rPr>
        <w:t>.</w:t>
      </w:r>
    </w:p>
  </w:footnote>
  <w:footnote w:id="352">
    <w:p w:rsidR="006E272D" w:rsidRDefault="006E272D" w:rsidP="00DF2AB6">
      <w:pPr>
        <w:pStyle w:val="FootnoteText"/>
      </w:pPr>
      <w:r>
        <w:rPr>
          <w:rStyle w:val="FootnoteReference"/>
        </w:rPr>
        <w:footnoteRef/>
      </w:r>
      <w:r>
        <w:t xml:space="preserve"> Piliaris, TR. </w:t>
      </w:r>
      <w:r w:rsidRPr="00DF2AB6">
        <w:t>672:5-9</w:t>
      </w:r>
      <w:r>
        <w:t>.</w:t>
      </w:r>
    </w:p>
  </w:footnote>
  <w:footnote w:id="353">
    <w:p w:rsidR="006E272D" w:rsidRDefault="006E272D">
      <w:pPr>
        <w:pStyle w:val="FootnoteText"/>
      </w:pPr>
      <w:r>
        <w:rPr>
          <w:rStyle w:val="FootnoteReference"/>
        </w:rPr>
        <w:footnoteRef/>
      </w:r>
      <w:r>
        <w:t xml:space="preserve"> Reynolds, Exh. No. DJR-1T at 31:11-16.</w:t>
      </w:r>
    </w:p>
  </w:footnote>
  <w:footnote w:id="354">
    <w:p w:rsidR="006E272D" w:rsidRDefault="006E272D">
      <w:pPr>
        <w:pStyle w:val="FootnoteText"/>
      </w:pPr>
      <w:r>
        <w:rPr>
          <w:rStyle w:val="FootnoteReference"/>
        </w:rPr>
        <w:footnoteRef/>
      </w:r>
      <w:r>
        <w:t xml:space="preserve"> Reynolds, Exh. No. DJR-1T at 30:4-16 and 31:8-17.</w:t>
      </w:r>
    </w:p>
  </w:footnote>
  <w:footnote w:id="355">
    <w:p w:rsidR="006E272D" w:rsidRDefault="006E272D" w:rsidP="002D2C60">
      <w:pPr>
        <w:pStyle w:val="FootnoteText"/>
      </w:pPr>
      <w:r>
        <w:rPr>
          <w:rStyle w:val="FootnoteReference"/>
        </w:rPr>
        <w:footnoteRef/>
      </w:r>
      <w:r>
        <w:t xml:space="preserve"> Piliaris, TR. 629:4-16.</w:t>
      </w:r>
    </w:p>
  </w:footnote>
  <w:footnote w:id="356">
    <w:p w:rsidR="006E272D" w:rsidRDefault="006E272D">
      <w:pPr>
        <w:pStyle w:val="FootnoteText"/>
      </w:pPr>
      <w:r>
        <w:rPr>
          <w:rStyle w:val="FootnoteReference"/>
        </w:rPr>
        <w:footnoteRef/>
      </w:r>
      <w:r>
        <w:t xml:space="preserve"> Reynolds, Exh. No. DJR-1T at 30:5-7.</w:t>
      </w:r>
      <w:r w:rsidRPr="00F7702D">
        <w:t xml:space="preserve"> </w:t>
      </w:r>
      <w:r>
        <w:t xml:space="preserve"> PSE questioned the applicability of the “known and measurable” standard because that concept applies to a pro forma adjustment and the CSA is not a pro forma adjustment.  PSE’s criticism is misplaced.  Ratemaking, in general, must rely on quantifiable and verified data.  To suggest that those data can be less than known and measurable for the CSA defies that principle.  Reynolds, TR. 771:4-16.</w:t>
      </w:r>
    </w:p>
  </w:footnote>
  <w:footnote w:id="357">
    <w:p w:rsidR="006E272D" w:rsidRDefault="006E272D">
      <w:pPr>
        <w:pStyle w:val="FootnoteText"/>
      </w:pPr>
      <w:r>
        <w:rPr>
          <w:rStyle w:val="FootnoteReference"/>
        </w:rPr>
        <w:footnoteRef/>
      </w:r>
      <w:r>
        <w:t xml:space="preserve"> Reynolds, Exh. No. DJR-1T at 30:15-16. </w:t>
      </w:r>
    </w:p>
  </w:footnote>
  <w:footnote w:id="358">
    <w:p w:rsidR="006E272D" w:rsidRDefault="006E272D">
      <w:pPr>
        <w:pStyle w:val="FootnoteText"/>
      </w:pPr>
      <w:r>
        <w:rPr>
          <w:rStyle w:val="FootnoteReference"/>
        </w:rPr>
        <w:footnoteRef/>
      </w:r>
      <w:r>
        <w:t xml:space="preserve"> Stolarski, TR. 696:19-22.</w:t>
      </w:r>
    </w:p>
  </w:footnote>
  <w:footnote w:id="359">
    <w:p w:rsidR="006E272D" w:rsidRDefault="006E272D">
      <w:pPr>
        <w:pStyle w:val="FootnoteText"/>
      </w:pPr>
      <w:r>
        <w:rPr>
          <w:rStyle w:val="FootnoteReference"/>
        </w:rPr>
        <w:footnoteRef/>
      </w:r>
      <w:r>
        <w:t xml:space="preserve"> Stolarski, TR. 733:10-17.</w:t>
      </w:r>
    </w:p>
  </w:footnote>
  <w:footnote w:id="360">
    <w:p w:rsidR="006E272D" w:rsidRDefault="006E272D">
      <w:pPr>
        <w:pStyle w:val="FootnoteText"/>
      </w:pPr>
      <w:r>
        <w:rPr>
          <w:rStyle w:val="FootnoteReference"/>
        </w:rPr>
        <w:footnoteRef/>
      </w:r>
      <w:r>
        <w:t xml:space="preserve"> Stolarski, TR. 737:10-738:11.</w:t>
      </w:r>
    </w:p>
  </w:footnote>
  <w:footnote w:id="361">
    <w:p w:rsidR="006E272D" w:rsidRDefault="006E272D">
      <w:pPr>
        <w:pStyle w:val="FootnoteText"/>
      </w:pPr>
      <w:r>
        <w:rPr>
          <w:rStyle w:val="FootnoteReference"/>
        </w:rPr>
        <w:footnoteRef/>
      </w:r>
      <w:r>
        <w:t xml:space="preserve"> Stolarski, Exh. No. RWS-1T at 4:19-24 and Stolarski, TR. 734:2-6.</w:t>
      </w:r>
    </w:p>
  </w:footnote>
  <w:footnote w:id="362">
    <w:p w:rsidR="006E272D" w:rsidRDefault="006E272D">
      <w:pPr>
        <w:pStyle w:val="FootnoteText"/>
      </w:pPr>
      <w:r>
        <w:rPr>
          <w:rStyle w:val="FootnoteReference"/>
        </w:rPr>
        <w:footnoteRef/>
      </w:r>
      <w:r>
        <w:t xml:space="preserve"> Stolarski, Exh. No. RWS-12 at 13-18.</w:t>
      </w:r>
    </w:p>
  </w:footnote>
  <w:footnote w:id="363">
    <w:p w:rsidR="006E272D" w:rsidRDefault="006E272D">
      <w:pPr>
        <w:pStyle w:val="FootnoteText"/>
      </w:pPr>
      <w:r>
        <w:rPr>
          <w:rStyle w:val="FootnoteReference"/>
        </w:rPr>
        <w:footnoteRef/>
      </w:r>
      <w:r>
        <w:t xml:space="preserve"> Reynolds, TR. 772:8-9.  </w:t>
      </w:r>
    </w:p>
  </w:footnote>
  <w:footnote w:id="364">
    <w:p w:rsidR="006E272D" w:rsidRDefault="006E272D">
      <w:pPr>
        <w:pStyle w:val="FootnoteText"/>
      </w:pPr>
      <w:r>
        <w:rPr>
          <w:rStyle w:val="FootnoteReference"/>
        </w:rPr>
        <w:footnoteRef/>
      </w:r>
      <w:r>
        <w:t xml:space="preserve"> Reynolds, TR. 758:11-4.  As Ms. Reynolds described, the energy savings estimates are like EPA estimates for vehicle gas mileage.  Those estimates reflect driver behavior under normal conditions, but they do not take into account other factors that impact actual mileage such as terrain (hilly v. flat) or driver behavior (aggressive v. conservative).  Reynolds, TR. 772-773.</w:t>
      </w:r>
    </w:p>
  </w:footnote>
  <w:footnote w:id="365">
    <w:p w:rsidR="006E272D" w:rsidRDefault="006E272D" w:rsidP="00C95D96">
      <w:pPr>
        <w:pStyle w:val="FootnoteText"/>
      </w:pPr>
      <w:r w:rsidRPr="00605D8F">
        <w:rPr>
          <w:rStyle w:val="FootnoteReference"/>
        </w:rPr>
        <w:footnoteRef/>
      </w:r>
      <w:r w:rsidRPr="00605D8F">
        <w:t xml:space="preserve"> </w:t>
      </w:r>
      <w:r>
        <w:t>Stolarski, Exh. No. RWS-1T at 5:12.</w:t>
      </w:r>
    </w:p>
  </w:footnote>
  <w:footnote w:id="366">
    <w:p w:rsidR="006E272D" w:rsidRDefault="006E272D">
      <w:pPr>
        <w:pStyle w:val="FootnoteText"/>
      </w:pPr>
      <w:r>
        <w:rPr>
          <w:rStyle w:val="FootnoteReference"/>
        </w:rPr>
        <w:footnoteRef/>
      </w:r>
      <w:r>
        <w:t xml:space="preserve"> Reynolds, Exh. No. DJR-1T at 31:1-6.  The savings estimates used for Schedule 120 are also trued up to actual.  The CSA does not include a true-up.  Reynolds, TR. 749:12-750:20.</w:t>
      </w:r>
    </w:p>
  </w:footnote>
  <w:footnote w:id="367">
    <w:p w:rsidR="006E272D" w:rsidRDefault="006E272D">
      <w:pPr>
        <w:pStyle w:val="FootnoteText"/>
      </w:pPr>
      <w:r>
        <w:rPr>
          <w:rStyle w:val="FootnoteReference"/>
        </w:rPr>
        <w:footnoteRef/>
      </w:r>
      <w:r>
        <w:t xml:space="preserve"> Reynolds, Exh. No. DJR-4CX and Reynolds, TR. 748:4-12.</w:t>
      </w:r>
    </w:p>
  </w:footnote>
  <w:footnote w:id="368">
    <w:p w:rsidR="006E272D" w:rsidRDefault="006E272D">
      <w:pPr>
        <w:pStyle w:val="FootnoteText"/>
      </w:pPr>
      <w:r>
        <w:rPr>
          <w:rStyle w:val="FootnoteReference"/>
        </w:rPr>
        <w:footnoteRef/>
      </w:r>
      <w:r>
        <w:t xml:space="preserve"> Reynolds, Exh. No. DJR-1T at 19:10-14.</w:t>
      </w:r>
    </w:p>
  </w:footnote>
  <w:footnote w:id="369">
    <w:p w:rsidR="006E272D" w:rsidRDefault="006E272D">
      <w:pPr>
        <w:pStyle w:val="FootnoteText"/>
      </w:pPr>
      <w:r>
        <w:rPr>
          <w:rStyle w:val="FootnoteReference"/>
        </w:rPr>
        <w:footnoteRef/>
      </w:r>
      <w:r>
        <w:t xml:space="preserve"> DeBoer, TR. 550:17-551:4.</w:t>
      </w:r>
    </w:p>
  </w:footnote>
  <w:footnote w:id="370">
    <w:p w:rsidR="006E272D" w:rsidRDefault="006E272D">
      <w:pPr>
        <w:pStyle w:val="FootnoteText"/>
      </w:pPr>
      <w:r>
        <w:rPr>
          <w:rStyle w:val="FootnoteReference"/>
        </w:rPr>
        <w:footnoteRef/>
      </w:r>
      <w:r>
        <w:t xml:space="preserve"> Reynolds, TR. 774:24-775:2.</w:t>
      </w:r>
    </w:p>
  </w:footnote>
  <w:footnote w:id="371">
    <w:p w:rsidR="006E272D" w:rsidRDefault="006E272D">
      <w:pPr>
        <w:pStyle w:val="FootnoteText"/>
      </w:pPr>
      <w:r>
        <w:rPr>
          <w:rStyle w:val="FootnoteReference"/>
        </w:rPr>
        <w:footnoteRef/>
      </w:r>
      <w:r>
        <w:t xml:space="preserve"> Stolarski, TR. 700:13-14.</w:t>
      </w:r>
    </w:p>
  </w:footnote>
  <w:footnote w:id="372">
    <w:p w:rsidR="006E272D" w:rsidRDefault="006E272D">
      <w:pPr>
        <w:pStyle w:val="FootnoteText"/>
      </w:pPr>
      <w:r>
        <w:rPr>
          <w:rStyle w:val="FootnoteReference"/>
        </w:rPr>
        <w:footnoteRef/>
      </w:r>
      <w:r>
        <w:t xml:space="preserve"> Reynolds, TR. 776:13-23.</w:t>
      </w:r>
    </w:p>
  </w:footnote>
  <w:footnote w:id="373">
    <w:p w:rsidR="006E272D" w:rsidRDefault="006E272D">
      <w:pPr>
        <w:pStyle w:val="FootnoteText"/>
      </w:pPr>
      <w:r>
        <w:rPr>
          <w:rStyle w:val="FootnoteReference"/>
        </w:rPr>
        <w:footnoteRef/>
      </w:r>
      <w:r>
        <w:t xml:space="preserve"> Reynolds, TR. 774:6-775:2.  See also Reynolds, Exh. No. DJR-5CX at 26 (Reynolds), a report </w:t>
      </w:r>
      <w:r w:rsidRPr="000B5329">
        <w:t>by Lawrence Ber</w:t>
      </w:r>
      <w:r>
        <w:t>keley National Laboratory</w:t>
      </w:r>
      <w:r w:rsidRPr="000B5329">
        <w:t xml:space="preserve"> on energy savings analysis for PSE</w:t>
      </w:r>
      <w:r>
        <w:t>’</w:t>
      </w:r>
      <w:r w:rsidRPr="000B5329">
        <w:t>s Home Energy Report program</w:t>
      </w:r>
      <w:r>
        <w:t xml:space="preserve">.  It </w:t>
      </w:r>
      <w:r w:rsidRPr="000B5329">
        <w:t>describes an analysis based on large, well defined participant and control groups, which achieved 10%-15%</w:t>
      </w:r>
      <w:r>
        <w:t xml:space="preserve"> accuracy with 95% confidence.  T</w:t>
      </w:r>
      <w:r w:rsidRPr="000B5329">
        <w:t xml:space="preserve">he report </w:t>
      </w:r>
      <w:r>
        <w:t xml:space="preserve">also </w:t>
      </w:r>
      <w:r w:rsidRPr="000B5329">
        <w:t>concludes that savings should be re-analyzed every year as conditions change</w:t>
      </w:r>
      <w:r>
        <w:t>.</w:t>
      </w:r>
    </w:p>
  </w:footnote>
  <w:footnote w:id="374">
    <w:p w:rsidR="006E272D" w:rsidRDefault="006E272D" w:rsidP="00E504D7">
      <w:pPr>
        <w:pStyle w:val="FootnoteText"/>
      </w:pPr>
      <w:r w:rsidRPr="005E5255">
        <w:rPr>
          <w:rStyle w:val="FootnoteReference"/>
        </w:rPr>
        <w:footnoteRef/>
      </w:r>
      <w:r w:rsidRPr="005E5255">
        <w:t xml:space="preserve"> </w:t>
      </w:r>
      <w:r>
        <w:t>Piliaris, Exh. No. JAP-1T at 32:12-</w:t>
      </w:r>
      <w:r w:rsidRPr="005E5255">
        <w:t>35:2</w:t>
      </w:r>
      <w:r>
        <w:t>.</w:t>
      </w:r>
    </w:p>
  </w:footnote>
  <w:footnote w:id="375">
    <w:p w:rsidR="006E272D" w:rsidRDefault="006E272D" w:rsidP="00863594">
      <w:pPr>
        <w:pStyle w:val="FootnoteText"/>
      </w:pPr>
      <w:r>
        <w:rPr>
          <w:rStyle w:val="FootnoteReference"/>
        </w:rPr>
        <w:footnoteRef/>
      </w:r>
      <w:r>
        <w:t xml:space="preserve"> </w:t>
      </w:r>
      <w:proofErr w:type="gramStart"/>
      <w:r w:rsidRPr="00B566D0">
        <w:t>Decoupling Polic</w:t>
      </w:r>
      <w:r>
        <w:t xml:space="preserve">y Statement at ¶ </w:t>
      </w:r>
      <w:r w:rsidRPr="00B566D0">
        <w:t>28.</w:t>
      </w:r>
      <w:proofErr w:type="gramEnd"/>
      <w:r>
        <w:t xml:space="preserve">  </w:t>
      </w:r>
    </w:p>
  </w:footnote>
  <w:footnote w:id="376">
    <w:p w:rsidR="006E272D" w:rsidRDefault="006E272D" w:rsidP="00863594">
      <w:pPr>
        <w:pStyle w:val="FootnoteText"/>
      </w:pPr>
      <w:r>
        <w:rPr>
          <w:rStyle w:val="FootnoteReference"/>
        </w:rPr>
        <w:footnoteRef/>
      </w:r>
      <w:r>
        <w:t xml:space="preserve"> </w:t>
      </w:r>
      <w:r w:rsidRPr="00B566D0">
        <w:t>Decoupling Polic</w:t>
      </w:r>
      <w:r>
        <w:t xml:space="preserve">y Statement at </w:t>
      </w:r>
      <w:r w:rsidRPr="00B566D0">
        <w:t>¶ 28.</w:t>
      </w:r>
      <w:r>
        <w:t xml:space="preserve">  The prohibitions against unlawful rate discrimination and undue preference are contained in RCW 80.28.090 and RCW 80.28.100.</w:t>
      </w:r>
    </w:p>
  </w:footnote>
  <w:footnote w:id="377">
    <w:p w:rsidR="006E272D" w:rsidRDefault="006E272D" w:rsidP="00863594">
      <w:pPr>
        <w:pStyle w:val="FootnoteText"/>
      </w:pPr>
      <w:r>
        <w:rPr>
          <w:rStyle w:val="FootnoteReference"/>
        </w:rPr>
        <w:footnoteRef/>
      </w:r>
      <w:r>
        <w:t xml:space="preserve"> Cavanagh, Exh. No. RCC-1T at 13:12-15.</w:t>
      </w:r>
    </w:p>
  </w:footnote>
  <w:footnote w:id="378">
    <w:p w:rsidR="006E272D" w:rsidRDefault="006E272D" w:rsidP="00863594">
      <w:pPr>
        <w:pStyle w:val="FootnoteText"/>
      </w:pPr>
      <w:r>
        <w:rPr>
          <w:rStyle w:val="FootnoteReference"/>
        </w:rPr>
        <w:footnoteRef/>
      </w:r>
      <w:r>
        <w:t xml:space="preserve"> Reynolds, Exh. No. DJR-3T at 5:23-6:1.</w:t>
      </w:r>
    </w:p>
  </w:footnote>
  <w:footnote w:id="379">
    <w:p w:rsidR="006E272D" w:rsidRDefault="006E272D" w:rsidP="00863594">
      <w:pPr>
        <w:pStyle w:val="FootnoteText"/>
      </w:pPr>
      <w:r>
        <w:rPr>
          <w:rStyle w:val="FootnoteReference"/>
        </w:rPr>
        <w:footnoteRef/>
      </w:r>
      <w:r>
        <w:t xml:space="preserve"> Cavanagh, Exh. No. RCC-6T at 3:13-14.</w:t>
      </w:r>
    </w:p>
  </w:footnote>
  <w:footnote w:id="380">
    <w:p w:rsidR="006E272D" w:rsidRDefault="006E272D" w:rsidP="00863594">
      <w:pPr>
        <w:pStyle w:val="FootnoteText"/>
      </w:pPr>
      <w:r>
        <w:rPr>
          <w:rStyle w:val="FootnoteReference"/>
        </w:rPr>
        <w:footnoteRef/>
      </w:r>
      <w:r>
        <w:t xml:space="preserve"> Cavanagh, Exh. No. RCC-1T at 11:14.</w:t>
      </w:r>
    </w:p>
  </w:footnote>
  <w:footnote w:id="381">
    <w:p w:rsidR="006E272D" w:rsidRDefault="006E272D" w:rsidP="00863594">
      <w:pPr>
        <w:pStyle w:val="FootnoteText"/>
      </w:pPr>
      <w:r>
        <w:rPr>
          <w:rStyle w:val="FootnoteReference"/>
        </w:rPr>
        <w:footnoteRef/>
      </w:r>
      <w:r>
        <w:t xml:space="preserve"> </w:t>
      </w:r>
      <w:proofErr w:type="gramStart"/>
      <w:r>
        <w:t xml:space="preserve">Decoupling Policy Statement at </w:t>
      </w:r>
      <w:r w:rsidRPr="00B566D0">
        <w:t>¶</w:t>
      </w:r>
      <w:r>
        <w:t xml:space="preserve"> 28.</w:t>
      </w:r>
      <w:proofErr w:type="gramEnd"/>
    </w:p>
  </w:footnote>
  <w:footnote w:id="382">
    <w:p w:rsidR="006E272D" w:rsidRDefault="006E272D" w:rsidP="00A72716">
      <w:pPr>
        <w:pStyle w:val="FootnoteText"/>
      </w:pPr>
      <w:r>
        <w:rPr>
          <w:rStyle w:val="FootnoteReference"/>
        </w:rPr>
        <w:footnoteRef/>
      </w:r>
      <w:r>
        <w:t xml:space="preserve"> Cavanagh, Exh. No. RCC-6T at 3:13-14.</w:t>
      </w:r>
    </w:p>
  </w:footnote>
  <w:footnote w:id="383">
    <w:p w:rsidR="006E272D" w:rsidRDefault="006E272D">
      <w:pPr>
        <w:pStyle w:val="FootnoteText"/>
      </w:pPr>
      <w:r>
        <w:rPr>
          <w:rStyle w:val="FootnoteReference"/>
        </w:rPr>
        <w:footnoteRef/>
      </w:r>
      <w:r>
        <w:t xml:space="preserve"> </w:t>
      </w:r>
      <w:proofErr w:type="spellStart"/>
      <w:r>
        <w:t>Piliaris</w:t>
      </w:r>
      <w:proofErr w:type="spellEnd"/>
      <w:r>
        <w:t xml:space="preserve">, Exh. No. </w:t>
      </w:r>
      <w:proofErr w:type="gramStart"/>
      <w:r>
        <w:t>JAP-40 at 16.</w:t>
      </w:r>
      <w:proofErr w:type="gramEnd"/>
    </w:p>
  </w:footnote>
  <w:footnote w:id="384">
    <w:p w:rsidR="006E272D" w:rsidRDefault="006E272D">
      <w:pPr>
        <w:pStyle w:val="FootnoteText"/>
      </w:pPr>
      <w:r>
        <w:rPr>
          <w:rStyle w:val="FootnoteReference"/>
        </w:rPr>
        <w:footnoteRef/>
      </w:r>
      <w:r>
        <w:t xml:space="preserve"> </w:t>
      </w:r>
      <w:proofErr w:type="spellStart"/>
      <w:proofErr w:type="gramStart"/>
      <w:r>
        <w:t>Piliaris</w:t>
      </w:r>
      <w:proofErr w:type="spellEnd"/>
      <w:r>
        <w:t>, TR. 647-650 and 657-66.</w:t>
      </w:r>
      <w:proofErr w:type="gramEnd"/>
    </w:p>
  </w:footnote>
  <w:footnote w:id="385">
    <w:p w:rsidR="006E272D" w:rsidRDefault="006E272D">
      <w:pPr>
        <w:pStyle w:val="FootnoteText"/>
      </w:pPr>
      <w:r>
        <w:rPr>
          <w:rStyle w:val="FootnoteReference"/>
        </w:rPr>
        <w:footnoteRef/>
      </w:r>
      <w:r>
        <w:t xml:space="preserve"> Reynolds, Exh. No. DJR-1T at 32:18-21.</w:t>
      </w:r>
    </w:p>
  </w:footnote>
  <w:footnote w:id="386">
    <w:p w:rsidR="006E272D" w:rsidRDefault="006E272D">
      <w:pPr>
        <w:pStyle w:val="FootnoteText"/>
      </w:pPr>
      <w:r>
        <w:rPr>
          <w:rStyle w:val="FootnoteReference"/>
        </w:rPr>
        <w:footnoteRef/>
      </w:r>
      <w:r>
        <w:t xml:space="preserve"> Elgin, Exh. No. KLE-1T at 79:16-80:3.</w:t>
      </w:r>
    </w:p>
  </w:footnote>
  <w:footnote w:id="387">
    <w:p w:rsidR="006E272D" w:rsidRDefault="006E272D">
      <w:pPr>
        <w:pStyle w:val="FootnoteText"/>
      </w:pPr>
      <w:r>
        <w:rPr>
          <w:rStyle w:val="FootnoteReference"/>
        </w:rPr>
        <w:footnoteRef/>
      </w:r>
      <w:r>
        <w:t xml:space="preserve"> In fact, the Commission recognized </w:t>
      </w:r>
      <w:r w:rsidR="00AB5D17">
        <w:t xml:space="preserve">the potential for decoupling to create unreasonable administrative burden.  </w:t>
      </w:r>
      <w:proofErr w:type="gramStart"/>
      <w:r w:rsidR="00AB5D17">
        <w:t xml:space="preserve">Decoupling Policy Statement at </w:t>
      </w:r>
      <w:r w:rsidR="00AB5D17" w:rsidRPr="00B566D0">
        <w:t>¶</w:t>
      </w:r>
      <w:r w:rsidR="00AB5D17">
        <w:t xml:space="preserve"> 29.</w:t>
      </w:r>
      <w:proofErr w:type="gramEnd"/>
    </w:p>
  </w:footnote>
  <w:footnote w:id="388">
    <w:p w:rsidR="006E272D" w:rsidRDefault="006E272D" w:rsidP="0083568F">
      <w:pPr>
        <w:pStyle w:val="FootnoteText"/>
      </w:pPr>
      <w:r>
        <w:rPr>
          <w:rStyle w:val="FootnoteReference"/>
        </w:rPr>
        <w:footnoteRef/>
      </w:r>
      <w:r>
        <w:t xml:space="preserve"> In 2009, the benchmark was increased from .030 to .038, allowing 38 disconnections per 1,000 customers. </w:t>
      </w:r>
      <w:r w:rsidRPr="00E32F84">
        <w:rPr>
          <w:i/>
        </w:rPr>
        <w:t>WUTC v Puget Sound Energy, Inc</w:t>
      </w:r>
      <w:r w:rsidRPr="00E32F84">
        <w:t xml:space="preserve">., Dockets UE-072300 and UG-072301, Order 14 (November 13, 2009).  </w:t>
      </w:r>
    </w:p>
  </w:footnote>
  <w:footnote w:id="389">
    <w:p w:rsidR="006E272D" w:rsidRPr="00E32F84" w:rsidRDefault="006E272D" w:rsidP="00DF316E">
      <w:pPr>
        <w:pStyle w:val="NoSpacing"/>
        <w:rPr>
          <w:sz w:val="20"/>
          <w:szCs w:val="20"/>
        </w:rPr>
      </w:pPr>
      <w:r w:rsidRPr="00E32F84">
        <w:rPr>
          <w:rStyle w:val="FootnoteReference"/>
          <w:sz w:val="20"/>
          <w:szCs w:val="20"/>
        </w:rPr>
        <w:footnoteRef/>
      </w:r>
      <w:r w:rsidRPr="00E32F84">
        <w:rPr>
          <w:sz w:val="20"/>
          <w:szCs w:val="20"/>
        </w:rPr>
        <w:t xml:space="preserve"> </w:t>
      </w:r>
      <w:r w:rsidRPr="00E32F84">
        <w:rPr>
          <w:i/>
          <w:sz w:val="20"/>
          <w:szCs w:val="20"/>
        </w:rPr>
        <w:t>WUTC v Puget Sound Energy, Inc</w:t>
      </w:r>
      <w:r w:rsidRPr="00E32F84">
        <w:rPr>
          <w:sz w:val="20"/>
          <w:szCs w:val="20"/>
        </w:rPr>
        <w:t xml:space="preserve">., Dockets UE-072300 and UG-072301, Order 16 (August 10, 2010).  </w:t>
      </w:r>
    </w:p>
  </w:footnote>
  <w:footnote w:id="390">
    <w:p w:rsidR="006E272D" w:rsidRPr="00612583" w:rsidRDefault="006E272D">
      <w:pPr>
        <w:pStyle w:val="FootnoteText"/>
      </w:pPr>
      <w:r w:rsidRPr="00612583">
        <w:rPr>
          <w:rStyle w:val="FootnoteReference"/>
        </w:rPr>
        <w:footnoteRef/>
      </w:r>
      <w:r w:rsidRPr="00612583">
        <w:t xml:space="preserve"> </w:t>
      </w:r>
      <w:r>
        <w:t>Kouchi, Exh. No.</w:t>
      </w:r>
      <w:r w:rsidRPr="00612583">
        <w:t xml:space="preserve"> RK-1T at 6:12-8:2</w:t>
      </w:r>
      <w:r>
        <w:t>.</w:t>
      </w:r>
    </w:p>
  </w:footnote>
  <w:footnote w:id="391">
    <w:p w:rsidR="006E272D" w:rsidRPr="00E32F84" w:rsidRDefault="006E272D" w:rsidP="00F112B2">
      <w:pPr>
        <w:pStyle w:val="FootnoteText"/>
      </w:pPr>
      <w:r w:rsidRPr="00E32F84">
        <w:rPr>
          <w:rStyle w:val="FootnoteReference"/>
        </w:rPr>
        <w:footnoteRef/>
      </w:r>
      <w:r w:rsidRPr="00E32F84">
        <w:t xml:space="preserve"> WAC 480-90-178 / WAC 480-100-178.</w:t>
      </w:r>
    </w:p>
  </w:footnote>
  <w:footnote w:id="392">
    <w:p w:rsidR="006E272D" w:rsidRPr="00E32F84" w:rsidRDefault="006E272D" w:rsidP="00F112B2">
      <w:pPr>
        <w:pStyle w:val="FootnoteText"/>
      </w:pPr>
      <w:r w:rsidRPr="00E32F84">
        <w:rPr>
          <w:rStyle w:val="FootnoteReference"/>
        </w:rPr>
        <w:footnoteRef/>
      </w:r>
      <w:r w:rsidRPr="00E32F84">
        <w:t xml:space="preserve"> WAC 480-90-173 / WAC 480-100-173.</w:t>
      </w:r>
    </w:p>
  </w:footnote>
  <w:footnote w:id="393">
    <w:p w:rsidR="006E272D" w:rsidRPr="00E32F84" w:rsidRDefault="006E272D" w:rsidP="00F112B2">
      <w:pPr>
        <w:pStyle w:val="FootnoteText"/>
      </w:pPr>
      <w:r w:rsidRPr="00E32F84">
        <w:rPr>
          <w:rStyle w:val="FootnoteReference"/>
        </w:rPr>
        <w:footnoteRef/>
      </w:r>
      <w:r w:rsidRPr="00E32F84">
        <w:t xml:space="preserve"> WAC 480-90-128 / WAC 480-100-128.</w:t>
      </w:r>
    </w:p>
  </w:footnote>
  <w:footnote w:id="394">
    <w:p w:rsidR="006E272D" w:rsidRPr="00CD31EB" w:rsidRDefault="006E272D" w:rsidP="00F112B2">
      <w:pPr>
        <w:pStyle w:val="FootnoteText"/>
      </w:pPr>
      <w:r w:rsidRPr="00CD31EB">
        <w:rPr>
          <w:rStyle w:val="FootnoteReference"/>
        </w:rPr>
        <w:footnoteRef/>
      </w:r>
      <w:r w:rsidRPr="00CD31EB">
        <w:t xml:space="preserve"> WAC 480-90-123 / WAC 480-100-123.</w:t>
      </w:r>
    </w:p>
  </w:footnote>
  <w:footnote w:id="395">
    <w:p w:rsidR="006E272D" w:rsidRPr="00721D9D" w:rsidRDefault="006E272D">
      <w:pPr>
        <w:pStyle w:val="FootnoteText"/>
      </w:pPr>
      <w:r w:rsidRPr="00721D9D">
        <w:rPr>
          <w:rStyle w:val="FootnoteReference"/>
        </w:rPr>
        <w:footnoteRef/>
      </w:r>
      <w:r w:rsidRPr="00721D9D">
        <w:t xml:space="preserve"> </w:t>
      </w:r>
      <w:r>
        <w:t>Kouchi, TR. 1082:1-11.  See WAC 480-100-138/WAC 480-90-138 and WAC 480-100-143/WAC 480-90-143.</w:t>
      </w:r>
    </w:p>
  </w:footnote>
  <w:footnote w:id="396">
    <w:p w:rsidR="006E272D" w:rsidRPr="00434941" w:rsidRDefault="006E272D">
      <w:pPr>
        <w:pStyle w:val="FootnoteText"/>
      </w:pPr>
      <w:r w:rsidRPr="00434941">
        <w:rPr>
          <w:rStyle w:val="FootnoteReference"/>
        </w:rPr>
        <w:footnoteRef/>
      </w:r>
      <w:r>
        <w:t xml:space="preserve"> Kouchi, TR. 1087:11-22 and Kouchi, Exh. No. RK-2 at 3.</w:t>
      </w:r>
    </w:p>
  </w:footnote>
  <w:footnote w:id="397">
    <w:p w:rsidR="006E272D" w:rsidRPr="00CD31EB" w:rsidRDefault="006E272D">
      <w:pPr>
        <w:pStyle w:val="FootnoteText"/>
      </w:pPr>
      <w:r w:rsidRPr="00CD31EB">
        <w:rPr>
          <w:rStyle w:val="FootnoteReference"/>
        </w:rPr>
        <w:footnoteRef/>
      </w:r>
      <w:r w:rsidRPr="00CD31EB">
        <w:t xml:space="preserve"> </w:t>
      </w:r>
      <w:r>
        <w:t xml:space="preserve">Kouchi, Exh. No. </w:t>
      </w:r>
      <w:r w:rsidRPr="00CD31EB">
        <w:t>Exhibit RK-3.</w:t>
      </w:r>
    </w:p>
  </w:footnote>
  <w:footnote w:id="398">
    <w:p w:rsidR="006E272D" w:rsidRPr="00C67A1A" w:rsidRDefault="006E272D">
      <w:pPr>
        <w:pStyle w:val="FootnoteText"/>
      </w:pPr>
      <w:r w:rsidRPr="00C67A1A">
        <w:rPr>
          <w:rStyle w:val="FootnoteReference"/>
        </w:rPr>
        <w:footnoteRef/>
      </w:r>
      <w:r>
        <w:t xml:space="preserve"> Kouchi, TR. 1088:2-1089:8.</w:t>
      </w:r>
    </w:p>
  </w:footnote>
  <w:footnote w:id="399">
    <w:p w:rsidR="006E272D" w:rsidRPr="003257D3" w:rsidRDefault="006E272D">
      <w:pPr>
        <w:pStyle w:val="FootnoteText"/>
      </w:pPr>
      <w:r w:rsidRPr="003257D3">
        <w:rPr>
          <w:rStyle w:val="FootnoteReference"/>
        </w:rPr>
        <w:footnoteRef/>
      </w:r>
      <w:r w:rsidRPr="003257D3">
        <w:t xml:space="preserve"> </w:t>
      </w:r>
      <w:r>
        <w:t>McLain, TR. 787:6-9 and Kouchi, TR. 1096:3-9.</w:t>
      </w:r>
    </w:p>
  </w:footnote>
  <w:footnote w:id="400">
    <w:p w:rsidR="006E272D" w:rsidRPr="00FC3A4C" w:rsidRDefault="006E272D">
      <w:pPr>
        <w:pStyle w:val="FootnoteText"/>
      </w:pPr>
      <w:r w:rsidRPr="00FC3A4C">
        <w:rPr>
          <w:rStyle w:val="FootnoteReference"/>
        </w:rPr>
        <w:footnoteRef/>
      </w:r>
      <w:r>
        <w:t xml:space="preserve"> McLain, TR. 783:5-10 and 788:15-20, and Kouchi, TR. 1080:10-16.</w:t>
      </w:r>
    </w:p>
  </w:footnote>
  <w:footnote w:id="401">
    <w:p w:rsidR="006E272D" w:rsidRPr="00EB518B" w:rsidRDefault="006E272D" w:rsidP="006046DA">
      <w:pPr>
        <w:pStyle w:val="Header"/>
        <w:rPr>
          <w:rFonts w:ascii="Times New Roman" w:hAnsi="Times New Roman"/>
          <w:sz w:val="20"/>
          <w:szCs w:val="20"/>
        </w:rPr>
      </w:pPr>
      <w:r w:rsidRPr="00EB518B">
        <w:rPr>
          <w:rStyle w:val="FootnoteReference"/>
          <w:rFonts w:ascii="Times New Roman" w:hAnsi="Times New Roman"/>
          <w:sz w:val="20"/>
          <w:szCs w:val="20"/>
        </w:rPr>
        <w:footnoteRef/>
      </w:r>
      <w:r w:rsidRPr="00EB518B">
        <w:rPr>
          <w:rFonts w:ascii="Times New Roman" w:hAnsi="Times New Roman"/>
          <w:sz w:val="20"/>
          <w:szCs w:val="20"/>
        </w:rPr>
        <w:t xml:space="preserve"> </w:t>
      </w:r>
      <w:r w:rsidRPr="00EB518B">
        <w:rPr>
          <w:rFonts w:ascii="Times New Roman" w:hAnsi="Times New Roman"/>
          <w:i/>
          <w:sz w:val="20"/>
          <w:szCs w:val="20"/>
        </w:rPr>
        <w:t>WUTC v Puget Sound Energy, Inc.</w:t>
      </w:r>
      <w:r w:rsidRPr="00EB518B">
        <w:rPr>
          <w:rFonts w:ascii="Times New Roman" w:hAnsi="Times New Roman"/>
          <w:sz w:val="20"/>
          <w:szCs w:val="20"/>
        </w:rPr>
        <w:t>,</w:t>
      </w:r>
      <w:r w:rsidRPr="00EB518B">
        <w:rPr>
          <w:rFonts w:ascii="Times New Roman" w:hAnsi="Times New Roman" w:cs="Times New Roman"/>
          <w:sz w:val="20"/>
          <w:szCs w:val="20"/>
        </w:rPr>
        <w:t xml:space="preserve"> Dockets UE-011570 and UG-011571, Updated Appendix1 to Exhibit J,  i</w:t>
      </w:r>
      <w:r w:rsidRPr="00EB518B">
        <w:rPr>
          <w:rFonts w:ascii="Times New Roman" w:hAnsi="Times New Roman"/>
          <w:sz w:val="20"/>
          <w:szCs w:val="20"/>
        </w:rPr>
        <w:t>n Compliance with Order 17, Dockets UE-072300 and UG-072301 (November 29, 2010).</w:t>
      </w:r>
    </w:p>
  </w:footnote>
  <w:footnote w:id="402">
    <w:p w:rsidR="006E272D" w:rsidRPr="00B65F5A" w:rsidRDefault="006E272D" w:rsidP="00864137">
      <w:pPr>
        <w:pStyle w:val="FootnoteText"/>
      </w:pPr>
      <w:r w:rsidRPr="00864137">
        <w:rPr>
          <w:rStyle w:val="FootnoteReference"/>
        </w:rPr>
        <w:footnoteRef/>
      </w:r>
      <w:r>
        <w:t xml:space="preserve"> Howatt, Exh. No. JGH-1T</w:t>
      </w:r>
      <w:r w:rsidRPr="00864137">
        <w:t xml:space="preserve"> at 20.</w:t>
      </w:r>
      <w:r w:rsidRPr="00B65F5A">
        <w:rPr>
          <w:b/>
        </w:rPr>
        <w:t xml:space="preserve"> </w:t>
      </w:r>
      <w:r>
        <w:rPr>
          <w:b/>
        </w:rPr>
        <w:t xml:space="preserve"> </w:t>
      </w:r>
      <w:r w:rsidRPr="00B65F5A">
        <w:t>Based on 2010 operating revenues, this w</w:t>
      </w:r>
      <w:r>
        <w:t>ould increase low-income bill</w:t>
      </w:r>
      <w:r w:rsidRPr="00B65F5A">
        <w:t xml:space="preserve"> assistance from $15.5 million to $20.2 million</w:t>
      </w:r>
      <w:r>
        <w:t>.</w:t>
      </w:r>
    </w:p>
  </w:footnote>
  <w:footnote w:id="403">
    <w:p w:rsidR="006E272D" w:rsidRPr="00864137" w:rsidRDefault="006E272D">
      <w:pPr>
        <w:pStyle w:val="FootnoteText"/>
      </w:pPr>
      <w:r w:rsidRPr="00864137">
        <w:rPr>
          <w:rStyle w:val="FootnoteReference"/>
        </w:rPr>
        <w:footnoteRef/>
      </w:r>
      <w:r>
        <w:t xml:space="preserve"> Reynolds, Exhibit No. </w:t>
      </w:r>
      <w:r w:rsidRPr="00864137">
        <w:t>DJ</w:t>
      </w:r>
      <w:r>
        <w:t>R-3T at 18:5-9.</w:t>
      </w:r>
    </w:p>
  </w:footnote>
  <w:footnote w:id="404">
    <w:p w:rsidR="006E272D" w:rsidRPr="00701C80" w:rsidRDefault="006E272D">
      <w:pPr>
        <w:pStyle w:val="FootnoteText"/>
      </w:pPr>
      <w:r w:rsidRPr="0075230A">
        <w:rPr>
          <w:rStyle w:val="FootnoteReference"/>
        </w:rPr>
        <w:footnoteRef/>
      </w:r>
      <w:r>
        <w:t xml:space="preserve"> Howatt, Exh. No. JGH-1T at 11:10-19.</w:t>
      </w:r>
    </w:p>
  </w:footnote>
  <w:footnote w:id="405">
    <w:p w:rsidR="006E272D" w:rsidRPr="0075230A" w:rsidRDefault="006E272D">
      <w:pPr>
        <w:pStyle w:val="FootnoteText"/>
      </w:pPr>
      <w:r w:rsidRPr="0075230A">
        <w:rPr>
          <w:rStyle w:val="FootnoteReference"/>
        </w:rPr>
        <w:footnoteRef/>
      </w:r>
      <w:r w:rsidRPr="0075230A">
        <w:t xml:space="preserve"> </w:t>
      </w:r>
      <w:r>
        <w:t>Howatt, Exh. No. JGH-5.</w:t>
      </w:r>
    </w:p>
  </w:footnote>
  <w:footnote w:id="406">
    <w:p w:rsidR="006E272D" w:rsidRPr="00701C80" w:rsidRDefault="006E272D">
      <w:pPr>
        <w:pStyle w:val="FootnoteText"/>
      </w:pPr>
      <w:r w:rsidRPr="00701C80">
        <w:rPr>
          <w:rStyle w:val="FootnoteReference"/>
        </w:rPr>
        <w:footnoteRef/>
      </w:r>
      <w:r w:rsidRPr="00701C80">
        <w:t xml:space="preserve"> </w:t>
      </w:r>
      <w:r>
        <w:t xml:space="preserve">Reynolds, Exh. No. DJR-3T at 19:10-16 </w:t>
      </w:r>
      <w:r w:rsidRPr="00701C80">
        <w:t xml:space="preserve">(Reynolds). </w:t>
      </w:r>
      <w:r>
        <w:t xml:space="preserve"> The importance of a comparative analysis was discussed at hearing.  Howatt, TR. 502:25-504:20.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240"/>
    <w:multiLevelType w:val="hybridMultilevel"/>
    <w:tmpl w:val="C144CA98"/>
    <w:lvl w:ilvl="0" w:tplc="0B7C15F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6D25"/>
    <w:multiLevelType w:val="hybridMultilevel"/>
    <w:tmpl w:val="DBF4C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40887"/>
    <w:multiLevelType w:val="hybridMultilevel"/>
    <w:tmpl w:val="9B4062F2"/>
    <w:lvl w:ilvl="0" w:tplc="0B7C15F4">
      <w:start w:val="1"/>
      <w:numFmt w:val="decimal"/>
      <w:lvlText w:val="%1"/>
      <w:lvlJc w:val="left"/>
      <w:pPr>
        <w:ind w:left="144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F45C1"/>
    <w:multiLevelType w:val="hybridMultilevel"/>
    <w:tmpl w:val="74AA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862036"/>
    <w:multiLevelType w:val="hybridMultilevel"/>
    <w:tmpl w:val="D1CE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C35CB"/>
    <w:multiLevelType w:val="hybridMultilevel"/>
    <w:tmpl w:val="99503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715C93"/>
    <w:multiLevelType w:val="hybridMultilevel"/>
    <w:tmpl w:val="8618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A48D4"/>
    <w:multiLevelType w:val="hybridMultilevel"/>
    <w:tmpl w:val="60121112"/>
    <w:lvl w:ilvl="0" w:tplc="0B7C15F4">
      <w:start w:val="1"/>
      <w:numFmt w:val="decimal"/>
      <w:lvlText w:val="%1"/>
      <w:lvlJc w:val="left"/>
      <w:pPr>
        <w:ind w:left="144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412E35"/>
    <w:multiLevelType w:val="hybridMultilevel"/>
    <w:tmpl w:val="5F84CA5E"/>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DCF1DCD"/>
    <w:multiLevelType w:val="hybridMultilevel"/>
    <w:tmpl w:val="CF5EC044"/>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AC30FB"/>
    <w:multiLevelType w:val="hybridMultilevel"/>
    <w:tmpl w:val="77FEDF52"/>
    <w:lvl w:ilvl="0" w:tplc="6A8AA7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C270D6"/>
    <w:multiLevelType w:val="hybridMultilevel"/>
    <w:tmpl w:val="438E1A8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2854F0"/>
    <w:multiLevelType w:val="hybridMultilevel"/>
    <w:tmpl w:val="F5041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AA7DEA"/>
    <w:multiLevelType w:val="hybridMultilevel"/>
    <w:tmpl w:val="A85A221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492174"/>
    <w:multiLevelType w:val="hybridMultilevel"/>
    <w:tmpl w:val="4560E23E"/>
    <w:lvl w:ilvl="0" w:tplc="0B7C15F4">
      <w:start w:val="1"/>
      <w:numFmt w:val="decimal"/>
      <w:lvlText w:val="%1"/>
      <w:lvlJc w:val="left"/>
      <w:pPr>
        <w:ind w:left="144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7E4687"/>
    <w:multiLevelType w:val="hybridMultilevel"/>
    <w:tmpl w:val="C4F69156"/>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B30FF3"/>
    <w:multiLevelType w:val="hybridMultilevel"/>
    <w:tmpl w:val="43FA638E"/>
    <w:lvl w:ilvl="0" w:tplc="0B7C15F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26EFC"/>
    <w:multiLevelType w:val="hybridMultilevel"/>
    <w:tmpl w:val="1F6CB8D8"/>
    <w:lvl w:ilvl="0" w:tplc="0B7C15F4">
      <w:start w:val="1"/>
      <w:numFmt w:val="decimal"/>
      <w:lvlText w:val="%1"/>
      <w:lvlJc w:val="left"/>
      <w:pPr>
        <w:ind w:left="144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11311F"/>
    <w:multiLevelType w:val="hybridMultilevel"/>
    <w:tmpl w:val="556682B8"/>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764FC7"/>
    <w:multiLevelType w:val="hybridMultilevel"/>
    <w:tmpl w:val="84369DB6"/>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0C7CDC"/>
    <w:multiLevelType w:val="hybridMultilevel"/>
    <w:tmpl w:val="C704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36531"/>
    <w:multiLevelType w:val="hybridMultilevel"/>
    <w:tmpl w:val="CEA4F6F2"/>
    <w:lvl w:ilvl="0" w:tplc="0B7C15F4">
      <w:start w:val="1"/>
      <w:numFmt w:val="decimal"/>
      <w:lvlText w:val="%1"/>
      <w:lvlJc w:val="left"/>
      <w:pPr>
        <w:ind w:left="0" w:hanging="720"/>
      </w:pPr>
      <w:rPr>
        <w:rFonts w:ascii="Times New Roman" w:hAnsi="Times New Roman" w:hint="default"/>
        <w:b w:val="0"/>
        <w:i/>
        <w:sz w:val="24"/>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B2D11A9"/>
    <w:multiLevelType w:val="hybridMultilevel"/>
    <w:tmpl w:val="5BF68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D0324E"/>
    <w:multiLevelType w:val="hybridMultilevel"/>
    <w:tmpl w:val="2A2C37C8"/>
    <w:lvl w:ilvl="0" w:tplc="0B7C15F4">
      <w:start w:val="1"/>
      <w:numFmt w:val="decimal"/>
      <w:lvlText w:val="%1"/>
      <w:lvlJc w:val="left"/>
      <w:pPr>
        <w:ind w:left="144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F35C37"/>
    <w:multiLevelType w:val="hybridMultilevel"/>
    <w:tmpl w:val="F41C65BA"/>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0F4371"/>
    <w:multiLevelType w:val="hybridMultilevel"/>
    <w:tmpl w:val="D15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734DD0"/>
    <w:multiLevelType w:val="hybridMultilevel"/>
    <w:tmpl w:val="B4A83C48"/>
    <w:lvl w:ilvl="0" w:tplc="0B7C15F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4E7637"/>
    <w:multiLevelType w:val="hybridMultilevel"/>
    <w:tmpl w:val="D38E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5B4110"/>
    <w:multiLevelType w:val="hybridMultilevel"/>
    <w:tmpl w:val="1B56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25"/>
  </w:num>
  <w:num w:numId="4">
    <w:abstractNumId w:val="27"/>
  </w:num>
  <w:num w:numId="5">
    <w:abstractNumId w:val="22"/>
  </w:num>
  <w:num w:numId="6">
    <w:abstractNumId w:val="5"/>
  </w:num>
  <w:num w:numId="7">
    <w:abstractNumId w:val="10"/>
  </w:num>
  <w:num w:numId="8">
    <w:abstractNumId w:val="18"/>
  </w:num>
  <w:num w:numId="9">
    <w:abstractNumId w:val="26"/>
  </w:num>
  <w:num w:numId="10">
    <w:abstractNumId w:val="11"/>
  </w:num>
  <w:num w:numId="11">
    <w:abstractNumId w:val="24"/>
  </w:num>
  <w:num w:numId="12">
    <w:abstractNumId w:val="19"/>
  </w:num>
  <w:num w:numId="13">
    <w:abstractNumId w:val="14"/>
  </w:num>
  <w:num w:numId="14">
    <w:abstractNumId w:val="2"/>
  </w:num>
  <w:num w:numId="15">
    <w:abstractNumId w:val="23"/>
  </w:num>
  <w:num w:numId="16">
    <w:abstractNumId w:val="17"/>
  </w:num>
  <w:num w:numId="17">
    <w:abstractNumId w:val="7"/>
  </w:num>
  <w:num w:numId="18">
    <w:abstractNumId w:val="1"/>
  </w:num>
  <w:num w:numId="19">
    <w:abstractNumId w:val="0"/>
  </w:num>
  <w:num w:numId="20">
    <w:abstractNumId w:val="16"/>
  </w:num>
  <w:num w:numId="21">
    <w:abstractNumId w:val="21"/>
  </w:num>
  <w:num w:numId="22">
    <w:abstractNumId w:val="3"/>
  </w:num>
  <w:num w:numId="23">
    <w:abstractNumId w:val="6"/>
  </w:num>
  <w:num w:numId="24">
    <w:abstractNumId w:val="9"/>
  </w:num>
  <w:num w:numId="25">
    <w:abstractNumId w:val="15"/>
  </w:num>
  <w:num w:numId="26">
    <w:abstractNumId w:val="13"/>
  </w:num>
  <w:num w:numId="27">
    <w:abstractNumId w:val="20"/>
  </w:num>
  <w:num w:numId="28">
    <w:abstractNumId w:val="4"/>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50"/>
    <w:rsid w:val="00001F94"/>
    <w:rsid w:val="0000741A"/>
    <w:rsid w:val="00010A02"/>
    <w:rsid w:val="000116E8"/>
    <w:rsid w:val="000153B2"/>
    <w:rsid w:val="00017A45"/>
    <w:rsid w:val="0002403A"/>
    <w:rsid w:val="000240FF"/>
    <w:rsid w:val="0002652C"/>
    <w:rsid w:val="00027E74"/>
    <w:rsid w:val="00034ABF"/>
    <w:rsid w:val="0004257A"/>
    <w:rsid w:val="00053711"/>
    <w:rsid w:val="00056AEC"/>
    <w:rsid w:val="00060EA4"/>
    <w:rsid w:val="00062022"/>
    <w:rsid w:val="0006239A"/>
    <w:rsid w:val="00062518"/>
    <w:rsid w:val="00063911"/>
    <w:rsid w:val="00076500"/>
    <w:rsid w:val="00076CFC"/>
    <w:rsid w:val="00081757"/>
    <w:rsid w:val="000817D3"/>
    <w:rsid w:val="00081DCD"/>
    <w:rsid w:val="0008328A"/>
    <w:rsid w:val="0008459D"/>
    <w:rsid w:val="00090528"/>
    <w:rsid w:val="00090B92"/>
    <w:rsid w:val="00093047"/>
    <w:rsid w:val="000930CB"/>
    <w:rsid w:val="00094EE5"/>
    <w:rsid w:val="000964BA"/>
    <w:rsid w:val="00097365"/>
    <w:rsid w:val="0009757C"/>
    <w:rsid w:val="000A0207"/>
    <w:rsid w:val="000A40FD"/>
    <w:rsid w:val="000A7D55"/>
    <w:rsid w:val="000B42FB"/>
    <w:rsid w:val="000B5B3F"/>
    <w:rsid w:val="000C099A"/>
    <w:rsid w:val="000C181C"/>
    <w:rsid w:val="000C1A6C"/>
    <w:rsid w:val="000C2472"/>
    <w:rsid w:val="000C4121"/>
    <w:rsid w:val="000D1EBF"/>
    <w:rsid w:val="000D5164"/>
    <w:rsid w:val="000D51B0"/>
    <w:rsid w:val="000D558B"/>
    <w:rsid w:val="000E0ACF"/>
    <w:rsid w:val="000E31BF"/>
    <w:rsid w:val="000E3A35"/>
    <w:rsid w:val="000E3A49"/>
    <w:rsid w:val="000E4143"/>
    <w:rsid w:val="000E4722"/>
    <w:rsid w:val="000E5FCA"/>
    <w:rsid w:val="000F0C40"/>
    <w:rsid w:val="000F276F"/>
    <w:rsid w:val="000F48CB"/>
    <w:rsid w:val="000F64CD"/>
    <w:rsid w:val="00101031"/>
    <w:rsid w:val="001024B6"/>
    <w:rsid w:val="0010355B"/>
    <w:rsid w:val="00105582"/>
    <w:rsid w:val="0010715F"/>
    <w:rsid w:val="0011098E"/>
    <w:rsid w:val="0011251E"/>
    <w:rsid w:val="00113A9D"/>
    <w:rsid w:val="001148D2"/>
    <w:rsid w:val="001169A1"/>
    <w:rsid w:val="001210FF"/>
    <w:rsid w:val="00122C2A"/>
    <w:rsid w:val="00122F9F"/>
    <w:rsid w:val="001230DA"/>
    <w:rsid w:val="00127D94"/>
    <w:rsid w:val="0013245A"/>
    <w:rsid w:val="0013368C"/>
    <w:rsid w:val="00133B23"/>
    <w:rsid w:val="00140C5B"/>
    <w:rsid w:val="00143BD3"/>
    <w:rsid w:val="0014442D"/>
    <w:rsid w:val="00144DE4"/>
    <w:rsid w:val="0015039C"/>
    <w:rsid w:val="00154C94"/>
    <w:rsid w:val="0015750F"/>
    <w:rsid w:val="00161EA0"/>
    <w:rsid w:val="00167EEC"/>
    <w:rsid w:val="001719E6"/>
    <w:rsid w:val="00173DDC"/>
    <w:rsid w:val="00177444"/>
    <w:rsid w:val="001816CB"/>
    <w:rsid w:val="00184383"/>
    <w:rsid w:val="00186BCB"/>
    <w:rsid w:val="00187465"/>
    <w:rsid w:val="00191B4B"/>
    <w:rsid w:val="0019209E"/>
    <w:rsid w:val="00195F6F"/>
    <w:rsid w:val="00196E3E"/>
    <w:rsid w:val="00197D95"/>
    <w:rsid w:val="001A12B6"/>
    <w:rsid w:val="001B06C3"/>
    <w:rsid w:val="001B156B"/>
    <w:rsid w:val="001B211A"/>
    <w:rsid w:val="001B2ED1"/>
    <w:rsid w:val="001B49FA"/>
    <w:rsid w:val="001B6C0A"/>
    <w:rsid w:val="001C146C"/>
    <w:rsid w:val="001C3208"/>
    <w:rsid w:val="001C3358"/>
    <w:rsid w:val="001C6F46"/>
    <w:rsid w:val="001C7A74"/>
    <w:rsid w:val="001D2626"/>
    <w:rsid w:val="001D2DEF"/>
    <w:rsid w:val="001D5285"/>
    <w:rsid w:val="001D6453"/>
    <w:rsid w:val="001E2103"/>
    <w:rsid w:val="001E27D7"/>
    <w:rsid w:val="001E2E03"/>
    <w:rsid w:val="001E5372"/>
    <w:rsid w:val="001F1EBB"/>
    <w:rsid w:val="001F334E"/>
    <w:rsid w:val="001F33E8"/>
    <w:rsid w:val="001F6FB6"/>
    <w:rsid w:val="001F749E"/>
    <w:rsid w:val="00204CE5"/>
    <w:rsid w:val="00204D33"/>
    <w:rsid w:val="002107E8"/>
    <w:rsid w:val="00210D89"/>
    <w:rsid w:val="00213595"/>
    <w:rsid w:val="00214F5B"/>
    <w:rsid w:val="002152C1"/>
    <w:rsid w:val="00216DD5"/>
    <w:rsid w:val="00217482"/>
    <w:rsid w:val="00222F18"/>
    <w:rsid w:val="00225098"/>
    <w:rsid w:val="00232B4C"/>
    <w:rsid w:val="0023342B"/>
    <w:rsid w:val="002358A0"/>
    <w:rsid w:val="00235DEC"/>
    <w:rsid w:val="00240A6C"/>
    <w:rsid w:val="00241A0A"/>
    <w:rsid w:val="002421B7"/>
    <w:rsid w:val="00243154"/>
    <w:rsid w:val="002438FA"/>
    <w:rsid w:val="002439D2"/>
    <w:rsid w:val="00243AF0"/>
    <w:rsid w:val="00245237"/>
    <w:rsid w:val="0024582A"/>
    <w:rsid w:val="00246B6E"/>
    <w:rsid w:val="00251153"/>
    <w:rsid w:val="0025265A"/>
    <w:rsid w:val="0025335C"/>
    <w:rsid w:val="002538E0"/>
    <w:rsid w:val="002545AA"/>
    <w:rsid w:val="00257D2C"/>
    <w:rsid w:val="002619B9"/>
    <w:rsid w:val="00261E04"/>
    <w:rsid w:val="00262F5E"/>
    <w:rsid w:val="00267760"/>
    <w:rsid w:val="00270914"/>
    <w:rsid w:val="00271692"/>
    <w:rsid w:val="00271D1A"/>
    <w:rsid w:val="00273D1C"/>
    <w:rsid w:val="00274882"/>
    <w:rsid w:val="00277F2A"/>
    <w:rsid w:val="00281CEC"/>
    <w:rsid w:val="00282ABF"/>
    <w:rsid w:val="002840DC"/>
    <w:rsid w:val="0028551A"/>
    <w:rsid w:val="00285E3C"/>
    <w:rsid w:val="0028773F"/>
    <w:rsid w:val="00287E08"/>
    <w:rsid w:val="00294206"/>
    <w:rsid w:val="002A0121"/>
    <w:rsid w:val="002A1603"/>
    <w:rsid w:val="002A2EB4"/>
    <w:rsid w:val="002A456C"/>
    <w:rsid w:val="002A6DF3"/>
    <w:rsid w:val="002B53D7"/>
    <w:rsid w:val="002B6241"/>
    <w:rsid w:val="002C1F2A"/>
    <w:rsid w:val="002D2C60"/>
    <w:rsid w:val="002D2FB8"/>
    <w:rsid w:val="002E0481"/>
    <w:rsid w:val="002E111B"/>
    <w:rsid w:val="002E47E8"/>
    <w:rsid w:val="002E627B"/>
    <w:rsid w:val="002E67C1"/>
    <w:rsid w:val="002E7A0E"/>
    <w:rsid w:val="002E7FAC"/>
    <w:rsid w:val="002F3539"/>
    <w:rsid w:val="002F39B3"/>
    <w:rsid w:val="002F6CE6"/>
    <w:rsid w:val="002F769A"/>
    <w:rsid w:val="003041F5"/>
    <w:rsid w:val="0030614F"/>
    <w:rsid w:val="00306428"/>
    <w:rsid w:val="003101A8"/>
    <w:rsid w:val="00310BDF"/>
    <w:rsid w:val="00315310"/>
    <w:rsid w:val="00315E3C"/>
    <w:rsid w:val="00316884"/>
    <w:rsid w:val="00320ECD"/>
    <w:rsid w:val="00322948"/>
    <w:rsid w:val="00324DBF"/>
    <w:rsid w:val="003257D3"/>
    <w:rsid w:val="00331140"/>
    <w:rsid w:val="00334615"/>
    <w:rsid w:val="00346B81"/>
    <w:rsid w:val="00352D83"/>
    <w:rsid w:val="00353D86"/>
    <w:rsid w:val="003561AF"/>
    <w:rsid w:val="00364AB6"/>
    <w:rsid w:val="00364B31"/>
    <w:rsid w:val="003656B8"/>
    <w:rsid w:val="003662F4"/>
    <w:rsid w:val="0037034D"/>
    <w:rsid w:val="00371F1C"/>
    <w:rsid w:val="00375743"/>
    <w:rsid w:val="003811EC"/>
    <w:rsid w:val="00382A20"/>
    <w:rsid w:val="00385770"/>
    <w:rsid w:val="00390190"/>
    <w:rsid w:val="00390DDD"/>
    <w:rsid w:val="00392112"/>
    <w:rsid w:val="00392B10"/>
    <w:rsid w:val="003956A5"/>
    <w:rsid w:val="003A3217"/>
    <w:rsid w:val="003A3DE9"/>
    <w:rsid w:val="003A4DDC"/>
    <w:rsid w:val="003B0857"/>
    <w:rsid w:val="003B3A0B"/>
    <w:rsid w:val="003B3B3A"/>
    <w:rsid w:val="003C4B35"/>
    <w:rsid w:val="003D49B0"/>
    <w:rsid w:val="003D5240"/>
    <w:rsid w:val="003E0C01"/>
    <w:rsid w:val="003E13C5"/>
    <w:rsid w:val="003E23BF"/>
    <w:rsid w:val="003E7C3F"/>
    <w:rsid w:val="003E7FF8"/>
    <w:rsid w:val="003F0E99"/>
    <w:rsid w:val="003F3CE5"/>
    <w:rsid w:val="004001AE"/>
    <w:rsid w:val="004001F6"/>
    <w:rsid w:val="00401025"/>
    <w:rsid w:val="0040144B"/>
    <w:rsid w:val="00404F9F"/>
    <w:rsid w:val="00412F8A"/>
    <w:rsid w:val="004209DC"/>
    <w:rsid w:val="00420D11"/>
    <w:rsid w:val="004215EA"/>
    <w:rsid w:val="00425372"/>
    <w:rsid w:val="00426B8C"/>
    <w:rsid w:val="004307A9"/>
    <w:rsid w:val="00432C3E"/>
    <w:rsid w:val="00432CEB"/>
    <w:rsid w:val="00434941"/>
    <w:rsid w:val="0044313A"/>
    <w:rsid w:val="004449E8"/>
    <w:rsid w:val="00444DB8"/>
    <w:rsid w:val="004465F4"/>
    <w:rsid w:val="00447421"/>
    <w:rsid w:val="004500D8"/>
    <w:rsid w:val="00450C95"/>
    <w:rsid w:val="00451057"/>
    <w:rsid w:val="00453062"/>
    <w:rsid w:val="00456607"/>
    <w:rsid w:val="00457B0A"/>
    <w:rsid w:val="004608BD"/>
    <w:rsid w:val="00460C8B"/>
    <w:rsid w:val="00461B7B"/>
    <w:rsid w:val="004633E9"/>
    <w:rsid w:val="00463980"/>
    <w:rsid w:val="00464A41"/>
    <w:rsid w:val="00465FFF"/>
    <w:rsid w:val="004669A8"/>
    <w:rsid w:val="004736BE"/>
    <w:rsid w:val="00475680"/>
    <w:rsid w:val="0048302F"/>
    <w:rsid w:val="00484880"/>
    <w:rsid w:val="00486672"/>
    <w:rsid w:val="00492EDE"/>
    <w:rsid w:val="0049450E"/>
    <w:rsid w:val="004A1576"/>
    <w:rsid w:val="004A1BB7"/>
    <w:rsid w:val="004A1D00"/>
    <w:rsid w:val="004A213E"/>
    <w:rsid w:val="004A2D2D"/>
    <w:rsid w:val="004A2F54"/>
    <w:rsid w:val="004A43D3"/>
    <w:rsid w:val="004A4BA5"/>
    <w:rsid w:val="004A516C"/>
    <w:rsid w:val="004A5818"/>
    <w:rsid w:val="004B2CA5"/>
    <w:rsid w:val="004B5390"/>
    <w:rsid w:val="004B6A1D"/>
    <w:rsid w:val="004C0E9B"/>
    <w:rsid w:val="004C4492"/>
    <w:rsid w:val="004C48BC"/>
    <w:rsid w:val="004C491A"/>
    <w:rsid w:val="004C6301"/>
    <w:rsid w:val="004C7121"/>
    <w:rsid w:val="004C7DE1"/>
    <w:rsid w:val="004C7FC4"/>
    <w:rsid w:val="004D6C3F"/>
    <w:rsid w:val="004D779E"/>
    <w:rsid w:val="004D7AC7"/>
    <w:rsid w:val="004E508F"/>
    <w:rsid w:val="004E597B"/>
    <w:rsid w:val="004E6ABC"/>
    <w:rsid w:val="004F3CF5"/>
    <w:rsid w:val="004F3D0B"/>
    <w:rsid w:val="004F6171"/>
    <w:rsid w:val="00501116"/>
    <w:rsid w:val="005019EC"/>
    <w:rsid w:val="005021ED"/>
    <w:rsid w:val="00502D43"/>
    <w:rsid w:val="005035ED"/>
    <w:rsid w:val="00504E33"/>
    <w:rsid w:val="00510839"/>
    <w:rsid w:val="00513D65"/>
    <w:rsid w:val="00527850"/>
    <w:rsid w:val="00527B50"/>
    <w:rsid w:val="00530931"/>
    <w:rsid w:val="00532193"/>
    <w:rsid w:val="00532438"/>
    <w:rsid w:val="005333C9"/>
    <w:rsid w:val="00542749"/>
    <w:rsid w:val="00542A98"/>
    <w:rsid w:val="00543B08"/>
    <w:rsid w:val="00546C60"/>
    <w:rsid w:val="00547054"/>
    <w:rsid w:val="00553850"/>
    <w:rsid w:val="00555905"/>
    <w:rsid w:val="00557504"/>
    <w:rsid w:val="00567141"/>
    <w:rsid w:val="0057374D"/>
    <w:rsid w:val="00577690"/>
    <w:rsid w:val="005826D4"/>
    <w:rsid w:val="005856D8"/>
    <w:rsid w:val="00587F64"/>
    <w:rsid w:val="00591164"/>
    <w:rsid w:val="005A5390"/>
    <w:rsid w:val="005A6065"/>
    <w:rsid w:val="005A606B"/>
    <w:rsid w:val="005A6269"/>
    <w:rsid w:val="005B0718"/>
    <w:rsid w:val="005B79F5"/>
    <w:rsid w:val="005C01E4"/>
    <w:rsid w:val="005C0C08"/>
    <w:rsid w:val="005C1853"/>
    <w:rsid w:val="005C4F71"/>
    <w:rsid w:val="005C56AA"/>
    <w:rsid w:val="005D00B9"/>
    <w:rsid w:val="005D11C2"/>
    <w:rsid w:val="005D4677"/>
    <w:rsid w:val="005D7538"/>
    <w:rsid w:val="005E0E61"/>
    <w:rsid w:val="005E1335"/>
    <w:rsid w:val="005E360D"/>
    <w:rsid w:val="005E36D6"/>
    <w:rsid w:val="005E3DDE"/>
    <w:rsid w:val="005E5255"/>
    <w:rsid w:val="005E630C"/>
    <w:rsid w:val="005F2735"/>
    <w:rsid w:val="005F36A7"/>
    <w:rsid w:val="006046DA"/>
    <w:rsid w:val="00605D8F"/>
    <w:rsid w:val="00612583"/>
    <w:rsid w:val="006144A4"/>
    <w:rsid w:val="00617ACC"/>
    <w:rsid w:val="0063076F"/>
    <w:rsid w:val="006330AD"/>
    <w:rsid w:val="00633CEA"/>
    <w:rsid w:val="006354C5"/>
    <w:rsid w:val="00635501"/>
    <w:rsid w:val="006448C9"/>
    <w:rsid w:val="00644F72"/>
    <w:rsid w:val="006475E5"/>
    <w:rsid w:val="00653549"/>
    <w:rsid w:val="00655A72"/>
    <w:rsid w:val="00656254"/>
    <w:rsid w:val="00656585"/>
    <w:rsid w:val="0066156A"/>
    <w:rsid w:val="00661A97"/>
    <w:rsid w:val="00664AC6"/>
    <w:rsid w:val="00667F3F"/>
    <w:rsid w:val="00673AFF"/>
    <w:rsid w:val="006755D9"/>
    <w:rsid w:val="00675C6F"/>
    <w:rsid w:val="00675E20"/>
    <w:rsid w:val="00681046"/>
    <w:rsid w:val="00684826"/>
    <w:rsid w:val="00686E8E"/>
    <w:rsid w:val="006878AE"/>
    <w:rsid w:val="006920B1"/>
    <w:rsid w:val="00693855"/>
    <w:rsid w:val="006942E3"/>
    <w:rsid w:val="006B1F80"/>
    <w:rsid w:val="006B2798"/>
    <w:rsid w:val="006B637C"/>
    <w:rsid w:val="006C4369"/>
    <w:rsid w:val="006C4D56"/>
    <w:rsid w:val="006D3291"/>
    <w:rsid w:val="006D36BE"/>
    <w:rsid w:val="006D4CB3"/>
    <w:rsid w:val="006D50AD"/>
    <w:rsid w:val="006D544D"/>
    <w:rsid w:val="006D60A2"/>
    <w:rsid w:val="006D7858"/>
    <w:rsid w:val="006E01E6"/>
    <w:rsid w:val="006E1094"/>
    <w:rsid w:val="006E26F0"/>
    <w:rsid w:val="006E272D"/>
    <w:rsid w:val="006E4393"/>
    <w:rsid w:val="006E43CF"/>
    <w:rsid w:val="006E7CB2"/>
    <w:rsid w:val="006F0BAB"/>
    <w:rsid w:val="006F348F"/>
    <w:rsid w:val="006F6249"/>
    <w:rsid w:val="00701C80"/>
    <w:rsid w:val="00702C66"/>
    <w:rsid w:val="00711D59"/>
    <w:rsid w:val="007164B9"/>
    <w:rsid w:val="00716BF3"/>
    <w:rsid w:val="00721D9D"/>
    <w:rsid w:val="00722921"/>
    <w:rsid w:val="00722A16"/>
    <w:rsid w:val="007270AD"/>
    <w:rsid w:val="00731743"/>
    <w:rsid w:val="0073240B"/>
    <w:rsid w:val="007326D8"/>
    <w:rsid w:val="00733A41"/>
    <w:rsid w:val="00734BC5"/>
    <w:rsid w:val="00734EDC"/>
    <w:rsid w:val="0073589F"/>
    <w:rsid w:val="00743E3D"/>
    <w:rsid w:val="00744619"/>
    <w:rsid w:val="007452E3"/>
    <w:rsid w:val="00746771"/>
    <w:rsid w:val="00750161"/>
    <w:rsid w:val="00750605"/>
    <w:rsid w:val="00750FD9"/>
    <w:rsid w:val="007511D6"/>
    <w:rsid w:val="0075230A"/>
    <w:rsid w:val="00753F66"/>
    <w:rsid w:val="007545F7"/>
    <w:rsid w:val="00756C3A"/>
    <w:rsid w:val="00762032"/>
    <w:rsid w:val="00762997"/>
    <w:rsid w:val="00763D1A"/>
    <w:rsid w:val="007702A8"/>
    <w:rsid w:val="0077760E"/>
    <w:rsid w:val="00791129"/>
    <w:rsid w:val="0079294B"/>
    <w:rsid w:val="007940EB"/>
    <w:rsid w:val="00794EE1"/>
    <w:rsid w:val="00796352"/>
    <w:rsid w:val="007A2CDD"/>
    <w:rsid w:val="007A32DE"/>
    <w:rsid w:val="007A3F1E"/>
    <w:rsid w:val="007A7065"/>
    <w:rsid w:val="007A798E"/>
    <w:rsid w:val="007C06F6"/>
    <w:rsid w:val="007C3894"/>
    <w:rsid w:val="007C422C"/>
    <w:rsid w:val="007C447C"/>
    <w:rsid w:val="007C4C5B"/>
    <w:rsid w:val="007C4F8A"/>
    <w:rsid w:val="007C742B"/>
    <w:rsid w:val="007D0349"/>
    <w:rsid w:val="007D3D53"/>
    <w:rsid w:val="007E0D77"/>
    <w:rsid w:val="007E496D"/>
    <w:rsid w:val="007F066A"/>
    <w:rsid w:val="007F2563"/>
    <w:rsid w:val="007F5286"/>
    <w:rsid w:val="007F700D"/>
    <w:rsid w:val="007F7957"/>
    <w:rsid w:val="00803FFA"/>
    <w:rsid w:val="00804682"/>
    <w:rsid w:val="00811EC4"/>
    <w:rsid w:val="008154AF"/>
    <w:rsid w:val="0081591F"/>
    <w:rsid w:val="00825635"/>
    <w:rsid w:val="00827605"/>
    <w:rsid w:val="008334C4"/>
    <w:rsid w:val="00833A35"/>
    <w:rsid w:val="00834F5A"/>
    <w:rsid w:val="0083568F"/>
    <w:rsid w:val="008404B7"/>
    <w:rsid w:val="0084188A"/>
    <w:rsid w:val="00841E0C"/>
    <w:rsid w:val="008432A3"/>
    <w:rsid w:val="00844538"/>
    <w:rsid w:val="00844CF0"/>
    <w:rsid w:val="0084635F"/>
    <w:rsid w:val="008552A3"/>
    <w:rsid w:val="0085548C"/>
    <w:rsid w:val="00855B38"/>
    <w:rsid w:val="0085769C"/>
    <w:rsid w:val="008606C2"/>
    <w:rsid w:val="00863594"/>
    <w:rsid w:val="00864137"/>
    <w:rsid w:val="0086455B"/>
    <w:rsid w:val="008651A7"/>
    <w:rsid w:val="00865AE8"/>
    <w:rsid w:val="00865BAA"/>
    <w:rsid w:val="00865F98"/>
    <w:rsid w:val="00867F5D"/>
    <w:rsid w:val="00872D55"/>
    <w:rsid w:val="00881F0E"/>
    <w:rsid w:val="00883C10"/>
    <w:rsid w:val="00884809"/>
    <w:rsid w:val="0088727F"/>
    <w:rsid w:val="00890645"/>
    <w:rsid w:val="00891C26"/>
    <w:rsid w:val="00894309"/>
    <w:rsid w:val="008A18AD"/>
    <w:rsid w:val="008A319F"/>
    <w:rsid w:val="008A6A18"/>
    <w:rsid w:val="008B47F6"/>
    <w:rsid w:val="008B5DFD"/>
    <w:rsid w:val="008B77A4"/>
    <w:rsid w:val="008C018E"/>
    <w:rsid w:val="008C0393"/>
    <w:rsid w:val="008C0E75"/>
    <w:rsid w:val="008C1C4B"/>
    <w:rsid w:val="008C3721"/>
    <w:rsid w:val="008C4C17"/>
    <w:rsid w:val="008D0C81"/>
    <w:rsid w:val="008D13C6"/>
    <w:rsid w:val="008D28A4"/>
    <w:rsid w:val="008D399F"/>
    <w:rsid w:val="008E07E5"/>
    <w:rsid w:val="008E0D31"/>
    <w:rsid w:val="008E1BD5"/>
    <w:rsid w:val="008E1E8A"/>
    <w:rsid w:val="008E2456"/>
    <w:rsid w:val="008E6DDE"/>
    <w:rsid w:val="008E78A5"/>
    <w:rsid w:val="008E7E13"/>
    <w:rsid w:val="008E7E89"/>
    <w:rsid w:val="008F4E95"/>
    <w:rsid w:val="008F552B"/>
    <w:rsid w:val="00904D01"/>
    <w:rsid w:val="00906A8F"/>
    <w:rsid w:val="00906DCE"/>
    <w:rsid w:val="00910B99"/>
    <w:rsid w:val="0091287B"/>
    <w:rsid w:val="00916301"/>
    <w:rsid w:val="00922915"/>
    <w:rsid w:val="009230D2"/>
    <w:rsid w:val="00924EC6"/>
    <w:rsid w:val="00927F2D"/>
    <w:rsid w:val="00931701"/>
    <w:rsid w:val="0093313C"/>
    <w:rsid w:val="00935532"/>
    <w:rsid w:val="009366C1"/>
    <w:rsid w:val="00937AB5"/>
    <w:rsid w:val="009402F5"/>
    <w:rsid w:val="009435F9"/>
    <w:rsid w:val="009441E3"/>
    <w:rsid w:val="0095151E"/>
    <w:rsid w:val="0095314C"/>
    <w:rsid w:val="0096220A"/>
    <w:rsid w:val="00964435"/>
    <w:rsid w:val="00964E00"/>
    <w:rsid w:val="0097385B"/>
    <w:rsid w:val="00983153"/>
    <w:rsid w:val="00986754"/>
    <w:rsid w:val="00986EDC"/>
    <w:rsid w:val="0099230C"/>
    <w:rsid w:val="00993019"/>
    <w:rsid w:val="009949ED"/>
    <w:rsid w:val="00994CBF"/>
    <w:rsid w:val="00995918"/>
    <w:rsid w:val="00997157"/>
    <w:rsid w:val="00997F0D"/>
    <w:rsid w:val="009A0EBF"/>
    <w:rsid w:val="009A0FF8"/>
    <w:rsid w:val="009A2091"/>
    <w:rsid w:val="009A320A"/>
    <w:rsid w:val="009A4BB9"/>
    <w:rsid w:val="009A5E29"/>
    <w:rsid w:val="009B21BB"/>
    <w:rsid w:val="009B5C9E"/>
    <w:rsid w:val="009B72F4"/>
    <w:rsid w:val="009B76B5"/>
    <w:rsid w:val="009C0983"/>
    <w:rsid w:val="009C28E0"/>
    <w:rsid w:val="009C368C"/>
    <w:rsid w:val="009C5519"/>
    <w:rsid w:val="009C760A"/>
    <w:rsid w:val="009D1E16"/>
    <w:rsid w:val="009D2609"/>
    <w:rsid w:val="009E1191"/>
    <w:rsid w:val="009E20C0"/>
    <w:rsid w:val="009E3A24"/>
    <w:rsid w:val="009E5B39"/>
    <w:rsid w:val="009F154C"/>
    <w:rsid w:val="009F20F6"/>
    <w:rsid w:val="009F3429"/>
    <w:rsid w:val="009F3817"/>
    <w:rsid w:val="009F7922"/>
    <w:rsid w:val="009F7CCF"/>
    <w:rsid w:val="00A00F84"/>
    <w:rsid w:val="00A0318D"/>
    <w:rsid w:val="00A03A52"/>
    <w:rsid w:val="00A03E21"/>
    <w:rsid w:val="00A07ACD"/>
    <w:rsid w:val="00A1479E"/>
    <w:rsid w:val="00A21338"/>
    <w:rsid w:val="00A21394"/>
    <w:rsid w:val="00A25167"/>
    <w:rsid w:val="00A25B57"/>
    <w:rsid w:val="00A26624"/>
    <w:rsid w:val="00A27DB7"/>
    <w:rsid w:val="00A348F2"/>
    <w:rsid w:val="00A35B8F"/>
    <w:rsid w:val="00A36B16"/>
    <w:rsid w:val="00A37153"/>
    <w:rsid w:val="00A40FB9"/>
    <w:rsid w:val="00A41120"/>
    <w:rsid w:val="00A41EE4"/>
    <w:rsid w:val="00A469DA"/>
    <w:rsid w:val="00A55A6C"/>
    <w:rsid w:val="00A5715F"/>
    <w:rsid w:val="00A6075B"/>
    <w:rsid w:val="00A60BB5"/>
    <w:rsid w:val="00A62346"/>
    <w:rsid w:val="00A6438F"/>
    <w:rsid w:val="00A67D96"/>
    <w:rsid w:val="00A72716"/>
    <w:rsid w:val="00A73249"/>
    <w:rsid w:val="00A74DB3"/>
    <w:rsid w:val="00A76A3B"/>
    <w:rsid w:val="00A76C58"/>
    <w:rsid w:val="00A80A7A"/>
    <w:rsid w:val="00A8500B"/>
    <w:rsid w:val="00A90994"/>
    <w:rsid w:val="00A93374"/>
    <w:rsid w:val="00A94786"/>
    <w:rsid w:val="00A949D5"/>
    <w:rsid w:val="00AA1CF5"/>
    <w:rsid w:val="00AA2D0B"/>
    <w:rsid w:val="00AA2E5E"/>
    <w:rsid w:val="00AA3731"/>
    <w:rsid w:val="00AA45FF"/>
    <w:rsid w:val="00AB0D32"/>
    <w:rsid w:val="00AB3FD8"/>
    <w:rsid w:val="00AB5D17"/>
    <w:rsid w:val="00AB5E6A"/>
    <w:rsid w:val="00AC069E"/>
    <w:rsid w:val="00AC0B80"/>
    <w:rsid w:val="00AC4FF6"/>
    <w:rsid w:val="00AC6B02"/>
    <w:rsid w:val="00AC743E"/>
    <w:rsid w:val="00AC7CED"/>
    <w:rsid w:val="00AD0322"/>
    <w:rsid w:val="00AD1305"/>
    <w:rsid w:val="00AD42A0"/>
    <w:rsid w:val="00AE2360"/>
    <w:rsid w:val="00AE5F36"/>
    <w:rsid w:val="00AE6FDB"/>
    <w:rsid w:val="00AF014A"/>
    <w:rsid w:val="00AF21E8"/>
    <w:rsid w:val="00AF2224"/>
    <w:rsid w:val="00AF3010"/>
    <w:rsid w:val="00B022AD"/>
    <w:rsid w:val="00B06133"/>
    <w:rsid w:val="00B06D03"/>
    <w:rsid w:val="00B07567"/>
    <w:rsid w:val="00B07B86"/>
    <w:rsid w:val="00B11A00"/>
    <w:rsid w:val="00B134DF"/>
    <w:rsid w:val="00B176A8"/>
    <w:rsid w:val="00B20D44"/>
    <w:rsid w:val="00B21BDB"/>
    <w:rsid w:val="00B30601"/>
    <w:rsid w:val="00B31A27"/>
    <w:rsid w:val="00B3217C"/>
    <w:rsid w:val="00B35A89"/>
    <w:rsid w:val="00B44975"/>
    <w:rsid w:val="00B45482"/>
    <w:rsid w:val="00B45A4F"/>
    <w:rsid w:val="00B46068"/>
    <w:rsid w:val="00B52A2F"/>
    <w:rsid w:val="00B55932"/>
    <w:rsid w:val="00B56387"/>
    <w:rsid w:val="00B6509A"/>
    <w:rsid w:val="00B65F5A"/>
    <w:rsid w:val="00B74815"/>
    <w:rsid w:val="00B87660"/>
    <w:rsid w:val="00B90661"/>
    <w:rsid w:val="00B90B3C"/>
    <w:rsid w:val="00B934D7"/>
    <w:rsid w:val="00B95D38"/>
    <w:rsid w:val="00BA2E1C"/>
    <w:rsid w:val="00BA4061"/>
    <w:rsid w:val="00BA4168"/>
    <w:rsid w:val="00BA5191"/>
    <w:rsid w:val="00BA6030"/>
    <w:rsid w:val="00BA6484"/>
    <w:rsid w:val="00BA7BE8"/>
    <w:rsid w:val="00BA7BEE"/>
    <w:rsid w:val="00BB048E"/>
    <w:rsid w:val="00BB4F44"/>
    <w:rsid w:val="00BB6F9D"/>
    <w:rsid w:val="00BC10DF"/>
    <w:rsid w:val="00BC549F"/>
    <w:rsid w:val="00BC58B5"/>
    <w:rsid w:val="00BC5DB6"/>
    <w:rsid w:val="00BC66F4"/>
    <w:rsid w:val="00BD5BD5"/>
    <w:rsid w:val="00BD7039"/>
    <w:rsid w:val="00BD776A"/>
    <w:rsid w:val="00BE363F"/>
    <w:rsid w:val="00BE3E24"/>
    <w:rsid w:val="00BE4F1D"/>
    <w:rsid w:val="00BE57D8"/>
    <w:rsid w:val="00BF113E"/>
    <w:rsid w:val="00BF1772"/>
    <w:rsid w:val="00BF17A3"/>
    <w:rsid w:val="00BF2679"/>
    <w:rsid w:val="00BF6676"/>
    <w:rsid w:val="00BF7B3E"/>
    <w:rsid w:val="00C07345"/>
    <w:rsid w:val="00C100B1"/>
    <w:rsid w:val="00C11C49"/>
    <w:rsid w:val="00C12E72"/>
    <w:rsid w:val="00C13836"/>
    <w:rsid w:val="00C1664F"/>
    <w:rsid w:val="00C1748F"/>
    <w:rsid w:val="00C179D6"/>
    <w:rsid w:val="00C218DB"/>
    <w:rsid w:val="00C228C0"/>
    <w:rsid w:val="00C25326"/>
    <w:rsid w:val="00C30071"/>
    <w:rsid w:val="00C3264C"/>
    <w:rsid w:val="00C32BC8"/>
    <w:rsid w:val="00C3357A"/>
    <w:rsid w:val="00C34359"/>
    <w:rsid w:val="00C35118"/>
    <w:rsid w:val="00C36C9C"/>
    <w:rsid w:val="00C376D1"/>
    <w:rsid w:val="00C51C55"/>
    <w:rsid w:val="00C55146"/>
    <w:rsid w:val="00C5554F"/>
    <w:rsid w:val="00C57EE3"/>
    <w:rsid w:val="00C609A5"/>
    <w:rsid w:val="00C60C81"/>
    <w:rsid w:val="00C61885"/>
    <w:rsid w:val="00C62CC9"/>
    <w:rsid w:val="00C65ECB"/>
    <w:rsid w:val="00C66C1C"/>
    <w:rsid w:val="00C673D2"/>
    <w:rsid w:val="00C67A1A"/>
    <w:rsid w:val="00C77F45"/>
    <w:rsid w:val="00C85571"/>
    <w:rsid w:val="00C85CF9"/>
    <w:rsid w:val="00C87D52"/>
    <w:rsid w:val="00C95B11"/>
    <w:rsid w:val="00C95D96"/>
    <w:rsid w:val="00CA218A"/>
    <w:rsid w:val="00CA37D7"/>
    <w:rsid w:val="00CB0428"/>
    <w:rsid w:val="00CB0669"/>
    <w:rsid w:val="00CB3E68"/>
    <w:rsid w:val="00CB3EC4"/>
    <w:rsid w:val="00CC0BE6"/>
    <w:rsid w:val="00CC3F83"/>
    <w:rsid w:val="00CC71B6"/>
    <w:rsid w:val="00CD31EB"/>
    <w:rsid w:val="00CD5723"/>
    <w:rsid w:val="00CD5A8B"/>
    <w:rsid w:val="00CE253D"/>
    <w:rsid w:val="00CE70D8"/>
    <w:rsid w:val="00CF1FE0"/>
    <w:rsid w:val="00CF5777"/>
    <w:rsid w:val="00CF677B"/>
    <w:rsid w:val="00D008F0"/>
    <w:rsid w:val="00D02E01"/>
    <w:rsid w:val="00D06669"/>
    <w:rsid w:val="00D06FC4"/>
    <w:rsid w:val="00D106A3"/>
    <w:rsid w:val="00D13DD6"/>
    <w:rsid w:val="00D15C35"/>
    <w:rsid w:val="00D17843"/>
    <w:rsid w:val="00D21326"/>
    <w:rsid w:val="00D228D3"/>
    <w:rsid w:val="00D23CFC"/>
    <w:rsid w:val="00D25FE2"/>
    <w:rsid w:val="00D31356"/>
    <w:rsid w:val="00D32E54"/>
    <w:rsid w:val="00D3414C"/>
    <w:rsid w:val="00D3454A"/>
    <w:rsid w:val="00D36AEB"/>
    <w:rsid w:val="00D41717"/>
    <w:rsid w:val="00D519DA"/>
    <w:rsid w:val="00D52E68"/>
    <w:rsid w:val="00D632EA"/>
    <w:rsid w:val="00D7210B"/>
    <w:rsid w:val="00D8058E"/>
    <w:rsid w:val="00D84A15"/>
    <w:rsid w:val="00D8545B"/>
    <w:rsid w:val="00D93ECE"/>
    <w:rsid w:val="00D94740"/>
    <w:rsid w:val="00DA0B38"/>
    <w:rsid w:val="00DA15C0"/>
    <w:rsid w:val="00DA3234"/>
    <w:rsid w:val="00DA59AB"/>
    <w:rsid w:val="00DA701B"/>
    <w:rsid w:val="00DA7A05"/>
    <w:rsid w:val="00DB4FCC"/>
    <w:rsid w:val="00DB78E2"/>
    <w:rsid w:val="00DC0642"/>
    <w:rsid w:val="00DC702B"/>
    <w:rsid w:val="00DD0564"/>
    <w:rsid w:val="00DD6A96"/>
    <w:rsid w:val="00DD790F"/>
    <w:rsid w:val="00DE1609"/>
    <w:rsid w:val="00DE31EB"/>
    <w:rsid w:val="00DE668D"/>
    <w:rsid w:val="00DE70FC"/>
    <w:rsid w:val="00DE73DD"/>
    <w:rsid w:val="00DF00A8"/>
    <w:rsid w:val="00DF0104"/>
    <w:rsid w:val="00DF2AB6"/>
    <w:rsid w:val="00DF316E"/>
    <w:rsid w:val="00DF37E8"/>
    <w:rsid w:val="00E00CF6"/>
    <w:rsid w:val="00E00EAC"/>
    <w:rsid w:val="00E12919"/>
    <w:rsid w:val="00E12AB4"/>
    <w:rsid w:val="00E14FAF"/>
    <w:rsid w:val="00E1610C"/>
    <w:rsid w:val="00E2097F"/>
    <w:rsid w:val="00E21BCE"/>
    <w:rsid w:val="00E21D90"/>
    <w:rsid w:val="00E222A7"/>
    <w:rsid w:val="00E262B8"/>
    <w:rsid w:val="00E2766D"/>
    <w:rsid w:val="00E310D2"/>
    <w:rsid w:val="00E32F84"/>
    <w:rsid w:val="00E3331E"/>
    <w:rsid w:val="00E33773"/>
    <w:rsid w:val="00E46214"/>
    <w:rsid w:val="00E47081"/>
    <w:rsid w:val="00E504D7"/>
    <w:rsid w:val="00E51E0E"/>
    <w:rsid w:val="00E534A9"/>
    <w:rsid w:val="00E538BA"/>
    <w:rsid w:val="00E60BBB"/>
    <w:rsid w:val="00E638E5"/>
    <w:rsid w:val="00E6593F"/>
    <w:rsid w:val="00E67202"/>
    <w:rsid w:val="00E713A6"/>
    <w:rsid w:val="00E717CD"/>
    <w:rsid w:val="00E8744B"/>
    <w:rsid w:val="00E93095"/>
    <w:rsid w:val="00E93B94"/>
    <w:rsid w:val="00E947EB"/>
    <w:rsid w:val="00E9500F"/>
    <w:rsid w:val="00E95BEE"/>
    <w:rsid w:val="00E969C8"/>
    <w:rsid w:val="00EA006D"/>
    <w:rsid w:val="00EA2452"/>
    <w:rsid w:val="00EA2E43"/>
    <w:rsid w:val="00EA49B0"/>
    <w:rsid w:val="00EB43B7"/>
    <w:rsid w:val="00EB44E1"/>
    <w:rsid w:val="00EB518B"/>
    <w:rsid w:val="00EB6CA4"/>
    <w:rsid w:val="00EB7198"/>
    <w:rsid w:val="00EC0C76"/>
    <w:rsid w:val="00EC1A2B"/>
    <w:rsid w:val="00EC2F12"/>
    <w:rsid w:val="00EC3187"/>
    <w:rsid w:val="00ED0A39"/>
    <w:rsid w:val="00ED0BEF"/>
    <w:rsid w:val="00ED3202"/>
    <w:rsid w:val="00ED65EE"/>
    <w:rsid w:val="00EE0EB8"/>
    <w:rsid w:val="00EF3124"/>
    <w:rsid w:val="00EF373D"/>
    <w:rsid w:val="00EF3772"/>
    <w:rsid w:val="00EF3C24"/>
    <w:rsid w:val="00EF6FC4"/>
    <w:rsid w:val="00F04452"/>
    <w:rsid w:val="00F0520D"/>
    <w:rsid w:val="00F05337"/>
    <w:rsid w:val="00F05C5C"/>
    <w:rsid w:val="00F07A78"/>
    <w:rsid w:val="00F07DB7"/>
    <w:rsid w:val="00F108BD"/>
    <w:rsid w:val="00F112B2"/>
    <w:rsid w:val="00F125AC"/>
    <w:rsid w:val="00F13F1C"/>
    <w:rsid w:val="00F15936"/>
    <w:rsid w:val="00F16ECB"/>
    <w:rsid w:val="00F26B2F"/>
    <w:rsid w:val="00F30A20"/>
    <w:rsid w:val="00F3259F"/>
    <w:rsid w:val="00F3628D"/>
    <w:rsid w:val="00F36AC6"/>
    <w:rsid w:val="00F403E3"/>
    <w:rsid w:val="00F46CDA"/>
    <w:rsid w:val="00F525D5"/>
    <w:rsid w:val="00F606BB"/>
    <w:rsid w:val="00F61FE3"/>
    <w:rsid w:val="00F66063"/>
    <w:rsid w:val="00F66A10"/>
    <w:rsid w:val="00F67DE9"/>
    <w:rsid w:val="00F700F9"/>
    <w:rsid w:val="00F709DC"/>
    <w:rsid w:val="00F713B9"/>
    <w:rsid w:val="00F746D5"/>
    <w:rsid w:val="00F7702D"/>
    <w:rsid w:val="00F77BE4"/>
    <w:rsid w:val="00F83717"/>
    <w:rsid w:val="00F83E49"/>
    <w:rsid w:val="00F8603A"/>
    <w:rsid w:val="00F918F2"/>
    <w:rsid w:val="00F91DAE"/>
    <w:rsid w:val="00F91EED"/>
    <w:rsid w:val="00F948E9"/>
    <w:rsid w:val="00F95C62"/>
    <w:rsid w:val="00F97BBD"/>
    <w:rsid w:val="00FA02D3"/>
    <w:rsid w:val="00FA3DC1"/>
    <w:rsid w:val="00FA55BE"/>
    <w:rsid w:val="00FA7C4A"/>
    <w:rsid w:val="00FB0429"/>
    <w:rsid w:val="00FB3C32"/>
    <w:rsid w:val="00FB3D42"/>
    <w:rsid w:val="00FB4F83"/>
    <w:rsid w:val="00FB528C"/>
    <w:rsid w:val="00FC3A4C"/>
    <w:rsid w:val="00FC4766"/>
    <w:rsid w:val="00FC485F"/>
    <w:rsid w:val="00FC4A70"/>
    <w:rsid w:val="00FC4C9A"/>
    <w:rsid w:val="00FC55B3"/>
    <w:rsid w:val="00FD3EEA"/>
    <w:rsid w:val="00FD7C03"/>
    <w:rsid w:val="00FE1D0F"/>
    <w:rsid w:val="00FE2B38"/>
    <w:rsid w:val="00FF18BC"/>
    <w:rsid w:val="00FF24DA"/>
    <w:rsid w:val="00FF4095"/>
    <w:rsid w:val="00FF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64137"/>
    <w:pPr>
      <w:tabs>
        <w:tab w:val="left" w:pos="-1440"/>
      </w:tabs>
      <w:spacing w:after="0" w:line="480" w:lineRule="auto"/>
      <w:ind w:left="720" w:hanging="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154C94"/>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154C94"/>
    <w:rPr>
      <w:rFonts w:ascii="Times New Roman" w:eastAsia="Calibri" w:hAnsi="Times New Roman" w:cs="Times New Roman"/>
      <w:sz w:val="20"/>
      <w:szCs w:val="20"/>
    </w:rPr>
  </w:style>
  <w:style w:type="character" w:styleId="FootnoteReference">
    <w:name w:val="footnote reference"/>
    <w:basedOn w:val="DefaultParagraphFont"/>
    <w:rsid w:val="00527B50"/>
    <w:rPr>
      <w:rFonts w:cs="Times New Roman"/>
      <w:vertAlign w:val="superscript"/>
    </w:rPr>
  </w:style>
  <w:style w:type="paragraph" w:styleId="ListParagraph">
    <w:name w:val="List Paragraph"/>
    <w:basedOn w:val="Normal"/>
    <w:uiPriority w:val="34"/>
    <w:qFormat/>
    <w:rsid w:val="00527B50"/>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60C81"/>
    <w:rPr>
      <w:sz w:val="16"/>
      <w:szCs w:val="16"/>
    </w:rPr>
  </w:style>
  <w:style w:type="paragraph" w:styleId="CommentText">
    <w:name w:val="annotation text"/>
    <w:basedOn w:val="Normal"/>
    <w:link w:val="CommentTextChar"/>
    <w:uiPriority w:val="99"/>
    <w:semiHidden/>
    <w:unhideWhenUsed/>
    <w:rsid w:val="00C60C81"/>
    <w:pPr>
      <w:spacing w:line="240" w:lineRule="auto"/>
    </w:pPr>
    <w:rPr>
      <w:sz w:val="20"/>
      <w:szCs w:val="20"/>
    </w:rPr>
  </w:style>
  <w:style w:type="character" w:customStyle="1" w:styleId="CommentTextChar">
    <w:name w:val="Comment Text Char"/>
    <w:basedOn w:val="DefaultParagraphFont"/>
    <w:link w:val="CommentText"/>
    <w:uiPriority w:val="99"/>
    <w:semiHidden/>
    <w:rsid w:val="00C60C81"/>
    <w:rPr>
      <w:sz w:val="20"/>
      <w:szCs w:val="20"/>
    </w:rPr>
  </w:style>
  <w:style w:type="paragraph" w:styleId="CommentSubject">
    <w:name w:val="annotation subject"/>
    <w:basedOn w:val="CommentText"/>
    <w:next w:val="CommentText"/>
    <w:link w:val="CommentSubjectChar"/>
    <w:uiPriority w:val="99"/>
    <w:semiHidden/>
    <w:unhideWhenUsed/>
    <w:rsid w:val="00C60C81"/>
    <w:rPr>
      <w:b/>
      <w:bCs/>
    </w:rPr>
  </w:style>
  <w:style w:type="character" w:customStyle="1" w:styleId="CommentSubjectChar">
    <w:name w:val="Comment Subject Char"/>
    <w:basedOn w:val="CommentTextChar"/>
    <w:link w:val="CommentSubject"/>
    <w:uiPriority w:val="99"/>
    <w:semiHidden/>
    <w:rsid w:val="00C60C81"/>
    <w:rPr>
      <w:b/>
      <w:bCs/>
      <w:sz w:val="20"/>
      <w:szCs w:val="20"/>
    </w:rPr>
  </w:style>
  <w:style w:type="paragraph" w:styleId="BalloonText">
    <w:name w:val="Balloon Text"/>
    <w:basedOn w:val="Normal"/>
    <w:link w:val="BalloonTextChar"/>
    <w:uiPriority w:val="99"/>
    <w:semiHidden/>
    <w:unhideWhenUsed/>
    <w:rsid w:val="00C60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81"/>
    <w:rPr>
      <w:rFonts w:ascii="Tahoma" w:hAnsi="Tahoma" w:cs="Tahoma"/>
      <w:sz w:val="16"/>
      <w:szCs w:val="16"/>
    </w:rPr>
  </w:style>
  <w:style w:type="paragraph" w:styleId="NoSpacing">
    <w:name w:val="No Spacing"/>
    <w:uiPriority w:val="1"/>
    <w:qFormat/>
    <w:rsid w:val="00DF316E"/>
    <w:pPr>
      <w:spacing w:after="0" w:line="240" w:lineRule="auto"/>
    </w:pPr>
    <w:rPr>
      <w:rFonts w:ascii="Times New Roman" w:eastAsia="Calibri" w:hAnsi="Times New Roman" w:cs="Times New Roman"/>
      <w:sz w:val="24"/>
    </w:rPr>
  </w:style>
  <w:style w:type="character" w:customStyle="1" w:styleId="Heading3Char">
    <w:name w:val="Heading 3 Char"/>
    <w:basedOn w:val="DefaultParagraphFont"/>
    <w:link w:val="Heading3"/>
    <w:rsid w:val="00864137"/>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D52E68"/>
    <w:pPr>
      <w:spacing w:after="0" w:line="48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52E68"/>
    <w:rPr>
      <w:rFonts w:ascii="Times New Roman" w:eastAsia="Times New Roman" w:hAnsi="Times New Roman" w:cs="Times New Roman"/>
      <w:sz w:val="24"/>
      <w:szCs w:val="24"/>
    </w:rPr>
  </w:style>
  <w:style w:type="paragraph" w:styleId="Footer">
    <w:name w:val="footer"/>
    <w:basedOn w:val="Normal"/>
    <w:link w:val="FooterChar"/>
    <w:rsid w:val="00F948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948E9"/>
    <w:rPr>
      <w:rFonts w:ascii="Times New Roman" w:eastAsia="Times New Roman" w:hAnsi="Times New Roman" w:cs="Times New Roman"/>
      <w:sz w:val="24"/>
      <w:szCs w:val="24"/>
    </w:rPr>
  </w:style>
  <w:style w:type="character" w:styleId="PageNumber">
    <w:name w:val="page number"/>
    <w:basedOn w:val="DefaultParagraphFont"/>
    <w:rsid w:val="00F948E9"/>
    <w:rPr>
      <w:rFonts w:cs="Times New Roman"/>
    </w:rPr>
  </w:style>
  <w:style w:type="character" w:styleId="LineNumber">
    <w:name w:val="line number"/>
    <w:basedOn w:val="DefaultParagraphFont"/>
    <w:uiPriority w:val="99"/>
    <w:semiHidden/>
    <w:unhideWhenUsed/>
    <w:rsid w:val="00F948E9"/>
  </w:style>
  <w:style w:type="paragraph" w:styleId="BodyTextIndent2">
    <w:name w:val="Body Text Indent 2"/>
    <w:basedOn w:val="Normal"/>
    <w:link w:val="BodyTextIndent2Char"/>
    <w:uiPriority w:val="99"/>
    <w:unhideWhenUsed/>
    <w:rsid w:val="00CE253D"/>
    <w:pPr>
      <w:spacing w:after="120" w:line="480" w:lineRule="auto"/>
      <w:ind w:left="360"/>
    </w:pPr>
  </w:style>
  <w:style w:type="character" w:customStyle="1" w:styleId="BodyTextIndent2Char">
    <w:name w:val="Body Text Indent 2 Char"/>
    <w:basedOn w:val="DefaultParagraphFont"/>
    <w:link w:val="BodyTextIndent2"/>
    <w:uiPriority w:val="99"/>
    <w:rsid w:val="00CE253D"/>
  </w:style>
  <w:style w:type="paragraph" w:customStyle="1" w:styleId="Answer-Testimony">
    <w:name w:val="Answer - Testimony"/>
    <w:basedOn w:val="Normal"/>
    <w:link w:val="Answer-TestimonyChar"/>
    <w:qFormat/>
    <w:rsid w:val="00BF17A3"/>
    <w:pPr>
      <w:spacing w:after="0" w:line="480" w:lineRule="auto"/>
      <w:ind w:left="720" w:hanging="720"/>
    </w:pPr>
    <w:rPr>
      <w:rFonts w:ascii="Times New Roman" w:eastAsia="Times New Roman" w:hAnsi="Times New Roman" w:cs="Times New Roman"/>
      <w:sz w:val="24"/>
      <w:szCs w:val="24"/>
    </w:rPr>
  </w:style>
  <w:style w:type="character" w:customStyle="1" w:styleId="Answer-TestimonyChar">
    <w:name w:val="Answer - Testimony Char"/>
    <w:basedOn w:val="DefaultParagraphFont"/>
    <w:link w:val="Answer-Testimony"/>
    <w:rsid w:val="00BF17A3"/>
    <w:rPr>
      <w:rFonts w:ascii="Times New Roman" w:eastAsia="Times New Roman" w:hAnsi="Times New Roman" w:cs="Times New Roman"/>
      <w:sz w:val="24"/>
      <w:szCs w:val="24"/>
    </w:rPr>
  </w:style>
  <w:style w:type="paragraph" w:styleId="Header">
    <w:name w:val="header"/>
    <w:basedOn w:val="Normal"/>
    <w:link w:val="HeaderChar"/>
    <w:unhideWhenUsed/>
    <w:rsid w:val="00BC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B5"/>
  </w:style>
  <w:style w:type="paragraph" w:styleId="TOC2">
    <w:name w:val="toc 2"/>
    <w:basedOn w:val="Normal"/>
    <w:next w:val="Normal"/>
    <w:autoRedefine/>
    <w:semiHidden/>
    <w:rsid w:val="001C3358"/>
    <w:pPr>
      <w:tabs>
        <w:tab w:val="left" w:pos="810"/>
        <w:tab w:val="right" w:leader="dot" w:pos="9360"/>
      </w:tabs>
      <w:spacing w:after="0" w:line="360" w:lineRule="auto"/>
    </w:pPr>
    <w:rPr>
      <w:rFonts w:ascii="Verdana" w:eastAsia="Times New Roman" w:hAnsi="Verdana" w:cs="Times New Roman"/>
      <w:smallCaps/>
      <w:noProof/>
      <w:szCs w:val="20"/>
    </w:rPr>
  </w:style>
  <w:style w:type="paragraph" w:styleId="BodyText">
    <w:name w:val="Body Text"/>
    <w:basedOn w:val="Normal"/>
    <w:link w:val="BodyTextChar"/>
    <w:uiPriority w:val="99"/>
    <w:unhideWhenUsed/>
    <w:rsid w:val="00567141"/>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567141"/>
    <w:rPr>
      <w:rFonts w:ascii="Times New Roman" w:hAnsi="Times New Roman"/>
      <w:sz w:val="24"/>
    </w:rPr>
  </w:style>
  <w:style w:type="character" w:customStyle="1" w:styleId="T11">
    <w:name w:val="T11"/>
    <w:hidden/>
    <w:rsid w:val="000F276F"/>
    <w:rPr>
      <w:b/>
    </w:rPr>
  </w:style>
  <w:style w:type="paragraph" w:customStyle="1" w:styleId="P25">
    <w:name w:val="P25"/>
    <w:basedOn w:val="Normal"/>
    <w:hidden/>
    <w:rsid w:val="000F276F"/>
    <w:pPr>
      <w:widowControl w:val="0"/>
      <w:tabs>
        <w:tab w:val="left" w:pos="810"/>
        <w:tab w:val="left" w:pos="1440"/>
      </w:tabs>
      <w:autoSpaceDE w:val="0"/>
      <w:autoSpaceDN w:val="0"/>
      <w:adjustRightInd w:val="0"/>
      <w:spacing w:after="0" w:line="480" w:lineRule="auto"/>
    </w:pPr>
    <w:rPr>
      <w:rFonts w:ascii="Courier" w:eastAsia="Times New Roman" w:hAnsi="Courier" w:cs="Courier"/>
      <w:b/>
      <w:sz w:val="24"/>
      <w:szCs w:val="20"/>
      <w:u w:val="single"/>
    </w:rPr>
  </w:style>
  <w:style w:type="paragraph" w:customStyle="1" w:styleId="Default">
    <w:name w:val="Default"/>
    <w:rsid w:val="00DF00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stimonyAnswer">
    <w:name w:val="Testimony Answer"/>
    <w:basedOn w:val="Normal"/>
    <w:qFormat/>
    <w:rsid w:val="00844CF0"/>
    <w:pPr>
      <w:tabs>
        <w:tab w:val="left" w:pos="720"/>
        <w:tab w:val="right" w:leader="dot" w:pos="8640"/>
        <w:tab w:val="left" w:pos="9240"/>
      </w:tabs>
      <w:spacing w:after="360" w:line="360" w:lineRule="auto"/>
      <w:ind w:left="720" w:hanging="720"/>
      <w:jc w:val="both"/>
    </w:pPr>
    <w:rPr>
      <w:rFonts w:ascii="Times New Roman" w:eastAsia="Calibri" w:hAnsi="Times New Roman" w:cs="Times New Roman"/>
      <w:sz w:val="24"/>
      <w:szCs w:val="24"/>
    </w:rPr>
  </w:style>
  <w:style w:type="paragraph" w:styleId="Revision">
    <w:name w:val="Revision"/>
    <w:hidden/>
    <w:uiPriority w:val="99"/>
    <w:semiHidden/>
    <w:rsid w:val="0013245A"/>
    <w:pPr>
      <w:spacing w:after="0" w:line="240" w:lineRule="auto"/>
    </w:pPr>
  </w:style>
  <w:style w:type="paragraph" w:customStyle="1" w:styleId="PSEQuote">
    <w:name w:val="PSE Quote"/>
    <w:basedOn w:val="Normal"/>
    <w:link w:val="PSEQuoteChar"/>
    <w:qFormat/>
    <w:rsid w:val="0085769C"/>
    <w:pPr>
      <w:spacing w:before="120" w:after="120" w:line="240" w:lineRule="auto"/>
      <w:ind w:left="1440"/>
    </w:pPr>
    <w:rPr>
      <w:rFonts w:ascii="Times New Roman" w:eastAsia="Times New Roman" w:hAnsi="Times New Roman" w:cs="Times New Roman"/>
      <w:sz w:val="24"/>
      <w:szCs w:val="20"/>
      <w:lang w:eastAsia="zh-CN"/>
    </w:rPr>
  </w:style>
  <w:style w:type="character" w:customStyle="1" w:styleId="PSEQuoteChar">
    <w:name w:val="PSE Quote Char"/>
    <w:basedOn w:val="DefaultParagraphFont"/>
    <w:link w:val="PSEQuote"/>
    <w:rsid w:val="0085769C"/>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64137"/>
    <w:pPr>
      <w:tabs>
        <w:tab w:val="left" w:pos="-1440"/>
      </w:tabs>
      <w:spacing w:after="0" w:line="480" w:lineRule="auto"/>
      <w:ind w:left="720" w:hanging="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154C94"/>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154C94"/>
    <w:rPr>
      <w:rFonts w:ascii="Times New Roman" w:eastAsia="Calibri" w:hAnsi="Times New Roman" w:cs="Times New Roman"/>
      <w:sz w:val="20"/>
      <w:szCs w:val="20"/>
    </w:rPr>
  </w:style>
  <w:style w:type="character" w:styleId="FootnoteReference">
    <w:name w:val="footnote reference"/>
    <w:basedOn w:val="DefaultParagraphFont"/>
    <w:rsid w:val="00527B50"/>
    <w:rPr>
      <w:rFonts w:cs="Times New Roman"/>
      <w:vertAlign w:val="superscript"/>
    </w:rPr>
  </w:style>
  <w:style w:type="paragraph" w:styleId="ListParagraph">
    <w:name w:val="List Paragraph"/>
    <w:basedOn w:val="Normal"/>
    <w:uiPriority w:val="34"/>
    <w:qFormat/>
    <w:rsid w:val="00527B50"/>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60C81"/>
    <w:rPr>
      <w:sz w:val="16"/>
      <w:szCs w:val="16"/>
    </w:rPr>
  </w:style>
  <w:style w:type="paragraph" w:styleId="CommentText">
    <w:name w:val="annotation text"/>
    <w:basedOn w:val="Normal"/>
    <w:link w:val="CommentTextChar"/>
    <w:uiPriority w:val="99"/>
    <w:semiHidden/>
    <w:unhideWhenUsed/>
    <w:rsid w:val="00C60C81"/>
    <w:pPr>
      <w:spacing w:line="240" w:lineRule="auto"/>
    </w:pPr>
    <w:rPr>
      <w:sz w:val="20"/>
      <w:szCs w:val="20"/>
    </w:rPr>
  </w:style>
  <w:style w:type="character" w:customStyle="1" w:styleId="CommentTextChar">
    <w:name w:val="Comment Text Char"/>
    <w:basedOn w:val="DefaultParagraphFont"/>
    <w:link w:val="CommentText"/>
    <w:uiPriority w:val="99"/>
    <w:semiHidden/>
    <w:rsid w:val="00C60C81"/>
    <w:rPr>
      <w:sz w:val="20"/>
      <w:szCs w:val="20"/>
    </w:rPr>
  </w:style>
  <w:style w:type="paragraph" w:styleId="CommentSubject">
    <w:name w:val="annotation subject"/>
    <w:basedOn w:val="CommentText"/>
    <w:next w:val="CommentText"/>
    <w:link w:val="CommentSubjectChar"/>
    <w:uiPriority w:val="99"/>
    <w:semiHidden/>
    <w:unhideWhenUsed/>
    <w:rsid w:val="00C60C81"/>
    <w:rPr>
      <w:b/>
      <w:bCs/>
    </w:rPr>
  </w:style>
  <w:style w:type="character" w:customStyle="1" w:styleId="CommentSubjectChar">
    <w:name w:val="Comment Subject Char"/>
    <w:basedOn w:val="CommentTextChar"/>
    <w:link w:val="CommentSubject"/>
    <w:uiPriority w:val="99"/>
    <w:semiHidden/>
    <w:rsid w:val="00C60C81"/>
    <w:rPr>
      <w:b/>
      <w:bCs/>
      <w:sz w:val="20"/>
      <w:szCs w:val="20"/>
    </w:rPr>
  </w:style>
  <w:style w:type="paragraph" w:styleId="BalloonText">
    <w:name w:val="Balloon Text"/>
    <w:basedOn w:val="Normal"/>
    <w:link w:val="BalloonTextChar"/>
    <w:uiPriority w:val="99"/>
    <w:semiHidden/>
    <w:unhideWhenUsed/>
    <w:rsid w:val="00C60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C81"/>
    <w:rPr>
      <w:rFonts w:ascii="Tahoma" w:hAnsi="Tahoma" w:cs="Tahoma"/>
      <w:sz w:val="16"/>
      <w:szCs w:val="16"/>
    </w:rPr>
  </w:style>
  <w:style w:type="paragraph" w:styleId="NoSpacing">
    <w:name w:val="No Spacing"/>
    <w:uiPriority w:val="1"/>
    <w:qFormat/>
    <w:rsid w:val="00DF316E"/>
    <w:pPr>
      <w:spacing w:after="0" w:line="240" w:lineRule="auto"/>
    </w:pPr>
    <w:rPr>
      <w:rFonts w:ascii="Times New Roman" w:eastAsia="Calibri" w:hAnsi="Times New Roman" w:cs="Times New Roman"/>
      <w:sz w:val="24"/>
    </w:rPr>
  </w:style>
  <w:style w:type="character" w:customStyle="1" w:styleId="Heading3Char">
    <w:name w:val="Heading 3 Char"/>
    <w:basedOn w:val="DefaultParagraphFont"/>
    <w:link w:val="Heading3"/>
    <w:rsid w:val="00864137"/>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D52E68"/>
    <w:pPr>
      <w:spacing w:after="0" w:line="48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52E68"/>
    <w:rPr>
      <w:rFonts w:ascii="Times New Roman" w:eastAsia="Times New Roman" w:hAnsi="Times New Roman" w:cs="Times New Roman"/>
      <w:sz w:val="24"/>
      <w:szCs w:val="24"/>
    </w:rPr>
  </w:style>
  <w:style w:type="paragraph" w:styleId="Footer">
    <w:name w:val="footer"/>
    <w:basedOn w:val="Normal"/>
    <w:link w:val="FooterChar"/>
    <w:rsid w:val="00F948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948E9"/>
    <w:rPr>
      <w:rFonts w:ascii="Times New Roman" w:eastAsia="Times New Roman" w:hAnsi="Times New Roman" w:cs="Times New Roman"/>
      <w:sz w:val="24"/>
      <w:szCs w:val="24"/>
    </w:rPr>
  </w:style>
  <w:style w:type="character" w:styleId="PageNumber">
    <w:name w:val="page number"/>
    <w:basedOn w:val="DefaultParagraphFont"/>
    <w:rsid w:val="00F948E9"/>
    <w:rPr>
      <w:rFonts w:cs="Times New Roman"/>
    </w:rPr>
  </w:style>
  <w:style w:type="character" w:styleId="LineNumber">
    <w:name w:val="line number"/>
    <w:basedOn w:val="DefaultParagraphFont"/>
    <w:uiPriority w:val="99"/>
    <w:semiHidden/>
    <w:unhideWhenUsed/>
    <w:rsid w:val="00F948E9"/>
  </w:style>
  <w:style w:type="paragraph" w:styleId="BodyTextIndent2">
    <w:name w:val="Body Text Indent 2"/>
    <w:basedOn w:val="Normal"/>
    <w:link w:val="BodyTextIndent2Char"/>
    <w:uiPriority w:val="99"/>
    <w:unhideWhenUsed/>
    <w:rsid w:val="00CE253D"/>
    <w:pPr>
      <w:spacing w:after="120" w:line="480" w:lineRule="auto"/>
      <w:ind w:left="360"/>
    </w:pPr>
  </w:style>
  <w:style w:type="character" w:customStyle="1" w:styleId="BodyTextIndent2Char">
    <w:name w:val="Body Text Indent 2 Char"/>
    <w:basedOn w:val="DefaultParagraphFont"/>
    <w:link w:val="BodyTextIndent2"/>
    <w:uiPriority w:val="99"/>
    <w:rsid w:val="00CE253D"/>
  </w:style>
  <w:style w:type="paragraph" w:customStyle="1" w:styleId="Answer-Testimony">
    <w:name w:val="Answer - Testimony"/>
    <w:basedOn w:val="Normal"/>
    <w:link w:val="Answer-TestimonyChar"/>
    <w:qFormat/>
    <w:rsid w:val="00BF17A3"/>
    <w:pPr>
      <w:spacing w:after="0" w:line="480" w:lineRule="auto"/>
      <w:ind w:left="720" w:hanging="720"/>
    </w:pPr>
    <w:rPr>
      <w:rFonts w:ascii="Times New Roman" w:eastAsia="Times New Roman" w:hAnsi="Times New Roman" w:cs="Times New Roman"/>
      <w:sz w:val="24"/>
      <w:szCs w:val="24"/>
    </w:rPr>
  </w:style>
  <w:style w:type="character" w:customStyle="1" w:styleId="Answer-TestimonyChar">
    <w:name w:val="Answer - Testimony Char"/>
    <w:basedOn w:val="DefaultParagraphFont"/>
    <w:link w:val="Answer-Testimony"/>
    <w:rsid w:val="00BF17A3"/>
    <w:rPr>
      <w:rFonts w:ascii="Times New Roman" w:eastAsia="Times New Roman" w:hAnsi="Times New Roman" w:cs="Times New Roman"/>
      <w:sz w:val="24"/>
      <w:szCs w:val="24"/>
    </w:rPr>
  </w:style>
  <w:style w:type="paragraph" w:styleId="Header">
    <w:name w:val="header"/>
    <w:basedOn w:val="Normal"/>
    <w:link w:val="HeaderChar"/>
    <w:unhideWhenUsed/>
    <w:rsid w:val="00BC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B5"/>
  </w:style>
  <w:style w:type="paragraph" w:styleId="TOC2">
    <w:name w:val="toc 2"/>
    <w:basedOn w:val="Normal"/>
    <w:next w:val="Normal"/>
    <w:autoRedefine/>
    <w:semiHidden/>
    <w:rsid w:val="001C3358"/>
    <w:pPr>
      <w:tabs>
        <w:tab w:val="left" w:pos="810"/>
        <w:tab w:val="right" w:leader="dot" w:pos="9360"/>
      </w:tabs>
      <w:spacing w:after="0" w:line="360" w:lineRule="auto"/>
    </w:pPr>
    <w:rPr>
      <w:rFonts w:ascii="Verdana" w:eastAsia="Times New Roman" w:hAnsi="Verdana" w:cs="Times New Roman"/>
      <w:smallCaps/>
      <w:noProof/>
      <w:szCs w:val="20"/>
    </w:rPr>
  </w:style>
  <w:style w:type="paragraph" w:styleId="BodyText">
    <w:name w:val="Body Text"/>
    <w:basedOn w:val="Normal"/>
    <w:link w:val="BodyTextChar"/>
    <w:uiPriority w:val="99"/>
    <w:unhideWhenUsed/>
    <w:rsid w:val="00567141"/>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567141"/>
    <w:rPr>
      <w:rFonts w:ascii="Times New Roman" w:hAnsi="Times New Roman"/>
      <w:sz w:val="24"/>
    </w:rPr>
  </w:style>
  <w:style w:type="character" w:customStyle="1" w:styleId="T11">
    <w:name w:val="T11"/>
    <w:hidden/>
    <w:rsid w:val="000F276F"/>
    <w:rPr>
      <w:b/>
    </w:rPr>
  </w:style>
  <w:style w:type="paragraph" w:customStyle="1" w:styleId="P25">
    <w:name w:val="P25"/>
    <w:basedOn w:val="Normal"/>
    <w:hidden/>
    <w:rsid w:val="000F276F"/>
    <w:pPr>
      <w:widowControl w:val="0"/>
      <w:tabs>
        <w:tab w:val="left" w:pos="810"/>
        <w:tab w:val="left" w:pos="1440"/>
      </w:tabs>
      <w:autoSpaceDE w:val="0"/>
      <w:autoSpaceDN w:val="0"/>
      <w:adjustRightInd w:val="0"/>
      <w:spacing w:after="0" w:line="480" w:lineRule="auto"/>
    </w:pPr>
    <w:rPr>
      <w:rFonts w:ascii="Courier" w:eastAsia="Times New Roman" w:hAnsi="Courier" w:cs="Courier"/>
      <w:b/>
      <w:sz w:val="24"/>
      <w:szCs w:val="20"/>
      <w:u w:val="single"/>
    </w:rPr>
  </w:style>
  <w:style w:type="paragraph" w:customStyle="1" w:styleId="Default">
    <w:name w:val="Default"/>
    <w:rsid w:val="00DF00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stimonyAnswer">
    <w:name w:val="Testimony Answer"/>
    <w:basedOn w:val="Normal"/>
    <w:qFormat/>
    <w:rsid w:val="00844CF0"/>
    <w:pPr>
      <w:tabs>
        <w:tab w:val="left" w:pos="720"/>
        <w:tab w:val="right" w:leader="dot" w:pos="8640"/>
        <w:tab w:val="left" w:pos="9240"/>
      </w:tabs>
      <w:spacing w:after="360" w:line="360" w:lineRule="auto"/>
      <w:ind w:left="720" w:hanging="720"/>
      <w:jc w:val="both"/>
    </w:pPr>
    <w:rPr>
      <w:rFonts w:ascii="Times New Roman" w:eastAsia="Calibri" w:hAnsi="Times New Roman" w:cs="Times New Roman"/>
      <w:sz w:val="24"/>
      <w:szCs w:val="24"/>
    </w:rPr>
  </w:style>
  <w:style w:type="paragraph" w:styleId="Revision">
    <w:name w:val="Revision"/>
    <w:hidden/>
    <w:uiPriority w:val="99"/>
    <w:semiHidden/>
    <w:rsid w:val="0013245A"/>
    <w:pPr>
      <w:spacing w:after="0" w:line="240" w:lineRule="auto"/>
    </w:pPr>
  </w:style>
  <w:style w:type="paragraph" w:customStyle="1" w:styleId="PSEQuote">
    <w:name w:val="PSE Quote"/>
    <w:basedOn w:val="Normal"/>
    <w:link w:val="PSEQuoteChar"/>
    <w:qFormat/>
    <w:rsid w:val="0085769C"/>
    <w:pPr>
      <w:spacing w:before="120" w:after="120" w:line="240" w:lineRule="auto"/>
      <w:ind w:left="1440"/>
    </w:pPr>
    <w:rPr>
      <w:rFonts w:ascii="Times New Roman" w:eastAsia="Times New Roman" w:hAnsi="Times New Roman" w:cs="Times New Roman"/>
      <w:sz w:val="24"/>
      <w:szCs w:val="20"/>
      <w:lang w:eastAsia="zh-CN"/>
    </w:rPr>
  </w:style>
  <w:style w:type="character" w:customStyle="1" w:styleId="PSEQuoteChar">
    <w:name w:val="PSE Quote Char"/>
    <w:basedOn w:val="DefaultParagraphFont"/>
    <w:link w:val="PSEQuote"/>
    <w:rsid w:val="0085769C"/>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11437">
      <w:bodyDiv w:val="1"/>
      <w:marLeft w:val="0"/>
      <w:marRight w:val="0"/>
      <w:marTop w:val="0"/>
      <w:marBottom w:val="0"/>
      <w:divBdr>
        <w:top w:val="none" w:sz="0" w:space="0" w:color="auto"/>
        <w:left w:val="none" w:sz="0" w:space="0" w:color="auto"/>
        <w:bottom w:val="none" w:sz="0" w:space="0" w:color="auto"/>
        <w:right w:val="none" w:sz="0" w:space="0" w:color="auto"/>
      </w:divBdr>
    </w:div>
    <w:div w:id="1186216710">
      <w:bodyDiv w:val="1"/>
      <w:marLeft w:val="0"/>
      <w:marRight w:val="0"/>
      <w:marTop w:val="0"/>
      <w:marBottom w:val="0"/>
      <w:divBdr>
        <w:top w:val="none" w:sz="0" w:space="0" w:color="auto"/>
        <w:left w:val="none" w:sz="0" w:space="0" w:color="auto"/>
        <w:bottom w:val="none" w:sz="0" w:space="0" w:color="auto"/>
        <w:right w:val="none" w:sz="0" w:space="0" w:color="auto"/>
      </w:divBdr>
    </w:div>
    <w:div w:id="1203907566">
      <w:bodyDiv w:val="1"/>
      <w:marLeft w:val="0"/>
      <w:marRight w:val="0"/>
      <w:marTop w:val="0"/>
      <w:marBottom w:val="0"/>
      <w:divBdr>
        <w:top w:val="none" w:sz="0" w:space="0" w:color="auto"/>
        <w:left w:val="none" w:sz="0" w:space="0" w:color="auto"/>
        <w:bottom w:val="none" w:sz="0" w:space="0" w:color="auto"/>
        <w:right w:val="none" w:sz="0" w:space="0" w:color="auto"/>
      </w:divBdr>
    </w:div>
    <w:div w:id="14315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9BEC99-723D-40CC-B22F-E73E27F86711}"/>
</file>

<file path=customXml/itemProps2.xml><?xml version="1.0" encoding="utf-8"?>
<ds:datastoreItem xmlns:ds="http://schemas.openxmlformats.org/officeDocument/2006/customXml" ds:itemID="{54ADE3C9-2935-4FA7-8244-6ACDFB3ACE25}"/>
</file>

<file path=customXml/itemProps3.xml><?xml version="1.0" encoding="utf-8"?>
<ds:datastoreItem xmlns:ds="http://schemas.openxmlformats.org/officeDocument/2006/customXml" ds:itemID="{99E87025-CC5A-4D71-8E4D-8F37EE53C065}"/>
</file>

<file path=customXml/itemProps4.xml><?xml version="1.0" encoding="utf-8"?>
<ds:datastoreItem xmlns:ds="http://schemas.openxmlformats.org/officeDocument/2006/customXml" ds:itemID="{0F8A8A48-6A8C-4CB9-96E0-B17AB13C9487}"/>
</file>

<file path=customXml/itemProps5.xml><?xml version="1.0" encoding="utf-8"?>
<ds:datastoreItem xmlns:ds="http://schemas.openxmlformats.org/officeDocument/2006/customXml" ds:itemID="{2918AF2B-95B5-4BE2-9D6F-65FCD2C9874C}"/>
</file>

<file path=docProps/app.xml><?xml version="1.0" encoding="utf-8"?>
<Properties xmlns="http://schemas.openxmlformats.org/officeDocument/2006/extended-properties" xmlns:vt="http://schemas.openxmlformats.org/officeDocument/2006/docPropsVTypes">
  <Template>Normal.dotm</Template>
  <TotalTime>306</TotalTime>
  <Pages>80</Pages>
  <Words>18363</Words>
  <Characters>104674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39</cp:revision>
  <cp:lastPrinted>2012-03-16T18:35:00Z</cp:lastPrinted>
  <dcterms:created xsi:type="dcterms:W3CDTF">2012-03-15T20:08:00Z</dcterms:created>
  <dcterms:modified xsi:type="dcterms:W3CDTF">2012-03-16T18:41:00Z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