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A6584" w14:textId="77777777" w:rsidR="00F27132" w:rsidRPr="001246D3" w:rsidRDefault="00F27132">
      <w:pPr>
        <w:pStyle w:val="Title"/>
        <w:rPr>
          <w:rFonts w:ascii="Times New Roman" w:hAnsi="Times New Roman"/>
          <w:sz w:val="25"/>
          <w:szCs w:val="25"/>
        </w:rPr>
      </w:pPr>
      <w:r w:rsidRPr="001246D3">
        <w:rPr>
          <w:rFonts w:ascii="Times New Roman" w:hAnsi="Times New Roman"/>
          <w:sz w:val="25"/>
          <w:szCs w:val="25"/>
        </w:rPr>
        <w:t>BEFORE THE WASHINGTON</w:t>
      </w:r>
    </w:p>
    <w:p w14:paraId="75052B61" w14:textId="77777777" w:rsidR="00F27132" w:rsidRPr="001246D3" w:rsidRDefault="00F27132">
      <w:pPr>
        <w:jc w:val="center"/>
        <w:rPr>
          <w:b/>
          <w:sz w:val="25"/>
          <w:szCs w:val="25"/>
        </w:rPr>
      </w:pPr>
      <w:r w:rsidRPr="001246D3">
        <w:rPr>
          <w:b/>
          <w:sz w:val="25"/>
          <w:szCs w:val="25"/>
        </w:rPr>
        <w:t>UTILITIES AND TRANSPORTATION COMMISSION</w:t>
      </w:r>
    </w:p>
    <w:p w14:paraId="625E0B71" w14:textId="77777777" w:rsidR="00F27132" w:rsidRPr="001246D3" w:rsidRDefault="00F27132">
      <w:pPr>
        <w:jc w:val="center"/>
        <w:rPr>
          <w:sz w:val="25"/>
          <w:szCs w:val="25"/>
        </w:rPr>
      </w:pPr>
    </w:p>
    <w:p w14:paraId="4CE9DAC5" w14:textId="77777777" w:rsidR="0028219C" w:rsidRPr="001246D3" w:rsidRDefault="0028219C">
      <w:pPr>
        <w:jc w:val="center"/>
        <w:rPr>
          <w:sz w:val="25"/>
          <w:szCs w:val="25"/>
        </w:rPr>
      </w:pPr>
    </w:p>
    <w:tbl>
      <w:tblPr>
        <w:tblW w:w="17017" w:type="dxa"/>
        <w:tblLayout w:type="fixed"/>
        <w:tblLook w:val="01E0" w:firstRow="1" w:lastRow="1" w:firstColumn="1" w:lastColumn="1" w:noHBand="0" w:noVBand="0"/>
      </w:tblPr>
      <w:tblGrid>
        <w:gridCol w:w="4260"/>
        <w:gridCol w:w="4380"/>
        <w:gridCol w:w="4140"/>
        <w:gridCol w:w="240"/>
        <w:gridCol w:w="3997"/>
      </w:tblGrid>
      <w:tr w:rsidR="00571A69" w:rsidRPr="001246D3" w14:paraId="42C10EE1" w14:textId="77777777" w:rsidTr="00E02665">
        <w:trPr>
          <w:trHeight w:val="3840"/>
        </w:trPr>
        <w:tc>
          <w:tcPr>
            <w:tcW w:w="4260" w:type="dxa"/>
            <w:tcBorders>
              <w:bottom w:val="single" w:sz="4" w:space="0" w:color="auto"/>
              <w:right w:val="single" w:sz="4" w:space="0" w:color="auto"/>
            </w:tcBorders>
          </w:tcPr>
          <w:p w14:paraId="7E868275" w14:textId="77777777" w:rsidR="00571A69" w:rsidRDefault="00571A69" w:rsidP="00571A69">
            <w:pPr>
              <w:tabs>
                <w:tab w:val="left" w:pos="2160"/>
              </w:tabs>
              <w:spacing w:after="240"/>
              <w:rPr>
                <w:bCs/>
              </w:rPr>
            </w:pPr>
            <w:r w:rsidRPr="00D338B3">
              <w:rPr>
                <w:bCs/>
              </w:rPr>
              <w:t>In re Application of</w:t>
            </w:r>
          </w:p>
          <w:p w14:paraId="0542D81E" w14:textId="77777777" w:rsidR="00571A69" w:rsidRPr="00D338B3" w:rsidRDefault="00571A69" w:rsidP="00571A69">
            <w:pPr>
              <w:tabs>
                <w:tab w:val="left" w:pos="2160"/>
              </w:tabs>
              <w:spacing w:after="240"/>
              <w:rPr>
                <w:bCs/>
              </w:rPr>
            </w:pPr>
          </w:p>
          <w:p w14:paraId="0947C901" w14:textId="77777777" w:rsidR="00571A69" w:rsidRDefault="00571A69" w:rsidP="00571A69">
            <w:pPr>
              <w:tabs>
                <w:tab w:val="left" w:pos="2160"/>
              </w:tabs>
              <w:spacing w:after="240"/>
              <w:rPr>
                <w:bCs/>
              </w:rPr>
            </w:pPr>
            <w:r w:rsidRPr="00D338B3">
              <w:rPr>
                <w:bCs/>
              </w:rPr>
              <w:t>MEI NORTHWEST LLC</w:t>
            </w:r>
          </w:p>
          <w:p w14:paraId="7069B696" w14:textId="77777777" w:rsidR="00571A69" w:rsidRPr="00D338B3" w:rsidRDefault="00571A69" w:rsidP="00571A69">
            <w:pPr>
              <w:tabs>
                <w:tab w:val="left" w:pos="2160"/>
              </w:tabs>
              <w:spacing w:after="240"/>
              <w:rPr>
                <w:bCs/>
              </w:rPr>
            </w:pPr>
          </w:p>
          <w:p w14:paraId="5183E0A4" w14:textId="3095B048" w:rsidR="00571A69" w:rsidRPr="00571A69" w:rsidRDefault="00571A69" w:rsidP="00571A69">
            <w:pPr>
              <w:tabs>
                <w:tab w:val="left" w:pos="2145"/>
              </w:tabs>
              <w:spacing w:after="240"/>
              <w:rPr>
                <w:bCs/>
              </w:rPr>
            </w:pPr>
            <w:r w:rsidRPr="00D338B3">
              <w:rPr>
                <w:bCs/>
              </w:rPr>
              <w:t>For a Certificate of Public Convenience and Necessity to Operate Vessels in Furnishing Passenger Ferry Service</w:t>
            </w:r>
          </w:p>
        </w:tc>
        <w:tc>
          <w:tcPr>
            <w:tcW w:w="4380" w:type="dxa"/>
          </w:tcPr>
          <w:p w14:paraId="632156C8" w14:textId="77777777" w:rsidR="00571A69" w:rsidRDefault="00571A69" w:rsidP="00571A69">
            <w:pPr>
              <w:spacing w:after="240"/>
              <w:rPr>
                <w:bCs/>
              </w:rPr>
            </w:pPr>
            <w:r w:rsidRPr="00145AEF">
              <w:t xml:space="preserve">DOCKET </w:t>
            </w:r>
            <w:r w:rsidRPr="00D338B3">
              <w:rPr>
                <w:bCs/>
              </w:rPr>
              <w:t>TS-160479</w:t>
            </w:r>
          </w:p>
          <w:p w14:paraId="748A5BBA" w14:textId="77777777" w:rsidR="00571A69" w:rsidRDefault="00571A69" w:rsidP="00571A69"/>
          <w:p w14:paraId="110B160B" w14:textId="50099E80" w:rsidR="00571A69" w:rsidRDefault="00571A69" w:rsidP="00571A69">
            <w:r>
              <w:t>ORDER 02</w:t>
            </w:r>
          </w:p>
          <w:p w14:paraId="7159603C" w14:textId="77777777" w:rsidR="00571A69" w:rsidRDefault="00571A69" w:rsidP="00571A69"/>
          <w:p w14:paraId="7AEDEC12" w14:textId="77777777" w:rsidR="00571A69" w:rsidRDefault="00571A69" w:rsidP="00571A69">
            <w:pPr>
              <w:tabs>
                <w:tab w:val="left" w:pos="2145"/>
              </w:tabs>
              <w:spacing w:line="264" w:lineRule="auto"/>
              <w:ind w:right="-258"/>
            </w:pPr>
          </w:p>
          <w:p w14:paraId="690AA736" w14:textId="423F3C68" w:rsidR="00571A69" w:rsidRPr="001246D3" w:rsidRDefault="00571A69" w:rsidP="00E02665">
            <w:pPr>
              <w:tabs>
                <w:tab w:val="left" w:pos="2145"/>
              </w:tabs>
              <w:spacing w:line="264" w:lineRule="auto"/>
              <w:ind w:right="-258"/>
              <w:rPr>
                <w:sz w:val="25"/>
                <w:szCs w:val="25"/>
              </w:rPr>
            </w:pPr>
            <w:r>
              <w:t xml:space="preserve">ORDER </w:t>
            </w:r>
            <w:r w:rsidR="00774A0D">
              <w:t xml:space="preserve">GRANTING IN PART AND </w:t>
            </w:r>
            <w:r>
              <w:t xml:space="preserve">DENYING </w:t>
            </w:r>
            <w:r w:rsidR="00774A0D">
              <w:t xml:space="preserve">IN PART </w:t>
            </w:r>
            <w:r>
              <w:t xml:space="preserve">MEI’S MOTION TO STRIKE PORTIONS OF THE </w:t>
            </w:r>
            <w:proofErr w:type="spellStart"/>
            <w:r>
              <w:t>PREFILED</w:t>
            </w:r>
            <w:proofErr w:type="spellEnd"/>
            <w:r>
              <w:t xml:space="preserve"> </w:t>
            </w:r>
            <w:proofErr w:type="spellStart"/>
            <w:r>
              <w:t>SURREBUTTAL</w:t>
            </w:r>
            <w:proofErr w:type="spellEnd"/>
            <w:r>
              <w:t xml:space="preserve"> TESTIMONY OF JACK HARMON</w:t>
            </w:r>
          </w:p>
        </w:tc>
        <w:tc>
          <w:tcPr>
            <w:tcW w:w="4140" w:type="dxa"/>
          </w:tcPr>
          <w:p w14:paraId="132F50E7" w14:textId="313212DE" w:rsidR="00571A69" w:rsidRPr="001246D3" w:rsidRDefault="00571A69" w:rsidP="00571A69">
            <w:pPr>
              <w:tabs>
                <w:tab w:val="left" w:pos="2145"/>
              </w:tabs>
              <w:spacing w:line="264" w:lineRule="auto"/>
              <w:ind w:right="-258"/>
              <w:rPr>
                <w:sz w:val="25"/>
                <w:szCs w:val="25"/>
              </w:rPr>
            </w:pPr>
          </w:p>
        </w:tc>
        <w:tc>
          <w:tcPr>
            <w:tcW w:w="240" w:type="dxa"/>
          </w:tcPr>
          <w:p w14:paraId="47BD1BF2" w14:textId="110385B7" w:rsidR="00571A69" w:rsidRPr="001246D3" w:rsidRDefault="00571A69" w:rsidP="00571A69">
            <w:pPr>
              <w:pStyle w:val="BodyText"/>
              <w:spacing w:line="264" w:lineRule="auto"/>
              <w:rPr>
                <w:rFonts w:ascii="Times New Roman" w:hAnsi="Times New Roman"/>
                <w:sz w:val="25"/>
                <w:szCs w:val="25"/>
              </w:rPr>
            </w:pPr>
          </w:p>
        </w:tc>
        <w:tc>
          <w:tcPr>
            <w:tcW w:w="3997" w:type="dxa"/>
          </w:tcPr>
          <w:p w14:paraId="225F72BA" w14:textId="0922A43E" w:rsidR="00571A69" w:rsidRPr="001246D3" w:rsidRDefault="00571A69" w:rsidP="00571A69">
            <w:pPr>
              <w:spacing w:line="264" w:lineRule="auto"/>
              <w:rPr>
                <w:sz w:val="25"/>
                <w:szCs w:val="25"/>
              </w:rPr>
            </w:pPr>
          </w:p>
        </w:tc>
      </w:tr>
    </w:tbl>
    <w:p w14:paraId="0364A841" w14:textId="77777777" w:rsidR="007E60F8" w:rsidRPr="001246D3" w:rsidRDefault="007E60F8">
      <w:pPr>
        <w:jc w:val="center"/>
        <w:rPr>
          <w:sz w:val="25"/>
          <w:szCs w:val="25"/>
        </w:rPr>
      </w:pPr>
    </w:p>
    <w:p w14:paraId="47978946" w14:textId="77777777" w:rsidR="00F27132" w:rsidRPr="00D706D0" w:rsidRDefault="009D0E94" w:rsidP="001C4432">
      <w:pPr>
        <w:pStyle w:val="Heading1"/>
      </w:pPr>
      <w:r w:rsidRPr="001C4432">
        <w:t>MEMORANDUM</w:t>
      </w:r>
    </w:p>
    <w:p w14:paraId="63267D12" w14:textId="07F19A4F" w:rsidR="00E02665" w:rsidRDefault="009D0E94" w:rsidP="001C4432">
      <w:pPr>
        <w:numPr>
          <w:ilvl w:val="0"/>
          <w:numId w:val="1"/>
        </w:numPr>
        <w:spacing w:after="240" w:line="264" w:lineRule="auto"/>
        <w:rPr>
          <w:sz w:val="25"/>
          <w:szCs w:val="25"/>
        </w:rPr>
      </w:pPr>
      <w:r>
        <w:rPr>
          <w:sz w:val="25"/>
          <w:szCs w:val="25"/>
        </w:rPr>
        <w:t xml:space="preserve">On </w:t>
      </w:r>
      <w:r w:rsidR="00571A69">
        <w:rPr>
          <w:sz w:val="25"/>
          <w:szCs w:val="25"/>
        </w:rPr>
        <w:t>February 1, 2017</w:t>
      </w:r>
      <w:r>
        <w:rPr>
          <w:sz w:val="25"/>
          <w:szCs w:val="25"/>
        </w:rPr>
        <w:t xml:space="preserve">, </w:t>
      </w:r>
      <w:r w:rsidR="00E02665">
        <w:rPr>
          <w:sz w:val="25"/>
          <w:szCs w:val="25"/>
        </w:rPr>
        <w:t>MEI Northwest, LLC</w:t>
      </w:r>
      <w:r w:rsidR="007B1F57">
        <w:rPr>
          <w:sz w:val="25"/>
          <w:szCs w:val="25"/>
        </w:rPr>
        <w:t xml:space="preserve"> (</w:t>
      </w:r>
      <w:r w:rsidR="00E02665">
        <w:rPr>
          <w:sz w:val="25"/>
          <w:szCs w:val="25"/>
        </w:rPr>
        <w:t xml:space="preserve">MEI or the </w:t>
      </w:r>
      <w:r w:rsidR="00CD4E2C">
        <w:rPr>
          <w:sz w:val="25"/>
          <w:szCs w:val="25"/>
        </w:rPr>
        <w:t>Applicant</w:t>
      </w:r>
      <w:r w:rsidR="007B1F57">
        <w:rPr>
          <w:sz w:val="25"/>
          <w:szCs w:val="25"/>
        </w:rPr>
        <w:t>)</w:t>
      </w:r>
      <w:r>
        <w:rPr>
          <w:sz w:val="25"/>
          <w:szCs w:val="25"/>
        </w:rPr>
        <w:t xml:space="preserve"> filed its Motion </w:t>
      </w:r>
      <w:r w:rsidR="00E02665">
        <w:rPr>
          <w:sz w:val="25"/>
          <w:szCs w:val="25"/>
        </w:rPr>
        <w:t>to S</w:t>
      </w:r>
      <w:r w:rsidR="007B1F57">
        <w:rPr>
          <w:sz w:val="25"/>
          <w:szCs w:val="25"/>
        </w:rPr>
        <w:t xml:space="preserve">trike </w:t>
      </w:r>
      <w:r w:rsidR="00E02665">
        <w:rPr>
          <w:sz w:val="25"/>
          <w:szCs w:val="25"/>
        </w:rPr>
        <w:t xml:space="preserve">Portions of the </w:t>
      </w:r>
      <w:proofErr w:type="spellStart"/>
      <w:r w:rsidR="00E02665">
        <w:rPr>
          <w:sz w:val="25"/>
          <w:szCs w:val="25"/>
        </w:rPr>
        <w:t>Prefiled</w:t>
      </w:r>
      <w:proofErr w:type="spellEnd"/>
      <w:r w:rsidR="00E02665">
        <w:rPr>
          <w:sz w:val="25"/>
          <w:szCs w:val="25"/>
        </w:rPr>
        <w:t xml:space="preserve"> </w:t>
      </w:r>
      <w:proofErr w:type="spellStart"/>
      <w:r w:rsidR="00E02665">
        <w:rPr>
          <w:sz w:val="25"/>
          <w:szCs w:val="25"/>
        </w:rPr>
        <w:t>Surrebuttal</w:t>
      </w:r>
      <w:proofErr w:type="spellEnd"/>
      <w:r w:rsidR="00E02665">
        <w:rPr>
          <w:sz w:val="25"/>
          <w:szCs w:val="25"/>
        </w:rPr>
        <w:t xml:space="preserve"> Testimony of Jack Harmon (Motion)</w:t>
      </w:r>
      <w:r>
        <w:rPr>
          <w:sz w:val="25"/>
          <w:szCs w:val="25"/>
        </w:rPr>
        <w:t xml:space="preserve">.  </w:t>
      </w:r>
      <w:r w:rsidR="00E02665">
        <w:rPr>
          <w:sz w:val="25"/>
          <w:szCs w:val="25"/>
        </w:rPr>
        <w:t xml:space="preserve">Specifically, MEI requests that the </w:t>
      </w:r>
      <w:r w:rsidR="00E02665" w:rsidRPr="00E02665">
        <w:rPr>
          <w:sz w:val="25"/>
          <w:szCs w:val="25"/>
        </w:rPr>
        <w:t>Washington Utilities and Transportation Commission</w:t>
      </w:r>
      <w:r w:rsidR="00E02665">
        <w:rPr>
          <w:sz w:val="25"/>
          <w:szCs w:val="25"/>
        </w:rPr>
        <w:t xml:space="preserve"> (Commission) “strike Mr. Harmon’s testimony appearing on the following pages and lines:</w:t>
      </w:r>
      <w:r w:rsidR="00E02665">
        <w:rPr>
          <w:rStyle w:val="FootnoteReference"/>
          <w:sz w:val="25"/>
          <w:szCs w:val="25"/>
        </w:rPr>
        <w:footnoteReference w:id="1"/>
      </w:r>
    </w:p>
    <w:tbl>
      <w:tblPr>
        <w:tblStyle w:val="TableGrid"/>
        <w:tblW w:w="0" w:type="auto"/>
        <w:tblInd w:w="3685" w:type="dxa"/>
        <w:tblLook w:val="04A0" w:firstRow="1" w:lastRow="0" w:firstColumn="1" w:lastColumn="0" w:noHBand="0" w:noVBand="1"/>
      </w:tblPr>
      <w:tblGrid>
        <w:gridCol w:w="990"/>
        <w:gridCol w:w="990"/>
      </w:tblGrid>
      <w:tr w:rsidR="00E02665" w:rsidRPr="00E1482F" w14:paraId="6E0A1BF2" w14:textId="77777777" w:rsidTr="00887DE5">
        <w:tc>
          <w:tcPr>
            <w:tcW w:w="990" w:type="dxa"/>
          </w:tcPr>
          <w:p w14:paraId="23DD2B46" w14:textId="77777777" w:rsidR="00E02665" w:rsidRPr="00E1482F" w:rsidRDefault="00E02665" w:rsidP="00887DE5">
            <w:pPr>
              <w:pStyle w:val="BodyText2"/>
              <w:contextualSpacing/>
              <w:jc w:val="center"/>
              <w:rPr>
                <w:b/>
              </w:rPr>
            </w:pPr>
            <w:r>
              <w:rPr>
                <w:b/>
              </w:rPr>
              <w:t>Page</w:t>
            </w:r>
          </w:p>
        </w:tc>
        <w:tc>
          <w:tcPr>
            <w:tcW w:w="990" w:type="dxa"/>
          </w:tcPr>
          <w:p w14:paraId="76D1E9FA" w14:textId="77777777" w:rsidR="00E02665" w:rsidRPr="00E1482F" w:rsidRDefault="00E02665" w:rsidP="00887DE5">
            <w:pPr>
              <w:pStyle w:val="BodyText2"/>
              <w:contextualSpacing/>
              <w:jc w:val="center"/>
              <w:rPr>
                <w:b/>
              </w:rPr>
            </w:pPr>
            <w:r>
              <w:rPr>
                <w:b/>
              </w:rPr>
              <w:t>Line</w:t>
            </w:r>
          </w:p>
        </w:tc>
      </w:tr>
      <w:tr w:rsidR="00E02665" w14:paraId="1C79DB2B" w14:textId="77777777" w:rsidTr="00887DE5">
        <w:tc>
          <w:tcPr>
            <w:tcW w:w="990" w:type="dxa"/>
          </w:tcPr>
          <w:p w14:paraId="14DF0422" w14:textId="77777777" w:rsidR="00E02665" w:rsidRDefault="00E02665" w:rsidP="00887DE5">
            <w:pPr>
              <w:pStyle w:val="BodyText2"/>
              <w:contextualSpacing/>
              <w:jc w:val="both"/>
            </w:pPr>
            <w:r>
              <w:t>5</w:t>
            </w:r>
          </w:p>
        </w:tc>
        <w:tc>
          <w:tcPr>
            <w:tcW w:w="990" w:type="dxa"/>
          </w:tcPr>
          <w:p w14:paraId="4AAE5183" w14:textId="77777777" w:rsidR="00E02665" w:rsidRDefault="00E02665" w:rsidP="00887DE5">
            <w:pPr>
              <w:pStyle w:val="BodyText2"/>
              <w:contextualSpacing/>
              <w:jc w:val="both"/>
            </w:pPr>
            <w:r>
              <w:t>5-14</w:t>
            </w:r>
          </w:p>
        </w:tc>
      </w:tr>
      <w:tr w:rsidR="00E02665" w14:paraId="150B41DD" w14:textId="77777777" w:rsidTr="00887DE5">
        <w:tc>
          <w:tcPr>
            <w:tcW w:w="990" w:type="dxa"/>
          </w:tcPr>
          <w:p w14:paraId="09D9CC87" w14:textId="77777777" w:rsidR="00E02665" w:rsidRDefault="00E02665" w:rsidP="00887DE5">
            <w:pPr>
              <w:pStyle w:val="BodyText2"/>
              <w:contextualSpacing/>
              <w:jc w:val="both"/>
            </w:pPr>
            <w:r>
              <w:t>6</w:t>
            </w:r>
          </w:p>
        </w:tc>
        <w:tc>
          <w:tcPr>
            <w:tcW w:w="990" w:type="dxa"/>
          </w:tcPr>
          <w:p w14:paraId="03880A99" w14:textId="77777777" w:rsidR="00E02665" w:rsidRDefault="00E02665" w:rsidP="00887DE5">
            <w:pPr>
              <w:pStyle w:val="BodyText2"/>
              <w:contextualSpacing/>
              <w:jc w:val="both"/>
            </w:pPr>
            <w:r>
              <w:t>1-10</w:t>
            </w:r>
          </w:p>
        </w:tc>
      </w:tr>
      <w:tr w:rsidR="00E02665" w14:paraId="50613FB9" w14:textId="77777777" w:rsidTr="00887DE5">
        <w:tc>
          <w:tcPr>
            <w:tcW w:w="990" w:type="dxa"/>
          </w:tcPr>
          <w:p w14:paraId="6BEA6A30" w14:textId="77777777" w:rsidR="00E02665" w:rsidRDefault="00E02665" w:rsidP="00887DE5">
            <w:pPr>
              <w:pStyle w:val="BodyText2"/>
              <w:contextualSpacing/>
              <w:jc w:val="both"/>
            </w:pPr>
            <w:r>
              <w:t>7</w:t>
            </w:r>
          </w:p>
        </w:tc>
        <w:tc>
          <w:tcPr>
            <w:tcW w:w="990" w:type="dxa"/>
          </w:tcPr>
          <w:p w14:paraId="1AF8A867" w14:textId="77777777" w:rsidR="00E02665" w:rsidRDefault="00E02665" w:rsidP="00887DE5">
            <w:pPr>
              <w:pStyle w:val="BodyText2"/>
              <w:contextualSpacing/>
              <w:jc w:val="both"/>
            </w:pPr>
            <w:r>
              <w:t>1-25</w:t>
            </w:r>
          </w:p>
        </w:tc>
      </w:tr>
    </w:tbl>
    <w:p w14:paraId="36BAF351" w14:textId="72B43236" w:rsidR="00875CB6" w:rsidRDefault="00E02665" w:rsidP="001C4432">
      <w:pPr>
        <w:numPr>
          <w:ilvl w:val="0"/>
          <w:numId w:val="1"/>
        </w:numPr>
        <w:spacing w:before="240" w:after="240" w:line="264" w:lineRule="auto"/>
        <w:rPr>
          <w:sz w:val="25"/>
          <w:szCs w:val="25"/>
        </w:rPr>
      </w:pPr>
      <w:r>
        <w:rPr>
          <w:sz w:val="25"/>
          <w:szCs w:val="25"/>
        </w:rPr>
        <w:t xml:space="preserve">The </w:t>
      </w:r>
      <w:r w:rsidR="00CD4E2C">
        <w:rPr>
          <w:sz w:val="25"/>
          <w:szCs w:val="25"/>
        </w:rPr>
        <w:t>Applicant</w:t>
      </w:r>
      <w:r>
        <w:rPr>
          <w:sz w:val="25"/>
          <w:szCs w:val="25"/>
        </w:rPr>
        <w:t xml:space="preserve"> argues that </w:t>
      </w:r>
      <w:r w:rsidR="00903D4F">
        <w:rPr>
          <w:sz w:val="25"/>
          <w:szCs w:val="25"/>
        </w:rPr>
        <w:t xml:space="preserve">Arrow Launch Service, Inc. (Arrow) </w:t>
      </w:r>
      <w:r w:rsidR="00CD4E2C">
        <w:rPr>
          <w:sz w:val="25"/>
          <w:szCs w:val="25"/>
        </w:rPr>
        <w:t>filed the</w:t>
      </w:r>
      <w:r>
        <w:rPr>
          <w:sz w:val="25"/>
          <w:szCs w:val="25"/>
        </w:rPr>
        <w:t xml:space="preserve"> </w:t>
      </w:r>
      <w:proofErr w:type="spellStart"/>
      <w:r>
        <w:rPr>
          <w:sz w:val="25"/>
          <w:szCs w:val="25"/>
        </w:rPr>
        <w:t>surrebuttal</w:t>
      </w:r>
      <w:proofErr w:type="spellEnd"/>
      <w:r>
        <w:rPr>
          <w:sz w:val="25"/>
          <w:szCs w:val="25"/>
        </w:rPr>
        <w:t xml:space="preserve"> testimony </w:t>
      </w:r>
      <w:r w:rsidR="00CD4E2C">
        <w:rPr>
          <w:sz w:val="25"/>
          <w:szCs w:val="25"/>
        </w:rPr>
        <w:t xml:space="preserve">of Mr. Harmon, </w:t>
      </w:r>
      <w:r>
        <w:rPr>
          <w:sz w:val="25"/>
          <w:szCs w:val="25"/>
        </w:rPr>
        <w:t>which “venture[d] outside the confines of the narrow issue to which Arrow was authorized to respond.”</w:t>
      </w:r>
      <w:r w:rsidR="008A460F">
        <w:rPr>
          <w:rStyle w:val="FootnoteReference"/>
          <w:sz w:val="25"/>
          <w:szCs w:val="25"/>
        </w:rPr>
        <w:footnoteReference w:id="2"/>
      </w:r>
      <w:r>
        <w:rPr>
          <w:sz w:val="25"/>
          <w:szCs w:val="25"/>
        </w:rPr>
        <w:t xml:space="preserve"> </w:t>
      </w:r>
      <w:r w:rsidR="008A460F">
        <w:rPr>
          <w:sz w:val="25"/>
          <w:szCs w:val="25"/>
        </w:rPr>
        <w:t xml:space="preserve">MEI contends that </w:t>
      </w:r>
      <w:r w:rsidR="00982049">
        <w:rPr>
          <w:sz w:val="25"/>
          <w:szCs w:val="25"/>
        </w:rPr>
        <w:t xml:space="preserve">that “narrow issue” was limited to </w:t>
      </w:r>
      <w:r w:rsidR="008A460F">
        <w:rPr>
          <w:sz w:val="25"/>
          <w:szCs w:val="25"/>
        </w:rPr>
        <w:t xml:space="preserve">the content of Exhibit No. RSE-8, </w:t>
      </w:r>
      <w:r w:rsidR="00982049">
        <w:rPr>
          <w:sz w:val="25"/>
          <w:szCs w:val="25"/>
        </w:rPr>
        <w:t>the Crowley</w:t>
      </w:r>
      <w:r w:rsidR="008A460F">
        <w:rPr>
          <w:sz w:val="25"/>
          <w:szCs w:val="25"/>
        </w:rPr>
        <w:t xml:space="preserve"> shipper support </w:t>
      </w:r>
      <w:r w:rsidR="008A460F">
        <w:rPr>
          <w:sz w:val="25"/>
          <w:szCs w:val="25"/>
        </w:rPr>
        <w:lastRenderedPageBreak/>
        <w:t>statement</w:t>
      </w:r>
      <w:r w:rsidR="00CD4E2C">
        <w:rPr>
          <w:sz w:val="25"/>
          <w:szCs w:val="25"/>
        </w:rPr>
        <w:t xml:space="preserve"> sponsored by Randy S. Esch</w:t>
      </w:r>
      <w:r w:rsidR="00903D4F">
        <w:rPr>
          <w:sz w:val="25"/>
          <w:szCs w:val="25"/>
        </w:rPr>
        <w:t>,</w:t>
      </w:r>
      <w:r w:rsidR="008A460F">
        <w:rPr>
          <w:rStyle w:val="FootnoteReference"/>
          <w:sz w:val="25"/>
          <w:szCs w:val="25"/>
        </w:rPr>
        <w:footnoteReference w:id="3"/>
      </w:r>
      <w:r w:rsidR="00903D4F">
        <w:rPr>
          <w:sz w:val="25"/>
          <w:szCs w:val="25"/>
        </w:rPr>
        <w:t xml:space="preserve"> and </w:t>
      </w:r>
      <w:r w:rsidR="00982049">
        <w:rPr>
          <w:sz w:val="25"/>
          <w:szCs w:val="25"/>
        </w:rPr>
        <w:t>did not include</w:t>
      </w:r>
      <w:r w:rsidR="00903D4F">
        <w:rPr>
          <w:sz w:val="25"/>
          <w:szCs w:val="25"/>
        </w:rPr>
        <w:t xml:space="preserve"> answer</w:t>
      </w:r>
      <w:r w:rsidR="00982049">
        <w:rPr>
          <w:sz w:val="25"/>
          <w:szCs w:val="25"/>
        </w:rPr>
        <w:t>ing</w:t>
      </w:r>
      <w:r w:rsidR="00903D4F">
        <w:rPr>
          <w:sz w:val="25"/>
          <w:szCs w:val="25"/>
        </w:rPr>
        <w:t xml:space="preserve"> “</w:t>
      </w:r>
      <w:r w:rsidR="008A460F">
        <w:rPr>
          <w:sz w:val="25"/>
          <w:szCs w:val="25"/>
        </w:rPr>
        <w:t xml:space="preserve">Mr. </w:t>
      </w:r>
      <w:proofErr w:type="spellStart"/>
      <w:r w:rsidR="008A460F">
        <w:rPr>
          <w:sz w:val="25"/>
          <w:szCs w:val="25"/>
        </w:rPr>
        <w:t>Esch’s</w:t>
      </w:r>
      <w:proofErr w:type="spellEnd"/>
      <w:r w:rsidR="008A460F">
        <w:rPr>
          <w:sz w:val="25"/>
          <w:szCs w:val="25"/>
        </w:rPr>
        <w:t xml:space="preserve"> rebuttal testimony filed in conjunction with the Crowley support statement.</w:t>
      </w:r>
      <w:r w:rsidR="00F7252D">
        <w:rPr>
          <w:sz w:val="25"/>
          <w:szCs w:val="25"/>
        </w:rPr>
        <w:t>”</w:t>
      </w:r>
      <w:r w:rsidR="008A460F">
        <w:rPr>
          <w:rStyle w:val="FootnoteReference"/>
          <w:sz w:val="25"/>
          <w:szCs w:val="25"/>
        </w:rPr>
        <w:footnoteReference w:id="4"/>
      </w:r>
      <w:r w:rsidR="008A460F">
        <w:rPr>
          <w:sz w:val="25"/>
          <w:szCs w:val="25"/>
        </w:rPr>
        <w:t xml:space="preserve"> </w:t>
      </w:r>
      <w:r w:rsidR="00903D4F">
        <w:rPr>
          <w:sz w:val="25"/>
          <w:szCs w:val="25"/>
        </w:rPr>
        <w:t>The</w:t>
      </w:r>
      <w:r w:rsidR="008A460F">
        <w:rPr>
          <w:sz w:val="25"/>
          <w:szCs w:val="25"/>
        </w:rPr>
        <w:t xml:space="preserve"> </w:t>
      </w:r>
      <w:r w:rsidR="009F5B86">
        <w:rPr>
          <w:sz w:val="25"/>
          <w:szCs w:val="25"/>
        </w:rPr>
        <w:t>Applicant</w:t>
      </w:r>
      <w:r w:rsidR="008A460F">
        <w:rPr>
          <w:sz w:val="25"/>
          <w:szCs w:val="25"/>
        </w:rPr>
        <w:t xml:space="preserve"> </w:t>
      </w:r>
      <w:r w:rsidR="00982049">
        <w:rPr>
          <w:sz w:val="25"/>
          <w:szCs w:val="25"/>
        </w:rPr>
        <w:t xml:space="preserve">also </w:t>
      </w:r>
      <w:r w:rsidR="008A460F">
        <w:rPr>
          <w:sz w:val="25"/>
          <w:szCs w:val="25"/>
        </w:rPr>
        <w:t xml:space="preserve">points to </w:t>
      </w:r>
      <w:r w:rsidR="006F4960">
        <w:rPr>
          <w:sz w:val="25"/>
          <w:szCs w:val="25"/>
        </w:rPr>
        <w:t xml:space="preserve">Mr. Harmon’s discussion of </w:t>
      </w:r>
      <w:r w:rsidR="008A460F">
        <w:rPr>
          <w:sz w:val="25"/>
          <w:szCs w:val="25"/>
        </w:rPr>
        <w:t xml:space="preserve">an informal survey conducted by the Commission’s regulatory staff (Staff) </w:t>
      </w:r>
      <w:r w:rsidR="006F4960">
        <w:rPr>
          <w:sz w:val="25"/>
          <w:szCs w:val="25"/>
        </w:rPr>
        <w:t xml:space="preserve">as an example of Arrow’s attempt to </w:t>
      </w:r>
      <w:r w:rsidR="00982049">
        <w:rPr>
          <w:sz w:val="25"/>
          <w:szCs w:val="25"/>
        </w:rPr>
        <w:t>expand</w:t>
      </w:r>
      <w:r w:rsidR="006F4960">
        <w:rPr>
          <w:sz w:val="25"/>
          <w:szCs w:val="25"/>
        </w:rPr>
        <w:t xml:space="preserve"> the scope of the </w:t>
      </w:r>
      <w:r w:rsidR="00982049">
        <w:rPr>
          <w:sz w:val="25"/>
          <w:szCs w:val="25"/>
        </w:rPr>
        <w:t xml:space="preserve">authorized </w:t>
      </w:r>
      <w:proofErr w:type="spellStart"/>
      <w:r w:rsidR="00982049">
        <w:rPr>
          <w:sz w:val="25"/>
          <w:szCs w:val="25"/>
        </w:rPr>
        <w:t>surrebuttal</w:t>
      </w:r>
      <w:proofErr w:type="spellEnd"/>
      <w:r w:rsidR="006F4960">
        <w:rPr>
          <w:sz w:val="25"/>
          <w:szCs w:val="25"/>
        </w:rPr>
        <w:t>.</w:t>
      </w:r>
      <w:r w:rsidR="006F4960">
        <w:rPr>
          <w:rStyle w:val="FootnoteReference"/>
          <w:sz w:val="25"/>
          <w:szCs w:val="25"/>
        </w:rPr>
        <w:footnoteReference w:id="5"/>
      </w:r>
      <w:r w:rsidR="00982049">
        <w:rPr>
          <w:sz w:val="25"/>
          <w:szCs w:val="25"/>
        </w:rPr>
        <w:t xml:space="preserve"> MEI contends that it will be prejudiced unless Arrow’s improper testimony is stricken.</w:t>
      </w:r>
      <w:r w:rsidR="00982049">
        <w:rPr>
          <w:rStyle w:val="FootnoteReference"/>
          <w:sz w:val="25"/>
          <w:szCs w:val="25"/>
        </w:rPr>
        <w:footnoteReference w:id="6"/>
      </w:r>
    </w:p>
    <w:p w14:paraId="5AC3A6FB" w14:textId="4CAB7E06" w:rsidR="001E75B3" w:rsidRDefault="001E75B3" w:rsidP="001C4432">
      <w:pPr>
        <w:numPr>
          <w:ilvl w:val="0"/>
          <w:numId w:val="1"/>
        </w:numPr>
        <w:spacing w:after="240" w:line="264" w:lineRule="auto"/>
        <w:rPr>
          <w:sz w:val="25"/>
          <w:szCs w:val="25"/>
        </w:rPr>
      </w:pPr>
      <w:r>
        <w:rPr>
          <w:sz w:val="25"/>
          <w:szCs w:val="25"/>
        </w:rPr>
        <w:t xml:space="preserve">Arrow filed its Response to </w:t>
      </w:r>
      <w:proofErr w:type="spellStart"/>
      <w:r>
        <w:rPr>
          <w:sz w:val="25"/>
          <w:szCs w:val="25"/>
        </w:rPr>
        <w:t>MEI’s</w:t>
      </w:r>
      <w:proofErr w:type="spellEnd"/>
      <w:r>
        <w:rPr>
          <w:sz w:val="25"/>
          <w:szCs w:val="25"/>
        </w:rPr>
        <w:t xml:space="preserve"> Motion (Response) on February 8, 2017</w:t>
      </w:r>
      <w:r w:rsidR="0021722F">
        <w:rPr>
          <w:sz w:val="25"/>
          <w:szCs w:val="25"/>
        </w:rPr>
        <w:t>.</w:t>
      </w:r>
      <w:r>
        <w:rPr>
          <w:sz w:val="25"/>
          <w:szCs w:val="25"/>
        </w:rPr>
        <w:t xml:space="preserve"> </w:t>
      </w:r>
      <w:r w:rsidR="00F7252D">
        <w:rPr>
          <w:sz w:val="25"/>
          <w:szCs w:val="25"/>
        </w:rPr>
        <w:t>In its Response, Arrow</w:t>
      </w:r>
      <w:r>
        <w:rPr>
          <w:sz w:val="25"/>
          <w:szCs w:val="25"/>
        </w:rPr>
        <w:t xml:space="preserve"> </w:t>
      </w:r>
      <w:r w:rsidR="00F7252D">
        <w:rPr>
          <w:sz w:val="25"/>
          <w:szCs w:val="25"/>
        </w:rPr>
        <w:t xml:space="preserve">quotes Administrative Law Judge Marguerite Friedlander who presided over the </w:t>
      </w:r>
      <w:r>
        <w:rPr>
          <w:sz w:val="25"/>
          <w:szCs w:val="25"/>
        </w:rPr>
        <w:t xml:space="preserve">December 23, 2016, motion hearing where the Commission authorized </w:t>
      </w:r>
      <w:r w:rsidR="00982049">
        <w:rPr>
          <w:sz w:val="25"/>
          <w:szCs w:val="25"/>
        </w:rPr>
        <w:t xml:space="preserve">Mr. Harmon’s </w:t>
      </w:r>
      <w:proofErr w:type="spellStart"/>
      <w:r w:rsidR="00982049">
        <w:rPr>
          <w:sz w:val="25"/>
          <w:szCs w:val="25"/>
        </w:rPr>
        <w:t>surrebuttal</w:t>
      </w:r>
      <w:proofErr w:type="spellEnd"/>
      <w:r>
        <w:rPr>
          <w:sz w:val="25"/>
          <w:szCs w:val="25"/>
        </w:rPr>
        <w:t xml:space="preserve">: </w:t>
      </w:r>
    </w:p>
    <w:p w14:paraId="78F19255" w14:textId="5081B567" w:rsidR="00875CB6" w:rsidRDefault="001E75B3" w:rsidP="001C4432">
      <w:pPr>
        <w:spacing w:after="240" w:line="264" w:lineRule="auto"/>
        <w:ind w:left="720"/>
        <w:rPr>
          <w:sz w:val="25"/>
          <w:szCs w:val="25"/>
        </w:rPr>
      </w:pPr>
      <w:r>
        <w:rPr>
          <w:sz w:val="25"/>
          <w:szCs w:val="25"/>
        </w:rPr>
        <w:t>So in that regard, I’m amenable to allowing Arrow Launch the opportunity to file additional testimony, which would be limited to replying to Mr. Aikin’s shipper support statement in Exhibit No. RSE-8, and the portions of Exhibit No. RSE-7T where Mr. Esch discusses Mr. Aikin’s statement.</w:t>
      </w:r>
      <w:r>
        <w:rPr>
          <w:rStyle w:val="FootnoteReference"/>
          <w:sz w:val="25"/>
          <w:szCs w:val="25"/>
        </w:rPr>
        <w:footnoteReference w:id="7"/>
      </w:r>
      <w:r w:rsidR="009A076A">
        <w:rPr>
          <w:sz w:val="25"/>
          <w:szCs w:val="25"/>
        </w:rPr>
        <w:t xml:space="preserve"> </w:t>
      </w:r>
    </w:p>
    <w:p w14:paraId="671EFE22" w14:textId="77777777" w:rsidR="009F5B86" w:rsidRDefault="001E75B3" w:rsidP="001C4432">
      <w:pPr>
        <w:spacing w:after="240" w:line="264" w:lineRule="auto"/>
        <w:rPr>
          <w:sz w:val="25"/>
          <w:szCs w:val="25"/>
        </w:rPr>
      </w:pPr>
      <w:r>
        <w:rPr>
          <w:sz w:val="25"/>
          <w:szCs w:val="25"/>
        </w:rPr>
        <w:t xml:space="preserve">Arrow argues that MEI is incorrect </w:t>
      </w:r>
      <w:r w:rsidR="00383801">
        <w:rPr>
          <w:sz w:val="25"/>
          <w:szCs w:val="25"/>
        </w:rPr>
        <w:t>in stating</w:t>
      </w:r>
      <w:r>
        <w:rPr>
          <w:sz w:val="25"/>
          <w:szCs w:val="25"/>
        </w:rPr>
        <w:t xml:space="preserve"> that the Commission only allowed </w:t>
      </w:r>
      <w:proofErr w:type="spellStart"/>
      <w:r w:rsidR="00982049">
        <w:rPr>
          <w:sz w:val="25"/>
          <w:szCs w:val="25"/>
        </w:rPr>
        <w:t>surrebuttal</w:t>
      </w:r>
      <w:proofErr w:type="spellEnd"/>
      <w:r>
        <w:rPr>
          <w:sz w:val="25"/>
          <w:szCs w:val="25"/>
        </w:rPr>
        <w:t xml:space="preserve"> on the shipper support statement, and not on Mr. </w:t>
      </w:r>
      <w:proofErr w:type="spellStart"/>
      <w:r>
        <w:rPr>
          <w:sz w:val="25"/>
          <w:szCs w:val="25"/>
        </w:rPr>
        <w:t>Esch’s</w:t>
      </w:r>
      <w:proofErr w:type="spellEnd"/>
      <w:r>
        <w:rPr>
          <w:sz w:val="25"/>
          <w:szCs w:val="25"/>
        </w:rPr>
        <w:t xml:space="preserve"> rebuttal testimony relating to the shipper support statement.</w:t>
      </w:r>
      <w:r>
        <w:rPr>
          <w:rStyle w:val="FootnoteReference"/>
          <w:sz w:val="25"/>
          <w:szCs w:val="25"/>
        </w:rPr>
        <w:footnoteReference w:id="8"/>
      </w:r>
      <w:r>
        <w:rPr>
          <w:sz w:val="25"/>
          <w:szCs w:val="25"/>
        </w:rPr>
        <w:t xml:space="preserve"> </w:t>
      </w:r>
    </w:p>
    <w:p w14:paraId="0C763FA3" w14:textId="35B53B51" w:rsidR="00383801" w:rsidRDefault="009F5B86" w:rsidP="001C4432">
      <w:pPr>
        <w:numPr>
          <w:ilvl w:val="0"/>
          <w:numId w:val="1"/>
        </w:numPr>
        <w:spacing w:after="240" w:line="264" w:lineRule="auto"/>
        <w:rPr>
          <w:sz w:val="25"/>
          <w:szCs w:val="25"/>
        </w:rPr>
      </w:pPr>
      <w:r>
        <w:rPr>
          <w:sz w:val="25"/>
          <w:szCs w:val="25"/>
        </w:rPr>
        <w:t xml:space="preserve">With regard to the first portion of </w:t>
      </w:r>
      <w:proofErr w:type="spellStart"/>
      <w:r>
        <w:rPr>
          <w:sz w:val="25"/>
          <w:szCs w:val="25"/>
        </w:rPr>
        <w:t>surrebuttal</w:t>
      </w:r>
      <w:proofErr w:type="spellEnd"/>
      <w:r>
        <w:rPr>
          <w:sz w:val="25"/>
          <w:szCs w:val="25"/>
        </w:rPr>
        <w:t xml:space="preserve"> in question,</w:t>
      </w:r>
      <w:r w:rsidR="00383801">
        <w:rPr>
          <w:sz w:val="25"/>
          <w:szCs w:val="25"/>
        </w:rPr>
        <w:t xml:space="preserve"> Arrow cites Mr. Harmon directly:</w:t>
      </w:r>
    </w:p>
    <w:p w14:paraId="1438603C" w14:textId="67866AB8" w:rsidR="00EA33F6" w:rsidRPr="00EF14CE" w:rsidRDefault="00EA33F6" w:rsidP="001C4432">
      <w:pPr>
        <w:spacing w:after="240" w:line="264" w:lineRule="auto"/>
        <w:ind w:left="1440" w:hanging="720"/>
        <w:rPr>
          <w:b/>
          <w:sz w:val="25"/>
          <w:szCs w:val="25"/>
        </w:rPr>
      </w:pPr>
      <w:r w:rsidRPr="00EF14CE">
        <w:rPr>
          <w:b/>
          <w:sz w:val="25"/>
          <w:szCs w:val="25"/>
        </w:rPr>
        <w:t>Q:</w:t>
      </w:r>
      <w:r w:rsidRPr="00EF14CE">
        <w:rPr>
          <w:b/>
          <w:sz w:val="25"/>
          <w:szCs w:val="25"/>
        </w:rPr>
        <w:tab/>
        <w:t>Mr. Esch, at Exhibit No. __ (RSE-7T) p. 13, attempts to buttress his original testimony about service availability alleged limitation while acknowledging the fact your fleet in Anacortes and other areas is far larger than he originally testified.  What is your response to the vessel availability issue on which he expressly doubles down in claiming it “doesn’t change his opinion?”</w:t>
      </w:r>
    </w:p>
    <w:p w14:paraId="5609C6F6" w14:textId="277F5DED" w:rsidR="00EF14CE" w:rsidRDefault="00EF14CE" w:rsidP="001C4432">
      <w:pPr>
        <w:spacing w:after="240" w:line="264" w:lineRule="auto"/>
        <w:ind w:left="1440" w:hanging="720"/>
        <w:rPr>
          <w:sz w:val="25"/>
          <w:szCs w:val="25"/>
        </w:rPr>
      </w:pPr>
      <w:r>
        <w:rPr>
          <w:sz w:val="25"/>
          <w:szCs w:val="25"/>
        </w:rPr>
        <w:t>A:</w:t>
      </w:r>
      <w:r>
        <w:rPr>
          <w:sz w:val="25"/>
          <w:szCs w:val="25"/>
        </w:rPr>
        <w:tab/>
        <w:t xml:space="preserve">I would doubt the Commission would ever be swayed by an </w:t>
      </w:r>
      <w:r w:rsidRPr="00EF14CE">
        <w:rPr>
          <w:i/>
          <w:sz w:val="25"/>
          <w:szCs w:val="25"/>
        </w:rPr>
        <w:t>applicant’s</w:t>
      </w:r>
      <w:r>
        <w:rPr>
          <w:sz w:val="25"/>
          <w:szCs w:val="25"/>
        </w:rPr>
        <w:t xml:space="preserve"> testimony on the adequacy of existing service.  We would presume any </w:t>
      </w:r>
      <w:r>
        <w:rPr>
          <w:sz w:val="25"/>
          <w:szCs w:val="25"/>
        </w:rPr>
        <w:lastRenderedPageBreak/>
        <w:t xml:space="preserve">certificate applicant would never gauge the market “overserved” or even “adequately served” in applying for authority.  Thus, Mr. </w:t>
      </w:r>
      <w:proofErr w:type="spellStart"/>
      <w:r>
        <w:rPr>
          <w:sz w:val="25"/>
          <w:szCs w:val="25"/>
        </w:rPr>
        <w:t>Esch’s</w:t>
      </w:r>
      <w:proofErr w:type="spellEnd"/>
      <w:r>
        <w:rPr>
          <w:sz w:val="25"/>
          <w:szCs w:val="25"/>
        </w:rPr>
        <w:t xml:space="preserve"> opinion surveying the market should be thoroughly discounted accordingly as self-serving, to say the least.</w:t>
      </w:r>
      <w:r w:rsidRPr="00EF14CE">
        <w:rPr>
          <w:rStyle w:val="FootnoteReference"/>
          <w:sz w:val="25"/>
          <w:szCs w:val="25"/>
        </w:rPr>
        <w:t xml:space="preserve"> </w:t>
      </w:r>
      <w:r>
        <w:rPr>
          <w:rStyle w:val="FootnoteReference"/>
          <w:sz w:val="25"/>
          <w:szCs w:val="25"/>
        </w:rPr>
        <w:footnoteReference w:id="9"/>
      </w:r>
    </w:p>
    <w:p w14:paraId="3C022CD2" w14:textId="5821C2FD" w:rsidR="00EF14CE" w:rsidRDefault="00EA33F6" w:rsidP="001C4432">
      <w:pPr>
        <w:numPr>
          <w:ilvl w:val="0"/>
          <w:numId w:val="1"/>
        </w:numPr>
        <w:spacing w:after="240" w:line="264" w:lineRule="auto"/>
        <w:rPr>
          <w:sz w:val="25"/>
          <w:szCs w:val="25"/>
        </w:rPr>
      </w:pPr>
      <w:r>
        <w:rPr>
          <w:sz w:val="25"/>
          <w:szCs w:val="25"/>
        </w:rPr>
        <w:t>Arrow contends that “it is obvious that [</w:t>
      </w:r>
      <w:r w:rsidR="000E7B82">
        <w:rPr>
          <w:sz w:val="25"/>
          <w:szCs w:val="25"/>
        </w:rPr>
        <w:t xml:space="preserve">the </w:t>
      </w:r>
      <w:proofErr w:type="spellStart"/>
      <w:r w:rsidR="000E7B82">
        <w:rPr>
          <w:sz w:val="25"/>
          <w:szCs w:val="25"/>
        </w:rPr>
        <w:t>surrebuttal</w:t>
      </w:r>
      <w:proofErr w:type="spellEnd"/>
      <w:r>
        <w:rPr>
          <w:sz w:val="25"/>
          <w:szCs w:val="25"/>
        </w:rPr>
        <w:t>] is responding to the testimony of Mr. Esch which related to the late-filed shipper support statement.”</w:t>
      </w:r>
      <w:r>
        <w:rPr>
          <w:rStyle w:val="FootnoteReference"/>
          <w:sz w:val="25"/>
          <w:szCs w:val="25"/>
        </w:rPr>
        <w:footnoteReference w:id="10"/>
      </w:r>
      <w:r>
        <w:rPr>
          <w:sz w:val="25"/>
          <w:szCs w:val="25"/>
        </w:rPr>
        <w:t xml:space="preserve"> </w:t>
      </w:r>
      <w:r w:rsidR="00EF14CE">
        <w:rPr>
          <w:sz w:val="25"/>
          <w:szCs w:val="25"/>
        </w:rPr>
        <w:t xml:space="preserve">Arrow asserts that Mr. </w:t>
      </w:r>
      <w:proofErr w:type="spellStart"/>
      <w:r w:rsidR="00EF14CE">
        <w:rPr>
          <w:sz w:val="25"/>
          <w:szCs w:val="25"/>
        </w:rPr>
        <w:t>Esch’s</w:t>
      </w:r>
      <w:proofErr w:type="spellEnd"/>
      <w:r w:rsidR="00EF14CE">
        <w:rPr>
          <w:sz w:val="25"/>
          <w:szCs w:val="25"/>
        </w:rPr>
        <w:t xml:space="preserve"> testimony on page 13</w:t>
      </w:r>
      <w:r w:rsidR="00A71889">
        <w:rPr>
          <w:sz w:val="25"/>
          <w:szCs w:val="25"/>
        </w:rPr>
        <w:t xml:space="preserve">, </w:t>
      </w:r>
      <w:r w:rsidR="000E7B82">
        <w:rPr>
          <w:sz w:val="25"/>
          <w:szCs w:val="25"/>
        </w:rPr>
        <w:t>as referenced in the above quote</w:t>
      </w:r>
      <w:r w:rsidR="00A71889">
        <w:rPr>
          <w:sz w:val="25"/>
          <w:szCs w:val="25"/>
        </w:rPr>
        <w:t>,</w:t>
      </w:r>
      <w:r w:rsidR="00EF14CE">
        <w:rPr>
          <w:sz w:val="25"/>
          <w:szCs w:val="25"/>
        </w:rPr>
        <w:t xml:space="preserve"> discusses the Crowley shipper support statement.</w:t>
      </w:r>
      <w:r w:rsidR="00EF14CE">
        <w:rPr>
          <w:rStyle w:val="FootnoteReference"/>
          <w:sz w:val="25"/>
          <w:szCs w:val="25"/>
        </w:rPr>
        <w:footnoteReference w:id="11"/>
      </w:r>
      <w:r w:rsidR="00EF14CE">
        <w:rPr>
          <w:sz w:val="25"/>
          <w:szCs w:val="25"/>
        </w:rPr>
        <w:t xml:space="preserve"> </w:t>
      </w:r>
    </w:p>
    <w:p w14:paraId="338AAD40" w14:textId="22425B33" w:rsidR="00900D77" w:rsidRDefault="00900D77" w:rsidP="001C4432">
      <w:pPr>
        <w:numPr>
          <w:ilvl w:val="0"/>
          <w:numId w:val="1"/>
        </w:numPr>
        <w:spacing w:after="240" w:line="264" w:lineRule="auto"/>
        <w:rPr>
          <w:sz w:val="25"/>
          <w:szCs w:val="25"/>
        </w:rPr>
      </w:pPr>
      <w:r>
        <w:rPr>
          <w:sz w:val="25"/>
          <w:szCs w:val="25"/>
        </w:rPr>
        <w:t xml:space="preserve">The second reference </w:t>
      </w:r>
      <w:r w:rsidR="00383801">
        <w:rPr>
          <w:sz w:val="25"/>
          <w:szCs w:val="25"/>
        </w:rPr>
        <w:t xml:space="preserve">within Mr. Harmon’s </w:t>
      </w:r>
      <w:proofErr w:type="spellStart"/>
      <w:r w:rsidR="009F5B86">
        <w:rPr>
          <w:sz w:val="25"/>
          <w:szCs w:val="25"/>
        </w:rPr>
        <w:t>surrebuttal</w:t>
      </w:r>
      <w:proofErr w:type="spellEnd"/>
      <w:r w:rsidR="00383801">
        <w:rPr>
          <w:sz w:val="25"/>
          <w:szCs w:val="25"/>
        </w:rPr>
        <w:t xml:space="preserve"> </w:t>
      </w:r>
      <w:r>
        <w:rPr>
          <w:sz w:val="25"/>
          <w:szCs w:val="25"/>
        </w:rPr>
        <w:t>at issue in the Motion is as follows:</w:t>
      </w:r>
    </w:p>
    <w:p w14:paraId="363B63B1" w14:textId="472F250E" w:rsidR="00900D77" w:rsidRPr="001323E4" w:rsidRDefault="00900D77" w:rsidP="001C4432">
      <w:pPr>
        <w:spacing w:after="240" w:line="264" w:lineRule="auto"/>
        <w:ind w:left="1440" w:hanging="720"/>
        <w:rPr>
          <w:b/>
          <w:sz w:val="25"/>
          <w:szCs w:val="25"/>
        </w:rPr>
      </w:pPr>
      <w:r w:rsidRPr="001323E4">
        <w:rPr>
          <w:b/>
          <w:sz w:val="25"/>
          <w:szCs w:val="25"/>
        </w:rPr>
        <w:t>Q:</w:t>
      </w:r>
      <w:r w:rsidRPr="001323E4">
        <w:rPr>
          <w:b/>
          <w:sz w:val="25"/>
          <w:szCs w:val="25"/>
        </w:rPr>
        <w:tab/>
        <w:t xml:space="preserve">But what about Mr. </w:t>
      </w:r>
      <w:proofErr w:type="spellStart"/>
      <w:r w:rsidRPr="001323E4">
        <w:rPr>
          <w:b/>
          <w:sz w:val="25"/>
          <w:szCs w:val="25"/>
        </w:rPr>
        <w:t>Esch’s</w:t>
      </w:r>
      <w:proofErr w:type="spellEnd"/>
      <w:r w:rsidRPr="001323E4">
        <w:rPr>
          <w:b/>
          <w:sz w:val="25"/>
          <w:szCs w:val="25"/>
        </w:rPr>
        <w:t xml:space="preserve"> reference to “untapped potential in the market?”</w:t>
      </w:r>
    </w:p>
    <w:p w14:paraId="751BAA0D" w14:textId="2B79FBAA" w:rsidR="00900D77" w:rsidRDefault="00900D77" w:rsidP="001C4432">
      <w:pPr>
        <w:spacing w:after="240" w:line="264" w:lineRule="auto"/>
        <w:ind w:left="1440" w:hanging="720"/>
        <w:rPr>
          <w:sz w:val="25"/>
          <w:szCs w:val="25"/>
        </w:rPr>
      </w:pPr>
      <w:r>
        <w:rPr>
          <w:sz w:val="25"/>
          <w:szCs w:val="25"/>
        </w:rPr>
        <w:t>A:</w:t>
      </w:r>
      <w:r>
        <w:rPr>
          <w:sz w:val="25"/>
          <w:szCs w:val="25"/>
        </w:rPr>
        <w:tab/>
        <w:t>I found this to be one of the flimsiest declaratory statements in his testimony.  This appears to be a classic “build it and they will come” justification for granting an application on unspecified future need.  In other words, this apparently is also an admission that there is an absence of need shown here but that we should trust him that the market can absorb another provider based on future need.  Untapped potential is thus code for “failure to prove need” in my view.  And surely, if there were an unmet need for service on the scale of what Mr. Esch estimates, any failure to meet that need would have resulted in a complaint to the Commission.</w:t>
      </w:r>
      <w:r>
        <w:rPr>
          <w:rStyle w:val="FootnoteReference"/>
          <w:sz w:val="25"/>
          <w:szCs w:val="25"/>
        </w:rPr>
        <w:footnoteReference w:id="12"/>
      </w:r>
    </w:p>
    <w:p w14:paraId="63520764" w14:textId="1F06246D" w:rsidR="001323E4" w:rsidRDefault="001323E4" w:rsidP="001C4432">
      <w:pPr>
        <w:numPr>
          <w:ilvl w:val="0"/>
          <w:numId w:val="1"/>
        </w:numPr>
        <w:spacing w:after="240" w:line="264" w:lineRule="auto"/>
        <w:rPr>
          <w:sz w:val="25"/>
          <w:szCs w:val="25"/>
        </w:rPr>
      </w:pPr>
      <w:r>
        <w:rPr>
          <w:sz w:val="25"/>
          <w:szCs w:val="25"/>
        </w:rPr>
        <w:t xml:space="preserve">Arrow points to Mr. </w:t>
      </w:r>
      <w:proofErr w:type="spellStart"/>
      <w:r>
        <w:rPr>
          <w:sz w:val="25"/>
          <w:szCs w:val="25"/>
        </w:rPr>
        <w:t>Esch’s</w:t>
      </w:r>
      <w:proofErr w:type="spellEnd"/>
      <w:r>
        <w:rPr>
          <w:sz w:val="25"/>
          <w:szCs w:val="25"/>
        </w:rPr>
        <w:t xml:space="preserve"> testimony in </w:t>
      </w:r>
      <w:proofErr w:type="spellStart"/>
      <w:r>
        <w:rPr>
          <w:sz w:val="25"/>
          <w:szCs w:val="25"/>
        </w:rPr>
        <w:t>Exh</w:t>
      </w:r>
      <w:proofErr w:type="spellEnd"/>
      <w:r>
        <w:rPr>
          <w:sz w:val="25"/>
          <w:szCs w:val="25"/>
        </w:rPr>
        <w:t>. No. RSE-7T where he specifically states, “[T]here is untapped potential in the market.”</w:t>
      </w:r>
      <w:r>
        <w:rPr>
          <w:rStyle w:val="FootnoteReference"/>
          <w:sz w:val="25"/>
          <w:szCs w:val="25"/>
        </w:rPr>
        <w:footnoteReference w:id="13"/>
      </w:r>
      <w:r>
        <w:rPr>
          <w:sz w:val="25"/>
          <w:szCs w:val="25"/>
        </w:rPr>
        <w:t xml:space="preserve"> </w:t>
      </w:r>
      <w:r w:rsidR="000E7B82">
        <w:rPr>
          <w:sz w:val="25"/>
          <w:szCs w:val="25"/>
        </w:rPr>
        <w:t xml:space="preserve">As Arrow notes, this statement is followed by Mr. </w:t>
      </w:r>
      <w:proofErr w:type="spellStart"/>
      <w:r w:rsidR="000E7B82">
        <w:rPr>
          <w:sz w:val="25"/>
          <w:szCs w:val="25"/>
        </w:rPr>
        <w:t>Esch’s</w:t>
      </w:r>
      <w:proofErr w:type="spellEnd"/>
      <w:r>
        <w:rPr>
          <w:sz w:val="25"/>
          <w:szCs w:val="25"/>
        </w:rPr>
        <w:t xml:space="preserve"> identifi</w:t>
      </w:r>
      <w:r w:rsidR="000E7B82">
        <w:rPr>
          <w:sz w:val="25"/>
          <w:szCs w:val="25"/>
        </w:rPr>
        <w:t>cation of</w:t>
      </w:r>
      <w:r>
        <w:rPr>
          <w:sz w:val="25"/>
          <w:szCs w:val="25"/>
        </w:rPr>
        <w:t xml:space="preserve"> the Crowley shipper support statement in </w:t>
      </w:r>
      <w:proofErr w:type="spellStart"/>
      <w:r>
        <w:rPr>
          <w:sz w:val="25"/>
          <w:szCs w:val="25"/>
        </w:rPr>
        <w:t>Exh</w:t>
      </w:r>
      <w:proofErr w:type="spellEnd"/>
      <w:r>
        <w:rPr>
          <w:sz w:val="25"/>
          <w:szCs w:val="25"/>
        </w:rPr>
        <w:t xml:space="preserve">. No. RSE-8 as evidence of </w:t>
      </w:r>
      <w:r w:rsidR="004B64CC">
        <w:rPr>
          <w:sz w:val="25"/>
          <w:szCs w:val="25"/>
        </w:rPr>
        <w:t>Arrow’s service quality</w:t>
      </w:r>
      <w:r w:rsidR="000E7B82">
        <w:rPr>
          <w:sz w:val="25"/>
          <w:szCs w:val="25"/>
        </w:rPr>
        <w:t xml:space="preserve"> issues</w:t>
      </w:r>
      <w:r>
        <w:rPr>
          <w:sz w:val="25"/>
          <w:szCs w:val="25"/>
        </w:rPr>
        <w:t>.</w:t>
      </w:r>
      <w:r>
        <w:rPr>
          <w:rStyle w:val="FootnoteReference"/>
          <w:sz w:val="25"/>
          <w:szCs w:val="25"/>
        </w:rPr>
        <w:footnoteReference w:id="14"/>
      </w:r>
      <w:r>
        <w:rPr>
          <w:sz w:val="25"/>
          <w:szCs w:val="25"/>
        </w:rPr>
        <w:t xml:space="preserve"> </w:t>
      </w:r>
    </w:p>
    <w:p w14:paraId="6F47E612" w14:textId="0563878D" w:rsidR="0047042C" w:rsidRDefault="001323E4" w:rsidP="001C4432">
      <w:pPr>
        <w:numPr>
          <w:ilvl w:val="0"/>
          <w:numId w:val="1"/>
        </w:numPr>
        <w:spacing w:after="240" w:line="264" w:lineRule="auto"/>
        <w:rPr>
          <w:sz w:val="25"/>
          <w:szCs w:val="25"/>
        </w:rPr>
      </w:pPr>
      <w:r>
        <w:rPr>
          <w:sz w:val="25"/>
          <w:szCs w:val="25"/>
        </w:rPr>
        <w:lastRenderedPageBreak/>
        <w:t>Last</w:t>
      </w:r>
      <w:r w:rsidR="000E7B82">
        <w:rPr>
          <w:sz w:val="25"/>
          <w:szCs w:val="25"/>
        </w:rPr>
        <w:t>ly</w:t>
      </w:r>
      <w:r>
        <w:rPr>
          <w:sz w:val="25"/>
          <w:szCs w:val="25"/>
        </w:rPr>
        <w:t xml:space="preserve">, Arrow addresses </w:t>
      </w:r>
      <w:r w:rsidR="0047042C">
        <w:rPr>
          <w:sz w:val="25"/>
          <w:szCs w:val="25"/>
        </w:rPr>
        <w:t xml:space="preserve">Mr. Harmon’s critique of </w:t>
      </w:r>
      <w:r w:rsidR="004B64CC">
        <w:rPr>
          <w:sz w:val="25"/>
          <w:szCs w:val="25"/>
        </w:rPr>
        <w:t xml:space="preserve">an informal </w:t>
      </w:r>
      <w:r w:rsidR="0047042C">
        <w:rPr>
          <w:sz w:val="25"/>
          <w:szCs w:val="25"/>
        </w:rPr>
        <w:t>shipper survey</w:t>
      </w:r>
      <w:r w:rsidR="004B64CC">
        <w:rPr>
          <w:sz w:val="25"/>
          <w:szCs w:val="25"/>
        </w:rPr>
        <w:t xml:space="preserve"> conducted by Staff</w:t>
      </w:r>
      <w:r w:rsidR="0047042C">
        <w:rPr>
          <w:sz w:val="25"/>
          <w:szCs w:val="25"/>
        </w:rPr>
        <w:t>. Mr. Harmon testifies:</w:t>
      </w:r>
    </w:p>
    <w:p w14:paraId="3C74CDD9" w14:textId="5757382E" w:rsidR="0047042C" w:rsidRPr="0047042C" w:rsidRDefault="0047042C" w:rsidP="001C4432">
      <w:pPr>
        <w:spacing w:after="240" w:line="264" w:lineRule="auto"/>
        <w:ind w:left="1440" w:hanging="720"/>
        <w:rPr>
          <w:b/>
          <w:sz w:val="25"/>
          <w:szCs w:val="25"/>
        </w:rPr>
      </w:pPr>
      <w:r w:rsidRPr="0047042C">
        <w:rPr>
          <w:b/>
          <w:sz w:val="25"/>
          <w:szCs w:val="25"/>
        </w:rPr>
        <w:t>Q:</w:t>
      </w:r>
      <w:r w:rsidRPr="0047042C">
        <w:rPr>
          <w:b/>
          <w:sz w:val="25"/>
          <w:szCs w:val="25"/>
        </w:rPr>
        <w:tab/>
        <w:t>Does Mr. Esch refer to any other source for his conclusion that the market would support another entrant?</w:t>
      </w:r>
    </w:p>
    <w:p w14:paraId="2303C67A" w14:textId="142896DD" w:rsidR="0047042C" w:rsidRDefault="0047042C" w:rsidP="001C4432">
      <w:pPr>
        <w:spacing w:after="240" w:line="264" w:lineRule="auto"/>
        <w:ind w:left="1440" w:hanging="720"/>
        <w:rPr>
          <w:sz w:val="25"/>
          <w:szCs w:val="25"/>
        </w:rPr>
      </w:pPr>
      <w:r>
        <w:rPr>
          <w:sz w:val="25"/>
          <w:szCs w:val="25"/>
        </w:rPr>
        <w:t>A:</w:t>
      </w:r>
      <w:r>
        <w:rPr>
          <w:sz w:val="25"/>
          <w:szCs w:val="25"/>
        </w:rPr>
        <w:tab/>
        <w:t>Yes, the informal telephonic survey staff witness Mr. Sevall alluded to in his testimony.</w:t>
      </w:r>
    </w:p>
    <w:p w14:paraId="743063D7" w14:textId="6222F5A0" w:rsidR="0047042C" w:rsidRPr="0047042C" w:rsidRDefault="0047042C" w:rsidP="001C4432">
      <w:pPr>
        <w:spacing w:after="240" w:line="264" w:lineRule="auto"/>
        <w:ind w:left="1440" w:hanging="720"/>
        <w:rPr>
          <w:b/>
          <w:sz w:val="25"/>
          <w:szCs w:val="25"/>
        </w:rPr>
      </w:pPr>
      <w:r w:rsidRPr="0047042C">
        <w:rPr>
          <w:b/>
          <w:sz w:val="25"/>
          <w:szCs w:val="25"/>
        </w:rPr>
        <w:t>Q:</w:t>
      </w:r>
      <w:r w:rsidRPr="0047042C">
        <w:rPr>
          <w:b/>
          <w:sz w:val="25"/>
          <w:szCs w:val="25"/>
        </w:rPr>
        <w:tab/>
        <w:t xml:space="preserve">Where is this reference in Mr. </w:t>
      </w:r>
      <w:proofErr w:type="spellStart"/>
      <w:r w:rsidRPr="0047042C">
        <w:rPr>
          <w:b/>
          <w:sz w:val="25"/>
          <w:szCs w:val="25"/>
        </w:rPr>
        <w:t>Esch’s</w:t>
      </w:r>
      <w:proofErr w:type="spellEnd"/>
      <w:r w:rsidRPr="0047042C">
        <w:rPr>
          <w:b/>
          <w:sz w:val="25"/>
          <w:szCs w:val="25"/>
        </w:rPr>
        <w:t xml:space="preserve"> testimony?</w:t>
      </w:r>
    </w:p>
    <w:p w14:paraId="7235D483" w14:textId="61F5A276" w:rsidR="0047042C" w:rsidRDefault="0047042C" w:rsidP="001C4432">
      <w:pPr>
        <w:spacing w:after="240" w:line="264" w:lineRule="auto"/>
        <w:ind w:left="1440" w:hanging="720"/>
        <w:rPr>
          <w:sz w:val="25"/>
          <w:szCs w:val="25"/>
        </w:rPr>
      </w:pPr>
      <w:r>
        <w:rPr>
          <w:sz w:val="25"/>
          <w:szCs w:val="25"/>
        </w:rPr>
        <w:t>A:</w:t>
      </w:r>
      <w:r>
        <w:rPr>
          <w:sz w:val="25"/>
          <w:szCs w:val="25"/>
        </w:rPr>
        <w:tab/>
        <w:t>At lines 24-26, p. 15 and lines 1-4 of p. 16 of (Ex. No. __ (RSE-7T).</w:t>
      </w:r>
    </w:p>
    <w:p w14:paraId="27667B36" w14:textId="70902E6D" w:rsidR="0047042C" w:rsidRPr="0047042C" w:rsidRDefault="0047042C" w:rsidP="001C4432">
      <w:pPr>
        <w:spacing w:after="240" w:line="264" w:lineRule="auto"/>
        <w:ind w:left="1440" w:hanging="720"/>
        <w:rPr>
          <w:b/>
          <w:sz w:val="25"/>
          <w:szCs w:val="25"/>
        </w:rPr>
      </w:pPr>
      <w:r w:rsidRPr="0047042C">
        <w:rPr>
          <w:b/>
          <w:sz w:val="25"/>
          <w:szCs w:val="25"/>
        </w:rPr>
        <w:t>Q:</w:t>
      </w:r>
      <w:r w:rsidRPr="0047042C">
        <w:rPr>
          <w:b/>
          <w:sz w:val="25"/>
          <w:szCs w:val="25"/>
        </w:rPr>
        <w:tab/>
        <w:t xml:space="preserve">Do you agree with Mr. </w:t>
      </w:r>
      <w:proofErr w:type="spellStart"/>
      <w:r w:rsidRPr="0047042C">
        <w:rPr>
          <w:b/>
          <w:sz w:val="25"/>
          <w:szCs w:val="25"/>
        </w:rPr>
        <w:t>Esch’s</w:t>
      </w:r>
      <w:proofErr w:type="spellEnd"/>
      <w:r w:rsidRPr="0047042C">
        <w:rPr>
          <w:b/>
          <w:sz w:val="25"/>
          <w:szCs w:val="25"/>
        </w:rPr>
        <w:t xml:space="preserve"> characterization of the results of that informal staff survey in his rebuttal testimony?</w:t>
      </w:r>
    </w:p>
    <w:p w14:paraId="6652031B" w14:textId="3DD153B2" w:rsidR="0047042C" w:rsidRDefault="0047042C" w:rsidP="001C4432">
      <w:pPr>
        <w:spacing w:after="240" w:line="264" w:lineRule="auto"/>
        <w:ind w:left="1440" w:hanging="720"/>
        <w:rPr>
          <w:sz w:val="25"/>
          <w:szCs w:val="25"/>
        </w:rPr>
      </w:pPr>
      <w:r>
        <w:rPr>
          <w:sz w:val="25"/>
          <w:szCs w:val="25"/>
        </w:rPr>
        <w:t>A:</w:t>
      </w:r>
      <w:r>
        <w:rPr>
          <w:sz w:val="25"/>
          <w:szCs w:val="25"/>
        </w:rPr>
        <w:tab/>
        <w:t>Obviously not.  Mr. Esch needs to reread that testimony more closely in my view.  Rather than 66% of the six polled customers “supporting an additional service provider,” what the staff telephone survey actually found instead was that five out of six (83%) had no issues with Arrow.  While three of those five might have been receptive to more competition (which customers in all industries are typically support</w:t>
      </w:r>
      <w:r w:rsidR="00D9684E">
        <w:rPr>
          <w:sz w:val="25"/>
          <w:szCs w:val="25"/>
        </w:rPr>
        <w:t>ive</w:t>
      </w:r>
      <w:r>
        <w:rPr>
          <w:sz w:val="25"/>
          <w:szCs w:val="25"/>
        </w:rPr>
        <w:t xml:space="preserve"> of in concept), only one of those customers (which the record will identify as Crowley) had anything but favorable comments.  In fact, that survey also corroborated that there was “no Commission record of failed or refused service by Arrow Launch.” (Ex. No. _</w:t>
      </w:r>
      <w:proofErr w:type="gramStart"/>
      <w:r>
        <w:rPr>
          <w:sz w:val="25"/>
          <w:szCs w:val="25"/>
        </w:rPr>
        <w:t>_(</w:t>
      </w:r>
      <w:proofErr w:type="gramEnd"/>
      <w:r>
        <w:rPr>
          <w:sz w:val="25"/>
          <w:szCs w:val="25"/>
        </w:rPr>
        <w:t>SS-1T), p. 6, line 3).</w:t>
      </w:r>
    </w:p>
    <w:p w14:paraId="45BFB80E" w14:textId="45B88793" w:rsidR="0047042C" w:rsidRDefault="0047042C" w:rsidP="001C4432">
      <w:pPr>
        <w:spacing w:after="240" w:line="264" w:lineRule="auto"/>
        <w:ind w:left="1440" w:hanging="720"/>
        <w:rPr>
          <w:b/>
          <w:sz w:val="25"/>
          <w:szCs w:val="25"/>
        </w:rPr>
      </w:pPr>
      <w:r w:rsidRPr="0047042C">
        <w:rPr>
          <w:b/>
          <w:sz w:val="25"/>
          <w:szCs w:val="25"/>
        </w:rPr>
        <w:t xml:space="preserve">Q: </w:t>
      </w:r>
      <w:r w:rsidRPr="0047042C">
        <w:rPr>
          <w:b/>
          <w:sz w:val="25"/>
          <w:szCs w:val="25"/>
        </w:rPr>
        <w:tab/>
        <w:t>On that basis, what are your conclusions about the staff survey and its bearing on whether a new entrant ought to be authorized in this market?</w:t>
      </w:r>
    </w:p>
    <w:p w14:paraId="5727D305" w14:textId="41D7BEE8" w:rsidR="0047042C" w:rsidRPr="0047042C" w:rsidRDefault="0047042C" w:rsidP="001C4432">
      <w:pPr>
        <w:spacing w:after="240" w:line="264" w:lineRule="auto"/>
        <w:ind w:left="1440" w:hanging="720"/>
        <w:rPr>
          <w:sz w:val="25"/>
          <w:szCs w:val="25"/>
        </w:rPr>
      </w:pPr>
      <w:r>
        <w:rPr>
          <w:sz w:val="25"/>
          <w:szCs w:val="25"/>
        </w:rPr>
        <w:t>A:</w:t>
      </w:r>
      <w:r>
        <w:rPr>
          <w:sz w:val="25"/>
          <w:szCs w:val="25"/>
        </w:rPr>
        <w:tab/>
        <w:t xml:space="preserve">Again, there is nothing in that staff testimony directed to analysis of whether the market should accommodate another provider, and the staff is careful not to allow any such conclusion.  There is also nothing in that informal survey demonstrating a service failure or inadequacy whatsoever, even to the alleged “dissatisfaction” now attributed to Crowley.  Based on the survey and Mr. </w:t>
      </w:r>
      <w:proofErr w:type="spellStart"/>
      <w:r>
        <w:rPr>
          <w:sz w:val="25"/>
          <w:szCs w:val="25"/>
        </w:rPr>
        <w:t>Sevall’s</w:t>
      </w:r>
      <w:proofErr w:type="spellEnd"/>
      <w:r>
        <w:rPr>
          <w:sz w:val="25"/>
          <w:szCs w:val="25"/>
        </w:rPr>
        <w:t xml:space="preserve"> initial testimony of a complete absence at the Commission of records demonstrating service </w:t>
      </w:r>
      <w:r>
        <w:rPr>
          <w:sz w:val="25"/>
          <w:szCs w:val="25"/>
        </w:rPr>
        <w:lastRenderedPageBreak/>
        <w:t>deficiencies or complaints, 100% of the surveyed customers must have received the service they requested.</w:t>
      </w:r>
      <w:r>
        <w:rPr>
          <w:rStyle w:val="FootnoteReference"/>
          <w:sz w:val="25"/>
          <w:szCs w:val="25"/>
        </w:rPr>
        <w:footnoteReference w:id="15"/>
      </w:r>
    </w:p>
    <w:p w14:paraId="3F278C42" w14:textId="4E5A89D5" w:rsidR="00D9684E" w:rsidRDefault="001A3967" w:rsidP="001C4432">
      <w:pPr>
        <w:numPr>
          <w:ilvl w:val="0"/>
          <w:numId w:val="1"/>
        </w:numPr>
        <w:spacing w:after="240" w:line="264" w:lineRule="auto"/>
        <w:rPr>
          <w:sz w:val="25"/>
          <w:szCs w:val="25"/>
        </w:rPr>
      </w:pPr>
      <w:r>
        <w:rPr>
          <w:sz w:val="25"/>
          <w:szCs w:val="25"/>
        </w:rPr>
        <w:t xml:space="preserve">Mr. </w:t>
      </w:r>
      <w:proofErr w:type="spellStart"/>
      <w:r>
        <w:rPr>
          <w:sz w:val="25"/>
          <w:szCs w:val="25"/>
        </w:rPr>
        <w:t>Esch’s</w:t>
      </w:r>
      <w:proofErr w:type="spellEnd"/>
      <w:r>
        <w:rPr>
          <w:sz w:val="25"/>
          <w:szCs w:val="25"/>
        </w:rPr>
        <w:t xml:space="preserve"> testimony points out that Staff’s survey results were “what [</w:t>
      </w:r>
      <w:r w:rsidR="000E7B82">
        <w:rPr>
          <w:sz w:val="25"/>
          <w:szCs w:val="25"/>
        </w:rPr>
        <w:t>Mr. Esch</w:t>
      </w:r>
      <w:r>
        <w:rPr>
          <w:sz w:val="25"/>
          <w:szCs w:val="25"/>
        </w:rPr>
        <w:t xml:space="preserve"> has] been hearing from [his] customers in the region.”</w:t>
      </w:r>
      <w:r>
        <w:rPr>
          <w:rStyle w:val="FootnoteReference"/>
          <w:sz w:val="25"/>
          <w:szCs w:val="25"/>
        </w:rPr>
        <w:footnoteReference w:id="16"/>
      </w:r>
      <w:r>
        <w:rPr>
          <w:sz w:val="25"/>
          <w:szCs w:val="25"/>
        </w:rPr>
        <w:t xml:space="preserve"> Arrow argues that Mr. Harmon’s </w:t>
      </w:r>
      <w:r w:rsidR="000E7B82">
        <w:rPr>
          <w:sz w:val="25"/>
          <w:szCs w:val="25"/>
        </w:rPr>
        <w:t>discussion of the survey</w:t>
      </w:r>
      <w:r>
        <w:rPr>
          <w:sz w:val="25"/>
          <w:szCs w:val="25"/>
        </w:rPr>
        <w:t xml:space="preserve"> relate to </w:t>
      </w:r>
      <w:proofErr w:type="spellStart"/>
      <w:r>
        <w:rPr>
          <w:sz w:val="25"/>
          <w:szCs w:val="25"/>
        </w:rPr>
        <w:t>Exh</w:t>
      </w:r>
      <w:proofErr w:type="spellEnd"/>
      <w:r>
        <w:rPr>
          <w:sz w:val="25"/>
          <w:szCs w:val="25"/>
        </w:rPr>
        <w:t>. No</w:t>
      </w:r>
      <w:r w:rsidR="004B64CC">
        <w:rPr>
          <w:sz w:val="25"/>
          <w:szCs w:val="25"/>
        </w:rPr>
        <w:t>s</w:t>
      </w:r>
      <w:r>
        <w:rPr>
          <w:sz w:val="25"/>
          <w:szCs w:val="25"/>
        </w:rPr>
        <w:t>. RSE-7T</w:t>
      </w:r>
      <w:r w:rsidR="004B64CC">
        <w:rPr>
          <w:sz w:val="25"/>
          <w:szCs w:val="25"/>
        </w:rPr>
        <w:t xml:space="preserve"> and RSE-8</w:t>
      </w:r>
      <w:r>
        <w:rPr>
          <w:rStyle w:val="FootnoteReference"/>
          <w:sz w:val="25"/>
          <w:szCs w:val="25"/>
        </w:rPr>
        <w:footnoteReference w:id="17"/>
      </w:r>
    </w:p>
    <w:p w14:paraId="6AF5C5B0" w14:textId="363A3D46" w:rsidR="001A3967" w:rsidRPr="001A3967" w:rsidRDefault="001A3967" w:rsidP="001C4432">
      <w:pPr>
        <w:pStyle w:val="Heading1"/>
      </w:pPr>
      <w:r>
        <w:t>DISCUSSION AND DECISION</w:t>
      </w:r>
    </w:p>
    <w:p w14:paraId="00215712" w14:textId="4E08D716" w:rsidR="0021722F" w:rsidRDefault="004B64CC" w:rsidP="001C4432">
      <w:pPr>
        <w:numPr>
          <w:ilvl w:val="0"/>
          <w:numId w:val="1"/>
        </w:numPr>
        <w:spacing w:after="240" w:line="264" w:lineRule="auto"/>
        <w:rPr>
          <w:sz w:val="25"/>
          <w:szCs w:val="25"/>
        </w:rPr>
      </w:pPr>
      <w:r>
        <w:rPr>
          <w:sz w:val="25"/>
          <w:szCs w:val="25"/>
        </w:rPr>
        <w:t xml:space="preserve">Arrow correctly </w:t>
      </w:r>
      <w:r w:rsidR="009B538E">
        <w:rPr>
          <w:sz w:val="25"/>
          <w:szCs w:val="25"/>
        </w:rPr>
        <w:t>states that the Commission</w:t>
      </w:r>
      <w:r>
        <w:rPr>
          <w:sz w:val="25"/>
          <w:szCs w:val="25"/>
        </w:rPr>
        <w:t xml:space="preserve"> allow</w:t>
      </w:r>
      <w:r w:rsidR="009B538E">
        <w:rPr>
          <w:sz w:val="25"/>
          <w:szCs w:val="25"/>
        </w:rPr>
        <w:t>ed</w:t>
      </w:r>
      <w:r>
        <w:rPr>
          <w:sz w:val="25"/>
          <w:szCs w:val="25"/>
        </w:rPr>
        <w:t xml:space="preserve"> it </w:t>
      </w:r>
      <w:r w:rsidR="009B538E">
        <w:rPr>
          <w:sz w:val="25"/>
          <w:szCs w:val="25"/>
        </w:rPr>
        <w:t xml:space="preserve">the opportunity </w:t>
      </w:r>
      <w:r>
        <w:rPr>
          <w:sz w:val="25"/>
          <w:szCs w:val="25"/>
        </w:rPr>
        <w:t xml:space="preserve">to file </w:t>
      </w:r>
      <w:r w:rsidR="009B538E">
        <w:rPr>
          <w:sz w:val="25"/>
          <w:szCs w:val="25"/>
        </w:rPr>
        <w:t xml:space="preserve">limited </w:t>
      </w:r>
      <w:proofErr w:type="spellStart"/>
      <w:r w:rsidR="00AB51EF">
        <w:rPr>
          <w:sz w:val="25"/>
          <w:szCs w:val="25"/>
        </w:rPr>
        <w:t>surrebuttal</w:t>
      </w:r>
      <w:proofErr w:type="spellEnd"/>
      <w:r>
        <w:rPr>
          <w:sz w:val="25"/>
          <w:szCs w:val="25"/>
        </w:rPr>
        <w:t xml:space="preserve"> </w:t>
      </w:r>
      <w:r w:rsidR="009B538E">
        <w:rPr>
          <w:sz w:val="25"/>
          <w:szCs w:val="25"/>
        </w:rPr>
        <w:t>relating</w:t>
      </w:r>
      <w:r>
        <w:rPr>
          <w:sz w:val="25"/>
          <w:szCs w:val="25"/>
        </w:rPr>
        <w:t xml:space="preserve"> to Mr. Aikin’s shipper support statement in Exhibit No. RSE-8 and the portions of Mr. </w:t>
      </w:r>
      <w:proofErr w:type="spellStart"/>
      <w:r>
        <w:rPr>
          <w:sz w:val="25"/>
          <w:szCs w:val="25"/>
        </w:rPr>
        <w:t>Esch</w:t>
      </w:r>
      <w:r w:rsidR="009B538E">
        <w:rPr>
          <w:sz w:val="25"/>
          <w:szCs w:val="25"/>
        </w:rPr>
        <w:t>’s</w:t>
      </w:r>
      <w:proofErr w:type="spellEnd"/>
      <w:r w:rsidR="009B538E">
        <w:rPr>
          <w:sz w:val="25"/>
          <w:szCs w:val="25"/>
        </w:rPr>
        <w:t xml:space="preserve"> rebuttal testimony discussing</w:t>
      </w:r>
      <w:r>
        <w:rPr>
          <w:sz w:val="25"/>
          <w:szCs w:val="25"/>
        </w:rPr>
        <w:t xml:space="preserve"> Mr. Aikin’s statement</w:t>
      </w:r>
      <w:r w:rsidR="00AB51EF">
        <w:rPr>
          <w:sz w:val="25"/>
          <w:szCs w:val="25"/>
        </w:rPr>
        <w:t xml:space="preserve"> in Exhibit No. RSE-7T</w:t>
      </w:r>
      <w:r>
        <w:rPr>
          <w:sz w:val="25"/>
          <w:szCs w:val="25"/>
        </w:rPr>
        <w:t>.</w:t>
      </w:r>
      <w:r w:rsidR="009B538E">
        <w:rPr>
          <w:sz w:val="25"/>
          <w:szCs w:val="25"/>
        </w:rPr>
        <w:t xml:space="preserve"> Specifically, Judge Friedlander noted that:</w:t>
      </w:r>
    </w:p>
    <w:p w14:paraId="006D3232" w14:textId="549A94D1" w:rsidR="009B538E" w:rsidRDefault="009B538E" w:rsidP="001C4432">
      <w:pPr>
        <w:spacing w:after="240" w:line="264" w:lineRule="auto"/>
        <w:ind w:left="720"/>
        <w:rPr>
          <w:sz w:val="25"/>
          <w:szCs w:val="25"/>
        </w:rPr>
      </w:pPr>
      <w:r>
        <w:rPr>
          <w:sz w:val="25"/>
          <w:szCs w:val="25"/>
        </w:rPr>
        <w:t>I also, however, wish to develop a full and complete evidentiary record. So in that regard, I’m amenable to allowing Arrow Launch the opportunity to file additional testimony, which would be limited to replying to Mr. Aikin’s shipper support statement in Exhibit No. RSE-8, and the portions of Exhibit No. RSE-7T where Mr. Esch discusses Mr. Aikin’s statement.</w:t>
      </w:r>
      <w:r>
        <w:rPr>
          <w:rStyle w:val="FootnoteReference"/>
          <w:sz w:val="25"/>
          <w:szCs w:val="25"/>
        </w:rPr>
        <w:footnoteReference w:id="18"/>
      </w:r>
    </w:p>
    <w:p w14:paraId="5B3FD075" w14:textId="51721A80" w:rsidR="00AE5572" w:rsidRDefault="009B538E" w:rsidP="001C4432">
      <w:pPr>
        <w:numPr>
          <w:ilvl w:val="0"/>
          <w:numId w:val="1"/>
        </w:numPr>
        <w:spacing w:after="240" w:line="264" w:lineRule="auto"/>
        <w:rPr>
          <w:sz w:val="25"/>
          <w:szCs w:val="25"/>
        </w:rPr>
      </w:pPr>
      <w:r>
        <w:rPr>
          <w:sz w:val="25"/>
          <w:szCs w:val="25"/>
        </w:rPr>
        <w:t xml:space="preserve">The first portion of Mr. Harmon’s testimony at issue in </w:t>
      </w:r>
      <w:proofErr w:type="spellStart"/>
      <w:r>
        <w:rPr>
          <w:sz w:val="25"/>
          <w:szCs w:val="25"/>
        </w:rPr>
        <w:t>MEI’s</w:t>
      </w:r>
      <w:proofErr w:type="spellEnd"/>
      <w:r>
        <w:rPr>
          <w:sz w:val="25"/>
          <w:szCs w:val="25"/>
        </w:rPr>
        <w:t xml:space="preserve"> Motion, </w:t>
      </w:r>
      <w:r w:rsidR="00AB51EF">
        <w:rPr>
          <w:sz w:val="25"/>
          <w:szCs w:val="25"/>
        </w:rPr>
        <w:t xml:space="preserve">at </w:t>
      </w:r>
      <w:r>
        <w:rPr>
          <w:sz w:val="25"/>
          <w:szCs w:val="25"/>
        </w:rPr>
        <w:t xml:space="preserve">page 5, lines 5 through 14, attempts to </w:t>
      </w:r>
      <w:r w:rsidR="00AB51EF">
        <w:rPr>
          <w:sz w:val="25"/>
          <w:szCs w:val="25"/>
        </w:rPr>
        <w:t>counter</w:t>
      </w:r>
      <w:r>
        <w:rPr>
          <w:sz w:val="25"/>
          <w:szCs w:val="25"/>
        </w:rPr>
        <w:t xml:space="preserve"> allegations Mr. Esch makes at page 13 of his own testimony. Mr. Esch, on page 13</w:t>
      </w:r>
      <w:r w:rsidR="00AB51EF">
        <w:rPr>
          <w:sz w:val="25"/>
          <w:szCs w:val="25"/>
        </w:rPr>
        <w:t xml:space="preserve"> of his rebuttal testimony</w:t>
      </w:r>
      <w:r>
        <w:rPr>
          <w:sz w:val="25"/>
          <w:szCs w:val="25"/>
        </w:rPr>
        <w:t>, argues that Arrow’s claim of having more boat</w:t>
      </w:r>
      <w:r w:rsidR="00AB51EF">
        <w:rPr>
          <w:sz w:val="25"/>
          <w:szCs w:val="25"/>
        </w:rPr>
        <w:t>s</w:t>
      </w:r>
      <w:r>
        <w:rPr>
          <w:sz w:val="25"/>
          <w:szCs w:val="25"/>
        </w:rPr>
        <w:t xml:space="preserve"> to serve the area does not change Mr. </w:t>
      </w:r>
      <w:proofErr w:type="spellStart"/>
      <w:r>
        <w:rPr>
          <w:sz w:val="25"/>
          <w:szCs w:val="25"/>
        </w:rPr>
        <w:t>Esch’s</w:t>
      </w:r>
      <w:proofErr w:type="spellEnd"/>
      <w:r>
        <w:rPr>
          <w:sz w:val="25"/>
          <w:szCs w:val="25"/>
        </w:rPr>
        <w:t xml:space="preserve"> </w:t>
      </w:r>
      <w:r w:rsidR="00885C80">
        <w:rPr>
          <w:sz w:val="25"/>
          <w:szCs w:val="25"/>
        </w:rPr>
        <w:t>opinion</w:t>
      </w:r>
      <w:r>
        <w:rPr>
          <w:sz w:val="25"/>
          <w:szCs w:val="25"/>
        </w:rPr>
        <w:t xml:space="preserve"> about Arrow’s </w:t>
      </w:r>
      <w:r w:rsidR="00885C80">
        <w:rPr>
          <w:sz w:val="25"/>
          <w:szCs w:val="25"/>
        </w:rPr>
        <w:t>service availability. Mr. Esch states that, “[</w:t>
      </w:r>
      <w:proofErr w:type="spellStart"/>
      <w:r w:rsidR="00885C80">
        <w:rPr>
          <w:sz w:val="25"/>
          <w:szCs w:val="25"/>
        </w:rPr>
        <w:t>i</w:t>
      </w:r>
      <w:proofErr w:type="spellEnd"/>
      <w:r w:rsidR="00885C80">
        <w:rPr>
          <w:sz w:val="25"/>
          <w:szCs w:val="25"/>
        </w:rPr>
        <w:t xml:space="preserve">]t is clear to me that Arrow still is underserving the region…my customers have told me so and </w:t>
      </w:r>
      <w:r w:rsidR="00885C80" w:rsidRPr="00AB51EF">
        <w:rPr>
          <w:i/>
          <w:sz w:val="25"/>
          <w:szCs w:val="25"/>
        </w:rPr>
        <w:t>Crowley’s shipper support statement</w:t>
      </w:r>
      <w:r w:rsidR="00885C80">
        <w:rPr>
          <w:sz w:val="25"/>
          <w:szCs w:val="25"/>
        </w:rPr>
        <w:t xml:space="preserve"> further backs this point up.”</w:t>
      </w:r>
      <w:r w:rsidR="00885C80">
        <w:rPr>
          <w:rStyle w:val="FootnoteReference"/>
          <w:sz w:val="25"/>
          <w:szCs w:val="25"/>
        </w:rPr>
        <w:footnoteReference w:id="19"/>
      </w:r>
      <w:r w:rsidR="00885C80">
        <w:rPr>
          <w:sz w:val="25"/>
          <w:szCs w:val="25"/>
        </w:rPr>
        <w:t xml:space="preserve"> As Mr. Harmon’s testimony directly responds to Mr. </w:t>
      </w:r>
      <w:proofErr w:type="spellStart"/>
      <w:r w:rsidR="00885C80">
        <w:rPr>
          <w:sz w:val="25"/>
          <w:szCs w:val="25"/>
        </w:rPr>
        <w:t>Esch’s</w:t>
      </w:r>
      <w:proofErr w:type="spellEnd"/>
      <w:r w:rsidR="00885C80">
        <w:rPr>
          <w:sz w:val="25"/>
          <w:szCs w:val="25"/>
        </w:rPr>
        <w:t xml:space="preserve"> reference to the shipper support statement, </w:t>
      </w:r>
      <w:proofErr w:type="spellStart"/>
      <w:r w:rsidR="00885C80">
        <w:rPr>
          <w:sz w:val="25"/>
          <w:szCs w:val="25"/>
        </w:rPr>
        <w:t>MEI’s</w:t>
      </w:r>
      <w:proofErr w:type="spellEnd"/>
      <w:r w:rsidR="00885C80">
        <w:rPr>
          <w:sz w:val="25"/>
          <w:szCs w:val="25"/>
        </w:rPr>
        <w:t xml:space="preserve"> Motion is denied. </w:t>
      </w:r>
    </w:p>
    <w:p w14:paraId="28706AE4" w14:textId="13744BF4" w:rsidR="00F84F7C" w:rsidRDefault="00AB51EF" w:rsidP="001C4432">
      <w:pPr>
        <w:numPr>
          <w:ilvl w:val="0"/>
          <w:numId w:val="1"/>
        </w:numPr>
        <w:spacing w:after="240" w:line="264" w:lineRule="auto"/>
        <w:rPr>
          <w:sz w:val="25"/>
          <w:szCs w:val="25"/>
        </w:rPr>
      </w:pPr>
      <w:r>
        <w:rPr>
          <w:sz w:val="25"/>
          <w:szCs w:val="25"/>
        </w:rPr>
        <w:t>At</w:t>
      </w:r>
      <w:r w:rsidR="00885C80">
        <w:rPr>
          <w:sz w:val="25"/>
          <w:szCs w:val="25"/>
        </w:rPr>
        <w:t xml:space="preserve"> page 6, lines 1 through 10 of his </w:t>
      </w:r>
      <w:proofErr w:type="spellStart"/>
      <w:r w:rsidR="00885C80">
        <w:rPr>
          <w:sz w:val="25"/>
          <w:szCs w:val="25"/>
        </w:rPr>
        <w:t>surrebuttal</w:t>
      </w:r>
      <w:proofErr w:type="spellEnd"/>
      <w:r w:rsidR="00885C80">
        <w:rPr>
          <w:sz w:val="25"/>
          <w:szCs w:val="25"/>
        </w:rPr>
        <w:t xml:space="preserve">, Mr. Harmon responds to Mr. </w:t>
      </w:r>
      <w:proofErr w:type="spellStart"/>
      <w:r w:rsidR="00885C80">
        <w:rPr>
          <w:sz w:val="25"/>
          <w:szCs w:val="25"/>
        </w:rPr>
        <w:t>Esch’s</w:t>
      </w:r>
      <w:proofErr w:type="spellEnd"/>
      <w:r w:rsidR="00885C80">
        <w:rPr>
          <w:sz w:val="25"/>
          <w:szCs w:val="25"/>
        </w:rPr>
        <w:t xml:space="preserve"> claim of “untapped potential in the market.” </w:t>
      </w:r>
      <w:r w:rsidR="00F84F7C">
        <w:rPr>
          <w:sz w:val="25"/>
          <w:szCs w:val="25"/>
        </w:rPr>
        <w:t xml:space="preserve">In fact, Mr. Esch directly quotes Crowley’s statement at Exhibit No. RSE-8 as showing “that one of the major shipping customers in the Puget Sound believes that there is currently an untapped market that </w:t>
      </w:r>
      <w:r w:rsidR="00F84F7C">
        <w:rPr>
          <w:sz w:val="25"/>
          <w:szCs w:val="25"/>
        </w:rPr>
        <w:lastRenderedPageBreak/>
        <w:t>another provider could take advantage of.”</w:t>
      </w:r>
      <w:r w:rsidR="00F84F7C">
        <w:rPr>
          <w:rStyle w:val="FootnoteReference"/>
          <w:sz w:val="25"/>
          <w:szCs w:val="25"/>
        </w:rPr>
        <w:footnoteReference w:id="20"/>
      </w:r>
      <w:r w:rsidR="00F84F7C">
        <w:rPr>
          <w:sz w:val="25"/>
          <w:szCs w:val="25"/>
        </w:rPr>
        <w:t xml:space="preserve"> This portion of Mr. Harmon’s testimony clearly relates to the limited subject matter on which the Commission authorized Arrow to </w:t>
      </w:r>
      <w:r>
        <w:rPr>
          <w:sz w:val="25"/>
          <w:szCs w:val="25"/>
        </w:rPr>
        <w:t>draft</w:t>
      </w:r>
      <w:r w:rsidR="00F84F7C">
        <w:rPr>
          <w:sz w:val="25"/>
          <w:szCs w:val="25"/>
        </w:rPr>
        <w:t xml:space="preserve"> </w:t>
      </w:r>
      <w:proofErr w:type="spellStart"/>
      <w:r w:rsidR="00F84F7C">
        <w:rPr>
          <w:sz w:val="25"/>
          <w:szCs w:val="25"/>
        </w:rPr>
        <w:t>surrebuttal</w:t>
      </w:r>
      <w:proofErr w:type="spellEnd"/>
      <w:r w:rsidR="00F84F7C">
        <w:rPr>
          <w:sz w:val="25"/>
          <w:szCs w:val="25"/>
        </w:rPr>
        <w:t xml:space="preserve"> testimony, and </w:t>
      </w:r>
      <w:proofErr w:type="spellStart"/>
      <w:r w:rsidR="00F84F7C">
        <w:rPr>
          <w:sz w:val="25"/>
          <w:szCs w:val="25"/>
        </w:rPr>
        <w:t>MEI’s</w:t>
      </w:r>
      <w:proofErr w:type="spellEnd"/>
      <w:r w:rsidR="00F84F7C">
        <w:rPr>
          <w:sz w:val="25"/>
          <w:szCs w:val="25"/>
        </w:rPr>
        <w:t xml:space="preserve"> Motion is denied.</w:t>
      </w:r>
    </w:p>
    <w:p w14:paraId="6D66E501" w14:textId="2B100E3C" w:rsidR="00561AC4" w:rsidRDefault="00F84F7C" w:rsidP="001C4432">
      <w:pPr>
        <w:numPr>
          <w:ilvl w:val="0"/>
          <w:numId w:val="1"/>
        </w:numPr>
        <w:spacing w:after="240" w:line="264" w:lineRule="auto"/>
        <w:rPr>
          <w:sz w:val="25"/>
          <w:szCs w:val="25"/>
        </w:rPr>
      </w:pPr>
      <w:r>
        <w:rPr>
          <w:sz w:val="25"/>
          <w:szCs w:val="25"/>
        </w:rPr>
        <w:t xml:space="preserve">Finally, we examine page 7, lines 1-25 of Mr. Harmon’s </w:t>
      </w:r>
      <w:proofErr w:type="spellStart"/>
      <w:r>
        <w:rPr>
          <w:sz w:val="25"/>
          <w:szCs w:val="25"/>
        </w:rPr>
        <w:t>surrebuttal</w:t>
      </w:r>
      <w:proofErr w:type="spellEnd"/>
      <w:r>
        <w:rPr>
          <w:sz w:val="25"/>
          <w:szCs w:val="25"/>
        </w:rPr>
        <w:t xml:space="preserve"> testimony</w:t>
      </w:r>
      <w:r w:rsidR="001108D9">
        <w:rPr>
          <w:sz w:val="25"/>
          <w:szCs w:val="25"/>
        </w:rPr>
        <w:t xml:space="preserve">. Mr. Harmon references Mr. </w:t>
      </w:r>
      <w:proofErr w:type="spellStart"/>
      <w:r w:rsidR="001108D9">
        <w:rPr>
          <w:sz w:val="25"/>
          <w:szCs w:val="25"/>
        </w:rPr>
        <w:t>Esch’s</w:t>
      </w:r>
      <w:proofErr w:type="spellEnd"/>
      <w:r w:rsidR="001108D9">
        <w:rPr>
          <w:sz w:val="25"/>
          <w:szCs w:val="25"/>
        </w:rPr>
        <w:t xml:space="preserve"> conclusion that Staff’s informal shipper survey demonstrated Arrow’s customers’ dissatisfaction. </w:t>
      </w:r>
      <w:r w:rsidR="0069052F">
        <w:rPr>
          <w:sz w:val="25"/>
          <w:szCs w:val="25"/>
        </w:rPr>
        <w:t>He</w:t>
      </w:r>
      <w:r w:rsidR="001108D9">
        <w:rPr>
          <w:sz w:val="25"/>
          <w:szCs w:val="25"/>
        </w:rPr>
        <w:t xml:space="preserve"> argues that the survey revealing one dissatisfied customer refers to Crowley’s now-public shipper support statement</w:t>
      </w:r>
      <w:r w:rsidR="0069052F">
        <w:rPr>
          <w:sz w:val="25"/>
          <w:szCs w:val="25"/>
        </w:rPr>
        <w:t xml:space="preserve"> in Exhibit No. RSE-8</w:t>
      </w:r>
      <w:r w:rsidR="001108D9">
        <w:rPr>
          <w:sz w:val="25"/>
          <w:szCs w:val="25"/>
        </w:rPr>
        <w:t>. However, neither Mr. Sevall nor Mr. Esch reference Crowley by name as the dissatisfied customer. Arrow’s assumption goes too far in this regard, and we cannot make that connection</w:t>
      </w:r>
      <w:r w:rsidR="00AB51EF">
        <w:rPr>
          <w:sz w:val="25"/>
          <w:szCs w:val="25"/>
        </w:rPr>
        <w:t xml:space="preserve"> with the information Arrow has provided</w:t>
      </w:r>
      <w:r w:rsidR="001108D9">
        <w:rPr>
          <w:sz w:val="25"/>
          <w:szCs w:val="25"/>
        </w:rPr>
        <w:t xml:space="preserve">. </w:t>
      </w:r>
      <w:r w:rsidR="0069052F">
        <w:rPr>
          <w:sz w:val="25"/>
          <w:szCs w:val="25"/>
        </w:rPr>
        <w:t xml:space="preserve">As a result, </w:t>
      </w:r>
      <w:proofErr w:type="spellStart"/>
      <w:r w:rsidR="0069052F">
        <w:rPr>
          <w:sz w:val="25"/>
          <w:szCs w:val="25"/>
        </w:rPr>
        <w:t>MEI’s</w:t>
      </w:r>
      <w:proofErr w:type="spellEnd"/>
      <w:r w:rsidR="0069052F">
        <w:rPr>
          <w:sz w:val="25"/>
          <w:szCs w:val="25"/>
        </w:rPr>
        <w:t xml:space="preserve"> Motion</w:t>
      </w:r>
      <w:r w:rsidR="00AB51EF">
        <w:rPr>
          <w:sz w:val="25"/>
          <w:szCs w:val="25"/>
        </w:rPr>
        <w:t xml:space="preserve"> is granted and page 7, lines 1 through </w:t>
      </w:r>
      <w:r w:rsidR="0069052F">
        <w:rPr>
          <w:sz w:val="25"/>
          <w:szCs w:val="25"/>
        </w:rPr>
        <w:t xml:space="preserve">25 of Mr. Harmon’s </w:t>
      </w:r>
      <w:proofErr w:type="spellStart"/>
      <w:r w:rsidR="0069052F">
        <w:rPr>
          <w:sz w:val="25"/>
          <w:szCs w:val="25"/>
        </w:rPr>
        <w:t>surrebuttal</w:t>
      </w:r>
      <w:proofErr w:type="spellEnd"/>
      <w:r w:rsidR="0069052F">
        <w:rPr>
          <w:sz w:val="25"/>
          <w:szCs w:val="25"/>
        </w:rPr>
        <w:t xml:space="preserve"> is</w:t>
      </w:r>
      <w:r w:rsidR="007D29AC">
        <w:rPr>
          <w:sz w:val="25"/>
          <w:szCs w:val="25"/>
        </w:rPr>
        <w:t xml:space="preserve"> </w:t>
      </w:r>
      <w:r w:rsidR="00AB51EF">
        <w:rPr>
          <w:sz w:val="25"/>
          <w:szCs w:val="25"/>
        </w:rPr>
        <w:t>stricken</w:t>
      </w:r>
      <w:r w:rsidR="007D29AC">
        <w:rPr>
          <w:sz w:val="25"/>
          <w:szCs w:val="25"/>
        </w:rPr>
        <w:t xml:space="preserve">. </w:t>
      </w:r>
    </w:p>
    <w:p w14:paraId="16465704" w14:textId="77777777" w:rsidR="00F27132" w:rsidRPr="00D706D0" w:rsidRDefault="009D0E94" w:rsidP="001C4432">
      <w:pPr>
        <w:pStyle w:val="Heading1"/>
      </w:pPr>
      <w:r w:rsidRPr="00D706D0">
        <w:t>ORDER</w:t>
      </w:r>
    </w:p>
    <w:p w14:paraId="572A4B0D" w14:textId="77777777" w:rsidR="007D29AC" w:rsidRDefault="00F27132" w:rsidP="001C4432">
      <w:pPr>
        <w:spacing w:after="240" w:line="264" w:lineRule="auto"/>
        <w:rPr>
          <w:bCs/>
          <w:sz w:val="25"/>
          <w:szCs w:val="25"/>
        </w:rPr>
      </w:pPr>
      <w:r w:rsidRPr="007D29AC">
        <w:rPr>
          <w:b/>
          <w:bCs/>
          <w:sz w:val="25"/>
          <w:szCs w:val="25"/>
        </w:rPr>
        <w:t>THE COMMISSION ORDERS</w:t>
      </w:r>
      <w:r w:rsidR="009D0E94" w:rsidRPr="007D29AC">
        <w:rPr>
          <w:b/>
          <w:bCs/>
          <w:sz w:val="25"/>
          <w:szCs w:val="25"/>
        </w:rPr>
        <w:t xml:space="preserve"> that</w:t>
      </w:r>
      <w:r w:rsidR="007D29AC">
        <w:rPr>
          <w:bCs/>
          <w:sz w:val="25"/>
          <w:szCs w:val="25"/>
        </w:rPr>
        <w:t>:</w:t>
      </w:r>
    </w:p>
    <w:p w14:paraId="41B1E6C2" w14:textId="6E9F425A" w:rsidR="007D29AC" w:rsidRPr="001C4432" w:rsidRDefault="007D29AC" w:rsidP="001C4432">
      <w:pPr>
        <w:numPr>
          <w:ilvl w:val="0"/>
          <w:numId w:val="1"/>
        </w:numPr>
        <w:spacing w:after="240" w:line="264" w:lineRule="auto"/>
        <w:ind w:left="720" w:hanging="1440"/>
        <w:rPr>
          <w:bCs/>
          <w:sz w:val="25"/>
          <w:szCs w:val="25"/>
        </w:rPr>
      </w:pPr>
      <w:r w:rsidRPr="001C4432">
        <w:rPr>
          <w:bCs/>
          <w:sz w:val="25"/>
          <w:szCs w:val="25"/>
        </w:rPr>
        <w:t>(1)</w:t>
      </w:r>
      <w:r w:rsidRPr="001C4432">
        <w:rPr>
          <w:bCs/>
          <w:sz w:val="25"/>
          <w:szCs w:val="25"/>
        </w:rPr>
        <w:tab/>
        <w:t>MEI Northwest, LLC’s</w:t>
      </w:r>
      <w:r w:rsidR="009D0E94" w:rsidRPr="001C4432">
        <w:rPr>
          <w:sz w:val="25"/>
          <w:szCs w:val="25"/>
        </w:rPr>
        <w:t xml:space="preserve"> </w:t>
      </w:r>
      <w:r w:rsidRPr="001C4432">
        <w:rPr>
          <w:sz w:val="25"/>
          <w:szCs w:val="25"/>
        </w:rPr>
        <w:t>(</w:t>
      </w:r>
      <w:proofErr w:type="spellStart"/>
      <w:r w:rsidRPr="001C4432">
        <w:rPr>
          <w:sz w:val="25"/>
          <w:szCs w:val="25"/>
        </w:rPr>
        <w:t>MEI’s</w:t>
      </w:r>
      <w:proofErr w:type="spellEnd"/>
      <w:r w:rsidRPr="001C4432">
        <w:rPr>
          <w:sz w:val="25"/>
          <w:szCs w:val="25"/>
        </w:rPr>
        <w:t xml:space="preserve">) </w:t>
      </w:r>
      <w:r w:rsidR="009D0E94" w:rsidRPr="001C4432">
        <w:rPr>
          <w:bCs/>
          <w:sz w:val="25"/>
          <w:szCs w:val="25"/>
        </w:rPr>
        <w:t xml:space="preserve">Motion </w:t>
      </w:r>
      <w:r w:rsidR="00D20CBB" w:rsidRPr="001C4432">
        <w:rPr>
          <w:bCs/>
          <w:sz w:val="25"/>
          <w:szCs w:val="25"/>
        </w:rPr>
        <w:t xml:space="preserve">to Strike </w:t>
      </w:r>
      <w:r w:rsidRPr="001C4432">
        <w:rPr>
          <w:sz w:val="25"/>
          <w:szCs w:val="25"/>
        </w:rPr>
        <w:t xml:space="preserve">Portions of the </w:t>
      </w:r>
      <w:proofErr w:type="spellStart"/>
      <w:r w:rsidRPr="001C4432">
        <w:rPr>
          <w:sz w:val="25"/>
          <w:szCs w:val="25"/>
        </w:rPr>
        <w:t>Prefiled</w:t>
      </w:r>
      <w:proofErr w:type="spellEnd"/>
      <w:r w:rsidRPr="001C4432">
        <w:rPr>
          <w:sz w:val="25"/>
          <w:szCs w:val="25"/>
        </w:rPr>
        <w:t xml:space="preserve"> </w:t>
      </w:r>
      <w:proofErr w:type="spellStart"/>
      <w:r w:rsidRPr="001C4432">
        <w:rPr>
          <w:sz w:val="25"/>
          <w:szCs w:val="25"/>
        </w:rPr>
        <w:t>Surrebuttal</w:t>
      </w:r>
      <w:proofErr w:type="spellEnd"/>
      <w:r w:rsidRPr="001C4432">
        <w:rPr>
          <w:sz w:val="25"/>
          <w:szCs w:val="25"/>
        </w:rPr>
        <w:t xml:space="preserve"> Testimony of Jack Harmon (Motion) </w:t>
      </w:r>
      <w:r w:rsidR="00D20CBB" w:rsidRPr="001C4432">
        <w:rPr>
          <w:bCs/>
          <w:sz w:val="25"/>
          <w:szCs w:val="25"/>
        </w:rPr>
        <w:t>is DENIED</w:t>
      </w:r>
      <w:r w:rsidRPr="001C4432">
        <w:rPr>
          <w:bCs/>
          <w:sz w:val="25"/>
          <w:szCs w:val="25"/>
        </w:rPr>
        <w:t xml:space="preserve"> as to page 5, lines 5 through 14 and page 6, lines 1 through 10. </w:t>
      </w:r>
    </w:p>
    <w:p w14:paraId="40CA58B4" w14:textId="236BC292" w:rsidR="00F27132" w:rsidRPr="001C4432" w:rsidRDefault="007D29AC" w:rsidP="001C4432">
      <w:pPr>
        <w:numPr>
          <w:ilvl w:val="0"/>
          <w:numId w:val="1"/>
        </w:numPr>
        <w:spacing w:after="240" w:line="264" w:lineRule="auto"/>
        <w:ind w:left="720" w:hanging="1440"/>
        <w:rPr>
          <w:bCs/>
          <w:sz w:val="25"/>
          <w:szCs w:val="25"/>
        </w:rPr>
      </w:pPr>
      <w:r w:rsidRPr="001C4432">
        <w:rPr>
          <w:bCs/>
          <w:sz w:val="25"/>
          <w:szCs w:val="25"/>
        </w:rPr>
        <w:t>(2)</w:t>
      </w:r>
      <w:r w:rsidRPr="001C4432">
        <w:rPr>
          <w:bCs/>
          <w:sz w:val="25"/>
          <w:szCs w:val="25"/>
        </w:rPr>
        <w:tab/>
      </w:r>
      <w:proofErr w:type="spellStart"/>
      <w:r w:rsidRPr="001C4432">
        <w:rPr>
          <w:bCs/>
          <w:sz w:val="25"/>
          <w:szCs w:val="25"/>
        </w:rPr>
        <w:t>MEI’s</w:t>
      </w:r>
      <w:proofErr w:type="spellEnd"/>
      <w:r w:rsidRPr="001C4432">
        <w:rPr>
          <w:bCs/>
          <w:sz w:val="25"/>
          <w:szCs w:val="25"/>
        </w:rPr>
        <w:t xml:space="preserve"> Motion is GRANTED as to page 7, lines 1 through 25.</w:t>
      </w:r>
      <w:r w:rsidR="00AB51EF" w:rsidRPr="001C4432">
        <w:rPr>
          <w:bCs/>
          <w:sz w:val="25"/>
          <w:szCs w:val="25"/>
        </w:rPr>
        <w:t xml:space="preserve"> This </w:t>
      </w:r>
      <w:proofErr w:type="spellStart"/>
      <w:r w:rsidR="00AB51EF" w:rsidRPr="001C4432">
        <w:rPr>
          <w:bCs/>
          <w:sz w:val="25"/>
          <w:szCs w:val="25"/>
        </w:rPr>
        <w:t>testimonyis</w:t>
      </w:r>
      <w:proofErr w:type="spellEnd"/>
      <w:r w:rsidR="00AB51EF" w:rsidRPr="001C4432">
        <w:rPr>
          <w:bCs/>
          <w:sz w:val="25"/>
          <w:szCs w:val="25"/>
        </w:rPr>
        <w:t xml:space="preserve"> stricken.</w:t>
      </w:r>
    </w:p>
    <w:p w14:paraId="4E262C0B" w14:textId="42F327FF" w:rsidR="00F27132" w:rsidRPr="001246D3" w:rsidRDefault="00F27132" w:rsidP="001C4432">
      <w:pPr>
        <w:spacing w:after="240"/>
        <w:rPr>
          <w:b/>
          <w:sz w:val="25"/>
          <w:szCs w:val="25"/>
        </w:rPr>
      </w:pPr>
      <w:r w:rsidRPr="001246D3">
        <w:rPr>
          <w:sz w:val="25"/>
          <w:szCs w:val="25"/>
        </w:rPr>
        <w:t xml:space="preserve">DATED at Olympia, Washington, and effective </w:t>
      </w:r>
      <w:r w:rsidR="007D29AC">
        <w:rPr>
          <w:sz w:val="25"/>
          <w:szCs w:val="25"/>
        </w:rPr>
        <w:fldChar w:fldCharType="begin"/>
      </w:r>
      <w:r w:rsidR="007D29AC">
        <w:rPr>
          <w:sz w:val="25"/>
          <w:szCs w:val="25"/>
        </w:rPr>
        <w:instrText xml:space="preserve"> DATE \@ "MMMM d, yyyy" </w:instrText>
      </w:r>
      <w:r w:rsidR="007D29AC">
        <w:rPr>
          <w:sz w:val="25"/>
          <w:szCs w:val="25"/>
        </w:rPr>
        <w:fldChar w:fldCharType="separate"/>
      </w:r>
      <w:r w:rsidR="001C4432">
        <w:rPr>
          <w:noProof/>
          <w:sz w:val="25"/>
          <w:szCs w:val="25"/>
        </w:rPr>
        <w:t>February 10, 2017</w:t>
      </w:r>
      <w:r w:rsidR="007D29AC">
        <w:rPr>
          <w:sz w:val="25"/>
          <w:szCs w:val="25"/>
        </w:rPr>
        <w:fldChar w:fldCharType="end"/>
      </w:r>
      <w:r w:rsidRPr="001246D3">
        <w:rPr>
          <w:sz w:val="25"/>
          <w:szCs w:val="25"/>
        </w:rPr>
        <w:t>.</w:t>
      </w:r>
    </w:p>
    <w:p w14:paraId="72E547C0" w14:textId="77777777" w:rsidR="00F27132" w:rsidRPr="001246D3" w:rsidRDefault="00F27132" w:rsidP="001C4432">
      <w:pPr>
        <w:spacing w:after="840"/>
        <w:jc w:val="center"/>
        <w:rPr>
          <w:sz w:val="25"/>
          <w:szCs w:val="25"/>
        </w:rPr>
      </w:pPr>
      <w:r w:rsidRPr="001246D3">
        <w:rPr>
          <w:sz w:val="25"/>
          <w:szCs w:val="25"/>
        </w:rPr>
        <w:t>WASHINGTON UTILITIES AND TRANSPORTATION COMMISSION</w:t>
      </w:r>
    </w:p>
    <w:p w14:paraId="20AEA290" w14:textId="28E1FE39" w:rsidR="008A0E7F" w:rsidRPr="001246D3" w:rsidRDefault="007D29AC" w:rsidP="001C4432">
      <w:pPr>
        <w:spacing w:line="264" w:lineRule="auto"/>
        <w:ind w:left="4320"/>
        <w:rPr>
          <w:sz w:val="25"/>
          <w:szCs w:val="25"/>
        </w:rPr>
      </w:pPr>
      <w:r>
        <w:rPr>
          <w:sz w:val="25"/>
          <w:szCs w:val="25"/>
        </w:rPr>
        <w:t>MARGUERITE E. FRIEDLANDER</w:t>
      </w:r>
      <w:r w:rsidR="001C4432">
        <w:rPr>
          <w:sz w:val="25"/>
          <w:szCs w:val="25"/>
        </w:rPr>
        <w:br/>
      </w:r>
      <w:r>
        <w:rPr>
          <w:sz w:val="25"/>
          <w:szCs w:val="25"/>
        </w:rPr>
        <w:t>Administrative Law</w:t>
      </w:r>
      <w:r w:rsidR="009D0E94">
        <w:rPr>
          <w:sz w:val="25"/>
          <w:szCs w:val="25"/>
        </w:rPr>
        <w:t xml:space="preserve"> Judge</w:t>
      </w:r>
    </w:p>
    <w:sectPr w:rsidR="008A0E7F" w:rsidRPr="001246D3" w:rsidSect="00E244D4">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F7EDF" w14:textId="77777777" w:rsidR="008B5B79" w:rsidRDefault="008B5B79">
      <w:r>
        <w:separator/>
      </w:r>
    </w:p>
  </w:endnote>
  <w:endnote w:type="continuationSeparator" w:id="0">
    <w:p w14:paraId="78FE5ADF" w14:textId="77777777" w:rsidR="008B5B79" w:rsidRDefault="008B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EEEE9" w14:textId="77777777" w:rsidR="001C4432" w:rsidRDefault="001C44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76954" w14:textId="77777777" w:rsidR="001C4432" w:rsidRDefault="001C44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E344F" w14:textId="77777777" w:rsidR="001C4432" w:rsidRDefault="001C44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7D25D" w14:textId="77777777" w:rsidR="008B5B79" w:rsidRDefault="008B5B79">
      <w:r>
        <w:separator/>
      </w:r>
    </w:p>
  </w:footnote>
  <w:footnote w:type="continuationSeparator" w:id="0">
    <w:p w14:paraId="5CD89AE3" w14:textId="77777777" w:rsidR="008B5B79" w:rsidRDefault="008B5B79">
      <w:r>
        <w:continuationSeparator/>
      </w:r>
    </w:p>
  </w:footnote>
  <w:footnote w:id="1">
    <w:p w14:paraId="027E1797" w14:textId="24796F7A" w:rsidR="00E02665" w:rsidRDefault="00E02665" w:rsidP="00BF1B6F">
      <w:pPr>
        <w:pStyle w:val="FootnoteText"/>
        <w:spacing w:after="120"/>
      </w:pPr>
      <w:r w:rsidRPr="00E02665">
        <w:rPr>
          <w:rStyle w:val="FootnoteReference"/>
          <w:sz w:val="22"/>
        </w:rPr>
        <w:footnoteRef/>
      </w:r>
      <w:r w:rsidRPr="00E02665">
        <w:rPr>
          <w:sz w:val="22"/>
        </w:rPr>
        <w:t xml:space="preserve"> </w:t>
      </w:r>
      <w:proofErr w:type="spellStart"/>
      <w:r w:rsidR="00CD4E2C">
        <w:rPr>
          <w:sz w:val="22"/>
        </w:rPr>
        <w:t>MEI’s</w:t>
      </w:r>
      <w:proofErr w:type="spellEnd"/>
      <w:r w:rsidR="00CD4E2C">
        <w:rPr>
          <w:sz w:val="22"/>
        </w:rPr>
        <w:t xml:space="preserve"> </w:t>
      </w:r>
      <w:r>
        <w:rPr>
          <w:sz w:val="22"/>
        </w:rPr>
        <w:t>Motion, ¶ 3.</w:t>
      </w:r>
    </w:p>
  </w:footnote>
  <w:footnote w:id="2">
    <w:p w14:paraId="62244254" w14:textId="658636B1" w:rsidR="008A460F" w:rsidRPr="008A460F" w:rsidRDefault="008A460F" w:rsidP="00BF1B6F">
      <w:pPr>
        <w:pStyle w:val="FootnoteText"/>
        <w:spacing w:after="120"/>
      </w:pPr>
      <w:r w:rsidRPr="008A460F">
        <w:rPr>
          <w:rStyle w:val="FootnoteReference"/>
          <w:sz w:val="22"/>
        </w:rPr>
        <w:footnoteRef/>
      </w:r>
      <w:r w:rsidRPr="008A460F">
        <w:rPr>
          <w:sz w:val="22"/>
        </w:rPr>
        <w:t xml:space="preserve"> </w:t>
      </w:r>
      <w:r>
        <w:rPr>
          <w:i/>
          <w:sz w:val="22"/>
        </w:rPr>
        <w:t>Id.</w:t>
      </w:r>
      <w:r>
        <w:rPr>
          <w:sz w:val="22"/>
        </w:rPr>
        <w:t>, ¶ 11.</w:t>
      </w:r>
    </w:p>
  </w:footnote>
  <w:footnote w:id="3">
    <w:p w14:paraId="4DA95155" w14:textId="77EEF196" w:rsidR="008A460F" w:rsidRPr="00E02665" w:rsidRDefault="008A460F" w:rsidP="00BF1B6F">
      <w:pPr>
        <w:pStyle w:val="FootnoteText"/>
        <w:spacing w:after="120"/>
      </w:pPr>
      <w:r w:rsidRPr="00E02665">
        <w:rPr>
          <w:rStyle w:val="FootnoteReference"/>
          <w:sz w:val="22"/>
        </w:rPr>
        <w:footnoteRef/>
      </w:r>
      <w:r w:rsidRPr="00E02665">
        <w:rPr>
          <w:sz w:val="22"/>
        </w:rPr>
        <w:t xml:space="preserve"> </w:t>
      </w:r>
      <w:r>
        <w:rPr>
          <w:i/>
          <w:sz w:val="22"/>
        </w:rPr>
        <w:t>Id.</w:t>
      </w:r>
      <w:r>
        <w:rPr>
          <w:sz w:val="22"/>
        </w:rPr>
        <w:t>, ¶ 11.</w:t>
      </w:r>
      <w:r w:rsidR="00903D4F">
        <w:rPr>
          <w:sz w:val="22"/>
        </w:rPr>
        <w:t xml:space="preserve"> </w:t>
      </w:r>
      <w:r w:rsidR="00903D4F" w:rsidRPr="00903D4F">
        <w:rPr>
          <w:sz w:val="22"/>
          <w:szCs w:val="25"/>
        </w:rPr>
        <w:t>This exhibit, according to MEI, “is a succinct, 3-paragraph statement authored by Marc Aikin of Crowley Petroleum Services</w:t>
      </w:r>
      <w:r w:rsidR="00903D4F">
        <w:rPr>
          <w:sz w:val="22"/>
          <w:szCs w:val="25"/>
        </w:rPr>
        <w:t>.</w:t>
      </w:r>
      <w:r w:rsidR="00903D4F" w:rsidRPr="00903D4F">
        <w:rPr>
          <w:sz w:val="22"/>
          <w:szCs w:val="25"/>
        </w:rPr>
        <w:t>”</w:t>
      </w:r>
      <w:r w:rsidR="00903D4F">
        <w:rPr>
          <w:sz w:val="22"/>
          <w:szCs w:val="25"/>
        </w:rPr>
        <w:t xml:space="preserve"> </w:t>
      </w:r>
      <w:r w:rsidR="00903D4F">
        <w:rPr>
          <w:i/>
          <w:sz w:val="22"/>
        </w:rPr>
        <w:t>Id.</w:t>
      </w:r>
      <w:r w:rsidR="00903D4F">
        <w:rPr>
          <w:sz w:val="22"/>
        </w:rPr>
        <w:t>, ¶ 17.</w:t>
      </w:r>
    </w:p>
  </w:footnote>
  <w:footnote w:id="4">
    <w:p w14:paraId="597782AD" w14:textId="60D76B0B" w:rsidR="008A460F" w:rsidRPr="008A460F" w:rsidRDefault="008A460F" w:rsidP="00BF1B6F">
      <w:pPr>
        <w:pStyle w:val="FootnoteText"/>
        <w:spacing w:after="120"/>
        <w:rPr>
          <w:i/>
        </w:rPr>
      </w:pPr>
      <w:r w:rsidRPr="008A460F">
        <w:rPr>
          <w:rStyle w:val="FootnoteReference"/>
          <w:sz w:val="22"/>
        </w:rPr>
        <w:footnoteRef/>
      </w:r>
      <w:r w:rsidRPr="008A460F">
        <w:rPr>
          <w:sz w:val="22"/>
        </w:rPr>
        <w:t xml:space="preserve"> </w:t>
      </w:r>
      <w:r>
        <w:rPr>
          <w:i/>
          <w:sz w:val="22"/>
        </w:rPr>
        <w:t>Id.</w:t>
      </w:r>
    </w:p>
  </w:footnote>
  <w:footnote w:id="5">
    <w:p w14:paraId="70357DA4" w14:textId="29A3E06B" w:rsidR="006F4960" w:rsidRPr="006F4960" w:rsidRDefault="006F4960" w:rsidP="00BF1B6F">
      <w:pPr>
        <w:pStyle w:val="FootnoteText"/>
        <w:spacing w:after="120"/>
      </w:pPr>
      <w:r w:rsidRPr="006F4960">
        <w:rPr>
          <w:rStyle w:val="FootnoteReference"/>
          <w:sz w:val="22"/>
        </w:rPr>
        <w:footnoteRef/>
      </w:r>
      <w:r w:rsidRPr="006F4960">
        <w:rPr>
          <w:sz w:val="22"/>
        </w:rPr>
        <w:t xml:space="preserve"> </w:t>
      </w:r>
      <w:r>
        <w:rPr>
          <w:i/>
          <w:sz w:val="22"/>
        </w:rPr>
        <w:t>Id.</w:t>
      </w:r>
      <w:r>
        <w:rPr>
          <w:sz w:val="22"/>
        </w:rPr>
        <w:t>, ¶ 18.</w:t>
      </w:r>
    </w:p>
  </w:footnote>
  <w:footnote w:id="6">
    <w:p w14:paraId="2855AC59" w14:textId="77777777" w:rsidR="00982049" w:rsidRPr="006F4960" w:rsidRDefault="00982049" w:rsidP="00982049">
      <w:pPr>
        <w:pStyle w:val="FootnoteText"/>
        <w:spacing w:after="120"/>
      </w:pPr>
      <w:r w:rsidRPr="006F4960">
        <w:rPr>
          <w:rStyle w:val="FootnoteReference"/>
          <w:sz w:val="22"/>
        </w:rPr>
        <w:footnoteRef/>
      </w:r>
      <w:r w:rsidRPr="006F4960">
        <w:rPr>
          <w:sz w:val="22"/>
        </w:rPr>
        <w:t xml:space="preserve"> </w:t>
      </w:r>
      <w:r>
        <w:rPr>
          <w:i/>
          <w:sz w:val="22"/>
        </w:rPr>
        <w:t>Id.</w:t>
      </w:r>
      <w:r>
        <w:rPr>
          <w:sz w:val="22"/>
        </w:rPr>
        <w:t>, ¶ 20.</w:t>
      </w:r>
    </w:p>
  </w:footnote>
  <w:footnote w:id="7">
    <w:p w14:paraId="1B1904A4" w14:textId="7AAC58BA" w:rsidR="001E75B3" w:rsidRDefault="001E75B3" w:rsidP="00BF1B6F">
      <w:pPr>
        <w:pStyle w:val="FootnoteText"/>
        <w:spacing w:after="120"/>
      </w:pPr>
      <w:r w:rsidRPr="001E75B3">
        <w:rPr>
          <w:rStyle w:val="FootnoteReference"/>
          <w:sz w:val="22"/>
        </w:rPr>
        <w:footnoteRef/>
      </w:r>
      <w:r w:rsidRPr="001E75B3">
        <w:rPr>
          <w:sz w:val="22"/>
        </w:rPr>
        <w:t xml:space="preserve"> </w:t>
      </w:r>
      <w:r>
        <w:rPr>
          <w:sz w:val="22"/>
        </w:rPr>
        <w:t>Arrow’s Response, ¶ 4 (transcript line numbers omitted).</w:t>
      </w:r>
    </w:p>
  </w:footnote>
  <w:footnote w:id="8">
    <w:p w14:paraId="49D948A0" w14:textId="6BD35762" w:rsidR="001E75B3" w:rsidRPr="001E75B3" w:rsidRDefault="001E75B3" w:rsidP="00BF1B6F">
      <w:pPr>
        <w:pStyle w:val="FootnoteText"/>
        <w:spacing w:after="120"/>
      </w:pPr>
      <w:r w:rsidRPr="001E75B3">
        <w:rPr>
          <w:rStyle w:val="FootnoteReference"/>
          <w:sz w:val="22"/>
        </w:rPr>
        <w:footnoteRef/>
      </w:r>
      <w:r w:rsidRPr="001E75B3">
        <w:rPr>
          <w:sz w:val="22"/>
        </w:rPr>
        <w:t xml:space="preserve"> </w:t>
      </w:r>
      <w:r>
        <w:rPr>
          <w:i/>
          <w:sz w:val="22"/>
        </w:rPr>
        <w:t>Id.</w:t>
      </w:r>
      <w:r>
        <w:rPr>
          <w:sz w:val="22"/>
        </w:rPr>
        <w:t>, ¶ 6.</w:t>
      </w:r>
    </w:p>
  </w:footnote>
  <w:footnote w:id="9">
    <w:p w14:paraId="15A64A5C" w14:textId="727FB374" w:rsidR="00EF14CE" w:rsidRPr="00EA33F6" w:rsidRDefault="00EF14CE" w:rsidP="00EF14CE">
      <w:pPr>
        <w:pStyle w:val="FootnoteText"/>
        <w:spacing w:after="120"/>
      </w:pPr>
      <w:r w:rsidRPr="00EA33F6">
        <w:rPr>
          <w:rStyle w:val="FootnoteReference"/>
          <w:sz w:val="22"/>
        </w:rPr>
        <w:footnoteRef/>
      </w:r>
      <w:r w:rsidRPr="00EA33F6">
        <w:rPr>
          <w:sz w:val="22"/>
        </w:rPr>
        <w:t xml:space="preserve"> </w:t>
      </w:r>
      <w:r>
        <w:rPr>
          <w:i/>
          <w:sz w:val="22"/>
        </w:rPr>
        <w:t>Id.</w:t>
      </w:r>
      <w:r>
        <w:rPr>
          <w:sz w:val="22"/>
        </w:rPr>
        <w:t>, ¶ 8 (italics and bolding in original).</w:t>
      </w:r>
    </w:p>
  </w:footnote>
  <w:footnote w:id="10">
    <w:p w14:paraId="6F63C1CF" w14:textId="02D337E2" w:rsidR="00EA33F6" w:rsidRPr="00EA33F6" w:rsidRDefault="00EA33F6" w:rsidP="00EF14CE">
      <w:pPr>
        <w:pStyle w:val="FootnoteText"/>
        <w:spacing w:after="120"/>
        <w:rPr>
          <w:i/>
        </w:rPr>
      </w:pPr>
      <w:r w:rsidRPr="00EA33F6">
        <w:rPr>
          <w:rStyle w:val="FootnoteReference"/>
          <w:sz w:val="22"/>
        </w:rPr>
        <w:footnoteRef/>
      </w:r>
      <w:r w:rsidRPr="00EA33F6">
        <w:rPr>
          <w:sz w:val="22"/>
        </w:rPr>
        <w:t xml:space="preserve"> </w:t>
      </w:r>
      <w:r>
        <w:rPr>
          <w:i/>
          <w:sz w:val="22"/>
        </w:rPr>
        <w:t>Id.</w:t>
      </w:r>
    </w:p>
  </w:footnote>
  <w:footnote w:id="11">
    <w:p w14:paraId="38B9B9EE" w14:textId="1B9FDFE0" w:rsidR="00EF14CE" w:rsidRPr="00EF14CE" w:rsidRDefault="00EF14CE" w:rsidP="00EF14CE">
      <w:pPr>
        <w:pStyle w:val="FootnoteText"/>
        <w:spacing w:after="120"/>
        <w:rPr>
          <w:i/>
        </w:rPr>
      </w:pPr>
      <w:r w:rsidRPr="00EF14CE">
        <w:rPr>
          <w:rStyle w:val="FootnoteReference"/>
          <w:sz w:val="22"/>
        </w:rPr>
        <w:footnoteRef/>
      </w:r>
      <w:r w:rsidRPr="00EF14CE">
        <w:rPr>
          <w:sz w:val="22"/>
        </w:rPr>
        <w:t xml:space="preserve"> </w:t>
      </w:r>
      <w:r>
        <w:rPr>
          <w:i/>
          <w:sz w:val="22"/>
        </w:rPr>
        <w:t>Id.</w:t>
      </w:r>
    </w:p>
  </w:footnote>
  <w:footnote w:id="12">
    <w:p w14:paraId="01B876B0" w14:textId="4EA7A1FD" w:rsidR="00900D77" w:rsidRDefault="00900D77" w:rsidP="0047042C">
      <w:pPr>
        <w:pStyle w:val="FootnoteText"/>
        <w:spacing w:after="120"/>
      </w:pPr>
      <w:r w:rsidRPr="001323E4">
        <w:rPr>
          <w:rStyle w:val="FootnoteReference"/>
          <w:sz w:val="22"/>
        </w:rPr>
        <w:footnoteRef/>
      </w:r>
      <w:r w:rsidRPr="001323E4">
        <w:rPr>
          <w:sz w:val="22"/>
        </w:rPr>
        <w:t xml:space="preserve"> </w:t>
      </w:r>
      <w:r w:rsidR="001323E4">
        <w:rPr>
          <w:sz w:val="22"/>
        </w:rPr>
        <w:t xml:space="preserve">Harmon, </w:t>
      </w:r>
      <w:proofErr w:type="spellStart"/>
      <w:r w:rsidR="001323E4">
        <w:rPr>
          <w:sz w:val="22"/>
        </w:rPr>
        <w:t>Exh</w:t>
      </w:r>
      <w:proofErr w:type="spellEnd"/>
      <w:r w:rsidR="001323E4">
        <w:rPr>
          <w:sz w:val="22"/>
        </w:rPr>
        <w:t>. No. JLH-10T at 6:1-10 (bolding in original).</w:t>
      </w:r>
    </w:p>
  </w:footnote>
  <w:footnote w:id="13">
    <w:p w14:paraId="61C1C6BB" w14:textId="5779C4F0" w:rsidR="001323E4" w:rsidRDefault="001323E4" w:rsidP="0047042C">
      <w:pPr>
        <w:pStyle w:val="FootnoteText"/>
        <w:spacing w:after="120"/>
      </w:pPr>
      <w:r w:rsidRPr="001323E4">
        <w:rPr>
          <w:rStyle w:val="FootnoteReference"/>
          <w:sz w:val="22"/>
        </w:rPr>
        <w:footnoteRef/>
      </w:r>
      <w:r w:rsidRPr="001323E4">
        <w:rPr>
          <w:sz w:val="22"/>
        </w:rPr>
        <w:t xml:space="preserve"> </w:t>
      </w:r>
      <w:r>
        <w:rPr>
          <w:sz w:val="22"/>
        </w:rPr>
        <w:t xml:space="preserve">Arrow’s Response, ¶ 9 (quoting Esch, </w:t>
      </w:r>
      <w:proofErr w:type="spellStart"/>
      <w:r>
        <w:rPr>
          <w:sz w:val="22"/>
        </w:rPr>
        <w:t>Exh</w:t>
      </w:r>
      <w:proofErr w:type="spellEnd"/>
      <w:r>
        <w:rPr>
          <w:sz w:val="22"/>
        </w:rPr>
        <w:t>. No. RSE-7T at 15:3-16:4).</w:t>
      </w:r>
    </w:p>
  </w:footnote>
  <w:footnote w:id="14">
    <w:p w14:paraId="163B2B30" w14:textId="46E1E66F" w:rsidR="001323E4" w:rsidRPr="001323E4" w:rsidRDefault="001323E4" w:rsidP="007D29AC">
      <w:pPr>
        <w:pStyle w:val="FootnoteText"/>
        <w:spacing w:after="120"/>
        <w:rPr>
          <w:i/>
        </w:rPr>
      </w:pPr>
      <w:r w:rsidRPr="001323E4">
        <w:rPr>
          <w:rStyle w:val="FootnoteReference"/>
          <w:sz w:val="22"/>
        </w:rPr>
        <w:footnoteRef/>
      </w:r>
      <w:r w:rsidRPr="001323E4">
        <w:rPr>
          <w:sz w:val="22"/>
        </w:rPr>
        <w:t xml:space="preserve"> </w:t>
      </w:r>
      <w:r>
        <w:rPr>
          <w:i/>
          <w:sz w:val="22"/>
        </w:rPr>
        <w:t>Id.</w:t>
      </w:r>
    </w:p>
  </w:footnote>
  <w:footnote w:id="15">
    <w:p w14:paraId="0CC39823" w14:textId="126594DD" w:rsidR="0047042C" w:rsidRPr="00D9684E" w:rsidRDefault="0047042C" w:rsidP="007D29AC">
      <w:pPr>
        <w:pStyle w:val="FootnoteText"/>
        <w:spacing w:after="120"/>
      </w:pPr>
      <w:r w:rsidRPr="0047042C">
        <w:rPr>
          <w:rStyle w:val="FootnoteReference"/>
          <w:sz w:val="22"/>
        </w:rPr>
        <w:footnoteRef/>
      </w:r>
      <w:r w:rsidRPr="0047042C">
        <w:rPr>
          <w:sz w:val="22"/>
        </w:rPr>
        <w:t xml:space="preserve"> </w:t>
      </w:r>
      <w:r w:rsidR="00D9684E">
        <w:rPr>
          <w:sz w:val="22"/>
        </w:rPr>
        <w:t xml:space="preserve">Harmon, </w:t>
      </w:r>
      <w:proofErr w:type="spellStart"/>
      <w:r w:rsidR="00D9684E">
        <w:rPr>
          <w:sz w:val="22"/>
        </w:rPr>
        <w:t>Exh</w:t>
      </w:r>
      <w:proofErr w:type="spellEnd"/>
      <w:r w:rsidR="00D9684E">
        <w:rPr>
          <w:sz w:val="22"/>
        </w:rPr>
        <w:t>. No. JLH-10T at 7:1-25</w:t>
      </w:r>
      <w:r w:rsidR="00F84F7C">
        <w:rPr>
          <w:sz w:val="22"/>
        </w:rPr>
        <w:t xml:space="preserve"> (bolding in original)</w:t>
      </w:r>
      <w:r w:rsidR="00D9684E">
        <w:rPr>
          <w:sz w:val="22"/>
        </w:rPr>
        <w:t>.</w:t>
      </w:r>
    </w:p>
  </w:footnote>
  <w:footnote w:id="16">
    <w:p w14:paraId="2B558F43" w14:textId="2DC8FFE8" w:rsidR="001A3967" w:rsidRDefault="001A3967" w:rsidP="007D29AC">
      <w:pPr>
        <w:pStyle w:val="FootnoteText"/>
        <w:spacing w:after="120"/>
      </w:pPr>
      <w:r w:rsidRPr="001A3967">
        <w:rPr>
          <w:rStyle w:val="FootnoteReference"/>
          <w:sz w:val="22"/>
        </w:rPr>
        <w:footnoteRef/>
      </w:r>
      <w:r w:rsidRPr="001A3967">
        <w:rPr>
          <w:sz w:val="22"/>
        </w:rPr>
        <w:t xml:space="preserve"> </w:t>
      </w:r>
      <w:r>
        <w:rPr>
          <w:sz w:val="22"/>
        </w:rPr>
        <w:t xml:space="preserve">Esch, </w:t>
      </w:r>
      <w:proofErr w:type="spellStart"/>
      <w:r>
        <w:rPr>
          <w:sz w:val="22"/>
        </w:rPr>
        <w:t>Exh</w:t>
      </w:r>
      <w:proofErr w:type="spellEnd"/>
      <w:r>
        <w:rPr>
          <w:sz w:val="22"/>
        </w:rPr>
        <w:t>. No. RSE-7T at 16:4.</w:t>
      </w:r>
    </w:p>
  </w:footnote>
  <w:footnote w:id="17">
    <w:p w14:paraId="281C910F" w14:textId="77777777" w:rsidR="001A3967" w:rsidRDefault="001A3967" w:rsidP="007D29AC">
      <w:pPr>
        <w:pStyle w:val="FootnoteText"/>
        <w:spacing w:after="120"/>
      </w:pPr>
      <w:r w:rsidRPr="00D9684E">
        <w:rPr>
          <w:rStyle w:val="FootnoteReference"/>
          <w:sz w:val="22"/>
        </w:rPr>
        <w:footnoteRef/>
      </w:r>
      <w:r w:rsidRPr="00D9684E">
        <w:rPr>
          <w:sz w:val="22"/>
        </w:rPr>
        <w:t xml:space="preserve"> </w:t>
      </w:r>
      <w:r>
        <w:rPr>
          <w:sz w:val="22"/>
        </w:rPr>
        <w:t>Arrow’s Response, ¶ 10.</w:t>
      </w:r>
    </w:p>
  </w:footnote>
  <w:footnote w:id="18">
    <w:p w14:paraId="41019226" w14:textId="219B7D15" w:rsidR="009B538E" w:rsidRDefault="009B538E" w:rsidP="007D29AC">
      <w:pPr>
        <w:pStyle w:val="FootnoteText"/>
        <w:spacing w:after="120"/>
      </w:pPr>
      <w:r w:rsidRPr="009B538E">
        <w:rPr>
          <w:rStyle w:val="FootnoteReference"/>
          <w:sz w:val="22"/>
        </w:rPr>
        <w:footnoteRef/>
      </w:r>
      <w:r w:rsidRPr="009B538E">
        <w:rPr>
          <w:sz w:val="22"/>
        </w:rPr>
        <w:t xml:space="preserve"> Friedlander, </w:t>
      </w:r>
      <w:proofErr w:type="spellStart"/>
      <w:r w:rsidRPr="009B538E">
        <w:rPr>
          <w:sz w:val="22"/>
        </w:rPr>
        <w:t>TR</w:t>
      </w:r>
      <w:proofErr w:type="spellEnd"/>
      <w:r w:rsidRPr="009B538E">
        <w:rPr>
          <w:sz w:val="22"/>
        </w:rPr>
        <w:t xml:space="preserve"> 35:</w:t>
      </w:r>
      <w:r>
        <w:rPr>
          <w:sz w:val="22"/>
        </w:rPr>
        <w:t>14</w:t>
      </w:r>
      <w:r w:rsidRPr="009B538E">
        <w:rPr>
          <w:sz w:val="22"/>
        </w:rPr>
        <w:t>-21.</w:t>
      </w:r>
    </w:p>
  </w:footnote>
  <w:footnote w:id="19">
    <w:p w14:paraId="7415EA50" w14:textId="216F7552" w:rsidR="00885C80" w:rsidRDefault="00885C80" w:rsidP="007D29AC">
      <w:pPr>
        <w:pStyle w:val="FootnoteText"/>
        <w:spacing w:after="120"/>
      </w:pPr>
      <w:r w:rsidRPr="00885C80">
        <w:rPr>
          <w:rStyle w:val="FootnoteReference"/>
          <w:sz w:val="22"/>
        </w:rPr>
        <w:footnoteRef/>
      </w:r>
      <w:r w:rsidRPr="00885C80">
        <w:rPr>
          <w:sz w:val="22"/>
        </w:rPr>
        <w:t xml:space="preserve"> Esch, </w:t>
      </w:r>
      <w:proofErr w:type="spellStart"/>
      <w:r w:rsidRPr="00885C80">
        <w:rPr>
          <w:sz w:val="22"/>
        </w:rPr>
        <w:t>Exh</w:t>
      </w:r>
      <w:proofErr w:type="spellEnd"/>
      <w:r w:rsidRPr="00885C80">
        <w:rPr>
          <w:sz w:val="22"/>
        </w:rPr>
        <w:t>. No. RSE-7T at 13:16-18</w:t>
      </w:r>
      <w:r w:rsidR="00AB51EF">
        <w:rPr>
          <w:sz w:val="22"/>
        </w:rPr>
        <w:t xml:space="preserve"> (emphasis added)</w:t>
      </w:r>
      <w:r w:rsidRPr="00885C80">
        <w:rPr>
          <w:sz w:val="22"/>
        </w:rPr>
        <w:t>.</w:t>
      </w:r>
    </w:p>
  </w:footnote>
  <w:footnote w:id="20">
    <w:p w14:paraId="18435CF9" w14:textId="746FFD7A" w:rsidR="00F84F7C" w:rsidRDefault="00F84F7C" w:rsidP="00AB51EF">
      <w:pPr>
        <w:pStyle w:val="FootnoteText"/>
        <w:spacing w:after="120"/>
      </w:pPr>
      <w:r w:rsidRPr="00F84F7C">
        <w:rPr>
          <w:rStyle w:val="FootnoteReference"/>
          <w:sz w:val="22"/>
        </w:rPr>
        <w:footnoteRef/>
      </w:r>
      <w:r w:rsidRPr="00F84F7C">
        <w:rPr>
          <w:sz w:val="22"/>
        </w:rPr>
        <w:t xml:space="preserve"> </w:t>
      </w:r>
      <w:r>
        <w:rPr>
          <w:sz w:val="22"/>
        </w:rPr>
        <w:t xml:space="preserve">Esch, </w:t>
      </w:r>
      <w:proofErr w:type="spellStart"/>
      <w:r>
        <w:rPr>
          <w:sz w:val="22"/>
        </w:rPr>
        <w:t>Exh</w:t>
      </w:r>
      <w:proofErr w:type="spellEnd"/>
      <w:r>
        <w:rPr>
          <w:sz w:val="22"/>
        </w:rPr>
        <w:t>. No. RSE-7T at 15:16-17.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9DF65" w14:textId="77777777" w:rsidR="001C4432" w:rsidRDefault="001C44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363D9" w14:textId="04A206F2" w:rsidR="00E305B4" w:rsidRPr="003F2878" w:rsidRDefault="002441C0" w:rsidP="00DF5368">
    <w:pPr>
      <w:pStyle w:val="Header"/>
      <w:tabs>
        <w:tab w:val="clear" w:pos="8640"/>
        <w:tab w:val="right" w:pos="8460"/>
      </w:tabs>
      <w:rPr>
        <w:rStyle w:val="PageNumber"/>
        <w:b/>
        <w:sz w:val="20"/>
        <w:szCs w:val="20"/>
      </w:rPr>
    </w:pPr>
    <w:r w:rsidRPr="002441C0">
      <w:rPr>
        <w:b/>
        <w:sz w:val="20"/>
        <w:szCs w:val="20"/>
      </w:rPr>
      <w:t xml:space="preserve">DOCKET </w:t>
    </w:r>
    <w:r w:rsidR="0047042C">
      <w:rPr>
        <w:b/>
        <w:sz w:val="20"/>
        <w:szCs w:val="20"/>
      </w:rPr>
      <w:t>TS-160479</w:t>
    </w:r>
    <w:r w:rsidR="0047042C">
      <w:rPr>
        <w:b/>
        <w:sz w:val="20"/>
        <w:szCs w:val="20"/>
      </w:rPr>
      <w:tab/>
    </w:r>
    <w:r w:rsidR="00E305B4">
      <w:rPr>
        <w:b/>
        <w:sz w:val="20"/>
        <w:szCs w:val="20"/>
      </w:rPr>
      <w:tab/>
    </w:r>
    <w:r w:rsidR="00E305B4" w:rsidRPr="003F2878">
      <w:rPr>
        <w:b/>
        <w:sz w:val="20"/>
        <w:szCs w:val="20"/>
      </w:rPr>
      <w:t xml:space="preserve"> PAGE </w:t>
    </w:r>
    <w:r w:rsidR="00E305B4" w:rsidRPr="003F2878">
      <w:rPr>
        <w:rStyle w:val="PageNumber"/>
        <w:b/>
        <w:sz w:val="20"/>
        <w:szCs w:val="20"/>
      </w:rPr>
      <w:fldChar w:fldCharType="begin"/>
    </w:r>
    <w:r w:rsidR="00E305B4" w:rsidRPr="003F2878">
      <w:rPr>
        <w:rStyle w:val="PageNumber"/>
        <w:b/>
        <w:sz w:val="20"/>
        <w:szCs w:val="20"/>
      </w:rPr>
      <w:instrText xml:space="preserve"> PAGE </w:instrText>
    </w:r>
    <w:r w:rsidR="00E305B4" w:rsidRPr="003F2878">
      <w:rPr>
        <w:rStyle w:val="PageNumber"/>
        <w:b/>
        <w:sz w:val="20"/>
        <w:szCs w:val="20"/>
      </w:rPr>
      <w:fldChar w:fldCharType="separate"/>
    </w:r>
    <w:r w:rsidR="001C4432">
      <w:rPr>
        <w:rStyle w:val="PageNumber"/>
        <w:b/>
        <w:noProof/>
        <w:sz w:val="20"/>
        <w:szCs w:val="20"/>
      </w:rPr>
      <w:t>6</w:t>
    </w:r>
    <w:r w:rsidR="00E305B4" w:rsidRPr="003F2878">
      <w:rPr>
        <w:rStyle w:val="PageNumber"/>
        <w:b/>
        <w:sz w:val="20"/>
        <w:szCs w:val="20"/>
      </w:rPr>
      <w:fldChar w:fldCharType="end"/>
    </w:r>
  </w:p>
  <w:p w14:paraId="391A6555" w14:textId="7C2E7F41" w:rsidR="00E305B4" w:rsidRPr="003F2878" w:rsidRDefault="002441C0">
    <w:pPr>
      <w:pStyle w:val="Header"/>
      <w:rPr>
        <w:rStyle w:val="PageNumber"/>
        <w:b/>
        <w:bCs/>
        <w:sz w:val="20"/>
        <w:szCs w:val="20"/>
      </w:rPr>
    </w:pPr>
    <w:r>
      <w:rPr>
        <w:rStyle w:val="PageNumber"/>
        <w:b/>
        <w:bCs/>
        <w:sz w:val="20"/>
        <w:szCs w:val="20"/>
      </w:rPr>
      <w:t>ORDER 0</w:t>
    </w:r>
    <w:r w:rsidR="0047042C">
      <w:rPr>
        <w:rStyle w:val="PageNumber"/>
        <w:b/>
        <w:bCs/>
        <w:sz w:val="20"/>
        <w:szCs w:val="20"/>
      </w:rPr>
      <w:t>2</w:t>
    </w:r>
  </w:p>
  <w:p w14:paraId="44AE3E21" w14:textId="77777777" w:rsidR="00E305B4" w:rsidRPr="00F94149" w:rsidRDefault="00E305B4">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0D323" w14:textId="12A6CE18" w:rsidR="00E244D4" w:rsidRPr="00E244D4" w:rsidRDefault="00E244D4" w:rsidP="00E244D4">
    <w:pPr>
      <w:pStyle w:val="Header"/>
      <w:tabs>
        <w:tab w:val="clear" w:pos="4320"/>
        <w:tab w:val="clear" w:pos="8640"/>
        <w:tab w:val="right" w:pos="8550"/>
      </w:tabs>
      <w:rPr>
        <w:b/>
        <w:sz w:val="20"/>
        <w:szCs w:val="20"/>
      </w:rPr>
    </w:pPr>
    <w:r>
      <w:tab/>
    </w:r>
    <w:r w:rsidR="001C4432">
      <w:t xml:space="preserve">Service Date: February 10, </w:t>
    </w:r>
    <w:r w:rsidR="001C4432">
      <w:t>2017</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DA551D0"/>
    <w:multiLevelType w:val="hybridMultilevel"/>
    <w:tmpl w:val="45484C2A"/>
    <w:lvl w:ilvl="0" w:tplc="F23A4AFE">
      <w:start w:val="1"/>
      <w:numFmt w:val="decimal"/>
      <w:lvlText w:val="%1"/>
      <w:lvlJc w:val="righ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132"/>
    <w:rsid w:val="00000B79"/>
    <w:rsid w:val="00006D4B"/>
    <w:rsid w:val="000158DD"/>
    <w:rsid w:val="00022311"/>
    <w:rsid w:val="000273BF"/>
    <w:rsid w:val="00061856"/>
    <w:rsid w:val="000A13DC"/>
    <w:rsid w:val="000A703B"/>
    <w:rsid w:val="000B111C"/>
    <w:rsid w:val="000C5148"/>
    <w:rsid w:val="000D4ECA"/>
    <w:rsid w:val="000E1419"/>
    <w:rsid w:val="000E7B82"/>
    <w:rsid w:val="000F49BF"/>
    <w:rsid w:val="000F6582"/>
    <w:rsid w:val="001005FC"/>
    <w:rsid w:val="001108D9"/>
    <w:rsid w:val="001164E1"/>
    <w:rsid w:val="001246D3"/>
    <w:rsid w:val="001323E4"/>
    <w:rsid w:val="001A0A3A"/>
    <w:rsid w:val="001A1937"/>
    <w:rsid w:val="001A3967"/>
    <w:rsid w:val="001B20AF"/>
    <w:rsid w:val="001B5423"/>
    <w:rsid w:val="001C36F7"/>
    <w:rsid w:val="001C4432"/>
    <w:rsid w:val="001D010D"/>
    <w:rsid w:val="001D1CAF"/>
    <w:rsid w:val="001D6C20"/>
    <w:rsid w:val="001D7CF6"/>
    <w:rsid w:val="001D7EA1"/>
    <w:rsid w:val="001E75B3"/>
    <w:rsid w:val="002137F5"/>
    <w:rsid w:val="0021722F"/>
    <w:rsid w:val="00223963"/>
    <w:rsid w:val="00232955"/>
    <w:rsid w:val="002364D2"/>
    <w:rsid w:val="002441C0"/>
    <w:rsid w:val="00265631"/>
    <w:rsid w:val="0028219C"/>
    <w:rsid w:val="002A71A2"/>
    <w:rsid w:val="002C23D2"/>
    <w:rsid w:val="002E6526"/>
    <w:rsid w:val="002E6C2F"/>
    <w:rsid w:val="002E71BB"/>
    <w:rsid w:val="002F58B8"/>
    <w:rsid w:val="002F7BBB"/>
    <w:rsid w:val="003220C1"/>
    <w:rsid w:val="00341AD2"/>
    <w:rsid w:val="00383801"/>
    <w:rsid w:val="003C0A78"/>
    <w:rsid w:val="003D6FD9"/>
    <w:rsid w:val="003D7256"/>
    <w:rsid w:val="003E1819"/>
    <w:rsid w:val="003E2169"/>
    <w:rsid w:val="003F2878"/>
    <w:rsid w:val="0041784F"/>
    <w:rsid w:val="004457DB"/>
    <w:rsid w:val="0047042C"/>
    <w:rsid w:val="00470D0C"/>
    <w:rsid w:val="004A5CA3"/>
    <w:rsid w:val="004B64CC"/>
    <w:rsid w:val="004C1FC3"/>
    <w:rsid w:val="004D3D23"/>
    <w:rsid w:val="004E2499"/>
    <w:rsid w:val="00520B3C"/>
    <w:rsid w:val="00535DBD"/>
    <w:rsid w:val="0053672C"/>
    <w:rsid w:val="00556BBD"/>
    <w:rsid w:val="00561AC4"/>
    <w:rsid w:val="00571A69"/>
    <w:rsid w:val="0057652A"/>
    <w:rsid w:val="00593703"/>
    <w:rsid w:val="00595E20"/>
    <w:rsid w:val="005B2946"/>
    <w:rsid w:val="005B7D2B"/>
    <w:rsid w:val="005D74DC"/>
    <w:rsid w:val="00600D62"/>
    <w:rsid w:val="00604EFD"/>
    <w:rsid w:val="0061551C"/>
    <w:rsid w:val="0063358F"/>
    <w:rsid w:val="00666703"/>
    <w:rsid w:val="00666B4C"/>
    <w:rsid w:val="0069052F"/>
    <w:rsid w:val="00692C1A"/>
    <w:rsid w:val="006F233F"/>
    <w:rsid w:val="006F4960"/>
    <w:rsid w:val="00702121"/>
    <w:rsid w:val="00702BAA"/>
    <w:rsid w:val="007063CA"/>
    <w:rsid w:val="00743553"/>
    <w:rsid w:val="0076353B"/>
    <w:rsid w:val="00774A0D"/>
    <w:rsid w:val="00776974"/>
    <w:rsid w:val="007855E4"/>
    <w:rsid w:val="007901A9"/>
    <w:rsid w:val="007944F0"/>
    <w:rsid w:val="007A087F"/>
    <w:rsid w:val="007B1F57"/>
    <w:rsid w:val="007C5039"/>
    <w:rsid w:val="007D29AC"/>
    <w:rsid w:val="007E408F"/>
    <w:rsid w:val="007E60F8"/>
    <w:rsid w:val="00816F3F"/>
    <w:rsid w:val="0082437C"/>
    <w:rsid w:val="00830744"/>
    <w:rsid w:val="0084450B"/>
    <w:rsid w:val="00845D54"/>
    <w:rsid w:val="00855C53"/>
    <w:rsid w:val="00857E65"/>
    <w:rsid w:val="00860D3D"/>
    <w:rsid w:val="00862AAF"/>
    <w:rsid w:val="00866C32"/>
    <w:rsid w:val="00875CB6"/>
    <w:rsid w:val="00877533"/>
    <w:rsid w:val="00880F14"/>
    <w:rsid w:val="00885C80"/>
    <w:rsid w:val="008A0E7F"/>
    <w:rsid w:val="008A460F"/>
    <w:rsid w:val="008A46AD"/>
    <w:rsid w:val="008B18B3"/>
    <w:rsid w:val="008B3C50"/>
    <w:rsid w:val="008B4B41"/>
    <w:rsid w:val="008B5B79"/>
    <w:rsid w:val="008C6880"/>
    <w:rsid w:val="008E4F5A"/>
    <w:rsid w:val="008E7CB3"/>
    <w:rsid w:val="00900D77"/>
    <w:rsid w:val="00903D4F"/>
    <w:rsid w:val="009048E8"/>
    <w:rsid w:val="00944120"/>
    <w:rsid w:val="00952D83"/>
    <w:rsid w:val="00982049"/>
    <w:rsid w:val="009A076A"/>
    <w:rsid w:val="009B538E"/>
    <w:rsid w:val="009D0A5E"/>
    <w:rsid w:val="009D0E94"/>
    <w:rsid w:val="009D1F17"/>
    <w:rsid w:val="009D6E5E"/>
    <w:rsid w:val="009F5B86"/>
    <w:rsid w:val="00A02065"/>
    <w:rsid w:val="00A109E4"/>
    <w:rsid w:val="00A54154"/>
    <w:rsid w:val="00A71889"/>
    <w:rsid w:val="00AB51EF"/>
    <w:rsid w:val="00AB7618"/>
    <w:rsid w:val="00AC0FDB"/>
    <w:rsid w:val="00AD07C3"/>
    <w:rsid w:val="00AE1CBA"/>
    <w:rsid w:val="00AE5572"/>
    <w:rsid w:val="00AF4A83"/>
    <w:rsid w:val="00B23995"/>
    <w:rsid w:val="00B4618E"/>
    <w:rsid w:val="00B80388"/>
    <w:rsid w:val="00B95415"/>
    <w:rsid w:val="00BA0550"/>
    <w:rsid w:val="00BA3734"/>
    <w:rsid w:val="00BC1669"/>
    <w:rsid w:val="00BD50C1"/>
    <w:rsid w:val="00BE269B"/>
    <w:rsid w:val="00BE2784"/>
    <w:rsid w:val="00BF1B6F"/>
    <w:rsid w:val="00BF56D3"/>
    <w:rsid w:val="00C0491B"/>
    <w:rsid w:val="00C23C1C"/>
    <w:rsid w:val="00C419B4"/>
    <w:rsid w:val="00C50290"/>
    <w:rsid w:val="00C76F65"/>
    <w:rsid w:val="00C83234"/>
    <w:rsid w:val="00CD4E2C"/>
    <w:rsid w:val="00CE5D25"/>
    <w:rsid w:val="00CF6CB5"/>
    <w:rsid w:val="00D06A4A"/>
    <w:rsid w:val="00D20CBB"/>
    <w:rsid w:val="00D2288C"/>
    <w:rsid w:val="00D35212"/>
    <w:rsid w:val="00D365CE"/>
    <w:rsid w:val="00D40BCF"/>
    <w:rsid w:val="00D474E4"/>
    <w:rsid w:val="00D533EA"/>
    <w:rsid w:val="00D706D0"/>
    <w:rsid w:val="00D80D5B"/>
    <w:rsid w:val="00D9684E"/>
    <w:rsid w:val="00DA36AC"/>
    <w:rsid w:val="00DD5619"/>
    <w:rsid w:val="00DD670C"/>
    <w:rsid w:val="00DE0D92"/>
    <w:rsid w:val="00DE655F"/>
    <w:rsid w:val="00DE7B94"/>
    <w:rsid w:val="00DF5368"/>
    <w:rsid w:val="00E02665"/>
    <w:rsid w:val="00E1070E"/>
    <w:rsid w:val="00E244D4"/>
    <w:rsid w:val="00E305B4"/>
    <w:rsid w:val="00E348DC"/>
    <w:rsid w:val="00E52159"/>
    <w:rsid w:val="00E62BE4"/>
    <w:rsid w:val="00E85938"/>
    <w:rsid w:val="00EA33F6"/>
    <w:rsid w:val="00EA4E1D"/>
    <w:rsid w:val="00EB0FCF"/>
    <w:rsid w:val="00EC5422"/>
    <w:rsid w:val="00EE6E48"/>
    <w:rsid w:val="00EF0894"/>
    <w:rsid w:val="00EF14CE"/>
    <w:rsid w:val="00EF68AE"/>
    <w:rsid w:val="00EF7BD6"/>
    <w:rsid w:val="00F062B8"/>
    <w:rsid w:val="00F27132"/>
    <w:rsid w:val="00F6769D"/>
    <w:rsid w:val="00F7252D"/>
    <w:rsid w:val="00F81484"/>
    <w:rsid w:val="00F848E6"/>
    <w:rsid w:val="00F84F7C"/>
    <w:rsid w:val="00F94149"/>
    <w:rsid w:val="00FC3592"/>
    <w:rsid w:val="00FD3DA0"/>
    <w:rsid w:val="00FF1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6A1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1C4432"/>
    <w:pPr>
      <w:keepNext/>
      <w:spacing w:after="240" w:line="264" w:lineRule="auto"/>
      <w:jc w:val="center"/>
      <w:outlineLvl w:val="0"/>
    </w:pPr>
    <w:rPr>
      <w:b/>
      <w:sz w:val="25"/>
      <w:szCs w:val="25"/>
      <w:u w:val="single"/>
    </w:rPr>
  </w:style>
  <w:style w:type="paragraph" w:styleId="Heading2">
    <w:name w:val="heading 2"/>
    <w:basedOn w:val="Normal"/>
    <w:next w:val="Normal"/>
    <w:qFormat/>
    <w:rsid w:val="009048E8"/>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D365CE"/>
    <w:rPr>
      <w:rFonts w:ascii="Tahoma" w:hAnsi="Tahoma" w:cs="Tahoma"/>
      <w:sz w:val="16"/>
      <w:szCs w:val="16"/>
    </w:rPr>
  </w:style>
  <w:style w:type="paragraph" w:styleId="FootnoteText">
    <w:name w:val="footnote text"/>
    <w:basedOn w:val="Normal"/>
    <w:link w:val="FootnoteTextChar"/>
    <w:rsid w:val="00022311"/>
    <w:rPr>
      <w:sz w:val="20"/>
      <w:szCs w:val="20"/>
    </w:rPr>
  </w:style>
  <w:style w:type="character" w:styleId="FootnoteReference">
    <w:name w:val="footnote reference"/>
    <w:rsid w:val="00022311"/>
    <w:rPr>
      <w:vertAlign w:val="superscript"/>
    </w:rPr>
  </w:style>
  <w:style w:type="paragraph" w:customStyle="1" w:styleId="plain">
    <w:name w:val="plain"/>
    <w:basedOn w:val="Normal"/>
    <w:rsid w:val="009048E8"/>
    <w:pPr>
      <w:spacing w:line="240" w:lineRule="atLeast"/>
    </w:pPr>
    <w:rPr>
      <w:sz w:val="26"/>
      <w:szCs w:val="20"/>
    </w:rPr>
  </w:style>
  <w:style w:type="paragraph" w:customStyle="1" w:styleId="FindingsConclusions">
    <w:name w:val="Findings &amp; Conclusions"/>
    <w:basedOn w:val="Normal"/>
    <w:rsid w:val="00776974"/>
    <w:pPr>
      <w:numPr>
        <w:numId w:val="4"/>
      </w:numPr>
      <w:ind w:left="720" w:hanging="1800"/>
    </w:pPr>
  </w:style>
  <w:style w:type="paragraph" w:styleId="ListParagraph">
    <w:name w:val="List Paragraph"/>
    <w:basedOn w:val="Normal"/>
    <w:uiPriority w:val="34"/>
    <w:qFormat/>
    <w:rsid w:val="008B4B41"/>
    <w:pPr>
      <w:ind w:left="720"/>
    </w:pPr>
  </w:style>
  <w:style w:type="character" w:customStyle="1" w:styleId="FootnoteTextChar">
    <w:name w:val="Footnote Text Char"/>
    <w:basedOn w:val="DefaultParagraphFont"/>
    <w:link w:val="FootnoteText"/>
    <w:rsid w:val="006F233F"/>
  </w:style>
  <w:style w:type="character" w:styleId="CommentReference">
    <w:name w:val="annotation reference"/>
    <w:basedOn w:val="DefaultParagraphFont"/>
    <w:semiHidden/>
    <w:unhideWhenUsed/>
    <w:rsid w:val="00BA3734"/>
    <w:rPr>
      <w:sz w:val="16"/>
      <w:szCs w:val="16"/>
    </w:rPr>
  </w:style>
  <w:style w:type="paragraph" w:styleId="CommentText">
    <w:name w:val="annotation text"/>
    <w:basedOn w:val="Normal"/>
    <w:link w:val="CommentTextChar"/>
    <w:semiHidden/>
    <w:unhideWhenUsed/>
    <w:rsid w:val="00BA3734"/>
    <w:rPr>
      <w:sz w:val="20"/>
      <w:szCs w:val="20"/>
    </w:rPr>
  </w:style>
  <w:style w:type="character" w:customStyle="1" w:styleId="CommentTextChar">
    <w:name w:val="Comment Text Char"/>
    <w:basedOn w:val="DefaultParagraphFont"/>
    <w:link w:val="CommentText"/>
    <w:semiHidden/>
    <w:rsid w:val="00BA3734"/>
  </w:style>
  <w:style w:type="paragraph" w:styleId="CommentSubject">
    <w:name w:val="annotation subject"/>
    <w:basedOn w:val="CommentText"/>
    <w:next w:val="CommentText"/>
    <w:link w:val="CommentSubjectChar"/>
    <w:semiHidden/>
    <w:unhideWhenUsed/>
    <w:rsid w:val="00BA3734"/>
    <w:rPr>
      <w:b/>
      <w:bCs/>
    </w:rPr>
  </w:style>
  <w:style w:type="character" w:customStyle="1" w:styleId="CommentSubjectChar">
    <w:name w:val="Comment Subject Char"/>
    <w:basedOn w:val="CommentTextChar"/>
    <w:link w:val="CommentSubject"/>
    <w:semiHidden/>
    <w:rsid w:val="00BA3734"/>
    <w:rPr>
      <w:b/>
      <w:bCs/>
    </w:rPr>
  </w:style>
  <w:style w:type="character" w:customStyle="1" w:styleId="HeaderChar">
    <w:name w:val="Header Char"/>
    <w:basedOn w:val="DefaultParagraphFont"/>
    <w:link w:val="Header"/>
    <w:uiPriority w:val="99"/>
    <w:rsid w:val="00E244D4"/>
    <w:rPr>
      <w:sz w:val="24"/>
      <w:szCs w:val="24"/>
    </w:rPr>
  </w:style>
  <w:style w:type="paragraph" w:styleId="BodyText2">
    <w:name w:val="Body Text 2"/>
    <w:basedOn w:val="Normal"/>
    <w:link w:val="BodyText2Char"/>
    <w:semiHidden/>
    <w:unhideWhenUsed/>
    <w:rsid w:val="00E02665"/>
    <w:pPr>
      <w:spacing w:after="120" w:line="480" w:lineRule="auto"/>
    </w:pPr>
  </w:style>
  <w:style w:type="character" w:customStyle="1" w:styleId="BodyText2Char">
    <w:name w:val="Body Text 2 Char"/>
    <w:basedOn w:val="DefaultParagraphFont"/>
    <w:link w:val="BodyText2"/>
    <w:semiHidden/>
    <w:rsid w:val="00E02665"/>
    <w:rPr>
      <w:sz w:val="24"/>
      <w:szCs w:val="24"/>
    </w:rPr>
  </w:style>
  <w:style w:type="table" w:styleId="TableGrid">
    <w:name w:val="Table Grid"/>
    <w:basedOn w:val="TableNormal"/>
    <w:rsid w:val="00E02665"/>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C4432"/>
    <w:rPr>
      <w:b/>
      <w:sz w:val="25"/>
      <w:szCs w:val="2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Order - Other</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2016-05-06T07:00:00+00:00</OpenedDate>
    <Date1 xmlns="dc463f71-b30c-4ab2-9473-d307f9d35888">2017-02-10T08:00:00+00:00</Date1>
    <IsDocumentOrder xmlns="dc463f71-b30c-4ab2-9473-d307f9d35888">true</IsDocumentOrder>
    <IsHighlyConfidential xmlns="dc463f71-b30c-4ab2-9473-d307f9d35888">false</IsHighlyConfidential>
    <CaseCompanyNames xmlns="dc463f71-b30c-4ab2-9473-d307f9d35888">MEI Northwest LLC</CaseCompanyNames>
    <Nickname xmlns="http://schemas.microsoft.com/sharepoint/v3" xsi:nil="true"/>
    <DocketNumber xmlns="dc463f71-b30c-4ab2-9473-d307f9d35888">160479</DocketNumber>
    <DelegatedOrder xmlns="dc463f71-b30c-4ab2-9473-d307f9d35888">false</DelegatedOrder>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DCAF503A5C8E4C9B6E2E02067B9A1D" ma:contentTypeVersion="104" ma:contentTypeDescription="" ma:contentTypeScope="" ma:versionID="a4f1b249af23cc31b89e6be4b5f3d0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A6D8A-078D-46D6-AC67-571DC5729017}"/>
</file>

<file path=customXml/itemProps2.xml><?xml version="1.0" encoding="utf-8"?>
<ds:datastoreItem xmlns:ds="http://schemas.openxmlformats.org/officeDocument/2006/customXml" ds:itemID="{1261E9EB-FA33-4675-99A5-749DE9C0B2AB}">
  <ds:schemaRefs>
    <ds:schemaRef ds:uri="http://schemas.microsoft.com/sharepoint/v3/contenttype/forms"/>
  </ds:schemaRefs>
</ds:datastoreItem>
</file>

<file path=customXml/itemProps3.xml><?xml version="1.0" encoding="utf-8"?>
<ds:datastoreItem xmlns:ds="http://schemas.openxmlformats.org/officeDocument/2006/customXml" ds:itemID="{934272E5-9389-4CA0-8CD0-D210F6FD6F5F}">
  <ds:schemaRefs>
    <ds:schemaRef ds:uri="http://purl.org/dc/dcmitype/"/>
    <ds:schemaRef ds:uri="http://schemas.microsoft.com/office/2006/metadata/properties"/>
    <ds:schemaRef ds:uri="4554ae50-06e8-4536-9b65-e0b3a2b78f82"/>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1753F57-20D2-42DD-8AEE-7F1FFAFCA1B7}"/>
</file>

<file path=docProps/app.xml><?xml version="1.0" encoding="utf-8"?>
<Properties xmlns="http://schemas.openxmlformats.org/officeDocument/2006/extended-properties" xmlns:vt="http://schemas.openxmlformats.org/officeDocument/2006/docPropsVTypes">
  <Template>Normal</Template>
  <TotalTime>0</TotalTime>
  <Pages>6</Pages>
  <Words>1594</Words>
  <Characters>8415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Granting Motion to Strike</dc:title>
  <dc:creator/>
  <cp:lastModifiedBy/>
  <cp:revision>1</cp:revision>
  <dcterms:created xsi:type="dcterms:W3CDTF">2017-02-10T16:44:00Z</dcterms:created>
  <dcterms:modified xsi:type="dcterms:W3CDTF">2017-02-10T16:44:00Z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0x0101006E56B4D1795A2E4DB2F0B01679ED314A00E2DCAF503A5C8E4C9B6E2E02067B9A1D</vt:lpwstr>
  </property>
  <property fmtid="{D5CDD505-2E9C-101B-9397-08002B2CF9AE}" pid="3" name="_docset_NoMedatataSyncRequired">
    <vt:lpwstr>False</vt:lpwstr>
  </property>
  <property fmtid="{D5CDD505-2E9C-101B-9397-08002B2CF9AE}" pid="4" name="IsEFSEC">
    <vt:bool>false</vt:bool>
  </property>
</Properties>
</file>