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F815E" w14:textId="77777777" w:rsidR="00501FFC" w:rsidRDefault="00501FFC" w:rsidP="00F748D8">
      <w:pPr>
        <w:tabs>
          <w:tab w:val="center" w:pos="4680"/>
        </w:tabs>
        <w:ind w:right="-108" w:hanging="180"/>
        <w:jc w:val="both"/>
        <w:rPr>
          <w:sz w:val="24"/>
        </w:rPr>
      </w:pPr>
    </w:p>
    <w:p w14:paraId="3DEF815F" w14:textId="77777777" w:rsidR="00501FFC" w:rsidRDefault="00501FFC" w:rsidP="00F748D8">
      <w:pPr>
        <w:tabs>
          <w:tab w:val="center" w:pos="4680"/>
        </w:tabs>
        <w:ind w:right="-108" w:hanging="180"/>
        <w:jc w:val="both"/>
        <w:rPr>
          <w:sz w:val="24"/>
        </w:rPr>
      </w:pPr>
    </w:p>
    <w:p w14:paraId="3DEF8160" w14:textId="77777777" w:rsidR="00501FFC" w:rsidRDefault="00501FFC" w:rsidP="00F748D8">
      <w:pPr>
        <w:tabs>
          <w:tab w:val="center" w:pos="4680"/>
        </w:tabs>
        <w:ind w:right="-108" w:hanging="180"/>
        <w:jc w:val="both"/>
        <w:rPr>
          <w:sz w:val="24"/>
        </w:rPr>
      </w:pPr>
    </w:p>
    <w:p w14:paraId="3DEF8163" w14:textId="77777777" w:rsidR="00F748D8" w:rsidRDefault="00F748D8" w:rsidP="00EF5014">
      <w:pPr>
        <w:tabs>
          <w:tab w:val="center" w:pos="4680"/>
        </w:tabs>
        <w:ind w:right="-108" w:hanging="180"/>
        <w:jc w:val="center"/>
        <w:rPr>
          <w:sz w:val="24"/>
        </w:rPr>
      </w:pPr>
      <w:r w:rsidRPr="004A2910">
        <w:rPr>
          <w:sz w:val="24"/>
        </w:rPr>
        <w:t>BEFORE THE WASHINGTON UTILITIES AND TRANSPORTATION COMMISSION</w:t>
      </w:r>
    </w:p>
    <w:p w14:paraId="5801A8FB" w14:textId="5526A049" w:rsidR="00EF5014" w:rsidRDefault="00EF5014" w:rsidP="00EF5014">
      <w:pPr>
        <w:tabs>
          <w:tab w:val="center" w:pos="4680"/>
        </w:tabs>
        <w:ind w:right="-108" w:hanging="180"/>
        <w:jc w:val="center"/>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EF5014" w:rsidRPr="00EF5014" w14:paraId="41FE1516" w14:textId="77777777" w:rsidTr="00324C32">
        <w:tc>
          <w:tcPr>
            <w:tcW w:w="4590" w:type="dxa"/>
            <w:tcBorders>
              <w:top w:val="single" w:sz="6" w:space="0" w:color="FFFFFF"/>
              <w:left w:val="single" w:sz="6" w:space="0" w:color="FFFFFF"/>
              <w:bottom w:val="single" w:sz="7" w:space="0" w:color="000000"/>
              <w:right w:val="single" w:sz="6" w:space="0" w:color="FFFFFF"/>
            </w:tcBorders>
          </w:tcPr>
          <w:p w14:paraId="554D4F1F" w14:textId="77777777" w:rsidR="00EF5014" w:rsidRPr="00EF5014" w:rsidRDefault="00EF5014" w:rsidP="000E5544">
            <w:pPr>
              <w:pStyle w:val="Header"/>
              <w:tabs>
                <w:tab w:val="left" w:pos="681"/>
                <w:tab w:val="left" w:pos="1401"/>
              </w:tabs>
              <w:rPr>
                <w:sz w:val="24"/>
              </w:rPr>
            </w:pPr>
            <w:r w:rsidRPr="00EF5014">
              <w:rPr>
                <w:sz w:val="24"/>
              </w:rPr>
              <w:t xml:space="preserve">In the Matter of the </w:t>
            </w:r>
          </w:p>
          <w:p w14:paraId="11E1430A" w14:textId="77777777" w:rsidR="00EF5014" w:rsidRPr="00EF5014" w:rsidRDefault="00EF5014" w:rsidP="000E5544">
            <w:pPr>
              <w:pStyle w:val="Header"/>
              <w:tabs>
                <w:tab w:val="left" w:pos="681"/>
                <w:tab w:val="left" w:pos="1401"/>
              </w:tabs>
              <w:rPr>
                <w:sz w:val="24"/>
              </w:rPr>
            </w:pPr>
          </w:p>
          <w:p w14:paraId="09D583E5" w14:textId="77777777" w:rsidR="00EF5014" w:rsidRPr="00EF5014" w:rsidRDefault="00EF5014" w:rsidP="000E5544">
            <w:pPr>
              <w:pStyle w:val="Header"/>
              <w:tabs>
                <w:tab w:val="left" w:pos="681"/>
                <w:tab w:val="left" w:pos="1401"/>
              </w:tabs>
              <w:rPr>
                <w:sz w:val="24"/>
              </w:rPr>
            </w:pPr>
            <w:r w:rsidRPr="00EF5014">
              <w:rPr>
                <w:sz w:val="24"/>
              </w:rPr>
              <w:t xml:space="preserve">Petition of King County, Washington, BNSF Railway, Frontier Communications Northwest, Inc., Verizon Wireless, and New Cingular Wireless </w:t>
            </w:r>
            <w:smartTag w:uri="urn:schemas-microsoft-com:office:smarttags" w:element="stockticker">
              <w:r w:rsidRPr="00EF5014">
                <w:rPr>
                  <w:sz w:val="24"/>
                </w:rPr>
                <w:t>PCS</w:t>
              </w:r>
            </w:smartTag>
            <w:r w:rsidRPr="00EF5014">
              <w:rPr>
                <w:sz w:val="24"/>
              </w:rPr>
              <w:t>, LLC. For a Declaratory Order to address the degradation of service from Puget Sound Energy due to the physical deterioration of the Maloney Ridge Line underground cable.</w:t>
            </w:r>
          </w:p>
          <w:p w14:paraId="5F319094" w14:textId="77777777" w:rsidR="00EF5014" w:rsidRPr="00EF5014" w:rsidRDefault="00EF5014" w:rsidP="000E5544">
            <w:pPr>
              <w:pStyle w:val="Header"/>
              <w:tabs>
                <w:tab w:val="left" w:pos="681"/>
                <w:tab w:val="left" w:pos="1401"/>
              </w:tabs>
              <w:rPr>
                <w:sz w:val="24"/>
              </w:rPr>
            </w:pPr>
          </w:p>
        </w:tc>
        <w:tc>
          <w:tcPr>
            <w:tcW w:w="4590" w:type="dxa"/>
            <w:tcBorders>
              <w:top w:val="single" w:sz="6" w:space="0" w:color="FFFFFF"/>
              <w:left w:val="single" w:sz="7" w:space="0" w:color="000000"/>
              <w:bottom w:val="single" w:sz="6" w:space="0" w:color="FFFFFF"/>
              <w:right w:val="single" w:sz="6" w:space="0" w:color="FFFFFF"/>
            </w:tcBorders>
          </w:tcPr>
          <w:p w14:paraId="0B8453F0" w14:textId="77777777" w:rsidR="00EF5014" w:rsidRPr="00EF5014" w:rsidRDefault="00EF5014" w:rsidP="000E5544">
            <w:pPr>
              <w:pStyle w:val="Header"/>
              <w:ind w:left="416"/>
              <w:rPr>
                <w:sz w:val="24"/>
              </w:rPr>
            </w:pPr>
            <w:r w:rsidRPr="00EF5014">
              <w:rPr>
                <w:sz w:val="24"/>
              </w:rPr>
              <w:t>DOCKET UE-141335</w:t>
            </w:r>
          </w:p>
          <w:p w14:paraId="6E94CD51" w14:textId="77777777" w:rsidR="00EF5014" w:rsidRPr="00EF5014" w:rsidRDefault="00EF5014" w:rsidP="000E5544">
            <w:pPr>
              <w:pStyle w:val="Header"/>
              <w:ind w:left="416"/>
              <w:rPr>
                <w:sz w:val="24"/>
              </w:rPr>
            </w:pPr>
          </w:p>
          <w:p w14:paraId="4B59AFB1" w14:textId="210F043D" w:rsidR="00EF5014" w:rsidRPr="00EF5014" w:rsidRDefault="00466982" w:rsidP="000E5544">
            <w:pPr>
              <w:pStyle w:val="BodyTextIndent2"/>
              <w:ind w:left="416"/>
              <w:rPr>
                <w:rFonts w:ascii="Times New Roman" w:hAnsi="Times New Roman"/>
              </w:rPr>
            </w:pPr>
            <w:r>
              <w:rPr>
                <w:rFonts w:ascii="Times New Roman" w:hAnsi="Times New Roman"/>
              </w:rPr>
              <w:t xml:space="preserve">BRIEF ON BEHALF OF </w:t>
            </w:r>
            <w:r w:rsidR="00EF5014" w:rsidRPr="00EF5014">
              <w:rPr>
                <w:rFonts w:ascii="Times New Roman" w:hAnsi="Times New Roman"/>
              </w:rPr>
              <w:t>COMMISSION STAFF</w:t>
            </w:r>
            <w:r w:rsidR="00EF5014">
              <w:rPr>
                <w:rFonts w:ascii="Times New Roman" w:hAnsi="Times New Roman"/>
              </w:rPr>
              <w:t xml:space="preserve"> </w:t>
            </w:r>
          </w:p>
          <w:p w14:paraId="4AB5F829" w14:textId="77777777" w:rsidR="00EF5014" w:rsidRPr="00EF5014" w:rsidRDefault="00EF5014" w:rsidP="000E5544">
            <w:pPr>
              <w:pStyle w:val="Header"/>
              <w:ind w:left="416"/>
              <w:rPr>
                <w:sz w:val="24"/>
              </w:rPr>
            </w:pPr>
          </w:p>
        </w:tc>
      </w:tr>
    </w:tbl>
    <w:p w14:paraId="19B30B38" w14:textId="6D5EA65E" w:rsidR="00626B27" w:rsidRPr="00AE6F08" w:rsidRDefault="00626B27" w:rsidP="00626B27">
      <w:pPr>
        <w:pStyle w:val="Body1"/>
        <w:spacing w:line="480" w:lineRule="auto"/>
        <w:rPr>
          <w:rFonts w:ascii="Times New Roman" w:hAnsi="Times New Roman"/>
        </w:rPr>
      </w:pPr>
    </w:p>
    <w:p w14:paraId="27C0FEA2" w14:textId="4007268C" w:rsidR="00626B27" w:rsidRDefault="00BA05A0" w:rsidP="00BA05A0">
      <w:pPr>
        <w:pStyle w:val="Body1"/>
        <w:spacing w:line="480" w:lineRule="auto"/>
        <w:jc w:val="center"/>
        <w:rPr>
          <w:rFonts w:ascii="Times New Roman" w:hAnsi="Times New Roman"/>
          <w:b/>
        </w:rPr>
      </w:pPr>
      <w:r>
        <w:rPr>
          <w:rFonts w:ascii="Times New Roman" w:hAnsi="Times New Roman"/>
          <w:b/>
        </w:rPr>
        <w:t>I.</w:t>
      </w:r>
      <w:r>
        <w:rPr>
          <w:rFonts w:ascii="Times New Roman" w:hAnsi="Times New Roman"/>
          <w:b/>
        </w:rPr>
        <w:tab/>
      </w:r>
      <w:r w:rsidR="00C676DD" w:rsidRPr="00C676DD">
        <w:rPr>
          <w:rFonts w:ascii="Times New Roman" w:hAnsi="Times New Roman"/>
          <w:b/>
        </w:rPr>
        <w:t>INTRODUCTION</w:t>
      </w:r>
    </w:p>
    <w:p w14:paraId="736516C7" w14:textId="5C6AC90E" w:rsidR="00DA18A0" w:rsidRDefault="00BA05A0" w:rsidP="00BA05A0">
      <w:pPr>
        <w:pStyle w:val="Body1"/>
        <w:numPr>
          <w:ilvl w:val="0"/>
          <w:numId w:val="9"/>
        </w:numPr>
        <w:spacing w:line="480" w:lineRule="auto"/>
        <w:rPr>
          <w:rFonts w:ascii="Times New Roman" w:hAnsi="Times New Roman"/>
        </w:rPr>
      </w:pPr>
      <w:r>
        <w:rPr>
          <w:rFonts w:ascii="Times New Roman" w:hAnsi="Times New Roman"/>
        </w:rPr>
        <w:tab/>
      </w:r>
      <w:r w:rsidR="00DA18A0">
        <w:rPr>
          <w:rFonts w:ascii="Times New Roman" w:hAnsi="Times New Roman"/>
        </w:rPr>
        <w:t xml:space="preserve">This brief is submitted on behalf of Commission Staff. </w:t>
      </w:r>
      <w:r w:rsidR="00276B08">
        <w:rPr>
          <w:rFonts w:ascii="Times New Roman" w:hAnsi="Times New Roman"/>
        </w:rPr>
        <w:t xml:space="preserve"> </w:t>
      </w:r>
      <w:r w:rsidR="00DA18A0">
        <w:rPr>
          <w:rFonts w:ascii="Times New Roman" w:hAnsi="Times New Roman"/>
        </w:rPr>
        <w:t xml:space="preserve">The Commission should deny the Petition for a Declaratory Order mandating the replacement of the existing power line serving the Petitioners on Maloney Ridge. </w:t>
      </w:r>
    </w:p>
    <w:p w14:paraId="3096C8CB" w14:textId="143BFD22" w:rsidR="000B3A48" w:rsidRDefault="00DA18A0" w:rsidP="00BA05A0">
      <w:pPr>
        <w:pStyle w:val="Body1"/>
        <w:numPr>
          <w:ilvl w:val="0"/>
          <w:numId w:val="9"/>
        </w:numPr>
        <w:spacing w:line="480" w:lineRule="auto"/>
        <w:rPr>
          <w:rFonts w:ascii="Times New Roman" w:hAnsi="Times New Roman"/>
        </w:rPr>
      </w:pPr>
      <w:r>
        <w:rPr>
          <w:rFonts w:ascii="Times New Roman" w:hAnsi="Times New Roman"/>
        </w:rPr>
        <w:tab/>
      </w:r>
      <w:r w:rsidR="00451D26">
        <w:rPr>
          <w:rFonts w:ascii="Times New Roman" w:hAnsi="Times New Roman"/>
        </w:rPr>
        <w:t>Th</w:t>
      </w:r>
      <w:r w:rsidR="00FC32EB">
        <w:rPr>
          <w:rFonts w:ascii="Times New Roman" w:hAnsi="Times New Roman"/>
        </w:rPr>
        <w:t>e power line at issue in th</w:t>
      </w:r>
      <w:r w:rsidR="00451D26">
        <w:rPr>
          <w:rFonts w:ascii="Times New Roman" w:hAnsi="Times New Roman"/>
        </w:rPr>
        <w:t xml:space="preserve">is case </w:t>
      </w:r>
      <w:r w:rsidR="00FC32EB">
        <w:rPr>
          <w:rFonts w:ascii="Times New Roman" w:hAnsi="Times New Roman"/>
        </w:rPr>
        <w:t xml:space="preserve">is unique. It was constructed by PSE </w:t>
      </w:r>
      <w:r w:rsidR="00BC4C3A">
        <w:rPr>
          <w:rFonts w:ascii="Times New Roman" w:hAnsi="Times New Roman"/>
        </w:rPr>
        <w:t xml:space="preserve">on a mountain in the Cascade Range </w:t>
      </w:r>
      <w:r w:rsidR="00FC32EB">
        <w:rPr>
          <w:rFonts w:ascii="Times New Roman" w:hAnsi="Times New Roman"/>
        </w:rPr>
        <w:t xml:space="preserve">to serve only one customer - GTE. </w:t>
      </w:r>
      <w:r w:rsidR="00276B08">
        <w:rPr>
          <w:rFonts w:ascii="Times New Roman" w:hAnsi="Times New Roman"/>
        </w:rPr>
        <w:t xml:space="preserve"> </w:t>
      </w:r>
      <w:r w:rsidR="00FC32EB">
        <w:rPr>
          <w:rFonts w:ascii="Times New Roman" w:hAnsi="Times New Roman"/>
        </w:rPr>
        <w:t xml:space="preserve">PSE agreed to undertake the project because GTE contractually agreed to pay PSE for all costs </w:t>
      </w:r>
      <w:r>
        <w:rPr>
          <w:rFonts w:ascii="Times New Roman" w:hAnsi="Times New Roman"/>
        </w:rPr>
        <w:t xml:space="preserve">incurred </w:t>
      </w:r>
      <w:r w:rsidR="00FC32EB">
        <w:rPr>
          <w:rFonts w:ascii="Times New Roman" w:hAnsi="Times New Roman"/>
        </w:rPr>
        <w:t xml:space="preserve">to install, operate, maintain and repair the facility. </w:t>
      </w:r>
      <w:r w:rsidR="00276B08">
        <w:rPr>
          <w:rFonts w:ascii="Times New Roman" w:hAnsi="Times New Roman"/>
        </w:rPr>
        <w:t xml:space="preserve"> </w:t>
      </w:r>
      <w:r w:rsidR="00840BD5">
        <w:rPr>
          <w:rFonts w:ascii="Times New Roman" w:hAnsi="Times New Roman"/>
        </w:rPr>
        <w:t xml:space="preserve">Such </w:t>
      </w:r>
      <w:r w:rsidR="000B3A48">
        <w:rPr>
          <w:rFonts w:ascii="Times New Roman" w:hAnsi="Times New Roman"/>
        </w:rPr>
        <w:t xml:space="preserve">a contract was needed because the project was not economically feasible </w:t>
      </w:r>
      <w:r w:rsidR="00840BD5">
        <w:rPr>
          <w:rFonts w:ascii="Times New Roman" w:hAnsi="Times New Roman"/>
        </w:rPr>
        <w:t xml:space="preserve">for PSE </w:t>
      </w:r>
      <w:r w:rsidR="000B3A48">
        <w:rPr>
          <w:rFonts w:ascii="Times New Roman" w:hAnsi="Times New Roman"/>
        </w:rPr>
        <w:t xml:space="preserve">to build. </w:t>
      </w:r>
      <w:r w:rsidR="00276B08">
        <w:rPr>
          <w:rFonts w:ascii="Times New Roman" w:hAnsi="Times New Roman"/>
        </w:rPr>
        <w:t xml:space="preserve"> </w:t>
      </w:r>
      <w:r w:rsidR="00FC32EB">
        <w:rPr>
          <w:rFonts w:ascii="Times New Roman" w:hAnsi="Times New Roman"/>
        </w:rPr>
        <w:t>There is nothing in th</w:t>
      </w:r>
      <w:r w:rsidR="00BC4C3A">
        <w:rPr>
          <w:rFonts w:ascii="Times New Roman" w:hAnsi="Times New Roman"/>
        </w:rPr>
        <w:t>is r</w:t>
      </w:r>
      <w:r w:rsidR="00FC32EB">
        <w:rPr>
          <w:rFonts w:ascii="Times New Roman" w:hAnsi="Times New Roman"/>
        </w:rPr>
        <w:t xml:space="preserve">ecord to show that PSE or GTE </w:t>
      </w:r>
      <w:r w:rsidR="004F565C">
        <w:rPr>
          <w:rFonts w:ascii="Times New Roman" w:hAnsi="Times New Roman"/>
        </w:rPr>
        <w:t xml:space="preserve">ever </w:t>
      </w:r>
      <w:r w:rsidR="00FC32EB">
        <w:rPr>
          <w:rFonts w:ascii="Times New Roman" w:hAnsi="Times New Roman"/>
        </w:rPr>
        <w:t>presented the agreement or its successor agreements to the Commission for approval.</w:t>
      </w:r>
      <w:r w:rsidR="00276B08">
        <w:rPr>
          <w:rFonts w:ascii="Times New Roman" w:hAnsi="Times New Roman"/>
        </w:rPr>
        <w:t xml:space="preserve"> </w:t>
      </w:r>
      <w:r w:rsidR="00FC32EB">
        <w:rPr>
          <w:rFonts w:ascii="Times New Roman" w:hAnsi="Times New Roman"/>
        </w:rPr>
        <w:t xml:space="preserve"> </w:t>
      </w:r>
      <w:r w:rsidR="004F565C">
        <w:rPr>
          <w:rFonts w:ascii="Times New Roman" w:hAnsi="Times New Roman"/>
        </w:rPr>
        <w:t>Nor is there any evidence showing that prior to th</w:t>
      </w:r>
      <w:r>
        <w:rPr>
          <w:rFonts w:ascii="Times New Roman" w:hAnsi="Times New Roman"/>
        </w:rPr>
        <w:t xml:space="preserve">e present </w:t>
      </w:r>
      <w:r w:rsidR="004F565C">
        <w:rPr>
          <w:rFonts w:ascii="Times New Roman" w:hAnsi="Times New Roman"/>
        </w:rPr>
        <w:t xml:space="preserve">case, GTE or any other user of the facility over its 40-plus year history ever complained to the Commission about the service it received from PSE </w:t>
      </w:r>
      <w:r>
        <w:rPr>
          <w:rFonts w:ascii="Times New Roman" w:hAnsi="Times New Roman"/>
        </w:rPr>
        <w:t xml:space="preserve">under </w:t>
      </w:r>
      <w:r w:rsidR="004F565C">
        <w:rPr>
          <w:rFonts w:ascii="Times New Roman" w:hAnsi="Times New Roman"/>
        </w:rPr>
        <w:t xml:space="preserve">the relevant contracts. </w:t>
      </w:r>
      <w:r w:rsidR="00276B08">
        <w:rPr>
          <w:rFonts w:ascii="Times New Roman" w:hAnsi="Times New Roman"/>
        </w:rPr>
        <w:t xml:space="preserve"> </w:t>
      </w:r>
      <w:r w:rsidR="00BC4C3A">
        <w:rPr>
          <w:rFonts w:ascii="Times New Roman" w:hAnsi="Times New Roman"/>
        </w:rPr>
        <w:t>The relative silence surrounding this discre</w:t>
      </w:r>
      <w:r>
        <w:rPr>
          <w:rFonts w:ascii="Times New Roman" w:hAnsi="Times New Roman"/>
        </w:rPr>
        <w:t xml:space="preserve">te </w:t>
      </w:r>
      <w:r w:rsidR="00BC4C3A">
        <w:rPr>
          <w:rFonts w:ascii="Times New Roman" w:hAnsi="Times New Roman"/>
        </w:rPr>
        <w:t>facility ended when t</w:t>
      </w:r>
      <w:r w:rsidR="004F565C">
        <w:rPr>
          <w:rFonts w:ascii="Times New Roman" w:hAnsi="Times New Roman"/>
        </w:rPr>
        <w:t xml:space="preserve">he Petitioners </w:t>
      </w:r>
      <w:r>
        <w:rPr>
          <w:rFonts w:ascii="Times New Roman" w:hAnsi="Times New Roman"/>
        </w:rPr>
        <w:t xml:space="preserve">approached </w:t>
      </w:r>
      <w:r w:rsidR="00BC4C3A">
        <w:rPr>
          <w:rFonts w:ascii="Times New Roman" w:hAnsi="Times New Roman"/>
        </w:rPr>
        <w:t xml:space="preserve">the </w:t>
      </w:r>
      <w:r w:rsidR="004F565C">
        <w:rPr>
          <w:rFonts w:ascii="Times New Roman" w:hAnsi="Times New Roman"/>
        </w:rPr>
        <w:t xml:space="preserve">Commission </w:t>
      </w:r>
      <w:r w:rsidR="00BC4C3A">
        <w:rPr>
          <w:rFonts w:ascii="Times New Roman" w:hAnsi="Times New Roman"/>
        </w:rPr>
        <w:t xml:space="preserve">seeking an </w:t>
      </w:r>
      <w:r w:rsidR="004F565C">
        <w:rPr>
          <w:rFonts w:ascii="Times New Roman" w:hAnsi="Times New Roman"/>
        </w:rPr>
        <w:t xml:space="preserve">order </w:t>
      </w:r>
      <w:r w:rsidR="00BC4C3A">
        <w:rPr>
          <w:rFonts w:ascii="Times New Roman" w:hAnsi="Times New Roman"/>
        </w:rPr>
        <w:t>requir</w:t>
      </w:r>
      <w:r>
        <w:rPr>
          <w:rFonts w:ascii="Times New Roman" w:hAnsi="Times New Roman"/>
        </w:rPr>
        <w:t>ing</w:t>
      </w:r>
      <w:r w:rsidR="00BC4C3A">
        <w:rPr>
          <w:rFonts w:ascii="Times New Roman" w:hAnsi="Times New Roman"/>
        </w:rPr>
        <w:t xml:space="preserve"> </w:t>
      </w:r>
      <w:r w:rsidR="004F565C">
        <w:rPr>
          <w:rFonts w:ascii="Times New Roman" w:hAnsi="Times New Roman"/>
        </w:rPr>
        <w:t>PSE</w:t>
      </w:r>
      <w:r w:rsidR="00840BD5">
        <w:rPr>
          <w:rFonts w:ascii="Times New Roman" w:hAnsi="Times New Roman"/>
        </w:rPr>
        <w:t xml:space="preserve"> to build the Petitioners a new facility</w:t>
      </w:r>
      <w:r w:rsidR="00BA05A0">
        <w:rPr>
          <w:rFonts w:ascii="Times New Roman" w:hAnsi="Times New Roman"/>
        </w:rPr>
        <w:t xml:space="preserve">. </w:t>
      </w:r>
      <w:r w:rsidR="00276B08">
        <w:rPr>
          <w:rFonts w:ascii="Times New Roman" w:hAnsi="Times New Roman"/>
        </w:rPr>
        <w:t xml:space="preserve"> </w:t>
      </w:r>
      <w:r>
        <w:rPr>
          <w:rFonts w:ascii="Times New Roman" w:hAnsi="Times New Roman"/>
        </w:rPr>
        <w:t xml:space="preserve">The Commission should deny the Petitioners’ request. </w:t>
      </w:r>
      <w:r w:rsidR="00EC500B">
        <w:rPr>
          <w:rFonts w:ascii="Times New Roman" w:hAnsi="Times New Roman"/>
        </w:rPr>
        <w:t xml:space="preserve">  </w:t>
      </w:r>
    </w:p>
    <w:p w14:paraId="7206F3A3" w14:textId="05FC29E5" w:rsidR="00840BD5" w:rsidRDefault="000B3A48" w:rsidP="00626B27">
      <w:pPr>
        <w:pStyle w:val="Body1"/>
        <w:numPr>
          <w:ilvl w:val="0"/>
          <w:numId w:val="9"/>
        </w:numPr>
        <w:spacing w:line="480" w:lineRule="auto"/>
        <w:rPr>
          <w:rFonts w:ascii="Times New Roman" w:hAnsi="Times New Roman"/>
        </w:rPr>
      </w:pPr>
      <w:r w:rsidRPr="00BA05A0">
        <w:rPr>
          <w:rFonts w:ascii="Times New Roman" w:hAnsi="Times New Roman"/>
        </w:rPr>
        <w:tab/>
      </w:r>
      <w:r w:rsidR="004F565C" w:rsidRPr="00BA05A0">
        <w:rPr>
          <w:rFonts w:ascii="Times New Roman" w:hAnsi="Times New Roman"/>
        </w:rPr>
        <w:t>Staff</w:t>
      </w:r>
      <w:r w:rsidR="00BC4C3A" w:rsidRPr="00BA05A0">
        <w:rPr>
          <w:rFonts w:ascii="Times New Roman" w:hAnsi="Times New Roman"/>
        </w:rPr>
        <w:t xml:space="preserve"> has </w:t>
      </w:r>
      <w:r w:rsidRPr="00BA05A0">
        <w:rPr>
          <w:rFonts w:ascii="Times New Roman" w:hAnsi="Times New Roman"/>
        </w:rPr>
        <w:t xml:space="preserve">analyzed the cost impacts of </w:t>
      </w:r>
      <w:r w:rsidR="00150D42">
        <w:rPr>
          <w:rFonts w:ascii="Times New Roman" w:hAnsi="Times New Roman"/>
        </w:rPr>
        <w:t xml:space="preserve">installing </w:t>
      </w:r>
      <w:r w:rsidRPr="00BA05A0">
        <w:rPr>
          <w:rFonts w:ascii="Times New Roman" w:hAnsi="Times New Roman"/>
        </w:rPr>
        <w:t xml:space="preserve">a new facility for the Petitioners. </w:t>
      </w:r>
      <w:r w:rsidR="00B92CFA">
        <w:rPr>
          <w:rFonts w:ascii="Times New Roman" w:hAnsi="Times New Roman"/>
        </w:rPr>
        <w:t xml:space="preserve"> </w:t>
      </w:r>
      <w:r w:rsidRPr="00BA05A0">
        <w:rPr>
          <w:rFonts w:ascii="Times New Roman" w:hAnsi="Times New Roman"/>
        </w:rPr>
        <w:t xml:space="preserve">The facts show that PSE’s </w:t>
      </w:r>
      <w:r w:rsidR="00840BD5" w:rsidRPr="00BA05A0">
        <w:rPr>
          <w:rFonts w:ascii="Times New Roman" w:hAnsi="Times New Roman"/>
        </w:rPr>
        <w:t xml:space="preserve">replacement </w:t>
      </w:r>
      <w:r w:rsidRPr="00BA05A0">
        <w:rPr>
          <w:rFonts w:ascii="Times New Roman" w:hAnsi="Times New Roman"/>
        </w:rPr>
        <w:t xml:space="preserve">costs would exceed $5 million dollars. </w:t>
      </w:r>
      <w:r w:rsidR="00276B08">
        <w:rPr>
          <w:rFonts w:ascii="Times New Roman" w:hAnsi="Times New Roman"/>
        </w:rPr>
        <w:t xml:space="preserve"> </w:t>
      </w:r>
      <w:r w:rsidR="00DA18A0">
        <w:rPr>
          <w:rFonts w:ascii="Times New Roman" w:hAnsi="Times New Roman"/>
        </w:rPr>
        <w:t xml:space="preserve">Significantly, </w:t>
      </w:r>
      <w:r w:rsidR="00DA18A0" w:rsidRPr="00BA05A0">
        <w:rPr>
          <w:rFonts w:ascii="Times New Roman" w:hAnsi="Times New Roman"/>
        </w:rPr>
        <w:t>the</w:t>
      </w:r>
      <w:r w:rsidRPr="00BA05A0">
        <w:rPr>
          <w:rFonts w:ascii="Times New Roman" w:hAnsi="Times New Roman"/>
        </w:rPr>
        <w:t xml:space="preserve"> Petitioners</w:t>
      </w:r>
      <w:r w:rsidR="00DA18A0">
        <w:rPr>
          <w:rFonts w:ascii="Times New Roman" w:hAnsi="Times New Roman"/>
        </w:rPr>
        <w:t>’</w:t>
      </w:r>
      <w:r w:rsidRPr="00BA05A0">
        <w:rPr>
          <w:rFonts w:ascii="Times New Roman" w:hAnsi="Times New Roman"/>
        </w:rPr>
        <w:t xml:space="preserve"> electric use at the site </w:t>
      </w:r>
      <w:r w:rsidR="00DA18A0">
        <w:rPr>
          <w:rFonts w:ascii="Times New Roman" w:hAnsi="Times New Roman"/>
        </w:rPr>
        <w:t xml:space="preserve">would do </w:t>
      </w:r>
      <w:r w:rsidRPr="00BA05A0">
        <w:rPr>
          <w:rFonts w:ascii="Times New Roman" w:hAnsi="Times New Roman"/>
        </w:rPr>
        <w:t xml:space="preserve">very little to support PSE’s cost recovery. </w:t>
      </w:r>
      <w:r w:rsidR="00B92CFA">
        <w:rPr>
          <w:rFonts w:ascii="Times New Roman" w:hAnsi="Times New Roman"/>
        </w:rPr>
        <w:t xml:space="preserve"> </w:t>
      </w:r>
      <w:r w:rsidRPr="00BA05A0">
        <w:rPr>
          <w:rFonts w:ascii="Times New Roman" w:hAnsi="Times New Roman"/>
        </w:rPr>
        <w:t xml:space="preserve">The </w:t>
      </w:r>
      <w:r w:rsidR="004C1998" w:rsidRPr="00BA05A0">
        <w:rPr>
          <w:rFonts w:ascii="Times New Roman" w:hAnsi="Times New Roman"/>
        </w:rPr>
        <w:t>rates paid</w:t>
      </w:r>
      <w:r w:rsidRPr="00BA05A0">
        <w:rPr>
          <w:rFonts w:ascii="Times New Roman" w:hAnsi="Times New Roman"/>
        </w:rPr>
        <w:t xml:space="preserve"> by the Petitioners will generate less than 5 percent of the revenues necessary for PSE to recover its costs.</w:t>
      </w:r>
      <w:r w:rsidR="00840BD5" w:rsidRPr="00BA05A0">
        <w:rPr>
          <w:rFonts w:ascii="Times New Roman" w:hAnsi="Times New Roman"/>
        </w:rPr>
        <w:t xml:space="preserve"> </w:t>
      </w:r>
      <w:r w:rsidR="00B92CFA">
        <w:rPr>
          <w:rFonts w:ascii="Times New Roman" w:hAnsi="Times New Roman"/>
        </w:rPr>
        <w:t xml:space="preserve"> </w:t>
      </w:r>
      <w:r w:rsidR="00840BD5" w:rsidRPr="00BA05A0">
        <w:rPr>
          <w:rFonts w:ascii="Times New Roman" w:hAnsi="Times New Roman"/>
        </w:rPr>
        <w:t xml:space="preserve">The Petitioners would solve this problem by passing these costs to other ratepayers. Staff joins PSE in opposing this result. </w:t>
      </w:r>
      <w:r w:rsidR="00BA05A0">
        <w:rPr>
          <w:rFonts w:ascii="Times New Roman" w:hAnsi="Times New Roman"/>
        </w:rPr>
        <w:t xml:space="preserve"> </w:t>
      </w:r>
    </w:p>
    <w:p w14:paraId="1CD2296F" w14:textId="4349DD80" w:rsidR="00C023D4" w:rsidRDefault="00840BD5" w:rsidP="00626B27">
      <w:pPr>
        <w:pStyle w:val="Body1"/>
        <w:numPr>
          <w:ilvl w:val="0"/>
          <w:numId w:val="9"/>
        </w:numPr>
        <w:spacing w:line="480" w:lineRule="auto"/>
        <w:rPr>
          <w:rFonts w:ascii="Times New Roman" w:hAnsi="Times New Roman"/>
        </w:rPr>
      </w:pPr>
      <w:r w:rsidRPr="00BA05A0">
        <w:rPr>
          <w:rFonts w:ascii="Times New Roman" w:hAnsi="Times New Roman"/>
        </w:rPr>
        <w:tab/>
      </w:r>
      <w:r w:rsidR="00C023D4" w:rsidRPr="00BA05A0">
        <w:rPr>
          <w:rFonts w:ascii="Times New Roman" w:hAnsi="Times New Roman"/>
        </w:rPr>
        <w:t>T</w:t>
      </w:r>
      <w:r w:rsidRPr="00BA05A0">
        <w:rPr>
          <w:rFonts w:ascii="Times New Roman" w:hAnsi="Times New Roman"/>
        </w:rPr>
        <w:t>his brief will cover the central topics of Staff’s testimony</w:t>
      </w:r>
      <w:r w:rsidR="00DA18A0">
        <w:rPr>
          <w:rFonts w:ascii="Times New Roman" w:hAnsi="Times New Roman"/>
        </w:rPr>
        <w:t xml:space="preserve">: </w:t>
      </w:r>
      <w:r w:rsidR="00276B08">
        <w:rPr>
          <w:rFonts w:ascii="Times New Roman" w:hAnsi="Times New Roman"/>
        </w:rPr>
        <w:t xml:space="preserve"> </w:t>
      </w:r>
      <w:r w:rsidRPr="00BA05A0">
        <w:rPr>
          <w:rFonts w:ascii="Times New Roman" w:hAnsi="Times New Roman"/>
        </w:rPr>
        <w:t xml:space="preserve">the facility’s </w:t>
      </w:r>
      <w:r w:rsidR="00EC500B" w:rsidRPr="00BA05A0">
        <w:rPr>
          <w:rFonts w:ascii="Times New Roman" w:hAnsi="Times New Roman"/>
        </w:rPr>
        <w:t xml:space="preserve">estimated </w:t>
      </w:r>
      <w:r w:rsidRPr="00BA05A0">
        <w:rPr>
          <w:rFonts w:ascii="Times New Roman" w:hAnsi="Times New Roman"/>
        </w:rPr>
        <w:t>costs, the effects of the Petitioner</w:t>
      </w:r>
      <w:r w:rsidR="002B1056" w:rsidRPr="00BA05A0">
        <w:rPr>
          <w:rFonts w:ascii="Times New Roman" w:hAnsi="Times New Roman"/>
        </w:rPr>
        <w:t xml:space="preserve">s’ </w:t>
      </w:r>
      <w:r w:rsidRPr="00BA05A0">
        <w:rPr>
          <w:rFonts w:ascii="Times New Roman" w:hAnsi="Times New Roman"/>
        </w:rPr>
        <w:t xml:space="preserve">proposed ratemaking treatment, and the import of PSE’s relevant tariffs. </w:t>
      </w:r>
      <w:r w:rsidR="00B92CFA">
        <w:rPr>
          <w:rFonts w:ascii="Times New Roman" w:hAnsi="Times New Roman"/>
        </w:rPr>
        <w:t xml:space="preserve"> </w:t>
      </w:r>
      <w:r w:rsidR="00DA18A0">
        <w:rPr>
          <w:rFonts w:ascii="Times New Roman" w:hAnsi="Times New Roman"/>
        </w:rPr>
        <w:t>T</w:t>
      </w:r>
      <w:r w:rsidRPr="00BA05A0">
        <w:rPr>
          <w:rFonts w:ascii="Times New Roman" w:hAnsi="Times New Roman"/>
        </w:rPr>
        <w:t xml:space="preserve">he Commission </w:t>
      </w:r>
      <w:r w:rsidR="00DA18A0">
        <w:rPr>
          <w:rFonts w:ascii="Times New Roman" w:hAnsi="Times New Roman"/>
        </w:rPr>
        <w:t xml:space="preserve">has </w:t>
      </w:r>
      <w:r w:rsidRPr="00BA05A0">
        <w:rPr>
          <w:rFonts w:ascii="Times New Roman" w:hAnsi="Times New Roman"/>
        </w:rPr>
        <w:t xml:space="preserve">before it </w:t>
      </w:r>
      <w:r w:rsidR="00C023D4" w:rsidRPr="00BA05A0">
        <w:rPr>
          <w:rFonts w:ascii="Times New Roman" w:hAnsi="Times New Roman"/>
        </w:rPr>
        <w:t xml:space="preserve">a sufficient record to decide that the proposed facility serves very few customers, would be expensive to build, and the rates paid by the Petitioners would be far too little to support </w:t>
      </w:r>
      <w:r w:rsidR="00DA18A0">
        <w:rPr>
          <w:rFonts w:ascii="Times New Roman" w:hAnsi="Times New Roman"/>
        </w:rPr>
        <w:t xml:space="preserve">the facility’s </w:t>
      </w:r>
      <w:r w:rsidR="00C023D4" w:rsidRPr="00BA05A0">
        <w:rPr>
          <w:rFonts w:ascii="Times New Roman" w:hAnsi="Times New Roman"/>
        </w:rPr>
        <w:t xml:space="preserve">costs.  </w:t>
      </w:r>
      <w:r w:rsidR="00DA18A0">
        <w:rPr>
          <w:rFonts w:ascii="Times New Roman" w:hAnsi="Times New Roman"/>
        </w:rPr>
        <w:t>Taken together</w:t>
      </w:r>
      <w:r w:rsidR="001D3FD2">
        <w:rPr>
          <w:rFonts w:ascii="Times New Roman" w:hAnsi="Times New Roman"/>
        </w:rPr>
        <w:t xml:space="preserve">, </w:t>
      </w:r>
      <w:r w:rsidR="001D3FD2" w:rsidRPr="00BA05A0">
        <w:rPr>
          <w:rFonts w:ascii="Times New Roman" w:hAnsi="Times New Roman"/>
        </w:rPr>
        <w:t>these</w:t>
      </w:r>
      <w:r w:rsidR="00C023D4" w:rsidRPr="00BA05A0">
        <w:rPr>
          <w:rFonts w:ascii="Times New Roman" w:hAnsi="Times New Roman"/>
        </w:rPr>
        <w:t xml:space="preserve"> facts direct the Commission to </w:t>
      </w:r>
      <w:r w:rsidR="00DA18A0">
        <w:rPr>
          <w:rFonts w:ascii="Times New Roman" w:hAnsi="Times New Roman"/>
        </w:rPr>
        <w:t xml:space="preserve">but </w:t>
      </w:r>
      <w:r w:rsidR="00C023D4" w:rsidRPr="00BA05A0">
        <w:rPr>
          <w:rFonts w:ascii="Times New Roman" w:hAnsi="Times New Roman"/>
        </w:rPr>
        <w:t>one</w:t>
      </w:r>
      <w:r w:rsidR="002B1056" w:rsidRPr="00BA05A0">
        <w:rPr>
          <w:rFonts w:ascii="Times New Roman" w:hAnsi="Times New Roman"/>
        </w:rPr>
        <w:t xml:space="preserve"> </w:t>
      </w:r>
      <w:r w:rsidR="00C023D4" w:rsidRPr="00BA05A0">
        <w:rPr>
          <w:rFonts w:ascii="Times New Roman" w:hAnsi="Times New Roman"/>
        </w:rPr>
        <w:t xml:space="preserve">conclusion - </w:t>
      </w:r>
      <w:r w:rsidR="002B1056" w:rsidRPr="00BA05A0">
        <w:rPr>
          <w:rFonts w:ascii="Times New Roman" w:hAnsi="Times New Roman"/>
        </w:rPr>
        <w:t>any replacement</w:t>
      </w:r>
      <w:r w:rsidR="00C023D4" w:rsidRPr="00BA05A0">
        <w:rPr>
          <w:rFonts w:ascii="Times New Roman" w:hAnsi="Times New Roman"/>
        </w:rPr>
        <w:t xml:space="preserve"> facility </w:t>
      </w:r>
      <w:r w:rsidR="002B1056" w:rsidRPr="00BA05A0">
        <w:rPr>
          <w:rFonts w:ascii="Times New Roman" w:hAnsi="Times New Roman"/>
        </w:rPr>
        <w:t xml:space="preserve">serving the Petitioners should be paid for by the Petitioners - the cost causers.  </w:t>
      </w:r>
    </w:p>
    <w:p w14:paraId="290B8930" w14:textId="64046185" w:rsidR="002324B1" w:rsidRPr="00BA05A0" w:rsidRDefault="004F511D" w:rsidP="00626B27">
      <w:pPr>
        <w:pStyle w:val="Body1"/>
        <w:numPr>
          <w:ilvl w:val="0"/>
          <w:numId w:val="9"/>
        </w:numPr>
        <w:spacing w:line="480" w:lineRule="auto"/>
        <w:rPr>
          <w:rFonts w:ascii="Times New Roman" w:hAnsi="Times New Roman"/>
        </w:rPr>
      </w:pPr>
      <w:r w:rsidRPr="00BA05A0">
        <w:rPr>
          <w:rFonts w:ascii="Times New Roman" w:hAnsi="Times New Roman"/>
        </w:rPr>
        <w:tab/>
      </w:r>
      <w:r w:rsidR="002324B1" w:rsidRPr="00BA05A0">
        <w:rPr>
          <w:rFonts w:ascii="Times New Roman" w:hAnsi="Times New Roman"/>
        </w:rPr>
        <w:t>The Petitioners have not carried the</w:t>
      </w:r>
      <w:r w:rsidR="0059322B">
        <w:rPr>
          <w:rFonts w:ascii="Times New Roman" w:hAnsi="Times New Roman"/>
        </w:rPr>
        <w:t>ir</w:t>
      </w:r>
      <w:r w:rsidR="002324B1" w:rsidRPr="00BA05A0">
        <w:rPr>
          <w:rFonts w:ascii="Times New Roman" w:hAnsi="Times New Roman"/>
        </w:rPr>
        <w:t xml:space="preserve"> burden to prove that PSE is obligated to replace the </w:t>
      </w:r>
      <w:r w:rsidR="00EC500B" w:rsidRPr="00BA05A0">
        <w:rPr>
          <w:rFonts w:ascii="Times New Roman" w:hAnsi="Times New Roman"/>
        </w:rPr>
        <w:t xml:space="preserve">existing facility </w:t>
      </w:r>
      <w:r w:rsidR="002324B1" w:rsidRPr="00BA05A0">
        <w:rPr>
          <w:rFonts w:ascii="Times New Roman" w:hAnsi="Times New Roman"/>
        </w:rPr>
        <w:t xml:space="preserve">at its cost and </w:t>
      </w:r>
      <w:r w:rsidR="00EC500B" w:rsidRPr="00BA05A0">
        <w:rPr>
          <w:rFonts w:ascii="Times New Roman" w:hAnsi="Times New Roman"/>
        </w:rPr>
        <w:t xml:space="preserve">at the cost of </w:t>
      </w:r>
      <w:r w:rsidR="002324B1" w:rsidRPr="00BA05A0">
        <w:rPr>
          <w:rFonts w:ascii="Times New Roman" w:hAnsi="Times New Roman"/>
        </w:rPr>
        <w:t xml:space="preserve">the remaining ratepayers on PSE’s Schedule 24. </w:t>
      </w:r>
      <w:r w:rsidR="00B92CFA">
        <w:rPr>
          <w:rFonts w:ascii="Times New Roman" w:hAnsi="Times New Roman"/>
        </w:rPr>
        <w:t xml:space="preserve"> </w:t>
      </w:r>
      <w:r w:rsidR="002324B1" w:rsidRPr="00BA05A0">
        <w:rPr>
          <w:rFonts w:ascii="Times New Roman" w:hAnsi="Times New Roman"/>
        </w:rPr>
        <w:t xml:space="preserve">For this reason, the relief requested by the Petitioners should be denied and the status quo should be </w:t>
      </w:r>
      <w:r w:rsidR="0059322B">
        <w:rPr>
          <w:rFonts w:ascii="Times New Roman" w:hAnsi="Times New Roman"/>
        </w:rPr>
        <w:t>maintained</w:t>
      </w:r>
      <w:r w:rsidR="002324B1" w:rsidRPr="00BA05A0">
        <w:rPr>
          <w:rFonts w:ascii="Times New Roman" w:hAnsi="Times New Roman"/>
        </w:rPr>
        <w:t xml:space="preserve">. </w:t>
      </w:r>
    </w:p>
    <w:p w14:paraId="23B19A0A" w14:textId="5048DD63" w:rsidR="00626B27" w:rsidRPr="00C676DD" w:rsidRDefault="00BA05A0" w:rsidP="004908FC">
      <w:pPr>
        <w:pStyle w:val="Body1"/>
        <w:keepNext/>
        <w:spacing w:line="480" w:lineRule="auto"/>
        <w:jc w:val="center"/>
        <w:rPr>
          <w:rFonts w:ascii="Times New Roman" w:hAnsi="Times New Roman"/>
          <w:b/>
        </w:rPr>
      </w:pPr>
      <w:r>
        <w:rPr>
          <w:rFonts w:ascii="Times New Roman" w:hAnsi="Times New Roman"/>
          <w:b/>
        </w:rPr>
        <w:t>II.</w:t>
      </w:r>
      <w:r>
        <w:rPr>
          <w:rFonts w:ascii="Times New Roman" w:hAnsi="Times New Roman"/>
          <w:b/>
        </w:rPr>
        <w:tab/>
      </w:r>
      <w:r w:rsidR="00C676DD" w:rsidRPr="00C676DD">
        <w:rPr>
          <w:rFonts w:ascii="Times New Roman" w:hAnsi="Times New Roman"/>
          <w:b/>
        </w:rPr>
        <w:t>HISTORY OF THE MALONEY LINE</w:t>
      </w:r>
    </w:p>
    <w:p w14:paraId="5FB3DFB3" w14:textId="7D1981AB" w:rsidR="00D956B4" w:rsidRDefault="00BA05A0" w:rsidP="00BA05A0">
      <w:pPr>
        <w:pStyle w:val="Body1"/>
        <w:numPr>
          <w:ilvl w:val="0"/>
          <w:numId w:val="9"/>
        </w:numPr>
        <w:spacing w:line="480" w:lineRule="auto"/>
        <w:rPr>
          <w:rFonts w:ascii="Times New Roman" w:hAnsi="Times New Roman"/>
        </w:rPr>
      </w:pPr>
      <w:r>
        <w:rPr>
          <w:rFonts w:ascii="Times New Roman" w:hAnsi="Times New Roman"/>
        </w:rPr>
        <w:tab/>
      </w:r>
      <w:r w:rsidR="00626B27" w:rsidRPr="00626B27">
        <w:rPr>
          <w:rFonts w:ascii="Times New Roman" w:hAnsi="Times New Roman"/>
        </w:rPr>
        <w:t xml:space="preserve">The </w:t>
      </w:r>
      <w:r w:rsidR="00252CCA">
        <w:rPr>
          <w:rFonts w:ascii="Times New Roman" w:hAnsi="Times New Roman"/>
        </w:rPr>
        <w:t xml:space="preserve">Maloney </w:t>
      </w:r>
      <w:r w:rsidR="00C023D4">
        <w:rPr>
          <w:rFonts w:ascii="Times New Roman" w:hAnsi="Times New Roman"/>
        </w:rPr>
        <w:t xml:space="preserve">Ridge </w:t>
      </w:r>
      <w:r w:rsidR="00252CCA">
        <w:rPr>
          <w:rFonts w:ascii="Times New Roman" w:hAnsi="Times New Roman"/>
        </w:rPr>
        <w:t xml:space="preserve">Line </w:t>
      </w:r>
      <w:r w:rsidR="00C023D4">
        <w:rPr>
          <w:rFonts w:ascii="Times New Roman" w:hAnsi="Times New Roman"/>
        </w:rPr>
        <w:t xml:space="preserve">(“Maloney Line” or “Line”) </w:t>
      </w:r>
      <w:r w:rsidR="00167197">
        <w:rPr>
          <w:rFonts w:ascii="Times New Roman" w:hAnsi="Times New Roman"/>
        </w:rPr>
        <w:t xml:space="preserve">is a facility that was </w:t>
      </w:r>
      <w:r w:rsidR="006D45B4">
        <w:rPr>
          <w:rFonts w:ascii="Times New Roman" w:hAnsi="Times New Roman"/>
        </w:rPr>
        <w:t xml:space="preserve">built under </w:t>
      </w:r>
      <w:r w:rsidR="00167197">
        <w:rPr>
          <w:rFonts w:ascii="Times New Roman" w:hAnsi="Times New Roman"/>
        </w:rPr>
        <w:t xml:space="preserve">unique </w:t>
      </w:r>
      <w:r w:rsidR="006D45B4">
        <w:rPr>
          <w:rFonts w:ascii="Times New Roman" w:hAnsi="Times New Roman"/>
        </w:rPr>
        <w:t>circumstances</w:t>
      </w:r>
      <w:r w:rsidR="00167197">
        <w:rPr>
          <w:rFonts w:ascii="Times New Roman" w:hAnsi="Times New Roman"/>
        </w:rPr>
        <w:t>.</w:t>
      </w:r>
      <w:r w:rsidR="000C640C">
        <w:rPr>
          <w:rStyle w:val="FootnoteReference"/>
          <w:rFonts w:ascii="Times New Roman" w:hAnsi="Times New Roman"/>
        </w:rPr>
        <w:footnoteReference w:id="2"/>
      </w:r>
      <w:r w:rsidR="00167197">
        <w:rPr>
          <w:rFonts w:ascii="Times New Roman" w:hAnsi="Times New Roman"/>
        </w:rPr>
        <w:t xml:space="preserve"> </w:t>
      </w:r>
      <w:r w:rsidR="00B92CFA">
        <w:rPr>
          <w:rFonts w:ascii="Times New Roman" w:hAnsi="Times New Roman"/>
        </w:rPr>
        <w:t xml:space="preserve"> </w:t>
      </w:r>
      <w:r w:rsidR="000C640C">
        <w:rPr>
          <w:rFonts w:ascii="Times New Roman" w:hAnsi="Times New Roman"/>
        </w:rPr>
        <w:t xml:space="preserve">It </w:t>
      </w:r>
      <w:r w:rsidR="00C05783" w:rsidRPr="00626B27">
        <w:rPr>
          <w:rFonts w:ascii="Times New Roman" w:hAnsi="Times New Roman"/>
        </w:rPr>
        <w:t xml:space="preserve">serves </w:t>
      </w:r>
      <w:r w:rsidR="00C05783">
        <w:rPr>
          <w:rFonts w:ascii="Times New Roman" w:hAnsi="Times New Roman"/>
        </w:rPr>
        <w:t xml:space="preserve">four </w:t>
      </w:r>
      <w:r w:rsidR="00C05783" w:rsidRPr="00626B27">
        <w:rPr>
          <w:rFonts w:ascii="Times New Roman" w:hAnsi="Times New Roman"/>
        </w:rPr>
        <w:t xml:space="preserve">customers that have </w:t>
      </w:r>
      <w:r w:rsidR="0059322B">
        <w:rPr>
          <w:rFonts w:ascii="Times New Roman" w:hAnsi="Times New Roman"/>
        </w:rPr>
        <w:t xml:space="preserve">chosen to </w:t>
      </w:r>
      <w:r w:rsidR="00C05783" w:rsidRPr="00626B27">
        <w:rPr>
          <w:rFonts w:ascii="Times New Roman" w:hAnsi="Times New Roman"/>
        </w:rPr>
        <w:t xml:space="preserve">locate various facilities in steep and mountainous terrain </w:t>
      </w:r>
      <w:r w:rsidR="00C05783">
        <w:rPr>
          <w:rFonts w:ascii="Times New Roman" w:hAnsi="Times New Roman"/>
        </w:rPr>
        <w:t xml:space="preserve">northeast </w:t>
      </w:r>
      <w:r w:rsidR="00C05783" w:rsidRPr="00626B27">
        <w:rPr>
          <w:rFonts w:ascii="Times New Roman" w:hAnsi="Times New Roman"/>
        </w:rPr>
        <w:t>of the community of Skykomish</w:t>
      </w:r>
      <w:r w:rsidR="00C05783">
        <w:rPr>
          <w:rFonts w:ascii="Times New Roman" w:hAnsi="Times New Roman"/>
        </w:rPr>
        <w:t>, Washington</w:t>
      </w:r>
      <w:r w:rsidR="00C05783" w:rsidRPr="00626B27">
        <w:rPr>
          <w:rFonts w:ascii="Times New Roman" w:hAnsi="Times New Roman"/>
        </w:rPr>
        <w:t>.</w:t>
      </w:r>
      <w:r w:rsidR="00C05783">
        <w:rPr>
          <w:rStyle w:val="FootnoteReference"/>
          <w:rFonts w:ascii="Times New Roman" w:hAnsi="Times New Roman"/>
        </w:rPr>
        <w:footnoteReference w:id="3"/>
      </w:r>
      <w:r w:rsidR="00C05783" w:rsidRPr="00626B27">
        <w:rPr>
          <w:rFonts w:ascii="Times New Roman" w:hAnsi="Times New Roman"/>
        </w:rPr>
        <w:t xml:space="preserve"> </w:t>
      </w:r>
      <w:r w:rsidR="00B92CFA">
        <w:rPr>
          <w:rFonts w:ascii="Times New Roman" w:hAnsi="Times New Roman"/>
        </w:rPr>
        <w:t xml:space="preserve"> </w:t>
      </w:r>
      <w:r w:rsidR="004928F1" w:rsidRPr="00626B27">
        <w:rPr>
          <w:rFonts w:ascii="Times New Roman" w:hAnsi="Times New Roman"/>
        </w:rPr>
        <w:t xml:space="preserve">The </w:t>
      </w:r>
      <w:r w:rsidR="004928F1">
        <w:rPr>
          <w:rFonts w:ascii="Times New Roman" w:hAnsi="Times New Roman"/>
        </w:rPr>
        <w:t xml:space="preserve">Maloney Line </w:t>
      </w:r>
      <w:r w:rsidR="004928F1" w:rsidRPr="00626B27">
        <w:rPr>
          <w:rFonts w:ascii="Times New Roman" w:hAnsi="Times New Roman"/>
        </w:rPr>
        <w:t xml:space="preserve">was not constructed </w:t>
      </w:r>
      <w:r w:rsidR="00C023D4">
        <w:rPr>
          <w:rFonts w:ascii="Times New Roman" w:hAnsi="Times New Roman"/>
        </w:rPr>
        <w:t xml:space="preserve">by PSE (“PSE” or “Company”) </w:t>
      </w:r>
      <w:r w:rsidR="004928F1" w:rsidRPr="00626B27">
        <w:rPr>
          <w:rFonts w:ascii="Times New Roman" w:hAnsi="Times New Roman"/>
        </w:rPr>
        <w:t>through the application of PSE's line extension tariffs.</w:t>
      </w:r>
      <w:r w:rsidR="001F0E91">
        <w:rPr>
          <w:rStyle w:val="FootnoteReference"/>
          <w:rFonts w:ascii="Times New Roman" w:hAnsi="Times New Roman"/>
        </w:rPr>
        <w:footnoteReference w:id="4"/>
      </w:r>
      <w:r w:rsidR="004928F1">
        <w:rPr>
          <w:rFonts w:ascii="Times New Roman" w:hAnsi="Times New Roman"/>
        </w:rPr>
        <w:t xml:space="preserve"> </w:t>
      </w:r>
      <w:r w:rsidR="00B92CFA">
        <w:rPr>
          <w:rFonts w:ascii="Times New Roman" w:hAnsi="Times New Roman"/>
        </w:rPr>
        <w:t xml:space="preserve"> </w:t>
      </w:r>
      <w:r w:rsidR="004928F1">
        <w:rPr>
          <w:rFonts w:ascii="Times New Roman" w:hAnsi="Times New Roman"/>
        </w:rPr>
        <w:t xml:space="preserve">Rather, the Line </w:t>
      </w:r>
      <w:r w:rsidR="00C05783">
        <w:rPr>
          <w:rFonts w:ascii="Times New Roman" w:hAnsi="Times New Roman"/>
        </w:rPr>
        <w:t>was built pursuant to a 1971 agreement between PSE and General Telephone and Electronics Corporation (“GTE”) that provided for the original construction of the project and its continuing operation and maintenance.</w:t>
      </w:r>
      <w:r w:rsidR="00C05783">
        <w:rPr>
          <w:rStyle w:val="FootnoteReference"/>
          <w:rFonts w:ascii="Times New Roman" w:hAnsi="Times New Roman"/>
        </w:rPr>
        <w:footnoteReference w:id="5"/>
      </w:r>
      <w:r w:rsidR="00C05783">
        <w:rPr>
          <w:rFonts w:ascii="Times New Roman" w:hAnsi="Times New Roman"/>
        </w:rPr>
        <w:t xml:space="preserve">  </w:t>
      </w:r>
      <w:r w:rsidR="00D956B4">
        <w:rPr>
          <w:rFonts w:ascii="Times New Roman" w:hAnsi="Times New Roman"/>
        </w:rPr>
        <w:t>Importantly, the 1971 agreement required GTE to cover all of PSE’s costs for the Maloney Line’s construction, maintenance</w:t>
      </w:r>
      <w:r w:rsidR="00B24191">
        <w:rPr>
          <w:rFonts w:ascii="Times New Roman" w:hAnsi="Times New Roman"/>
        </w:rPr>
        <w:t>, and removal</w:t>
      </w:r>
      <w:r w:rsidR="00D956B4">
        <w:rPr>
          <w:rFonts w:ascii="Times New Roman" w:hAnsi="Times New Roman"/>
        </w:rPr>
        <w:t>.</w:t>
      </w:r>
      <w:r w:rsidR="00D956B4">
        <w:rPr>
          <w:rStyle w:val="FootnoteReference"/>
          <w:rFonts w:ascii="Times New Roman" w:hAnsi="Times New Roman"/>
        </w:rPr>
        <w:footnoteReference w:id="6"/>
      </w:r>
      <w:r w:rsidR="00D956B4">
        <w:rPr>
          <w:rFonts w:ascii="Times New Roman" w:hAnsi="Times New Roman"/>
        </w:rPr>
        <w:t xml:space="preserve">  </w:t>
      </w:r>
      <w:r w:rsidR="001F0E91">
        <w:rPr>
          <w:rFonts w:ascii="Times New Roman" w:hAnsi="Times New Roman"/>
        </w:rPr>
        <w:t xml:space="preserve">The 1971 agreement was necessary because the </w:t>
      </w:r>
      <w:r w:rsidR="004928F1" w:rsidRPr="00626B27">
        <w:rPr>
          <w:rFonts w:ascii="Times New Roman" w:hAnsi="Times New Roman"/>
        </w:rPr>
        <w:t xml:space="preserve">project </w:t>
      </w:r>
      <w:r w:rsidR="001F0E91">
        <w:rPr>
          <w:rFonts w:ascii="Times New Roman" w:hAnsi="Times New Roman"/>
        </w:rPr>
        <w:t xml:space="preserve">exceeded the limits of PSE’s then-existing line extension tariff and </w:t>
      </w:r>
      <w:r w:rsidR="004928F1" w:rsidRPr="00626B27">
        <w:rPr>
          <w:rFonts w:ascii="Times New Roman" w:hAnsi="Times New Roman"/>
        </w:rPr>
        <w:t>could not meet the utility</w:t>
      </w:r>
      <w:r w:rsidR="0059322B">
        <w:rPr>
          <w:rFonts w:ascii="Times New Roman" w:hAnsi="Times New Roman"/>
        </w:rPr>
        <w:t>’</w:t>
      </w:r>
      <w:r w:rsidR="004928F1" w:rsidRPr="00626B27">
        <w:rPr>
          <w:rFonts w:ascii="Times New Roman" w:hAnsi="Times New Roman"/>
        </w:rPr>
        <w:t>s economic feasibility test.</w:t>
      </w:r>
      <w:r w:rsidR="001F0E91">
        <w:rPr>
          <w:rStyle w:val="FootnoteReference"/>
          <w:rFonts w:ascii="Times New Roman" w:hAnsi="Times New Roman"/>
        </w:rPr>
        <w:footnoteReference w:id="7"/>
      </w:r>
      <w:r>
        <w:rPr>
          <w:rFonts w:ascii="Times New Roman" w:hAnsi="Times New Roman"/>
        </w:rPr>
        <w:t xml:space="preserve">  </w:t>
      </w:r>
    </w:p>
    <w:p w14:paraId="67CEC175" w14:textId="4423425D" w:rsidR="00B24191" w:rsidRPr="00BA05A0" w:rsidRDefault="00B24191" w:rsidP="00626B27">
      <w:pPr>
        <w:pStyle w:val="Body1"/>
        <w:numPr>
          <w:ilvl w:val="0"/>
          <w:numId w:val="9"/>
        </w:numPr>
        <w:spacing w:line="480" w:lineRule="auto"/>
        <w:rPr>
          <w:rFonts w:ascii="Times New Roman" w:hAnsi="Times New Roman"/>
        </w:rPr>
      </w:pPr>
      <w:r w:rsidRPr="00BA05A0">
        <w:rPr>
          <w:rFonts w:ascii="Times New Roman" w:hAnsi="Times New Roman"/>
        </w:rPr>
        <w:tab/>
        <w:t>In 1994, the agreement with GTE was amended</w:t>
      </w:r>
      <w:r w:rsidR="000110F5" w:rsidRPr="00BA05A0">
        <w:rPr>
          <w:rFonts w:ascii="Times New Roman" w:hAnsi="Times New Roman"/>
        </w:rPr>
        <w:t xml:space="preserve"> </w:t>
      </w:r>
      <w:r w:rsidR="002D1E46" w:rsidRPr="00BA05A0">
        <w:rPr>
          <w:rFonts w:ascii="Times New Roman" w:hAnsi="Times New Roman"/>
        </w:rPr>
        <w:t>and superseded by a “Service Agreement” that required GTE to pay for all operating costs incurred by PSE relative to the operation, repair and maintenance of the Maloney Line.</w:t>
      </w:r>
      <w:r w:rsidR="002D1E46">
        <w:rPr>
          <w:rStyle w:val="FootnoteReference"/>
          <w:rFonts w:ascii="Times New Roman" w:hAnsi="Times New Roman"/>
        </w:rPr>
        <w:footnoteReference w:id="8"/>
      </w:r>
      <w:r w:rsidR="002D1E46" w:rsidRPr="00BA05A0">
        <w:rPr>
          <w:rFonts w:ascii="Times New Roman" w:hAnsi="Times New Roman"/>
        </w:rPr>
        <w:t xml:space="preserve">  </w:t>
      </w:r>
      <w:r w:rsidR="009F5B21" w:rsidRPr="00BA05A0">
        <w:rPr>
          <w:rFonts w:ascii="Times New Roman" w:hAnsi="Times New Roman"/>
        </w:rPr>
        <w:t>Service Agreements</w:t>
      </w:r>
      <w:r w:rsidR="002D1E46" w:rsidRPr="00BA05A0">
        <w:rPr>
          <w:rFonts w:ascii="Times New Roman" w:hAnsi="Times New Roman"/>
        </w:rPr>
        <w:t xml:space="preserve"> with similar terms and conditions were </w:t>
      </w:r>
      <w:r w:rsidRPr="00BA05A0">
        <w:rPr>
          <w:rFonts w:ascii="Times New Roman" w:hAnsi="Times New Roman"/>
        </w:rPr>
        <w:t>executed by PSE and counterparties BNSF, King County and the Maloney Ridge Users Association.</w:t>
      </w:r>
      <w:r w:rsidR="002D1E46">
        <w:rPr>
          <w:rStyle w:val="FootnoteReference"/>
          <w:rFonts w:ascii="Times New Roman" w:hAnsi="Times New Roman"/>
        </w:rPr>
        <w:footnoteReference w:id="9"/>
      </w:r>
      <w:r w:rsidR="002D1E46" w:rsidRPr="00BA05A0">
        <w:rPr>
          <w:rFonts w:ascii="Times New Roman" w:hAnsi="Times New Roman"/>
        </w:rPr>
        <w:t xml:space="preserve"> </w:t>
      </w:r>
      <w:r w:rsidR="00B92CFA">
        <w:rPr>
          <w:rFonts w:ascii="Times New Roman" w:hAnsi="Times New Roman"/>
        </w:rPr>
        <w:t xml:space="preserve"> </w:t>
      </w:r>
      <w:r w:rsidR="0030735B" w:rsidRPr="00BA05A0">
        <w:rPr>
          <w:rFonts w:ascii="Times New Roman" w:hAnsi="Times New Roman"/>
        </w:rPr>
        <w:t xml:space="preserve">By and through these agreements, </w:t>
      </w:r>
      <w:r w:rsidR="0026431C" w:rsidRPr="00BA05A0">
        <w:rPr>
          <w:rFonts w:ascii="Times New Roman" w:hAnsi="Times New Roman"/>
        </w:rPr>
        <w:t xml:space="preserve">the Petitioners </w:t>
      </w:r>
      <w:r w:rsidR="008C420B" w:rsidRPr="00BA05A0">
        <w:rPr>
          <w:rFonts w:ascii="Times New Roman" w:hAnsi="Times New Roman"/>
        </w:rPr>
        <w:t xml:space="preserve">accepted </w:t>
      </w:r>
      <w:r w:rsidR="0026431C" w:rsidRPr="00BA05A0">
        <w:rPr>
          <w:rFonts w:ascii="Times New Roman" w:hAnsi="Times New Roman"/>
        </w:rPr>
        <w:t xml:space="preserve">financial responsibility </w:t>
      </w:r>
      <w:r w:rsidR="008C420B" w:rsidRPr="00BA05A0">
        <w:rPr>
          <w:rFonts w:ascii="Times New Roman" w:hAnsi="Times New Roman"/>
        </w:rPr>
        <w:t xml:space="preserve">for </w:t>
      </w:r>
      <w:r w:rsidR="0026431C" w:rsidRPr="00BA05A0">
        <w:rPr>
          <w:rFonts w:ascii="Times New Roman" w:hAnsi="Times New Roman"/>
        </w:rPr>
        <w:t xml:space="preserve">any costs incurred by PSE to operate, repair and maintain the Maloney Line.  </w:t>
      </w:r>
    </w:p>
    <w:p w14:paraId="50AE7659" w14:textId="37CDF52E" w:rsidR="0026431C" w:rsidRPr="0026431C" w:rsidRDefault="00BA05A0" w:rsidP="00276B08">
      <w:pPr>
        <w:pStyle w:val="Body1"/>
        <w:keepNext/>
        <w:spacing w:line="480" w:lineRule="auto"/>
        <w:jc w:val="center"/>
        <w:rPr>
          <w:rFonts w:ascii="Times New Roman" w:hAnsi="Times New Roman"/>
          <w:b/>
        </w:rPr>
      </w:pPr>
      <w:r>
        <w:rPr>
          <w:rFonts w:ascii="Times New Roman" w:hAnsi="Times New Roman"/>
          <w:b/>
        </w:rPr>
        <w:t>III.</w:t>
      </w:r>
      <w:r>
        <w:rPr>
          <w:rFonts w:ascii="Times New Roman" w:hAnsi="Times New Roman"/>
          <w:b/>
        </w:rPr>
        <w:tab/>
      </w:r>
      <w:r w:rsidR="0026431C" w:rsidRPr="0026431C">
        <w:rPr>
          <w:rFonts w:ascii="Times New Roman" w:hAnsi="Times New Roman"/>
          <w:b/>
        </w:rPr>
        <w:t xml:space="preserve">THE </w:t>
      </w:r>
      <w:r w:rsidR="0026431C">
        <w:rPr>
          <w:rFonts w:ascii="Times New Roman" w:hAnsi="Times New Roman"/>
          <w:b/>
        </w:rPr>
        <w:t xml:space="preserve">SERVICE PROVIDED </w:t>
      </w:r>
      <w:r w:rsidR="0026431C" w:rsidRPr="0026431C">
        <w:rPr>
          <w:rFonts w:ascii="Times New Roman" w:hAnsi="Times New Roman"/>
          <w:b/>
        </w:rPr>
        <w:t>THE PETITIONERS</w:t>
      </w:r>
    </w:p>
    <w:p w14:paraId="660DD676" w14:textId="7F2A9612" w:rsidR="00F72650" w:rsidRDefault="00BA05A0" w:rsidP="00BA05A0">
      <w:pPr>
        <w:pStyle w:val="Body1"/>
        <w:numPr>
          <w:ilvl w:val="0"/>
          <w:numId w:val="9"/>
        </w:numPr>
        <w:spacing w:line="480" w:lineRule="auto"/>
        <w:rPr>
          <w:rFonts w:ascii="Times New Roman" w:hAnsi="Times New Roman"/>
        </w:rPr>
      </w:pPr>
      <w:r>
        <w:rPr>
          <w:rFonts w:ascii="Times New Roman" w:hAnsi="Times New Roman"/>
        </w:rPr>
        <w:tab/>
      </w:r>
      <w:r w:rsidR="00626B27" w:rsidRPr="00626B27">
        <w:rPr>
          <w:rFonts w:ascii="Times New Roman" w:hAnsi="Times New Roman"/>
        </w:rPr>
        <w:t xml:space="preserve">The </w:t>
      </w:r>
      <w:r w:rsidR="0059322B">
        <w:rPr>
          <w:rFonts w:ascii="Times New Roman" w:hAnsi="Times New Roman"/>
        </w:rPr>
        <w:t>Petitioner</w:t>
      </w:r>
      <w:r w:rsidR="0026431C">
        <w:rPr>
          <w:rFonts w:ascii="Times New Roman" w:hAnsi="Times New Roman"/>
        </w:rPr>
        <w:t xml:space="preserve">s </w:t>
      </w:r>
      <w:r w:rsidR="00626B27" w:rsidRPr="00626B27">
        <w:rPr>
          <w:rFonts w:ascii="Times New Roman" w:hAnsi="Times New Roman"/>
        </w:rPr>
        <w:t xml:space="preserve">operate communications and data transmission equipment supporting various business and government operations. </w:t>
      </w:r>
      <w:r w:rsidR="00B92CFA">
        <w:rPr>
          <w:rFonts w:ascii="Times New Roman" w:hAnsi="Times New Roman"/>
        </w:rPr>
        <w:t xml:space="preserve"> </w:t>
      </w:r>
      <w:r w:rsidR="0026431C">
        <w:rPr>
          <w:rFonts w:ascii="Times New Roman" w:hAnsi="Times New Roman"/>
        </w:rPr>
        <w:t xml:space="preserve">PSE provides electric service to the Petitioners pursuant to its </w:t>
      </w:r>
      <w:r w:rsidR="00103168">
        <w:rPr>
          <w:rFonts w:ascii="Times New Roman" w:hAnsi="Times New Roman"/>
        </w:rPr>
        <w:t xml:space="preserve">Commission-approved Schedule 24. Schedule 24 is </w:t>
      </w:r>
      <w:r w:rsidR="001F0E91">
        <w:rPr>
          <w:rFonts w:ascii="Times New Roman" w:hAnsi="Times New Roman"/>
        </w:rPr>
        <w:t xml:space="preserve">made </w:t>
      </w:r>
      <w:r w:rsidR="00103168">
        <w:rPr>
          <w:rFonts w:ascii="Times New Roman" w:hAnsi="Times New Roman"/>
        </w:rPr>
        <w:t>available to “non-residential customers with a demand of less than 50 kW.”</w:t>
      </w:r>
      <w:r w:rsidR="00103168">
        <w:rPr>
          <w:rStyle w:val="FootnoteReference"/>
          <w:rFonts w:ascii="Times New Roman" w:hAnsi="Times New Roman"/>
        </w:rPr>
        <w:footnoteReference w:id="10"/>
      </w:r>
      <w:r w:rsidR="00103168">
        <w:rPr>
          <w:rFonts w:ascii="Times New Roman" w:hAnsi="Times New Roman"/>
        </w:rPr>
        <w:t xml:space="preserve">  With</w:t>
      </w:r>
      <w:r w:rsidR="0049066A">
        <w:rPr>
          <w:rFonts w:ascii="Times New Roman" w:hAnsi="Times New Roman"/>
        </w:rPr>
        <w:t xml:space="preserve"> such</w:t>
      </w:r>
      <w:r w:rsidR="00103168">
        <w:rPr>
          <w:rFonts w:ascii="Times New Roman" w:hAnsi="Times New Roman"/>
        </w:rPr>
        <w:t xml:space="preserve"> limited demand, the Petitioners </w:t>
      </w:r>
      <w:r w:rsidR="00F72650">
        <w:rPr>
          <w:rFonts w:ascii="Times New Roman" w:hAnsi="Times New Roman"/>
        </w:rPr>
        <w:t xml:space="preserve">are relatively small commercial </w:t>
      </w:r>
      <w:r w:rsidR="00103168">
        <w:rPr>
          <w:rFonts w:ascii="Times New Roman" w:hAnsi="Times New Roman"/>
        </w:rPr>
        <w:t xml:space="preserve">customers of PSE. </w:t>
      </w:r>
      <w:r w:rsidR="00B92CFA">
        <w:rPr>
          <w:rFonts w:ascii="Times New Roman" w:hAnsi="Times New Roman"/>
        </w:rPr>
        <w:t xml:space="preserve"> </w:t>
      </w:r>
      <w:r w:rsidR="00103168">
        <w:rPr>
          <w:rFonts w:ascii="Times New Roman" w:hAnsi="Times New Roman"/>
        </w:rPr>
        <w:t xml:space="preserve">The relative lack of </w:t>
      </w:r>
      <w:r w:rsidR="0049066A">
        <w:rPr>
          <w:rFonts w:ascii="Times New Roman" w:hAnsi="Times New Roman"/>
        </w:rPr>
        <w:t xml:space="preserve">electrical energy required by the Petitioners is a critical factor in determining the economic feasibility of </w:t>
      </w:r>
      <w:r w:rsidR="0046385F">
        <w:rPr>
          <w:rFonts w:ascii="Times New Roman" w:hAnsi="Times New Roman"/>
        </w:rPr>
        <w:t xml:space="preserve">installing a new service line on </w:t>
      </w:r>
      <w:r w:rsidR="0049066A">
        <w:rPr>
          <w:rFonts w:ascii="Times New Roman" w:hAnsi="Times New Roman"/>
        </w:rPr>
        <w:t xml:space="preserve">Maloney </w:t>
      </w:r>
      <w:r w:rsidR="0046385F">
        <w:rPr>
          <w:rFonts w:ascii="Times New Roman" w:hAnsi="Times New Roman"/>
        </w:rPr>
        <w:t xml:space="preserve">Ridge. </w:t>
      </w:r>
    </w:p>
    <w:p w14:paraId="2524A1F9" w14:textId="0EF39063" w:rsidR="004928F1" w:rsidRDefault="00F72650" w:rsidP="00626B27">
      <w:pPr>
        <w:pStyle w:val="Body1"/>
        <w:numPr>
          <w:ilvl w:val="0"/>
          <w:numId w:val="9"/>
        </w:numPr>
        <w:spacing w:line="480" w:lineRule="auto"/>
        <w:rPr>
          <w:rFonts w:ascii="Times New Roman" w:hAnsi="Times New Roman"/>
        </w:rPr>
      </w:pPr>
      <w:r w:rsidRPr="00BA05A0">
        <w:rPr>
          <w:rFonts w:ascii="Times New Roman" w:hAnsi="Times New Roman"/>
        </w:rPr>
        <w:tab/>
      </w:r>
      <w:r w:rsidR="00626B27" w:rsidRPr="00BA05A0">
        <w:rPr>
          <w:rFonts w:ascii="Times New Roman" w:hAnsi="Times New Roman"/>
        </w:rPr>
        <w:t xml:space="preserve">The activities pursued by the </w:t>
      </w:r>
      <w:r w:rsidRPr="00BA05A0">
        <w:rPr>
          <w:rFonts w:ascii="Times New Roman" w:hAnsi="Times New Roman"/>
        </w:rPr>
        <w:t>P</w:t>
      </w:r>
      <w:r w:rsidR="00626B27" w:rsidRPr="00BA05A0">
        <w:rPr>
          <w:rFonts w:ascii="Times New Roman" w:hAnsi="Times New Roman"/>
        </w:rPr>
        <w:t>etitioners on M</w:t>
      </w:r>
      <w:r w:rsidRPr="00BA05A0">
        <w:rPr>
          <w:rFonts w:ascii="Times New Roman" w:hAnsi="Times New Roman"/>
        </w:rPr>
        <w:t xml:space="preserve">aloney Ridge </w:t>
      </w:r>
      <w:r w:rsidR="00626B27" w:rsidRPr="00BA05A0">
        <w:rPr>
          <w:rFonts w:ascii="Times New Roman" w:hAnsi="Times New Roman"/>
        </w:rPr>
        <w:t>are largely</w:t>
      </w:r>
      <w:r w:rsidR="00CC2F11" w:rsidRPr="00BA05A0">
        <w:rPr>
          <w:rFonts w:ascii="Times New Roman" w:hAnsi="Times New Roman"/>
        </w:rPr>
        <w:t xml:space="preserve"> irrelevant </w:t>
      </w:r>
      <w:r w:rsidR="00626B27" w:rsidRPr="00BA05A0">
        <w:rPr>
          <w:rFonts w:ascii="Times New Roman" w:hAnsi="Times New Roman"/>
        </w:rPr>
        <w:t xml:space="preserve">to the outcome of this case.  Staff does not dispute the </w:t>
      </w:r>
      <w:r w:rsidRPr="00BA05A0">
        <w:rPr>
          <w:rFonts w:ascii="Times New Roman" w:hAnsi="Times New Roman"/>
        </w:rPr>
        <w:t>Petitioners</w:t>
      </w:r>
      <w:r w:rsidR="004928F1" w:rsidRPr="00BA05A0">
        <w:rPr>
          <w:rFonts w:ascii="Times New Roman" w:hAnsi="Times New Roman"/>
        </w:rPr>
        <w:t>’</w:t>
      </w:r>
      <w:r w:rsidRPr="00BA05A0">
        <w:rPr>
          <w:rFonts w:ascii="Times New Roman" w:hAnsi="Times New Roman"/>
        </w:rPr>
        <w:t xml:space="preserve"> </w:t>
      </w:r>
      <w:r w:rsidR="00626B27" w:rsidRPr="00BA05A0">
        <w:rPr>
          <w:rFonts w:ascii="Times New Roman" w:hAnsi="Times New Roman"/>
        </w:rPr>
        <w:t>representations that certain activities conducted on M</w:t>
      </w:r>
      <w:r w:rsidRPr="00BA05A0">
        <w:rPr>
          <w:rFonts w:ascii="Times New Roman" w:hAnsi="Times New Roman"/>
        </w:rPr>
        <w:t xml:space="preserve">aloney Ridge </w:t>
      </w:r>
      <w:r w:rsidR="00626B27" w:rsidRPr="00BA05A0">
        <w:rPr>
          <w:rFonts w:ascii="Times New Roman" w:hAnsi="Times New Roman"/>
        </w:rPr>
        <w:t>support communications and data transfers that benefit both business and government interests</w:t>
      </w:r>
      <w:r w:rsidRPr="00BA05A0">
        <w:rPr>
          <w:rFonts w:ascii="Times New Roman" w:hAnsi="Times New Roman"/>
        </w:rPr>
        <w:t>,</w:t>
      </w:r>
      <w:r w:rsidR="00626B27" w:rsidRPr="00BA05A0">
        <w:rPr>
          <w:rFonts w:ascii="Times New Roman" w:hAnsi="Times New Roman"/>
        </w:rPr>
        <w:t xml:space="preserve"> and as a result</w:t>
      </w:r>
      <w:r w:rsidR="004928F1" w:rsidRPr="00BA05A0">
        <w:rPr>
          <w:rFonts w:ascii="Times New Roman" w:hAnsi="Times New Roman"/>
        </w:rPr>
        <w:t xml:space="preserve">, </w:t>
      </w:r>
      <w:r w:rsidR="00626B27" w:rsidRPr="00BA05A0">
        <w:rPr>
          <w:rFonts w:ascii="Times New Roman" w:hAnsi="Times New Roman"/>
        </w:rPr>
        <w:t xml:space="preserve">benefit certain segments of the public. </w:t>
      </w:r>
      <w:r w:rsidR="00B92CFA">
        <w:rPr>
          <w:rFonts w:ascii="Times New Roman" w:hAnsi="Times New Roman"/>
        </w:rPr>
        <w:t xml:space="preserve"> </w:t>
      </w:r>
      <w:r w:rsidR="00626B27" w:rsidRPr="00BA05A0">
        <w:rPr>
          <w:rFonts w:ascii="Times New Roman" w:hAnsi="Times New Roman"/>
        </w:rPr>
        <w:t xml:space="preserve">Staff does however dispute any conclusion suggested </w:t>
      </w:r>
      <w:r w:rsidR="00D273C5" w:rsidRPr="00BA05A0">
        <w:rPr>
          <w:rFonts w:ascii="Times New Roman" w:hAnsi="Times New Roman"/>
        </w:rPr>
        <w:t xml:space="preserve">or </w:t>
      </w:r>
      <w:r w:rsidR="00716671">
        <w:rPr>
          <w:rFonts w:ascii="Times New Roman" w:hAnsi="Times New Roman"/>
        </w:rPr>
        <w:t xml:space="preserve">implied </w:t>
      </w:r>
      <w:r w:rsidR="00626B27" w:rsidRPr="00BA05A0">
        <w:rPr>
          <w:rFonts w:ascii="Times New Roman" w:hAnsi="Times New Roman"/>
        </w:rPr>
        <w:t xml:space="preserve">by </w:t>
      </w:r>
      <w:r w:rsidR="004928F1" w:rsidRPr="00BA05A0">
        <w:rPr>
          <w:rFonts w:ascii="Times New Roman" w:hAnsi="Times New Roman"/>
        </w:rPr>
        <w:t xml:space="preserve">the </w:t>
      </w:r>
      <w:r w:rsidRPr="00BA05A0">
        <w:rPr>
          <w:rFonts w:ascii="Times New Roman" w:hAnsi="Times New Roman"/>
        </w:rPr>
        <w:t>P</w:t>
      </w:r>
      <w:r w:rsidR="00626B27" w:rsidRPr="00BA05A0">
        <w:rPr>
          <w:rFonts w:ascii="Times New Roman" w:hAnsi="Times New Roman"/>
        </w:rPr>
        <w:t xml:space="preserve">etitioners that the purpose of such activities </w:t>
      </w:r>
      <w:r w:rsidR="0046385F" w:rsidRPr="00BA05A0">
        <w:rPr>
          <w:rFonts w:ascii="Times New Roman" w:hAnsi="Times New Roman"/>
        </w:rPr>
        <w:t>sh</w:t>
      </w:r>
      <w:r w:rsidR="00626B27" w:rsidRPr="00BA05A0">
        <w:rPr>
          <w:rFonts w:ascii="Times New Roman" w:hAnsi="Times New Roman"/>
        </w:rPr>
        <w:t xml:space="preserve">ould override in part or </w:t>
      </w:r>
      <w:r w:rsidR="00716671">
        <w:rPr>
          <w:rFonts w:ascii="Times New Roman" w:hAnsi="Times New Roman"/>
        </w:rPr>
        <w:t>in whole the intent of PSE’</w:t>
      </w:r>
      <w:r w:rsidR="00626B27" w:rsidRPr="00BA05A0">
        <w:rPr>
          <w:rFonts w:ascii="Times New Roman" w:hAnsi="Times New Roman"/>
        </w:rPr>
        <w:t xml:space="preserve">s applicable tariffs or the operative contract terms </w:t>
      </w:r>
      <w:r w:rsidR="004928F1" w:rsidRPr="00BA05A0">
        <w:rPr>
          <w:rFonts w:ascii="Times New Roman" w:hAnsi="Times New Roman"/>
        </w:rPr>
        <w:t xml:space="preserve">they </w:t>
      </w:r>
      <w:r w:rsidR="00626B27" w:rsidRPr="00BA05A0">
        <w:rPr>
          <w:rFonts w:ascii="Times New Roman" w:hAnsi="Times New Roman"/>
        </w:rPr>
        <w:t xml:space="preserve">voluntarily agreed to </w:t>
      </w:r>
      <w:r w:rsidR="004928F1" w:rsidRPr="00BA05A0">
        <w:rPr>
          <w:rFonts w:ascii="Times New Roman" w:hAnsi="Times New Roman"/>
        </w:rPr>
        <w:t xml:space="preserve">perform. </w:t>
      </w:r>
      <w:r w:rsidR="00BA05A0">
        <w:rPr>
          <w:rFonts w:ascii="Times New Roman" w:hAnsi="Times New Roman"/>
        </w:rPr>
        <w:t xml:space="preserve"> </w:t>
      </w:r>
    </w:p>
    <w:p w14:paraId="1F6F7440" w14:textId="650A38FA" w:rsidR="00626B27" w:rsidRDefault="004928F1" w:rsidP="00626B27">
      <w:pPr>
        <w:pStyle w:val="Body1"/>
        <w:numPr>
          <w:ilvl w:val="0"/>
          <w:numId w:val="9"/>
        </w:numPr>
        <w:spacing w:line="480" w:lineRule="auto"/>
        <w:rPr>
          <w:rFonts w:ascii="Times New Roman" w:hAnsi="Times New Roman"/>
        </w:rPr>
      </w:pPr>
      <w:r w:rsidRPr="00BA05A0">
        <w:rPr>
          <w:rFonts w:ascii="Times New Roman" w:hAnsi="Times New Roman"/>
        </w:rPr>
        <w:tab/>
      </w:r>
      <w:r w:rsidR="00626B27" w:rsidRPr="00BA05A0">
        <w:rPr>
          <w:rFonts w:ascii="Times New Roman" w:hAnsi="Times New Roman"/>
        </w:rPr>
        <w:t xml:space="preserve">Many </w:t>
      </w:r>
      <w:r w:rsidR="00F72650" w:rsidRPr="00BA05A0">
        <w:rPr>
          <w:rFonts w:ascii="Times New Roman" w:hAnsi="Times New Roman"/>
        </w:rPr>
        <w:t xml:space="preserve">of </w:t>
      </w:r>
      <w:r w:rsidR="00626B27" w:rsidRPr="00BA05A0">
        <w:rPr>
          <w:rFonts w:ascii="Times New Roman" w:hAnsi="Times New Roman"/>
        </w:rPr>
        <w:t>PSE</w:t>
      </w:r>
      <w:r w:rsidR="00F72650" w:rsidRPr="00BA05A0">
        <w:rPr>
          <w:rFonts w:ascii="Times New Roman" w:hAnsi="Times New Roman"/>
        </w:rPr>
        <w:t>’s</w:t>
      </w:r>
      <w:r w:rsidR="00626B27" w:rsidRPr="00BA05A0">
        <w:rPr>
          <w:rFonts w:ascii="Times New Roman" w:hAnsi="Times New Roman"/>
        </w:rPr>
        <w:t xml:space="preserve"> customers operate businesses or governments that support the public good. </w:t>
      </w:r>
      <w:r w:rsidR="00BA05A0">
        <w:rPr>
          <w:rFonts w:ascii="Times New Roman" w:hAnsi="Times New Roman"/>
        </w:rPr>
        <w:t xml:space="preserve"> </w:t>
      </w:r>
      <w:r w:rsidR="00716671">
        <w:rPr>
          <w:rFonts w:ascii="Times New Roman" w:hAnsi="Times New Roman"/>
        </w:rPr>
        <w:t>But</w:t>
      </w:r>
      <w:r w:rsidR="00626B27" w:rsidRPr="00BA05A0">
        <w:rPr>
          <w:rFonts w:ascii="Times New Roman" w:hAnsi="Times New Roman"/>
        </w:rPr>
        <w:t xml:space="preserve"> </w:t>
      </w:r>
      <w:r w:rsidR="00F72650" w:rsidRPr="00BA05A0">
        <w:rPr>
          <w:rFonts w:ascii="Times New Roman" w:hAnsi="Times New Roman"/>
        </w:rPr>
        <w:t xml:space="preserve">the purpose of </w:t>
      </w:r>
      <w:r w:rsidR="00626B27" w:rsidRPr="00BA05A0">
        <w:rPr>
          <w:rFonts w:ascii="Times New Roman" w:hAnsi="Times New Roman"/>
        </w:rPr>
        <w:t xml:space="preserve">these </w:t>
      </w:r>
      <w:r w:rsidR="001F0E91" w:rsidRPr="00BA05A0">
        <w:rPr>
          <w:rFonts w:ascii="Times New Roman" w:hAnsi="Times New Roman"/>
        </w:rPr>
        <w:t xml:space="preserve">activities </w:t>
      </w:r>
      <w:r w:rsidR="00626B27" w:rsidRPr="00BA05A0">
        <w:rPr>
          <w:rFonts w:ascii="Times New Roman" w:hAnsi="Times New Roman"/>
        </w:rPr>
        <w:t>do</w:t>
      </w:r>
      <w:r w:rsidR="0046385F" w:rsidRPr="00BA05A0">
        <w:rPr>
          <w:rFonts w:ascii="Times New Roman" w:hAnsi="Times New Roman"/>
        </w:rPr>
        <w:t>es</w:t>
      </w:r>
      <w:r w:rsidR="00626B27" w:rsidRPr="00BA05A0">
        <w:rPr>
          <w:rFonts w:ascii="Times New Roman" w:hAnsi="Times New Roman"/>
        </w:rPr>
        <w:t xml:space="preserve"> not call </w:t>
      </w:r>
      <w:r w:rsidRPr="00BA05A0">
        <w:rPr>
          <w:rFonts w:ascii="Times New Roman" w:hAnsi="Times New Roman"/>
        </w:rPr>
        <w:t xml:space="preserve">out </w:t>
      </w:r>
      <w:r w:rsidR="00F72650" w:rsidRPr="00BA05A0">
        <w:rPr>
          <w:rFonts w:ascii="Times New Roman" w:hAnsi="Times New Roman"/>
        </w:rPr>
        <w:t>such customers</w:t>
      </w:r>
      <w:r w:rsidRPr="00BA05A0">
        <w:rPr>
          <w:rFonts w:ascii="Times New Roman" w:hAnsi="Times New Roman"/>
        </w:rPr>
        <w:t xml:space="preserve"> </w:t>
      </w:r>
      <w:r w:rsidR="00626B27" w:rsidRPr="00BA05A0">
        <w:rPr>
          <w:rFonts w:ascii="Times New Roman" w:hAnsi="Times New Roman"/>
        </w:rPr>
        <w:t xml:space="preserve">for special treatment. </w:t>
      </w:r>
      <w:r w:rsidR="00B92CFA">
        <w:rPr>
          <w:rFonts w:ascii="Times New Roman" w:hAnsi="Times New Roman"/>
        </w:rPr>
        <w:t xml:space="preserve"> </w:t>
      </w:r>
      <w:r w:rsidR="00716671">
        <w:rPr>
          <w:rFonts w:ascii="Times New Roman" w:hAnsi="Times New Roman"/>
        </w:rPr>
        <w:t>PSE’</w:t>
      </w:r>
      <w:r w:rsidR="00626B27" w:rsidRPr="00BA05A0">
        <w:rPr>
          <w:rFonts w:ascii="Times New Roman" w:hAnsi="Times New Roman"/>
        </w:rPr>
        <w:t xml:space="preserve">s tariff schedules are principally use or demand driven. </w:t>
      </w:r>
      <w:r w:rsidR="00B92CFA">
        <w:rPr>
          <w:rFonts w:ascii="Times New Roman" w:hAnsi="Times New Roman"/>
        </w:rPr>
        <w:t xml:space="preserve"> </w:t>
      </w:r>
      <w:r w:rsidRPr="00BA05A0">
        <w:rPr>
          <w:rFonts w:ascii="Times New Roman" w:hAnsi="Times New Roman"/>
        </w:rPr>
        <w:t xml:space="preserve">Its </w:t>
      </w:r>
      <w:r w:rsidR="00626B27" w:rsidRPr="00BA05A0">
        <w:rPr>
          <w:rFonts w:ascii="Times New Roman" w:hAnsi="Times New Roman"/>
        </w:rPr>
        <w:t xml:space="preserve">tariff schedules do not divide customers into those that provide some kind of public service and those that do not. </w:t>
      </w:r>
      <w:r w:rsidR="00B92CFA">
        <w:rPr>
          <w:rFonts w:ascii="Times New Roman" w:hAnsi="Times New Roman"/>
        </w:rPr>
        <w:t xml:space="preserve"> </w:t>
      </w:r>
      <w:r w:rsidR="003F4E6F" w:rsidRPr="00BA05A0">
        <w:rPr>
          <w:rFonts w:ascii="Times New Roman" w:hAnsi="Times New Roman"/>
        </w:rPr>
        <w:t xml:space="preserve">Indeed, if this were true, then police and fire stations, schools, government buildings and </w:t>
      </w:r>
      <w:r w:rsidR="00716671">
        <w:rPr>
          <w:rFonts w:ascii="Times New Roman" w:hAnsi="Times New Roman"/>
        </w:rPr>
        <w:t xml:space="preserve">other entities </w:t>
      </w:r>
      <w:r w:rsidR="003F4E6F" w:rsidRPr="00BA05A0">
        <w:rPr>
          <w:rFonts w:ascii="Times New Roman" w:hAnsi="Times New Roman"/>
        </w:rPr>
        <w:t xml:space="preserve">would also be entitled to preferential treatment under PSE’s tariffs. </w:t>
      </w:r>
      <w:r w:rsidR="00B92CFA">
        <w:rPr>
          <w:rFonts w:ascii="Times New Roman" w:hAnsi="Times New Roman"/>
        </w:rPr>
        <w:t xml:space="preserve"> </w:t>
      </w:r>
      <w:r w:rsidR="00716671" w:rsidRPr="00BA05A0">
        <w:rPr>
          <w:rFonts w:ascii="Times New Roman" w:hAnsi="Times New Roman"/>
        </w:rPr>
        <w:t>They do</w:t>
      </w:r>
      <w:r w:rsidRPr="00BA05A0">
        <w:rPr>
          <w:rFonts w:ascii="Times New Roman" w:hAnsi="Times New Roman"/>
        </w:rPr>
        <w:t xml:space="preserve"> not receive such preferential treatment and n</w:t>
      </w:r>
      <w:r w:rsidR="00716671">
        <w:rPr>
          <w:rFonts w:ascii="Times New Roman" w:hAnsi="Times New Roman"/>
        </w:rPr>
        <w:t xml:space="preserve">either should the Petitioners. The law does not allow it. </w:t>
      </w:r>
    </w:p>
    <w:p w14:paraId="4BF5A686" w14:textId="401391D3" w:rsidR="0046385F" w:rsidRPr="00BA05A0" w:rsidRDefault="0046385F" w:rsidP="00626B27">
      <w:pPr>
        <w:pStyle w:val="Body1"/>
        <w:numPr>
          <w:ilvl w:val="0"/>
          <w:numId w:val="9"/>
        </w:numPr>
        <w:spacing w:line="480" w:lineRule="auto"/>
        <w:rPr>
          <w:rFonts w:ascii="Times New Roman" w:hAnsi="Times New Roman"/>
        </w:rPr>
      </w:pPr>
      <w:r w:rsidRPr="00BA05A0">
        <w:rPr>
          <w:rFonts w:ascii="Times New Roman" w:hAnsi="Times New Roman"/>
        </w:rPr>
        <w:tab/>
        <w:t xml:space="preserve">The Commission’s statutory framework permits few exceptions to the requirement that similarly-situated customers be treated equally in the tariffs of regulated companies. </w:t>
      </w:r>
      <w:r w:rsidR="00B92CFA">
        <w:rPr>
          <w:rFonts w:ascii="Times New Roman" w:hAnsi="Times New Roman"/>
        </w:rPr>
        <w:t xml:space="preserve"> </w:t>
      </w:r>
      <w:r w:rsidRPr="00BA05A0">
        <w:rPr>
          <w:rFonts w:ascii="Times New Roman" w:hAnsi="Times New Roman"/>
        </w:rPr>
        <w:t xml:space="preserve">The statutory exceptions do not include railroads, </w:t>
      </w:r>
      <w:r w:rsidR="00B46002" w:rsidRPr="00BA05A0">
        <w:rPr>
          <w:rFonts w:ascii="Times New Roman" w:hAnsi="Times New Roman"/>
        </w:rPr>
        <w:t xml:space="preserve">communications companies, county governments, or federally operated electrical companies. </w:t>
      </w:r>
      <w:r w:rsidR="00B92CFA">
        <w:rPr>
          <w:rFonts w:ascii="Times New Roman" w:hAnsi="Times New Roman"/>
        </w:rPr>
        <w:t xml:space="preserve"> </w:t>
      </w:r>
      <w:r w:rsidR="00B46002" w:rsidRPr="00BA05A0">
        <w:rPr>
          <w:rFonts w:ascii="Times New Roman" w:hAnsi="Times New Roman"/>
        </w:rPr>
        <w:t>The limited exceptions provided by statute include hospitals, eleemosynary institutions and national or state homes for disabled volunteer soldiers.</w:t>
      </w:r>
      <w:r w:rsidR="00B46002">
        <w:rPr>
          <w:rStyle w:val="FootnoteReference"/>
          <w:rFonts w:ascii="Times New Roman" w:hAnsi="Times New Roman"/>
        </w:rPr>
        <w:footnoteReference w:id="11"/>
      </w:r>
      <w:r w:rsidR="00716671">
        <w:rPr>
          <w:rFonts w:ascii="Times New Roman" w:hAnsi="Times New Roman"/>
        </w:rPr>
        <w:t xml:space="preserve">  None applies</w:t>
      </w:r>
      <w:r w:rsidR="00B46002" w:rsidRPr="00BA05A0">
        <w:rPr>
          <w:rFonts w:ascii="Times New Roman" w:hAnsi="Times New Roman"/>
        </w:rPr>
        <w:t xml:space="preserve"> to this matter. </w:t>
      </w:r>
      <w:r w:rsidR="00B92CFA">
        <w:rPr>
          <w:rFonts w:ascii="Times New Roman" w:hAnsi="Times New Roman"/>
        </w:rPr>
        <w:t xml:space="preserve"> </w:t>
      </w:r>
      <w:r w:rsidR="005623BC" w:rsidRPr="00BA05A0">
        <w:rPr>
          <w:rFonts w:ascii="Times New Roman" w:hAnsi="Times New Roman"/>
        </w:rPr>
        <w:t xml:space="preserve">The </w:t>
      </w:r>
      <w:r w:rsidR="006D3273" w:rsidRPr="00BA05A0">
        <w:rPr>
          <w:rFonts w:ascii="Times New Roman" w:hAnsi="Times New Roman"/>
        </w:rPr>
        <w:t xml:space="preserve">nature of the </w:t>
      </w:r>
      <w:r w:rsidR="005623BC" w:rsidRPr="00BA05A0">
        <w:rPr>
          <w:rFonts w:ascii="Times New Roman" w:hAnsi="Times New Roman"/>
        </w:rPr>
        <w:t xml:space="preserve">activities carried on by the Petitioners on Maloney Ridge </w:t>
      </w:r>
      <w:r w:rsidR="006D3273" w:rsidRPr="00BA05A0">
        <w:rPr>
          <w:rFonts w:ascii="Times New Roman" w:hAnsi="Times New Roman"/>
        </w:rPr>
        <w:t xml:space="preserve">is </w:t>
      </w:r>
      <w:r w:rsidR="00CC2F11" w:rsidRPr="00BA05A0">
        <w:rPr>
          <w:rFonts w:ascii="Times New Roman" w:hAnsi="Times New Roman"/>
        </w:rPr>
        <w:t>i</w:t>
      </w:r>
      <w:r w:rsidR="00716671">
        <w:rPr>
          <w:rFonts w:ascii="Times New Roman" w:hAnsi="Times New Roman"/>
        </w:rPr>
        <w:t xml:space="preserve">rrelevant </w:t>
      </w:r>
      <w:r w:rsidR="00CC2F11" w:rsidRPr="00BA05A0">
        <w:rPr>
          <w:rFonts w:ascii="Times New Roman" w:hAnsi="Times New Roman"/>
        </w:rPr>
        <w:t xml:space="preserve">and </w:t>
      </w:r>
      <w:r w:rsidR="008C420B" w:rsidRPr="00BA05A0">
        <w:rPr>
          <w:rFonts w:ascii="Times New Roman" w:hAnsi="Times New Roman"/>
        </w:rPr>
        <w:t xml:space="preserve">should have </w:t>
      </w:r>
      <w:r w:rsidR="005623BC" w:rsidRPr="00BA05A0">
        <w:rPr>
          <w:rFonts w:ascii="Times New Roman" w:hAnsi="Times New Roman"/>
        </w:rPr>
        <w:t xml:space="preserve">no bearing on the outcome of this case. </w:t>
      </w:r>
    </w:p>
    <w:p w14:paraId="5A24A63C" w14:textId="79D0C876" w:rsidR="008A7D02" w:rsidRDefault="00BA05A0" w:rsidP="00BA05A0">
      <w:pPr>
        <w:pStyle w:val="Body1"/>
        <w:spacing w:line="480" w:lineRule="auto"/>
        <w:jc w:val="center"/>
        <w:rPr>
          <w:rFonts w:ascii="Times New Roman" w:hAnsi="Times New Roman"/>
          <w:b/>
        </w:rPr>
      </w:pPr>
      <w:r>
        <w:rPr>
          <w:rFonts w:ascii="Times New Roman" w:hAnsi="Times New Roman"/>
          <w:b/>
        </w:rPr>
        <w:t>IV.</w:t>
      </w:r>
      <w:r>
        <w:rPr>
          <w:rFonts w:ascii="Times New Roman" w:hAnsi="Times New Roman"/>
          <w:b/>
        </w:rPr>
        <w:tab/>
      </w:r>
      <w:r w:rsidR="008A7D02" w:rsidRPr="00081D55">
        <w:rPr>
          <w:rFonts w:ascii="Times New Roman" w:hAnsi="Times New Roman"/>
          <w:b/>
        </w:rPr>
        <w:t>THE MALONEY LINE</w:t>
      </w:r>
      <w:r w:rsidR="008A7D02">
        <w:rPr>
          <w:rFonts w:ascii="Times New Roman" w:hAnsi="Times New Roman"/>
          <w:b/>
        </w:rPr>
        <w:t xml:space="preserve"> IS FULLY </w:t>
      </w:r>
      <w:r w:rsidR="008A7D02" w:rsidRPr="00081D55">
        <w:rPr>
          <w:rFonts w:ascii="Times New Roman" w:hAnsi="Times New Roman"/>
          <w:b/>
        </w:rPr>
        <w:t>FUNCTIONAL TODAY</w:t>
      </w:r>
    </w:p>
    <w:p w14:paraId="618336AB" w14:textId="2FB21D37" w:rsidR="008A7D02" w:rsidRPr="00081D55" w:rsidRDefault="00BA05A0" w:rsidP="00BA05A0">
      <w:pPr>
        <w:pStyle w:val="Body1"/>
        <w:numPr>
          <w:ilvl w:val="0"/>
          <w:numId w:val="9"/>
        </w:numPr>
        <w:spacing w:line="480" w:lineRule="auto"/>
        <w:rPr>
          <w:rFonts w:ascii="Times New Roman" w:hAnsi="Times New Roman"/>
          <w:b/>
        </w:rPr>
      </w:pPr>
      <w:r>
        <w:rPr>
          <w:rFonts w:ascii="Times New Roman" w:hAnsi="Times New Roman"/>
        </w:rPr>
        <w:tab/>
      </w:r>
      <w:r w:rsidR="008A7D02">
        <w:rPr>
          <w:rFonts w:ascii="Times New Roman" w:hAnsi="Times New Roman"/>
        </w:rPr>
        <w:t>There is no real dispute that the Maloney Line is near the end of its useful life. It is however, fully functional today, and “may … [continue to provide service] for a few more years before its condition would mandate replacement.”</w:t>
      </w:r>
      <w:r w:rsidR="008A7D02">
        <w:rPr>
          <w:rStyle w:val="FootnoteReference"/>
          <w:rFonts w:ascii="Times New Roman" w:hAnsi="Times New Roman"/>
        </w:rPr>
        <w:footnoteReference w:id="12"/>
      </w:r>
      <w:r w:rsidR="008A7D02">
        <w:rPr>
          <w:rFonts w:ascii="Times New Roman" w:hAnsi="Times New Roman"/>
        </w:rPr>
        <w:t xml:space="preserve"> </w:t>
      </w:r>
      <w:r w:rsidR="00B92CFA">
        <w:rPr>
          <w:rFonts w:ascii="Times New Roman" w:hAnsi="Times New Roman"/>
        </w:rPr>
        <w:t xml:space="preserve"> </w:t>
      </w:r>
      <w:r w:rsidR="008A7D02">
        <w:rPr>
          <w:rFonts w:ascii="Times New Roman" w:hAnsi="Times New Roman"/>
        </w:rPr>
        <w:t>PSE has provided the Petitioners “several options to improve service” on the Line, including full replacement and “replacing portions of the line with new material.”</w:t>
      </w:r>
      <w:r w:rsidR="008A7D02">
        <w:rPr>
          <w:rStyle w:val="FootnoteReference"/>
          <w:rFonts w:ascii="Times New Roman" w:hAnsi="Times New Roman"/>
        </w:rPr>
        <w:footnoteReference w:id="13"/>
      </w:r>
      <w:r w:rsidR="008A7D02">
        <w:rPr>
          <w:rFonts w:ascii="Times New Roman" w:hAnsi="Times New Roman"/>
        </w:rPr>
        <w:t xml:space="preserve"> </w:t>
      </w:r>
      <w:r w:rsidR="00B92CFA">
        <w:rPr>
          <w:rFonts w:ascii="Times New Roman" w:hAnsi="Times New Roman"/>
        </w:rPr>
        <w:t xml:space="preserve"> </w:t>
      </w:r>
      <w:r w:rsidR="008A7D02">
        <w:rPr>
          <w:rFonts w:ascii="Times New Roman" w:hAnsi="Times New Roman"/>
        </w:rPr>
        <w:t>The Petitioners have rejected PSE’s outreach on these issues in favor of its advocacy in this proceeding.</w:t>
      </w:r>
      <w:r w:rsidR="008A7D02">
        <w:rPr>
          <w:rStyle w:val="FootnoteReference"/>
          <w:rFonts w:ascii="Times New Roman" w:hAnsi="Times New Roman"/>
        </w:rPr>
        <w:footnoteReference w:id="14"/>
      </w:r>
      <w:r w:rsidR="008A7D02">
        <w:rPr>
          <w:rFonts w:ascii="Times New Roman" w:hAnsi="Times New Roman"/>
        </w:rPr>
        <w:t xml:space="preserve"> </w:t>
      </w:r>
      <w:r>
        <w:rPr>
          <w:rFonts w:ascii="Times New Roman" w:hAnsi="Times New Roman"/>
        </w:rPr>
        <w:t xml:space="preserve"> </w:t>
      </w:r>
    </w:p>
    <w:p w14:paraId="5AF88331" w14:textId="56B8CBE4" w:rsidR="00626B27" w:rsidRPr="00D273C5" w:rsidRDefault="00BA05A0" w:rsidP="004908FC">
      <w:pPr>
        <w:pStyle w:val="Body1"/>
        <w:keepNext/>
        <w:spacing w:line="480" w:lineRule="auto"/>
        <w:jc w:val="center"/>
        <w:rPr>
          <w:rFonts w:ascii="Times New Roman" w:hAnsi="Times New Roman"/>
          <w:b/>
        </w:rPr>
      </w:pPr>
      <w:r>
        <w:rPr>
          <w:rFonts w:ascii="Times New Roman" w:hAnsi="Times New Roman"/>
          <w:b/>
        </w:rPr>
        <w:t>V.</w:t>
      </w:r>
      <w:r>
        <w:rPr>
          <w:rFonts w:ascii="Times New Roman" w:hAnsi="Times New Roman"/>
          <w:b/>
        </w:rPr>
        <w:tab/>
      </w:r>
      <w:r w:rsidR="00D273C5" w:rsidRPr="00D273C5">
        <w:rPr>
          <w:rFonts w:ascii="Times New Roman" w:hAnsi="Times New Roman"/>
          <w:b/>
        </w:rPr>
        <w:t>THE PETITIONERS</w:t>
      </w:r>
      <w:r w:rsidR="00716671">
        <w:rPr>
          <w:rFonts w:ascii="Times New Roman" w:hAnsi="Times New Roman"/>
          <w:b/>
        </w:rPr>
        <w:t>’</w:t>
      </w:r>
      <w:r w:rsidR="00D273C5" w:rsidRPr="00D273C5">
        <w:rPr>
          <w:rFonts w:ascii="Times New Roman" w:hAnsi="Times New Roman"/>
          <w:b/>
        </w:rPr>
        <w:t xml:space="preserve"> </w:t>
      </w:r>
      <w:r w:rsidR="00D273C5">
        <w:rPr>
          <w:rFonts w:ascii="Times New Roman" w:hAnsi="Times New Roman"/>
          <w:b/>
        </w:rPr>
        <w:t>REQUEST FOR RELIEF</w:t>
      </w:r>
    </w:p>
    <w:p w14:paraId="0902A467" w14:textId="09E8C662" w:rsidR="00D273C5" w:rsidRDefault="00BA05A0" w:rsidP="00BA05A0">
      <w:pPr>
        <w:pStyle w:val="Body1"/>
        <w:numPr>
          <w:ilvl w:val="0"/>
          <w:numId w:val="9"/>
        </w:numPr>
        <w:spacing w:line="480" w:lineRule="auto"/>
        <w:rPr>
          <w:rFonts w:ascii="Times New Roman" w:hAnsi="Times New Roman"/>
        </w:rPr>
      </w:pPr>
      <w:r>
        <w:rPr>
          <w:rFonts w:ascii="Times New Roman" w:hAnsi="Times New Roman"/>
        </w:rPr>
        <w:tab/>
      </w:r>
      <w:r w:rsidR="007C2B66">
        <w:rPr>
          <w:rFonts w:ascii="Times New Roman" w:hAnsi="Times New Roman"/>
        </w:rPr>
        <w:t xml:space="preserve">The </w:t>
      </w:r>
      <w:r>
        <w:rPr>
          <w:rFonts w:ascii="Times New Roman" w:hAnsi="Times New Roman"/>
          <w:i/>
        </w:rPr>
        <w:t>Petition f</w:t>
      </w:r>
      <w:r w:rsidR="007C2B66" w:rsidRPr="007C2B66">
        <w:rPr>
          <w:rFonts w:ascii="Times New Roman" w:hAnsi="Times New Roman"/>
          <w:i/>
        </w:rPr>
        <w:t>or Declaratory Order</w:t>
      </w:r>
      <w:r w:rsidR="007C2B66">
        <w:rPr>
          <w:rFonts w:ascii="Times New Roman" w:hAnsi="Times New Roman"/>
        </w:rPr>
        <w:t xml:space="preserve"> would have the Commission direct PSE to “immediately begin permitting, planning and replacing” the Maloney Line.</w:t>
      </w:r>
      <w:r w:rsidR="007C2B66">
        <w:rPr>
          <w:rStyle w:val="FootnoteReference"/>
          <w:rFonts w:ascii="Times New Roman" w:hAnsi="Times New Roman"/>
        </w:rPr>
        <w:footnoteReference w:id="15"/>
      </w:r>
      <w:r w:rsidR="007C2B66">
        <w:rPr>
          <w:rFonts w:ascii="Times New Roman" w:hAnsi="Times New Roman"/>
        </w:rPr>
        <w:t xml:space="preserve">  </w:t>
      </w:r>
      <w:r w:rsidR="00386D6C">
        <w:rPr>
          <w:rFonts w:ascii="Times New Roman" w:hAnsi="Times New Roman"/>
        </w:rPr>
        <w:t>It further requests that PSE “include all of the capital costs of such replacement in its generally applicable rates ….”</w:t>
      </w:r>
      <w:r w:rsidR="00386D6C">
        <w:rPr>
          <w:rStyle w:val="FootnoteReference"/>
          <w:rFonts w:ascii="Times New Roman" w:hAnsi="Times New Roman"/>
        </w:rPr>
        <w:footnoteReference w:id="16"/>
      </w:r>
      <w:r w:rsidR="00386D6C">
        <w:rPr>
          <w:rFonts w:ascii="Times New Roman" w:hAnsi="Times New Roman"/>
        </w:rPr>
        <w:t xml:space="preserve"> </w:t>
      </w:r>
      <w:r>
        <w:rPr>
          <w:rFonts w:ascii="Times New Roman" w:hAnsi="Times New Roman"/>
        </w:rPr>
        <w:t xml:space="preserve"> </w:t>
      </w:r>
      <w:r w:rsidR="00386D6C">
        <w:rPr>
          <w:rFonts w:ascii="Times New Roman" w:hAnsi="Times New Roman"/>
        </w:rPr>
        <w:t>In effect, the Petitioners seek to shift the cost of installing a new service line to PSE and via rates</w:t>
      </w:r>
      <w:r w:rsidR="00B03B69">
        <w:rPr>
          <w:rFonts w:ascii="Times New Roman" w:hAnsi="Times New Roman"/>
        </w:rPr>
        <w:t>, to</w:t>
      </w:r>
      <w:r w:rsidR="00386D6C">
        <w:rPr>
          <w:rFonts w:ascii="Times New Roman" w:hAnsi="Times New Roman"/>
        </w:rPr>
        <w:t xml:space="preserve"> </w:t>
      </w:r>
      <w:r w:rsidR="00716671" w:rsidRPr="00716671">
        <w:rPr>
          <w:rFonts w:ascii="Times New Roman" w:hAnsi="Times New Roman"/>
          <w:i/>
        </w:rPr>
        <w:t>all</w:t>
      </w:r>
      <w:r w:rsidR="00716671">
        <w:rPr>
          <w:rFonts w:ascii="Times New Roman" w:hAnsi="Times New Roman"/>
        </w:rPr>
        <w:t xml:space="preserve"> </w:t>
      </w:r>
      <w:r w:rsidR="00386D6C">
        <w:rPr>
          <w:rFonts w:ascii="Times New Roman" w:hAnsi="Times New Roman"/>
        </w:rPr>
        <w:t xml:space="preserve">customers of Schedule 24.  </w:t>
      </w:r>
    </w:p>
    <w:p w14:paraId="28080BD8" w14:textId="59C245DB" w:rsidR="00626B27" w:rsidRDefault="00386D6C" w:rsidP="00626B27">
      <w:pPr>
        <w:pStyle w:val="Body1"/>
        <w:numPr>
          <w:ilvl w:val="0"/>
          <w:numId w:val="9"/>
        </w:numPr>
        <w:spacing w:line="480" w:lineRule="auto"/>
        <w:rPr>
          <w:rFonts w:ascii="Times New Roman" w:hAnsi="Times New Roman"/>
        </w:rPr>
      </w:pPr>
      <w:r w:rsidRPr="00BA05A0">
        <w:rPr>
          <w:rFonts w:ascii="Times New Roman" w:hAnsi="Times New Roman"/>
        </w:rPr>
        <w:tab/>
      </w:r>
      <w:r w:rsidR="00626B27" w:rsidRPr="00BA05A0">
        <w:rPr>
          <w:rFonts w:ascii="Times New Roman" w:hAnsi="Times New Roman"/>
        </w:rPr>
        <w:t xml:space="preserve">The replacement of the </w:t>
      </w:r>
      <w:r w:rsidR="007E505B" w:rsidRPr="00BA05A0">
        <w:rPr>
          <w:rFonts w:ascii="Times New Roman" w:hAnsi="Times New Roman"/>
        </w:rPr>
        <w:t xml:space="preserve">Maloney Line would be </w:t>
      </w:r>
      <w:r w:rsidR="00626B27" w:rsidRPr="00BA05A0">
        <w:rPr>
          <w:rFonts w:ascii="Times New Roman" w:hAnsi="Times New Roman"/>
        </w:rPr>
        <w:t xml:space="preserve">an expensive and difficult </w:t>
      </w:r>
      <w:r w:rsidR="00716671">
        <w:rPr>
          <w:rFonts w:ascii="Times New Roman" w:hAnsi="Times New Roman"/>
        </w:rPr>
        <w:t xml:space="preserve">undertaking. </w:t>
      </w:r>
      <w:r w:rsidR="00626B27" w:rsidRPr="00BA05A0">
        <w:rPr>
          <w:rFonts w:ascii="Times New Roman" w:hAnsi="Times New Roman"/>
        </w:rPr>
        <w:t>The terrain is steep and unaccommodating</w:t>
      </w:r>
      <w:r w:rsidR="007E505B" w:rsidRPr="00BA05A0">
        <w:rPr>
          <w:rFonts w:ascii="Times New Roman" w:hAnsi="Times New Roman"/>
        </w:rPr>
        <w:t xml:space="preserve"> and would require the crossing of creeks and rivers</w:t>
      </w:r>
      <w:r w:rsidR="00626B27" w:rsidRPr="00BA05A0">
        <w:rPr>
          <w:rFonts w:ascii="Times New Roman" w:hAnsi="Times New Roman"/>
        </w:rPr>
        <w:t>.</w:t>
      </w:r>
      <w:r>
        <w:rPr>
          <w:rStyle w:val="FootnoteReference"/>
          <w:rFonts w:ascii="Times New Roman" w:hAnsi="Times New Roman"/>
        </w:rPr>
        <w:footnoteReference w:id="17"/>
      </w:r>
      <w:r w:rsidR="00626B27" w:rsidRPr="00BA05A0">
        <w:rPr>
          <w:rFonts w:ascii="Times New Roman" w:hAnsi="Times New Roman"/>
        </w:rPr>
        <w:t xml:space="preserve"> </w:t>
      </w:r>
      <w:r w:rsidR="00B92CFA">
        <w:rPr>
          <w:rFonts w:ascii="Times New Roman" w:hAnsi="Times New Roman"/>
        </w:rPr>
        <w:t xml:space="preserve"> </w:t>
      </w:r>
      <w:r w:rsidR="00626B27" w:rsidRPr="00BA05A0">
        <w:rPr>
          <w:rFonts w:ascii="Times New Roman" w:hAnsi="Times New Roman"/>
        </w:rPr>
        <w:t xml:space="preserve">To replace the </w:t>
      </w:r>
      <w:r w:rsidR="007E505B" w:rsidRPr="00BA05A0">
        <w:rPr>
          <w:rFonts w:ascii="Times New Roman" w:hAnsi="Times New Roman"/>
        </w:rPr>
        <w:t>Line</w:t>
      </w:r>
      <w:r w:rsidR="00626B27" w:rsidRPr="00BA05A0">
        <w:rPr>
          <w:rFonts w:ascii="Times New Roman" w:hAnsi="Times New Roman"/>
        </w:rPr>
        <w:t>, permits from the US Forest Service would need to be obtained</w:t>
      </w:r>
      <w:r w:rsidR="007E505B" w:rsidRPr="00BA05A0">
        <w:rPr>
          <w:rFonts w:ascii="Times New Roman" w:hAnsi="Times New Roman"/>
        </w:rPr>
        <w:t xml:space="preserve">, and </w:t>
      </w:r>
      <w:r w:rsidR="00626B27" w:rsidRPr="00BA05A0">
        <w:rPr>
          <w:rFonts w:ascii="Times New Roman" w:hAnsi="Times New Roman"/>
        </w:rPr>
        <w:t xml:space="preserve">a new </w:t>
      </w:r>
      <w:r w:rsidR="007E505B" w:rsidRPr="00BA05A0">
        <w:rPr>
          <w:rFonts w:ascii="Times New Roman" w:hAnsi="Times New Roman"/>
        </w:rPr>
        <w:t xml:space="preserve">underground </w:t>
      </w:r>
      <w:r w:rsidR="00626B27" w:rsidRPr="00BA05A0">
        <w:rPr>
          <w:rFonts w:ascii="Times New Roman" w:hAnsi="Times New Roman"/>
        </w:rPr>
        <w:t xml:space="preserve">cable would have to be laid approximately </w:t>
      </w:r>
      <w:r w:rsidR="007E505B" w:rsidRPr="00BA05A0">
        <w:rPr>
          <w:rFonts w:ascii="Times New Roman" w:hAnsi="Times New Roman"/>
        </w:rPr>
        <w:t xml:space="preserve">8.5 </w:t>
      </w:r>
      <w:r w:rsidR="00626B27" w:rsidRPr="00BA05A0">
        <w:rPr>
          <w:rFonts w:ascii="Times New Roman" w:hAnsi="Times New Roman"/>
        </w:rPr>
        <w:t xml:space="preserve">miles up </w:t>
      </w:r>
      <w:r w:rsidR="007E505B" w:rsidRPr="00BA05A0">
        <w:rPr>
          <w:rFonts w:ascii="Times New Roman" w:hAnsi="Times New Roman"/>
        </w:rPr>
        <w:t>Maloney Ridge.</w:t>
      </w:r>
      <w:r w:rsidR="007E505B">
        <w:rPr>
          <w:rStyle w:val="FootnoteReference"/>
          <w:rFonts w:ascii="Times New Roman" w:hAnsi="Times New Roman"/>
        </w:rPr>
        <w:footnoteReference w:id="18"/>
      </w:r>
      <w:r w:rsidR="00626B27" w:rsidRPr="00BA05A0">
        <w:rPr>
          <w:rFonts w:ascii="Times New Roman" w:hAnsi="Times New Roman"/>
        </w:rPr>
        <w:t xml:space="preserve"> </w:t>
      </w:r>
      <w:r w:rsidR="00BA05A0">
        <w:rPr>
          <w:rFonts w:ascii="Times New Roman" w:hAnsi="Times New Roman"/>
        </w:rPr>
        <w:t xml:space="preserve"> </w:t>
      </w:r>
    </w:p>
    <w:p w14:paraId="401E1339" w14:textId="5C4D74C6" w:rsidR="00626B27" w:rsidRPr="00BA05A0" w:rsidRDefault="007E505B" w:rsidP="00626B27">
      <w:pPr>
        <w:pStyle w:val="Body1"/>
        <w:numPr>
          <w:ilvl w:val="0"/>
          <w:numId w:val="9"/>
        </w:numPr>
        <w:spacing w:line="480" w:lineRule="auto"/>
        <w:rPr>
          <w:rFonts w:ascii="Times New Roman" w:hAnsi="Times New Roman"/>
        </w:rPr>
      </w:pPr>
      <w:r w:rsidRPr="00BA05A0">
        <w:rPr>
          <w:rFonts w:ascii="Times New Roman" w:hAnsi="Times New Roman"/>
        </w:rPr>
        <w:tab/>
      </w:r>
      <w:r w:rsidR="00626B27" w:rsidRPr="00BA05A0">
        <w:rPr>
          <w:rFonts w:ascii="Times New Roman" w:hAnsi="Times New Roman"/>
        </w:rPr>
        <w:t xml:space="preserve">PSE </w:t>
      </w:r>
      <w:r w:rsidR="00B03B69" w:rsidRPr="00BA05A0">
        <w:rPr>
          <w:rFonts w:ascii="Times New Roman" w:hAnsi="Times New Roman"/>
        </w:rPr>
        <w:t xml:space="preserve">now </w:t>
      </w:r>
      <w:r w:rsidR="00626B27" w:rsidRPr="00BA05A0">
        <w:rPr>
          <w:rFonts w:ascii="Times New Roman" w:hAnsi="Times New Roman"/>
        </w:rPr>
        <w:t xml:space="preserve">estimates the cost of the project to </w:t>
      </w:r>
      <w:r w:rsidR="00B03B69" w:rsidRPr="00BA05A0">
        <w:rPr>
          <w:rFonts w:ascii="Times New Roman" w:hAnsi="Times New Roman"/>
        </w:rPr>
        <w:t xml:space="preserve">be </w:t>
      </w:r>
      <w:r w:rsidR="00626B27" w:rsidRPr="00BA05A0">
        <w:rPr>
          <w:rFonts w:ascii="Times New Roman" w:hAnsi="Times New Roman"/>
        </w:rPr>
        <w:t>$5</w:t>
      </w:r>
      <w:r w:rsidR="00B03B69" w:rsidRPr="00BA05A0">
        <w:rPr>
          <w:rFonts w:ascii="Times New Roman" w:hAnsi="Times New Roman"/>
        </w:rPr>
        <w:t>.3</w:t>
      </w:r>
      <w:r w:rsidR="00626B27" w:rsidRPr="00BA05A0">
        <w:rPr>
          <w:rFonts w:ascii="Times New Roman" w:hAnsi="Times New Roman"/>
        </w:rPr>
        <w:t xml:space="preserve"> million dollars.</w:t>
      </w:r>
      <w:r>
        <w:rPr>
          <w:rStyle w:val="FootnoteReference"/>
          <w:rFonts w:ascii="Times New Roman" w:hAnsi="Times New Roman"/>
        </w:rPr>
        <w:footnoteReference w:id="19"/>
      </w:r>
      <w:r w:rsidR="00626B27" w:rsidRPr="00BA05A0">
        <w:rPr>
          <w:rFonts w:ascii="Times New Roman" w:hAnsi="Times New Roman"/>
        </w:rPr>
        <w:t xml:space="preserve"> </w:t>
      </w:r>
      <w:r w:rsidR="00B92CFA">
        <w:rPr>
          <w:rFonts w:ascii="Times New Roman" w:hAnsi="Times New Roman"/>
        </w:rPr>
        <w:t xml:space="preserve"> </w:t>
      </w:r>
      <w:r w:rsidR="005B0A40" w:rsidRPr="00BA05A0">
        <w:rPr>
          <w:rFonts w:ascii="Times New Roman" w:hAnsi="Times New Roman"/>
        </w:rPr>
        <w:t>From the perspective of the P</w:t>
      </w:r>
      <w:r w:rsidR="00626B27" w:rsidRPr="00BA05A0">
        <w:rPr>
          <w:rFonts w:ascii="Times New Roman" w:hAnsi="Times New Roman"/>
        </w:rPr>
        <w:t xml:space="preserve">etitioners, this </w:t>
      </w:r>
      <w:r w:rsidR="00236972" w:rsidRPr="00BA05A0">
        <w:rPr>
          <w:rFonts w:ascii="Times New Roman" w:hAnsi="Times New Roman"/>
        </w:rPr>
        <w:t xml:space="preserve">entire </w:t>
      </w:r>
      <w:r w:rsidR="00626B27" w:rsidRPr="00BA05A0">
        <w:rPr>
          <w:rFonts w:ascii="Times New Roman" w:hAnsi="Times New Roman"/>
        </w:rPr>
        <w:t xml:space="preserve">amount would be </w:t>
      </w:r>
      <w:r w:rsidR="005B0A40" w:rsidRPr="00BA05A0">
        <w:rPr>
          <w:rFonts w:ascii="Times New Roman" w:hAnsi="Times New Roman"/>
        </w:rPr>
        <w:t xml:space="preserve">incurred by PSE and then </w:t>
      </w:r>
      <w:r w:rsidR="00626B27" w:rsidRPr="00BA05A0">
        <w:rPr>
          <w:rFonts w:ascii="Times New Roman" w:hAnsi="Times New Roman"/>
        </w:rPr>
        <w:t xml:space="preserve">recovered in </w:t>
      </w:r>
      <w:r w:rsidR="005B0A40" w:rsidRPr="00BA05A0">
        <w:rPr>
          <w:rFonts w:ascii="Times New Roman" w:hAnsi="Times New Roman"/>
        </w:rPr>
        <w:t xml:space="preserve">Schedule 24’s rates, including the </w:t>
      </w:r>
      <w:r w:rsidR="00626B27" w:rsidRPr="00BA05A0">
        <w:rPr>
          <w:rFonts w:ascii="Times New Roman" w:hAnsi="Times New Roman"/>
        </w:rPr>
        <w:t>Com</w:t>
      </w:r>
      <w:r w:rsidR="00716671">
        <w:rPr>
          <w:rFonts w:ascii="Times New Roman" w:hAnsi="Times New Roman"/>
        </w:rPr>
        <w:t>pany’</w:t>
      </w:r>
      <w:r w:rsidR="005B0A40" w:rsidRPr="00BA05A0">
        <w:rPr>
          <w:rFonts w:ascii="Times New Roman" w:hAnsi="Times New Roman"/>
        </w:rPr>
        <w:t>s return on its $5.3</w:t>
      </w:r>
      <w:r w:rsidR="00626B27" w:rsidRPr="00BA05A0">
        <w:rPr>
          <w:rFonts w:ascii="Times New Roman" w:hAnsi="Times New Roman"/>
        </w:rPr>
        <w:t xml:space="preserve"> million dollar investment.</w:t>
      </w:r>
      <w:r w:rsidR="005A1DFC">
        <w:rPr>
          <w:rStyle w:val="FootnoteReference"/>
          <w:rFonts w:ascii="Times New Roman" w:hAnsi="Times New Roman"/>
        </w:rPr>
        <w:footnoteReference w:id="20"/>
      </w:r>
      <w:r w:rsidR="00626B27" w:rsidRPr="00BA05A0">
        <w:rPr>
          <w:rFonts w:ascii="Times New Roman" w:hAnsi="Times New Roman"/>
        </w:rPr>
        <w:t xml:space="preserve">  PSE would </w:t>
      </w:r>
      <w:r w:rsidR="008C127E" w:rsidRPr="00BA05A0">
        <w:rPr>
          <w:rFonts w:ascii="Times New Roman" w:hAnsi="Times New Roman"/>
        </w:rPr>
        <w:t xml:space="preserve">also </w:t>
      </w:r>
      <w:r w:rsidR="00626B27" w:rsidRPr="00BA05A0">
        <w:rPr>
          <w:rFonts w:ascii="Times New Roman" w:hAnsi="Times New Roman"/>
        </w:rPr>
        <w:t>remain obligated to repair and maintain the line.</w:t>
      </w:r>
      <w:r w:rsidR="00B92CFA">
        <w:rPr>
          <w:rFonts w:ascii="Times New Roman" w:hAnsi="Times New Roman"/>
        </w:rPr>
        <w:t xml:space="preserve"> </w:t>
      </w:r>
      <w:r w:rsidR="00CC2F11" w:rsidRPr="00BA05A0">
        <w:rPr>
          <w:rFonts w:ascii="Times New Roman" w:hAnsi="Times New Roman"/>
        </w:rPr>
        <w:t xml:space="preserve">The costs associated with these </w:t>
      </w:r>
      <w:r w:rsidR="00826C97">
        <w:rPr>
          <w:rFonts w:ascii="Times New Roman" w:hAnsi="Times New Roman"/>
        </w:rPr>
        <w:t xml:space="preserve">additional and ongoing </w:t>
      </w:r>
      <w:r w:rsidR="00CC2F11" w:rsidRPr="00BA05A0">
        <w:rPr>
          <w:rFonts w:ascii="Times New Roman" w:hAnsi="Times New Roman"/>
        </w:rPr>
        <w:t>activities would also be borne by the Schedule 24 customers.</w:t>
      </w:r>
      <w:r w:rsidR="00150D42">
        <w:rPr>
          <w:rStyle w:val="FootnoteReference"/>
          <w:rFonts w:ascii="Times New Roman" w:hAnsi="Times New Roman"/>
        </w:rPr>
        <w:footnoteReference w:id="21"/>
      </w:r>
      <w:r w:rsidR="00CC2F11" w:rsidRPr="00BA05A0">
        <w:rPr>
          <w:rFonts w:ascii="Times New Roman" w:hAnsi="Times New Roman"/>
        </w:rPr>
        <w:t xml:space="preserve"> </w:t>
      </w:r>
      <w:r w:rsidR="00B92CFA">
        <w:rPr>
          <w:rFonts w:ascii="Times New Roman" w:hAnsi="Times New Roman"/>
        </w:rPr>
        <w:t xml:space="preserve"> </w:t>
      </w:r>
    </w:p>
    <w:p w14:paraId="153179C3" w14:textId="5C1E2094" w:rsidR="00626B27" w:rsidRPr="00BA05A0" w:rsidRDefault="005B0A40" w:rsidP="00626B27">
      <w:pPr>
        <w:pStyle w:val="Body1"/>
        <w:numPr>
          <w:ilvl w:val="0"/>
          <w:numId w:val="9"/>
        </w:numPr>
        <w:spacing w:line="480" w:lineRule="auto"/>
        <w:rPr>
          <w:rFonts w:ascii="Times New Roman" w:hAnsi="Times New Roman"/>
        </w:rPr>
      </w:pPr>
      <w:r w:rsidRPr="00BA05A0">
        <w:rPr>
          <w:rFonts w:ascii="Times New Roman" w:hAnsi="Times New Roman"/>
        </w:rPr>
        <w:tab/>
      </w:r>
      <w:r w:rsidR="00626B27" w:rsidRPr="00BA05A0">
        <w:rPr>
          <w:rFonts w:ascii="Times New Roman" w:hAnsi="Times New Roman"/>
        </w:rPr>
        <w:t xml:space="preserve">To be </w:t>
      </w:r>
      <w:r w:rsidR="00236972" w:rsidRPr="00BA05A0">
        <w:rPr>
          <w:rFonts w:ascii="Times New Roman" w:hAnsi="Times New Roman"/>
        </w:rPr>
        <w:t xml:space="preserve">clear, </w:t>
      </w:r>
      <w:r w:rsidR="00F43DAC" w:rsidRPr="00BA05A0">
        <w:rPr>
          <w:rFonts w:ascii="Times New Roman" w:hAnsi="Times New Roman"/>
        </w:rPr>
        <w:t>the P</w:t>
      </w:r>
      <w:r w:rsidR="00626B27" w:rsidRPr="00BA05A0">
        <w:rPr>
          <w:rFonts w:ascii="Times New Roman" w:hAnsi="Times New Roman"/>
        </w:rPr>
        <w:t xml:space="preserve">etitioners also take service under Schedule 24 today and would be allocated some of these costs. </w:t>
      </w:r>
      <w:r w:rsidR="00B92CFA">
        <w:rPr>
          <w:rFonts w:ascii="Times New Roman" w:hAnsi="Times New Roman"/>
        </w:rPr>
        <w:t xml:space="preserve"> </w:t>
      </w:r>
      <w:r w:rsidR="00626B27" w:rsidRPr="00BA05A0">
        <w:rPr>
          <w:rFonts w:ascii="Times New Roman" w:hAnsi="Times New Roman"/>
        </w:rPr>
        <w:t>But, the amounts allocated</w:t>
      </w:r>
      <w:r w:rsidR="00387C7B" w:rsidRPr="00BA05A0">
        <w:rPr>
          <w:rFonts w:ascii="Times New Roman" w:hAnsi="Times New Roman"/>
        </w:rPr>
        <w:t xml:space="preserve"> to them</w:t>
      </w:r>
      <w:r w:rsidR="00626B27" w:rsidRPr="00BA05A0">
        <w:rPr>
          <w:rFonts w:ascii="Times New Roman" w:hAnsi="Times New Roman"/>
        </w:rPr>
        <w:t xml:space="preserve"> pale in comparison to the </w:t>
      </w:r>
      <w:r w:rsidR="00826C97">
        <w:rPr>
          <w:rFonts w:ascii="Times New Roman" w:hAnsi="Times New Roman"/>
        </w:rPr>
        <w:t xml:space="preserve">amounts that would be allocated to </w:t>
      </w:r>
      <w:r w:rsidR="00626B27" w:rsidRPr="00BA05A0">
        <w:rPr>
          <w:rFonts w:ascii="Times New Roman" w:hAnsi="Times New Roman"/>
        </w:rPr>
        <w:t>other customers taking service under the schedule</w:t>
      </w:r>
      <w:r w:rsidR="00826C97">
        <w:rPr>
          <w:rFonts w:ascii="Times New Roman" w:hAnsi="Times New Roman"/>
        </w:rPr>
        <w:t xml:space="preserve"> if the Commission were to grant the petition</w:t>
      </w:r>
      <w:r w:rsidR="00626B27" w:rsidRPr="00BA05A0">
        <w:rPr>
          <w:rFonts w:ascii="Times New Roman" w:hAnsi="Times New Roman"/>
        </w:rPr>
        <w:t xml:space="preserve">. </w:t>
      </w:r>
      <w:r w:rsidR="00B92CFA">
        <w:rPr>
          <w:rFonts w:ascii="Times New Roman" w:hAnsi="Times New Roman"/>
        </w:rPr>
        <w:t xml:space="preserve"> </w:t>
      </w:r>
      <w:r w:rsidR="00626B27" w:rsidRPr="00BA05A0">
        <w:rPr>
          <w:rFonts w:ascii="Times New Roman" w:hAnsi="Times New Roman"/>
        </w:rPr>
        <w:t>As estimated by Mr.</w:t>
      </w:r>
      <w:r w:rsidR="00236972" w:rsidRPr="00BA05A0">
        <w:rPr>
          <w:rFonts w:ascii="Times New Roman" w:hAnsi="Times New Roman"/>
        </w:rPr>
        <w:t xml:space="preserve"> </w:t>
      </w:r>
      <w:r w:rsidR="00626B27" w:rsidRPr="00BA05A0">
        <w:rPr>
          <w:rFonts w:ascii="Times New Roman" w:hAnsi="Times New Roman"/>
        </w:rPr>
        <w:t xml:space="preserve">Ball, </w:t>
      </w:r>
      <w:r w:rsidR="00F43DAC" w:rsidRPr="00BA05A0">
        <w:rPr>
          <w:rFonts w:ascii="Times New Roman" w:hAnsi="Times New Roman"/>
        </w:rPr>
        <w:t xml:space="preserve">the Petitioners seek to avoid </w:t>
      </w:r>
      <w:r w:rsidR="00236972" w:rsidRPr="00BA05A0">
        <w:rPr>
          <w:rFonts w:ascii="Times New Roman" w:hAnsi="Times New Roman"/>
        </w:rPr>
        <w:t xml:space="preserve">approximately </w:t>
      </w:r>
      <w:r w:rsidR="00626B27" w:rsidRPr="00BA05A0">
        <w:rPr>
          <w:rFonts w:ascii="Times New Roman" w:hAnsi="Times New Roman"/>
        </w:rPr>
        <w:t>9</w:t>
      </w:r>
      <w:r w:rsidR="001F3EBD" w:rsidRPr="00BA05A0">
        <w:rPr>
          <w:rFonts w:ascii="Times New Roman" w:hAnsi="Times New Roman"/>
        </w:rPr>
        <w:t>5.</w:t>
      </w:r>
      <w:r w:rsidR="004717E6" w:rsidRPr="00BA05A0">
        <w:rPr>
          <w:rFonts w:ascii="Times New Roman" w:hAnsi="Times New Roman"/>
        </w:rPr>
        <w:t>6</w:t>
      </w:r>
      <w:r w:rsidR="00626B27" w:rsidRPr="00BA05A0">
        <w:rPr>
          <w:rFonts w:ascii="Times New Roman" w:hAnsi="Times New Roman"/>
        </w:rPr>
        <w:t xml:space="preserve">% of the </w:t>
      </w:r>
      <w:r w:rsidR="00F43DAC" w:rsidRPr="00BA05A0">
        <w:rPr>
          <w:rFonts w:ascii="Times New Roman" w:hAnsi="Times New Roman"/>
        </w:rPr>
        <w:t xml:space="preserve">Maloney Line’s estimated installation </w:t>
      </w:r>
      <w:r w:rsidR="00626B27" w:rsidRPr="00BA05A0">
        <w:rPr>
          <w:rFonts w:ascii="Times New Roman" w:hAnsi="Times New Roman"/>
        </w:rPr>
        <w:t>costs</w:t>
      </w:r>
      <w:r w:rsidR="006D45B4" w:rsidRPr="00BA05A0">
        <w:rPr>
          <w:rFonts w:ascii="Times New Roman" w:hAnsi="Times New Roman"/>
        </w:rPr>
        <w:t xml:space="preserve">, and foist these costs onto the customers of </w:t>
      </w:r>
      <w:r w:rsidR="00F43DAC" w:rsidRPr="00BA05A0">
        <w:rPr>
          <w:rFonts w:ascii="Times New Roman" w:hAnsi="Times New Roman"/>
        </w:rPr>
        <w:t>Schedule 24</w:t>
      </w:r>
      <w:r w:rsidR="006D45B4" w:rsidRPr="00BA05A0">
        <w:rPr>
          <w:rFonts w:ascii="Times New Roman" w:hAnsi="Times New Roman"/>
        </w:rPr>
        <w:t xml:space="preserve">. </w:t>
      </w:r>
      <w:r w:rsidR="00B92CFA">
        <w:rPr>
          <w:rFonts w:ascii="Times New Roman" w:hAnsi="Times New Roman"/>
        </w:rPr>
        <w:t xml:space="preserve"> </w:t>
      </w:r>
      <w:r w:rsidR="0059020B">
        <w:rPr>
          <w:rFonts w:ascii="Times New Roman" w:hAnsi="Times New Roman"/>
        </w:rPr>
        <w:t xml:space="preserve">Importantly, Mr. Ball’s estimate does not include ongoing maintenance and repair costs. </w:t>
      </w:r>
      <w:r w:rsidR="00B92CFA">
        <w:rPr>
          <w:rFonts w:ascii="Times New Roman" w:hAnsi="Times New Roman"/>
        </w:rPr>
        <w:t xml:space="preserve"> </w:t>
      </w:r>
      <w:r w:rsidR="006D45B4" w:rsidRPr="00BA05A0">
        <w:rPr>
          <w:rFonts w:ascii="Times New Roman" w:hAnsi="Times New Roman"/>
        </w:rPr>
        <w:t>S</w:t>
      </w:r>
      <w:r w:rsidR="00626B27" w:rsidRPr="00BA05A0">
        <w:rPr>
          <w:rFonts w:ascii="Times New Roman" w:hAnsi="Times New Roman"/>
        </w:rPr>
        <w:t xml:space="preserve">taff cannot support </w:t>
      </w:r>
      <w:r w:rsidR="00387C7B" w:rsidRPr="00BA05A0">
        <w:rPr>
          <w:rFonts w:ascii="Times New Roman" w:hAnsi="Times New Roman"/>
        </w:rPr>
        <w:t>this inequitable</w:t>
      </w:r>
      <w:r w:rsidR="006D45B4" w:rsidRPr="00BA05A0">
        <w:rPr>
          <w:rFonts w:ascii="Times New Roman" w:hAnsi="Times New Roman"/>
        </w:rPr>
        <w:t xml:space="preserve"> result. </w:t>
      </w:r>
      <w:r w:rsidR="00F43DAC" w:rsidRPr="00BA05A0">
        <w:rPr>
          <w:rFonts w:ascii="Times New Roman" w:hAnsi="Times New Roman"/>
        </w:rPr>
        <w:t xml:space="preserve"> </w:t>
      </w:r>
    </w:p>
    <w:p w14:paraId="6FA705B7" w14:textId="3B23CDC4" w:rsidR="00BA05A0" w:rsidRDefault="00BA05A0" w:rsidP="00B92CFA">
      <w:pPr>
        <w:pStyle w:val="Body1"/>
        <w:keepNext/>
        <w:jc w:val="center"/>
        <w:rPr>
          <w:rFonts w:ascii="Times New Roman" w:hAnsi="Times New Roman"/>
          <w:b/>
        </w:rPr>
      </w:pPr>
      <w:r>
        <w:rPr>
          <w:rFonts w:ascii="Times New Roman" w:hAnsi="Times New Roman"/>
          <w:b/>
        </w:rPr>
        <w:t>VI.</w:t>
      </w:r>
      <w:r>
        <w:rPr>
          <w:rFonts w:ascii="Times New Roman" w:hAnsi="Times New Roman"/>
          <w:b/>
        </w:rPr>
        <w:tab/>
      </w:r>
      <w:r w:rsidR="00AB0E55" w:rsidRPr="005E1A95">
        <w:rPr>
          <w:rFonts w:ascii="Times New Roman" w:hAnsi="Times New Roman"/>
          <w:b/>
        </w:rPr>
        <w:t>THE ECONOMIC FEASIBILITY OF CONSTRUCTING</w:t>
      </w:r>
    </w:p>
    <w:p w14:paraId="29377299" w14:textId="6DB3080A" w:rsidR="00AB0E55" w:rsidRDefault="00AB0E55" w:rsidP="00B92CFA">
      <w:pPr>
        <w:pStyle w:val="Body1"/>
        <w:keepNext/>
        <w:jc w:val="center"/>
        <w:rPr>
          <w:rFonts w:ascii="Times New Roman" w:hAnsi="Times New Roman"/>
          <w:b/>
        </w:rPr>
      </w:pPr>
      <w:r w:rsidRPr="005E1A95">
        <w:rPr>
          <w:rFonts w:ascii="Times New Roman" w:hAnsi="Times New Roman"/>
          <w:b/>
        </w:rPr>
        <w:t>A NEW MALONEY LINE</w:t>
      </w:r>
    </w:p>
    <w:p w14:paraId="289EC331" w14:textId="77777777" w:rsidR="00BA05A0" w:rsidRDefault="00BA05A0" w:rsidP="00B92CFA">
      <w:pPr>
        <w:pStyle w:val="Body1"/>
        <w:keepNext/>
        <w:rPr>
          <w:rFonts w:ascii="Times New Roman" w:hAnsi="Times New Roman"/>
          <w:b/>
        </w:rPr>
      </w:pPr>
    </w:p>
    <w:p w14:paraId="27BE9F7E" w14:textId="6D58F8FD" w:rsidR="002B1056" w:rsidRDefault="00BA05A0" w:rsidP="00BA05A0">
      <w:pPr>
        <w:pStyle w:val="Body1"/>
        <w:numPr>
          <w:ilvl w:val="0"/>
          <w:numId w:val="9"/>
        </w:numPr>
        <w:spacing w:line="480" w:lineRule="auto"/>
        <w:rPr>
          <w:rFonts w:ascii="Times New Roman" w:hAnsi="Times New Roman"/>
        </w:rPr>
      </w:pPr>
      <w:r>
        <w:rPr>
          <w:rFonts w:ascii="Times New Roman" w:hAnsi="Times New Roman"/>
          <w:b/>
        </w:rPr>
        <w:tab/>
      </w:r>
      <w:r w:rsidR="007542DC">
        <w:rPr>
          <w:rFonts w:ascii="Times New Roman" w:hAnsi="Times New Roman"/>
        </w:rPr>
        <w:t>The economic</w:t>
      </w:r>
      <w:r w:rsidR="007B601E">
        <w:rPr>
          <w:rFonts w:ascii="Times New Roman" w:hAnsi="Times New Roman"/>
        </w:rPr>
        <w:t xml:space="preserve"> feasibility of the Maloney Line is not </w:t>
      </w:r>
      <w:r w:rsidR="001B68B6">
        <w:rPr>
          <w:rFonts w:ascii="Times New Roman" w:hAnsi="Times New Roman"/>
        </w:rPr>
        <w:t xml:space="preserve">a </w:t>
      </w:r>
      <w:r w:rsidR="007B601E">
        <w:rPr>
          <w:rFonts w:ascii="Times New Roman" w:hAnsi="Times New Roman"/>
        </w:rPr>
        <w:t xml:space="preserve">close call. </w:t>
      </w:r>
      <w:r w:rsidR="00B92CFA">
        <w:rPr>
          <w:rFonts w:ascii="Times New Roman" w:hAnsi="Times New Roman"/>
        </w:rPr>
        <w:t xml:space="preserve"> </w:t>
      </w:r>
      <w:r w:rsidR="007542DC">
        <w:rPr>
          <w:rFonts w:ascii="Times New Roman" w:hAnsi="Times New Roman"/>
        </w:rPr>
        <w:t xml:space="preserve">The unrebutted record evidence clearly demonstrates that the installation of a new service line on Maloney Ridge </w:t>
      </w:r>
      <w:r w:rsidR="007B601E">
        <w:rPr>
          <w:rFonts w:ascii="Times New Roman" w:hAnsi="Times New Roman"/>
        </w:rPr>
        <w:t>w</w:t>
      </w:r>
      <w:r w:rsidR="00826C97">
        <w:rPr>
          <w:rFonts w:ascii="Times New Roman" w:hAnsi="Times New Roman"/>
        </w:rPr>
        <w:t xml:space="preserve">ould </w:t>
      </w:r>
      <w:r w:rsidR="007B601E">
        <w:rPr>
          <w:rFonts w:ascii="Times New Roman" w:hAnsi="Times New Roman"/>
        </w:rPr>
        <w:t>produce less than 5% of the revenue needed to cover the Line’s costs and return on investment</w:t>
      </w:r>
      <w:r w:rsidR="007B601E" w:rsidRPr="00CB3451">
        <w:rPr>
          <w:rFonts w:ascii="Times New Roman" w:hAnsi="Times New Roman"/>
        </w:rPr>
        <w:t xml:space="preserve"> </w:t>
      </w:r>
      <w:r w:rsidR="007B601E">
        <w:rPr>
          <w:rFonts w:ascii="Times New Roman" w:hAnsi="Times New Roman"/>
        </w:rPr>
        <w:t>over its projected life.</w:t>
      </w:r>
      <w:r w:rsidR="00380B25">
        <w:rPr>
          <w:rStyle w:val="FootnoteReference"/>
          <w:rFonts w:ascii="Times New Roman" w:hAnsi="Times New Roman"/>
        </w:rPr>
        <w:footnoteReference w:id="22"/>
      </w:r>
      <w:r w:rsidR="007B601E">
        <w:rPr>
          <w:rFonts w:ascii="Times New Roman" w:hAnsi="Times New Roman"/>
        </w:rPr>
        <w:t xml:space="preserve">  The Petitioners have led the </w:t>
      </w:r>
      <w:r w:rsidR="00AB0E55">
        <w:rPr>
          <w:rFonts w:ascii="Times New Roman" w:hAnsi="Times New Roman"/>
        </w:rPr>
        <w:t xml:space="preserve">Commission to only two outcomes - either the Petitioners will pay the high costs required to build </w:t>
      </w:r>
      <w:r w:rsidR="00380B25">
        <w:rPr>
          <w:rFonts w:ascii="Times New Roman" w:hAnsi="Times New Roman"/>
        </w:rPr>
        <w:t xml:space="preserve">and maintain </w:t>
      </w:r>
      <w:r w:rsidR="00AB0E55">
        <w:rPr>
          <w:rFonts w:ascii="Times New Roman" w:hAnsi="Times New Roman"/>
        </w:rPr>
        <w:t xml:space="preserve">the </w:t>
      </w:r>
      <w:r w:rsidR="007B601E">
        <w:rPr>
          <w:rFonts w:ascii="Times New Roman" w:hAnsi="Times New Roman"/>
        </w:rPr>
        <w:t>line o</w:t>
      </w:r>
      <w:r w:rsidR="00AB0E55">
        <w:rPr>
          <w:rFonts w:ascii="Times New Roman" w:hAnsi="Times New Roman"/>
        </w:rPr>
        <w:t xml:space="preserve">r the other customers taking service under Schedule 24 will pay </w:t>
      </w:r>
      <w:r w:rsidR="00380B25">
        <w:rPr>
          <w:rFonts w:ascii="Times New Roman" w:hAnsi="Times New Roman"/>
        </w:rPr>
        <w:t xml:space="preserve">substantially all of </w:t>
      </w:r>
      <w:r w:rsidR="00AB0E55">
        <w:rPr>
          <w:rFonts w:ascii="Times New Roman" w:hAnsi="Times New Roman"/>
        </w:rPr>
        <w:t xml:space="preserve">these costs </w:t>
      </w:r>
      <w:r w:rsidR="007542DC">
        <w:rPr>
          <w:rFonts w:ascii="Times New Roman" w:hAnsi="Times New Roman"/>
        </w:rPr>
        <w:t xml:space="preserve">thereby </w:t>
      </w:r>
      <w:r w:rsidR="00AB0E55">
        <w:rPr>
          <w:rFonts w:ascii="Times New Roman" w:hAnsi="Times New Roman"/>
        </w:rPr>
        <w:t>subsidiz</w:t>
      </w:r>
      <w:r w:rsidR="007542DC">
        <w:rPr>
          <w:rFonts w:ascii="Times New Roman" w:hAnsi="Times New Roman"/>
        </w:rPr>
        <w:t>ing t</w:t>
      </w:r>
      <w:r w:rsidR="00AB0E55">
        <w:rPr>
          <w:rFonts w:ascii="Times New Roman" w:hAnsi="Times New Roman"/>
        </w:rPr>
        <w:t xml:space="preserve">he delivery of electricity </w:t>
      </w:r>
      <w:r w:rsidR="007B601E">
        <w:rPr>
          <w:rFonts w:ascii="Times New Roman" w:hAnsi="Times New Roman"/>
        </w:rPr>
        <w:t xml:space="preserve">to the Petitioners. </w:t>
      </w:r>
      <w:r>
        <w:rPr>
          <w:rFonts w:ascii="Times New Roman" w:hAnsi="Times New Roman"/>
        </w:rPr>
        <w:t xml:space="preserve"> </w:t>
      </w:r>
    </w:p>
    <w:p w14:paraId="1F56198C" w14:textId="42DACABF" w:rsidR="00AB0E55" w:rsidRDefault="002B1056" w:rsidP="00AB0E55">
      <w:pPr>
        <w:pStyle w:val="Body1"/>
        <w:numPr>
          <w:ilvl w:val="0"/>
          <w:numId w:val="9"/>
        </w:numPr>
        <w:spacing w:line="480" w:lineRule="auto"/>
        <w:rPr>
          <w:rFonts w:ascii="Times New Roman" w:hAnsi="Times New Roman"/>
        </w:rPr>
      </w:pPr>
      <w:r w:rsidRPr="00BA05A0">
        <w:rPr>
          <w:rFonts w:ascii="Times New Roman" w:hAnsi="Times New Roman"/>
        </w:rPr>
        <w:tab/>
      </w:r>
      <w:r w:rsidR="007B601E" w:rsidRPr="00BA05A0">
        <w:rPr>
          <w:rFonts w:ascii="Times New Roman" w:hAnsi="Times New Roman"/>
        </w:rPr>
        <w:t xml:space="preserve">Having reviewed the economics of the project, </w:t>
      </w:r>
      <w:r w:rsidR="00AB0E55" w:rsidRPr="00BA05A0">
        <w:rPr>
          <w:rFonts w:ascii="Times New Roman" w:hAnsi="Times New Roman"/>
        </w:rPr>
        <w:t xml:space="preserve">Staff concludes that </w:t>
      </w:r>
      <w:r w:rsidR="007B601E" w:rsidRPr="00BA05A0">
        <w:rPr>
          <w:rFonts w:ascii="Times New Roman" w:hAnsi="Times New Roman"/>
        </w:rPr>
        <w:t xml:space="preserve">PSE’s applicable </w:t>
      </w:r>
      <w:r w:rsidR="00AB0E55" w:rsidRPr="00BA05A0">
        <w:rPr>
          <w:rFonts w:ascii="Times New Roman" w:hAnsi="Times New Roman"/>
        </w:rPr>
        <w:t xml:space="preserve">tariff provisions and the principles of equity and fairness dictate that the Petitioners pay the costs required to serve them. </w:t>
      </w:r>
      <w:r w:rsidR="00B92CFA">
        <w:rPr>
          <w:rFonts w:ascii="Times New Roman" w:hAnsi="Times New Roman"/>
        </w:rPr>
        <w:t xml:space="preserve"> </w:t>
      </w:r>
      <w:r w:rsidR="00AB0E55" w:rsidRPr="00BA05A0">
        <w:rPr>
          <w:rFonts w:ascii="Times New Roman" w:hAnsi="Times New Roman"/>
        </w:rPr>
        <w:t>This result would avoid creating an unreasonable subsidy that benefits only a handful of customers</w:t>
      </w:r>
      <w:r w:rsidR="007B601E" w:rsidRPr="00BA05A0">
        <w:rPr>
          <w:rFonts w:ascii="Times New Roman" w:hAnsi="Times New Roman"/>
        </w:rPr>
        <w:t xml:space="preserve"> to the detriment of the remaining customers on the rate schedule</w:t>
      </w:r>
      <w:r w:rsidR="00AB0E55" w:rsidRPr="00BA05A0">
        <w:rPr>
          <w:rFonts w:ascii="Times New Roman" w:hAnsi="Times New Roman"/>
        </w:rPr>
        <w:t xml:space="preserve">. </w:t>
      </w:r>
      <w:r w:rsidR="00BA05A0">
        <w:rPr>
          <w:rFonts w:ascii="Times New Roman" w:hAnsi="Times New Roman"/>
        </w:rPr>
        <w:t xml:space="preserve"> </w:t>
      </w:r>
    </w:p>
    <w:p w14:paraId="146D806A" w14:textId="7508A1A0" w:rsidR="00AB0E55" w:rsidRDefault="00BA05A0" w:rsidP="00AB0E55">
      <w:pPr>
        <w:pStyle w:val="Body1"/>
        <w:numPr>
          <w:ilvl w:val="0"/>
          <w:numId w:val="9"/>
        </w:numPr>
        <w:spacing w:line="480" w:lineRule="auto"/>
        <w:rPr>
          <w:rFonts w:ascii="Times New Roman" w:hAnsi="Times New Roman"/>
        </w:rPr>
      </w:pPr>
      <w:r w:rsidRPr="00BA05A0">
        <w:rPr>
          <w:rFonts w:ascii="Times New Roman" w:hAnsi="Times New Roman"/>
        </w:rPr>
        <w:tab/>
      </w:r>
      <w:r w:rsidR="00AB0E55" w:rsidRPr="00BA05A0">
        <w:rPr>
          <w:rFonts w:ascii="Times New Roman" w:hAnsi="Times New Roman"/>
        </w:rPr>
        <w:t>Staff thoroughly analyzed the economics of installing a new service line on Maloney Ridge.  Mr. Ball performed this analysis</w:t>
      </w:r>
      <w:r w:rsidR="00380B25" w:rsidRPr="00BA05A0">
        <w:rPr>
          <w:rFonts w:ascii="Times New Roman" w:hAnsi="Times New Roman"/>
        </w:rPr>
        <w:t>,</w:t>
      </w:r>
      <w:r w:rsidR="00AB0E55">
        <w:rPr>
          <w:rStyle w:val="FootnoteReference"/>
          <w:rFonts w:ascii="Times New Roman" w:hAnsi="Times New Roman"/>
        </w:rPr>
        <w:footnoteReference w:id="23"/>
      </w:r>
      <w:r w:rsidR="00AB0E55" w:rsidRPr="00BA05A0">
        <w:rPr>
          <w:rFonts w:ascii="Times New Roman" w:hAnsi="Times New Roman"/>
        </w:rPr>
        <w:t xml:space="preserve"> and </w:t>
      </w:r>
      <w:r w:rsidR="007542DC" w:rsidRPr="00BA05A0">
        <w:rPr>
          <w:rFonts w:ascii="Times New Roman" w:hAnsi="Times New Roman"/>
        </w:rPr>
        <w:t>compared the line’s forecasted regulated costs with the “level of potential revenues from the customers taking service on the line over … [its] expected lifetime.”</w:t>
      </w:r>
      <w:r w:rsidR="007542DC">
        <w:rPr>
          <w:rStyle w:val="FootnoteReference"/>
          <w:rFonts w:ascii="Times New Roman" w:hAnsi="Times New Roman"/>
        </w:rPr>
        <w:footnoteReference w:id="24"/>
      </w:r>
      <w:r w:rsidR="007542DC" w:rsidRPr="00BA05A0">
        <w:rPr>
          <w:rFonts w:ascii="Times New Roman" w:hAnsi="Times New Roman"/>
        </w:rPr>
        <w:t xml:space="preserve"> </w:t>
      </w:r>
      <w:r>
        <w:rPr>
          <w:rFonts w:ascii="Times New Roman" w:hAnsi="Times New Roman"/>
        </w:rPr>
        <w:t xml:space="preserve"> </w:t>
      </w:r>
      <w:r w:rsidR="007542DC" w:rsidRPr="00BA05A0">
        <w:rPr>
          <w:rFonts w:ascii="Times New Roman" w:hAnsi="Times New Roman"/>
        </w:rPr>
        <w:t xml:space="preserve">He </w:t>
      </w:r>
      <w:r w:rsidR="00AB0E55" w:rsidRPr="00BA05A0">
        <w:rPr>
          <w:rFonts w:ascii="Times New Roman" w:hAnsi="Times New Roman"/>
        </w:rPr>
        <w:t xml:space="preserve">concluded without reservations or qualifications that the </w:t>
      </w:r>
      <w:r w:rsidR="007542DC" w:rsidRPr="00BA05A0">
        <w:rPr>
          <w:rFonts w:ascii="Times New Roman" w:hAnsi="Times New Roman"/>
        </w:rPr>
        <w:t xml:space="preserve">projected costs of a new line </w:t>
      </w:r>
      <w:r w:rsidR="00AB0E55" w:rsidRPr="00BA05A0">
        <w:rPr>
          <w:rFonts w:ascii="Times New Roman" w:hAnsi="Times New Roman"/>
        </w:rPr>
        <w:t>would far exceed the recovery of these costs in the rates paid by the Petitioners.</w:t>
      </w:r>
      <w:r w:rsidR="00E30261">
        <w:rPr>
          <w:rStyle w:val="FootnoteReference"/>
          <w:rFonts w:ascii="Times New Roman" w:hAnsi="Times New Roman"/>
        </w:rPr>
        <w:footnoteReference w:id="25"/>
      </w:r>
      <w:r w:rsidR="00AB0E55" w:rsidRPr="00BA05A0">
        <w:rPr>
          <w:rFonts w:ascii="Times New Roman" w:hAnsi="Times New Roman"/>
        </w:rPr>
        <w:t xml:space="preserve">  </w:t>
      </w:r>
    </w:p>
    <w:p w14:paraId="12F5C430" w14:textId="154F50AC" w:rsidR="00AB0E55" w:rsidRDefault="00AB0E55" w:rsidP="00AB0E55">
      <w:pPr>
        <w:pStyle w:val="Body1"/>
        <w:numPr>
          <w:ilvl w:val="0"/>
          <w:numId w:val="9"/>
        </w:numPr>
        <w:spacing w:line="480" w:lineRule="auto"/>
        <w:rPr>
          <w:rFonts w:ascii="Times New Roman" w:hAnsi="Times New Roman"/>
        </w:rPr>
      </w:pPr>
      <w:r w:rsidRPr="00BA05A0">
        <w:rPr>
          <w:rFonts w:ascii="Times New Roman" w:hAnsi="Times New Roman"/>
        </w:rPr>
        <w:tab/>
        <w:t>As shown by Mr. Ball’s economic analysis, the Petitioners’ usage and rates are only forecast</w:t>
      </w:r>
      <w:r w:rsidR="00380B25">
        <w:rPr>
          <w:rFonts w:ascii="Times New Roman" w:hAnsi="Times New Roman"/>
        </w:rPr>
        <w:t>ed</w:t>
      </w:r>
      <w:r w:rsidRPr="00BA05A0">
        <w:rPr>
          <w:rFonts w:ascii="Times New Roman" w:hAnsi="Times New Roman"/>
        </w:rPr>
        <w:t xml:space="preserve"> to generate </w:t>
      </w:r>
      <w:r w:rsidR="00380B25">
        <w:rPr>
          <w:rFonts w:ascii="Times New Roman" w:hAnsi="Times New Roman"/>
        </w:rPr>
        <w:t>$296,598 in revenue over the 35-</w:t>
      </w:r>
      <w:r w:rsidRPr="00BA05A0">
        <w:rPr>
          <w:rFonts w:ascii="Times New Roman" w:hAnsi="Times New Roman"/>
        </w:rPr>
        <w:t>year life of the project.</w:t>
      </w:r>
      <w:r>
        <w:rPr>
          <w:rStyle w:val="FootnoteReference"/>
          <w:rFonts w:ascii="Times New Roman" w:hAnsi="Times New Roman"/>
        </w:rPr>
        <w:footnoteReference w:id="26"/>
      </w:r>
      <w:r w:rsidRPr="00BA05A0">
        <w:rPr>
          <w:rFonts w:ascii="Times New Roman" w:hAnsi="Times New Roman"/>
        </w:rPr>
        <w:t xml:space="preserve"> </w:t>
      </w:r>
      <w:r w:rsidR="00BA05A0">
        <w:rPr>
          <w:rFonts w:ascii="Times New Roman" w:hAnsi="Times New Roman"/>
        </w:rPr>
        <w:t xml:space="preserve"> </w:t>
      </w:r>
      <w:r w:rsidRPr="00BA05A0">
        <w:rPr>
          <w:rFonts w:ascii="Times New Roman" w:hAnsi="Times New Roman"/>
        </w:rPr>
        <w:t xml:space="preserve">Over this same period, the regulated costs associated with the project </w:t>
      </w:r>
      <w:r w:rsidR="00380B25">
        <w:rPr>
          <w:rFonts w:ascii="Times New Roman" w:hAnsi="Times New Roman"/>
        </w:rPr>
        <w:t xml:space="preserve">are </w:t>
      </w:r>
      <w:r w:rsidRPr="00BA05A0">
        <w:rPr>
          <w:rFonts w:ascii="Times New Roman" w:hAnsi="Times New Roman"/>
        </w:rPr>
        <w:t>forecast</w:t>
      </w:r>
      <w:r w:rsidR="00380B25">
        <w:rPr>
          <w:rFonts w:ascii="Times New Roman" w:hAnsi="Times New Roman"/>
        </w:rPr>
        <w:t>ed</w:t>
      </w:r>
      <w:r w:rsidRPr="00BA05A0">
        <w:rPr>
          <w:rFonts w:ascii="Times New Roman" w:hAnsi="Times New Roman"/>
        </w:rPr>
        <w:t xml:space="preserve"> to be $6,781,319. </w:t>
      </w:r>
      <w:r w:rsidR="00BA05A0">
        <w:rPr>
          <w:rFonts w:ascii="Times New Roman" w:hAnsi="Times New Roman"/>
        </w:rPr>
        <w:t xml:space="preserve"> </w:t>
      </w:r>
      <w:r w:rsidR="00380B25">
        <w:rPr>
          <w:rFonts w:ascii="Times New Roman" w:hAnsi="Times New Roman"/>
        </w:rPr>
        <w:t xml:space="preserve">Mr. Ball </w:t>
      </w:r>
      <w:r w:rsidRPr="00BA05A0">
        <w:rPr>
          <w:rFonts w:ascii="Times New Roman" w:hAnsi="Times New Roman"/>
        </w:rPr>
        <w:t>then calculated the percentage of costs to be contributed by the Petitioners over the project’s useful life and concluded that nearly $6.5 million (or 95.6%) of the project’s expected $6.8 million in costs would be borne by the remaining customers taking service under Schedule 24.</w:t>
      </w:r>
      <w:r>
        <w:rPr>
          <w:rStyle w:val="FootnoteReference"/>
          <w:rFonts w:ascii="Times New Roman" w:hAnsi="Times New Roman"/>
        </w:rPr>
        <w:footnoteReference w:id="27"/>
      </w:r>
      <w:r w:rsidRPr="00BA05A0">
        <w:rPr>
          <w:rFonts w:ascii="Times New Roman" w:hAnsi="Times New Roman"/>
        </w:rPr>
        <w:t xml:space="preserve"> </w:t>
      </w:r>
      <w:r w:rsidR="00BA05A0">
        <w:rPr>
          <w:rFonts w:ascii="Times New Roman" w:hAnsi="Times New Roman"/>
        </w:rPr>
        <w:t xml:space="preserve"> </w:t>
      </w:r>
      <w:r w:rsidRPr="00BA05A0">
        <w:rPr>
          <w:rFonts w:ascii="Times New Roman" w:hAnsi="Times New Roman"/>
        </w:rPr>
        <w:t>Based on Mr. Ball’s economic analysis, Staff appropriately concluded that the project would not be economic to build, and if a new line is installed</w:t>
      </w:r>
      <w:r w:rsidR="00380B25">
        <w:rPr>
          <w:rFonts w:ascii="Times New Roman" w:hAnsi="Times New Roman"/>
        </w:rPr>
        <w:t xml:space="preserve"> all </w:t>
      </w:r>
      <w:r w:rsidRPr="00BA05A0">
        <w:rPr>
          <w:rFonts w:ascii="Times New Roman" w:hAnsi="Times New Roman"/>
        </w:rPr>
        <w:t xml:space="preserve">costs </w:t>
      </w:r>
      <w:r w:rsidR="00380B25">
        <w:rPr>
          <w:rFonts w:ascii="Times New Roman" w:hAnsi="Times New Roman"/>
        </w:rPr>
        <w:t>associated with the project should be borne by the cost-</w:t>
      </w:r>
      <w:r w:rsidRPr="00BA05A0">
        <w:rPr>
          <w:rFonts w:ascii="Times New Roman" w:hAnsi="Times New Roman"/>
        </w:rPr>
        <w:t>causers - the Petitioners.</w:t>
      </w:r>
      <w:r>
        <w:rPr>
          <w:rStyle w:val="FootnoteReference"/>
          <w:rFonts w:ascii="Times New Roman" w:hAnsi="Times New Roman"/>
        </w:rPr>
        <w:footnoteReference w:id="28"/>
      </w:r>
      <w:r w:rsidRPr="00BA05A0">
        <w:rPr>
          <w:rFonts w:ascii="Times New Roman" w:hAnsi="Times New Roman"/>
        </w:rPr>
        <w:t xml:space="preserve"> </w:t>
      </w:r>
      <w:r w:rsidR="00BA05A0">
        <w:rPr>
          <w:rFonts w:ascii="Times New Roman" w:hAnsi="Times New Roman"/>
        </w:rPr>
        <w:t xml:space="preserve"> </w:t>
      </w:r>
    </w:p>
    <w:p w14:paraId="7950B39F" w14:textId="55B43853" w:rsidR="00AB0E55" w:rsidRDefault="00AB0E55" w:rsidP="00AB0E55">
      <w:pPr>
        <w:pStyle w:val="Body1"/>
        <w:numPr>
          <w:ilvl w:val="0"/>
          <w:numId w:val="9"/>
        </w:numPr>
        <w:spacing w:line="480" w:lineRule="auto"/>
        <w:rPr>
          <w:rFonts w:ascii="Times New Roman" w:hAnsi="Times New Roman"/>
        </w:rPr>
      </w:pPr>
      <w:r w:rsidRPr="00BA05A0">
        <w:rPr>
          <w:rFonts w:ascii="Times New Roman" w:hAnsi="Times New Roman"/>
        </w:rPr>
        <w:tab/>
        <w:t xml:space="preserve">The Maloney Line’s history </w:t>
      </w:r>
      <w:r w:rsidR="00E30261" w:rsidRPr="00BA05A0">
        <w:rPr>
          <w:rFonts w:ascii="Times New Roman" w:hAnsi="Times New Roman"/>
        </w:rPr>
        <w:t xml:space="preserve">indicates the line offers little </w:t>
      </w:r>
      <w:r w:rsidRPr="00BA05A0">
        <w:rPr>
          <w:rFonts w:ascii="Times New Roman" w:hAnsi="Times New Roman"/>
        </w:rPr>
        <w:t xml:space="preserve">potential for </w:t>
      </w:r>
      <w:r w:rsidR="00F96B06" w:rsidRPr="00BA05A0">
        <w:rPr>
          <w:rFonts w:ascii="Times New Roman" w:hAnsi="Times New Roman"/>
        </w:rPr>
        <w:t xml:space="preserve">producing more </w:t>
      </w:r>
      <w:r w:rsidRPr="00BA05A0">
        <w:rPr>
          <w:rFonts w:ascii="Times New Roman" w:hAnsi="Times New Roman"/>
        </w:rPr>
        <w:t>revenue</w:t>
      </w:r>
      <w:r w:rsidR="00F96B06" w:rsidRPr="00BA05A0">
        <w:rPr>
          <w:rFonts w:ascii="Times New Roman" w:hAnsi="Times New Roman"/>
        </w:rPr>
        <w:t>.</w:t>
      </w:r>
      <w:r w:rsidR="00B55BC5">
        <w:rPr>
          <w:rStyle w:val="FootnoteReference"/>
          <w:rFonts w:ascii="Times New Roman" w:hAnsi="Times New Roman"/>
        </w:rPr>
        <w:footnoteReference w:id="29"/>
      </w:r>
      <w:r w:rsidR="00F96B06" w:rsidRPr="00BA05A0">
        <w:rPr>
          <w:rFonts w:ascii="Times New Roman" w:hAnsi="Times New Roman"/>
        </w:rPr>
        <w:t xml:space="preserve"> </w:t>
      </w:r>
      <w:r w:rsidR="00B92CFA">
        <w:rPr>
          <w:rFonts w:ascii="Times New Roman" w:hAnsi="Times New Roman"/>
        </w:rPr>
        <w:t xml:space="preserve"> </w:t>
      </w:r>
      <w:r w:rsidRPr="00BA05A0">
        <w:rPr>
          <w:rFonts w:ascii="Times New Roman" w:hAnsi="Times New Roman"/>
        </w:rPr>
        <w:t xml:space="preserve">However, in order to </w:t>
      </w:r>
      <w:r w:rsidR="00E30261" w:rsidRPr="00BA05A0">
        <w:rPr>
          <w:rFonts w:ascii="Times New Roman" w:hAnsi="Times New Roman"/>
        </w:rPr>
        <w:t xml:space="preserve">afford </w:t>
      </w:r>
      <w:r w:rsidRPr="00BA05A0">
        <w:rPr>
          <w:rFonts w:ascii="Times New Roman" w:hAnsi="Times New Roman"/>
        </w:rPr>
        <w:t xml:space="preserve">the Petitioners a complete and fair-minded analysis, Mr. Ball considered the possibility of new users locating facilities at the site. </w:t>
      </w:r>
      <w:r w:rsidR="00B92CFA">
        <w:rPr>
          <w:rFonts w:ascii="Times New Roman" w:hAnsi="Times New Roman"/>
        </w:rPr>
        <w:t xml:space="preserve"> </w:t>
      </w:r>
      <w:r w:rsidRPr="00BA05A0">
        <w:rPr>
          <w:rFonts w:ascii="Times New Roman" w:hAnsi="Times New Roman"/>
        </w:rPr>
        <w:t>For this purpose, his study projected an “extremely large increase in the revenues from customers on the Maloney Line.”</w:t>
      </w:r>
      <w:r>
        <w:rPr>
          <w:rStyle w:val="FootnoteReference"/>
          <w:rFonts w:ascii="Times New Roman" w:hAnsi="Times New Roman"/>
        </w:rPr>
        <w:footnoteReference w:id="30"/>
      </w:r>
      <w:r w:rsidRPr="00BA05A0">
        <w:rPr>
          <w:rFonts w:ascii="Times New Roman" w:hAnsi="Times New Roman"/>
        </w:rPr>
        <w:t xml:space="preserve"> </w:t>
      </w:r>
      <w:r w:rsidR="00BA05A0">
        <w:rPr>
          <w:rFonts w:ascii="Times New Roman" w:hAnsi="Times New Roman"/>
        </w:rPr>
        <w:t xml:space="preserve"> </w:t>
      </w:r>
      <w:r w:rsidRPr="00BA05A0">
        <w:rPr>
          <w:rFonts w:ascii="Times New Roman" w:hAnsi="Times New Roman"/>
        </w:rPr>
        <w:t xml:space="preserve">Even when calculating extraordinary revenue “growth of 500 percent” from Maloney Line users, he </w:t>
      </w:r>
      <w:r w:rsidR="00F96B06" w:rsidRPr="00BA05A0">
        <w:rPr>
          <w:rFonts w:ascii="Times New Roman" w:hAnsi="Times New Roman"/>
        </w:rPr>
        <w:t>determined that</w:t>
      </w:r>
      <w:r w:rsidRPr="00BA05A0">
        <w:rPr>
          <w:rFonts w:ascii="Times New Roman" w:hAnsi="Times New Roman"/>
        </w:rPr>
        <w:t xml:space="preserve"> </w:t>
      </w:r>
      <w:r w:rsidR="00E30261" w:rsidRPr="00BA05A0">
        <w:rPr>
          <w:rFonts w:ascii="Times New Roman" w:hAnsi="Times New Roman"/>
        </w:rPr>
        <w:t>a new l</w:t>
      </w:r>
      <w:r w:rsidR="00F96B06" w:rsidRPr="00BA05A0">
        <w:rPr>
          <w:rFonts w:ascii="Times New Roman" w:hAnsi="Times New Roman"/>
        </w:rPr>
        <w:t xml:space="preserve">ine </w:t>
      </w:r>
      <w:r w:rsidRPr="00BA05A0">
        <w:rPr>
          <w:rFonts w:ascii="Times New Roman" w:hAnsi="Times New Roman"/>
        </w:rPr>
        <w:t>would still produce a revenue shortfall of over $5 million dollars.</w:t>
      </w:r>
      <w:r>
        <w:rPr>
          <w:rStyle w:val="FootnoteReference"/>
          <w:rFonts w:ascii="Times New Roman" w:hAnsi="Times New Roman"/>
        </w:rPr>
        <w:footnoteReference w:id="31"/>
      </w:r>
      <w:r w:rsidRPr="00BA05A0">
        <w:rPr>
          <w:rFonts w:ascii="Times New Roman" w:hAnsi="Times New Roman"/>
        </w:rPr>
        <w:t xml:space="preserve"> </w:t>
      </w:r>
      <w:r w:rsidR="00BA05A0">
        <w:rPr>
          <w:rFonts w:ascii="Times New Roman" w:hAnsi="Times New Roman"/>
        </w:rPr>
        <w:t xml:space="preserve"> </w:t>
      </w:r>
      <w:r w:rsidRPr="00BA05A0">
        <w:rPr>
          <w:rFonts w:ascii="Times New Roman" w:hAnsi="Times New Roman"/>
        </w:rPr>
        <w:t xml:space="preserve">He concluded that even if the Maloney Line users could produce such </w:t>
      </w:r>
      <w:r w:rsidR="00F96B06" w:rsidRPr="00BA05A0">
        <w:rPr>
          <w:rFonts w:ascii="Times New Roman" w:hAnsi="Times New Roman"/>
        </w:rPr>
        <w:t xml:space="preserve">extreme </w:t>
      </w:r>
      <w:r w:rsidRPr="00BA05A0">
        <w:rPr>
          <w:rFonts w:ascii="Times New Roman" w:hAnsi="Times New Roman"/>
        </w:rPr>
        <w:t>revenue growth, the revenues received by PSE would still not “adequately justify … the Petitioners</w:t>
      </w:r>
      <w:r w:rsidR="00380B25">
        <w:rPr>
          <w:rFonts w:ascii="Times New Roman" w:hAnsi="Times New Roman"/>
        </w:rPr>
        <w:t>’</w:t>
      </w:r>
      <w:r w:rsidRPr="00BA05A0">
        <w:rPr>
          <w:rFonts w:ascii="Times New Roman" w:hAnsi="Times New Roman"/>
        </w:rPr>
        <w:t xml:space="preserve"> request.”</w:t>
      </w:r>
      <w:r>
        <w:rPr>
          <w:rStyle w:val="FootnoteReference"/>
          <w:rFonts w:ascii="Times New Roman" w:hAnsi="Times New Roman"/>
        </w:rPr>
        <w:footnoteReference w:id="32"/>
      </w:r>
      <w:r w:rsidRPr="00BA05A0">
        <w:rPr>
          <w:rFonts w:ascii="Times New Roman" w:hAnsi="Times New Roman"/>
        </w:rPr>
        <w:t xml:space="preserve"> </w:t>
      </w:r>
      <w:r w:rsidR="00BA05A0">
        <w:rPr>
          <w:rFonts w:ascii="Times New Roman" w:hAnsi="Times New Roman"/>
        </w:rPr>
        <w:t xml:space="preserve"> </w:t>
      </w:r>
    </w:p>
    <w:p w14:paraId="4DCD257B" w14:textId="2BBF5C9A" w:rsidR="00AB0E55" w:rsidRDefault="00AB0E55" w:rsidP="00AB0E55">
      <w:pPr>
        <w:pStyle w:val="Body1"/>
        <w:numPr>
          <w:ilvl w:val="0"/>
          <w:numId w:val="9"/>
        </w:numPr>
        <w:spacing w:line="480" w:lineRule="auto"/>
        <w:rPr>
          <w:rFonts w:ascii="Times New Roman" w:hAnsi="Times New Roman"/>
        </w:rPr>
      </w:pPr>
      <w:r w:rsidRPr="00BA05A0">
        <w:rPr>
          <w:rFonts w:ascii="Times New Roman" w:hAnsi="Times New Roman"/>
        </w:rPr>
        <w:tab/>
        <w:t xml:space="preserve">Importantly, Mr. Ball’s study did not include </w:t>
      </w:r>
      <w:r w:rsidR="00374054" w:rsidRPr="00BA05A0">
        <w:rPr>
          <w:rFonts w:ascii="Times New Roman" w:hAnsi="Times New Roman"/>
        </w:rPr>
        <w:t xml:space="preserve">future </w:t>
      </w:r>
      <w:r w:rsidRPr="00BA05A0">
        <w:rPr>
          <w:rFonts w:ascii="Times New Roman" w:hAnsi="Times New Roman"/>
        </w:rPr>
        <w:t>operations and maintenance costs over the life of the project.</w:t>
      </w:r>
      <w:r>
        <w:rPr>
          <w:rStyle w:val="FootnoteReference"/>
          <w:rFonts w:ascii="Times New Roman" w:hAnsi="Times New Roman"/>
        </w:rPr>
        <w:footnoteReference w:id="33"/>
      </w:r>
      <w:r w:rsidRPr="00BA05A0">
        <w:rPr>
          <w:rFonts w:ascii="Times New Roman" w:hAnsi="Times New Roman"/>
        </w:rPr>
        <w:t xml:space="preserve"> </w:t>
      </w:r>
      <w:r w:rsidR="00B92CFA">
        <w:rPr>
          <w:rFonts w:ascii="Times New Roman" w:hAnsi="Times New Roman"/>
        </w:rPr>
        <w:t xml:space="preserve"> </w:t>
      </w:r>
      <w:r w:rsidRPr="00BA05A0">
        <w:rPr>
          <w:rFonts w:ascii="Times New Roman" w:hAnsi="Times New Roman"/>
        </w:rPr>
        <w:t>As noted above, the Maloney Line has experienced significant operating problems directly linked to the “rugged terrain, weather and environmentally sensitive areas” upon which it is built.</w:t>
      </w:r>
      <w:r>
        <w:rPr>
          <w:rStyle w:val="FootnoteReference"/>
          <w:rFonts w:ascii="Times New Roman" w:hAnsi="Times New Roman"/>
        </w:rPr>
        <w:footnoteReference w:id="34"/>
      </w:r>
      <w:r w:rsidRPr="00BA05A0">
        <w:rPr>
          <w:rFonts w:ascii="Times New Roman" w:hAnsi="Times New Roman"/>
        </w:rPr>
        <w:t xml:space="preserve"> </w:t>
      </w:r>
      <w:r w:rsidR="00B92CFA">
        <w:rPr>
          <w:rFonts w:ascii="Times New Roman" w:hAnsi="Times New Roman"/>
        </w:rPr>
        <w:t xml:space="preserve"> </w:t>
      </w:r>
      <w:r w:rsidR="00374054" w:rsidRPr="00BA05A0">
        <w:rPr>
          <w:rFonts w:ascii="Times New Roman" w:hAnsi="Times New Roman"/>
        </w:rPr>
        <w:t>For example</w:t>
      </w:r>
      <w:r w:rsidR="00380B25">
        <w:rPr>
          <w:rFonts w:ascii="Times New Roman" w:hAnsi="Times New Roman"/>
        </w:rPr>
        <w:t xml:space="preserve">, </w:t>
      </w:r>
      <w:r w:rsidRPr="00BA05A0">
        <w:rPr>
          <w:rFonts w:ascii="Times New Roman" w:hAnsi="Times New Roman"/>
        </w:rPr>
        <w:t>Mr. Sanders testified that the project’s “[r]epair costs for 2012 and 2013 were approximately $200,000 and $231,000, respectively.”</w:t>
      </w:r>
      <w:r>
        <w:rPr>
          <w:rStyle w:val="FootnoteReference"/>
          <w:rFonts w:ascii="Times New Roman" w:hAnsi="Times New Roman"/>
        </w:rPr>
        <w:footnoteReference w:id="35"/>
      </w:r>
      <w:r w:rsidRPr="00BA05A0">
        <w:rPr>
          <w:rFonts w:ascii="Times New Roman" w:hAnsi="Times New Roman"/>
        </w:rPr>
        <w:t xml:space="preserve"> </w:t>
      </w:r>
      <w:r w:rsidR="00BA05A0">
        <w:rPr>
          <w:rFonts w:ascii="Times New Roman" w:hAnsi="Times New Roman"/>
        </w:rPr>
        <w:t xml:space="preserve"> </w:t>
      </w:r>
      <w:r w:rsidRPr="00BA05A0">
        <w:rPr>
          <w:rFonts w:ascii="Times New Roman" w:hAnsi="Times New Roman"/>
        </w:rPr>
        <w:t xml:space="preserve">Mr. Nightingale’s testimony </w:t>
      </w:r>
      <w:r w:rsidR="00F96B06" w:rsidRPr="00BA05A0">
        <w:rPr>
          <w:rFonts w:ascii="Times New Roman" w:hAnsi="Times New Roman"/>
        </w:rPr>
        <w:t xml:space="preserve">showed </w:t>
      </w:r>
      <w:r w:rsidRPr="00BA05A0">
        <w:rPr>
          <w:rFonts w:ascii="Times New Roman" w:hAnsi="Times New Roman"/>
        </w:rPr>
        <w:t xml:space="preserve">that </w:t>
      </w:r>
      <w:r w:rsidR="00740A44" w:rsidRPr="00BA05A0">
        <w:rPr>
          <w:rFonts w:ascii="Times New Roman" w:hAnsi="Times New Roman"/>
        </w:rPr>
        <w:t>repairs to the Line</w:t>
      </w:r>
      <w:r w:rsidR="00F96B06" w:rsidRPr="00BA05A0">
        <w:rPr>
          <w:rFonts w:ascii="Times New Roman" w:hAnsi="Times New Roman"/>
        </w:rPr>
        <w:t xml:space="preserve"> </w:t>
      </w:r>
      <w:r w:rsidRPr="00BA05A0">
        <w:rPr>
          <w:rFonts w:ascii="Times New Roman" w:hAnsi="Times New Roman"/>
        </w:rPr>
        <w:t>required expenditures of approximately $700,000 dollars between 2009 and 2012.</w:t>
      </w:r>
      <w:r>
        <w:rPr>
          <w:rStyle w:val="FootnoteReference"/>
          <w:rFonts w:ascii="Times New Roman" w:hAnsi="Times New Roman"/>
        </w:rPr>
        <w:footnoteReference w:id="36"/>
      </w:r>
      <w:r w:rsidRPr="00BA05A0">
        <w:rPr>
          <w:rFonts w:ascii="Times New Roman" w:hAnsi="Times New Roman"/>
        </w:rPr>
        <w:t xml:space="preserve"> </w:t>
      </w:r>
      <w:r w:rsidR="00BA05A0">
        <w:rPr>
          <w:rFonts w:ascii="Times New Roman" w:hAnsi="Times New Roman"/>
        </w:rPr>
        <w:t xml:space="preserve"> </w:t>
      </w:r>
      <w:r w:rsidR="00374054" w:rsidRPr="00BA05A0">
        <w:rPr>
          <w:rFonts w:ascii="Times New Roman" w:hAnsi="Times New Roman"/>
        </w:rPr>
        <w:t>PSE has projected the operations, maintenance and repair costs over the life a new Maloney Line to be approximately $6.7 million dollars.</w:t>
      </w:r>
      <w:r w:rsidR="00374054">
        <w:rPr>
          <w:rStyle w:val="FootnoteReference"/>
          <w:rFonts w:ascii="Times New Roman" w:hAnsi="Times New Roman"/>
        </w:rPr>
        <w:footnoteReference w:id="37"/>
      </w:r>
      <w:r w:rsidR="00374054" w:rsidRPr="00BA05A0">
        <w:rPr>
          <w:rFonts w:ascii="Times New Roman" w:hAnsi="Times New Roman"/>
        </w:rPr>
        <w:t xml:space="preserve"> </w:t>
      </w:r>
      <w:r w:rsidR="00BA05A0">
        <w:rPr>
          <w:rFonts w:ascii="Times New Roman" w:hAnsi="Times New Roman"/>
        </w:rPr>
        <w:t xml:space="preserve"> </w:t>
      </w:r>
      <w:r w:rsidR="00740A44" w:rsidRPr="00BA05A0">
        <w:rPr>
          <w:rFonts w:ascii="Times New Roman" w:hAnsi="Times New Roman"/>
        </w:rPr>
        <w:t xml:space="preserve">If </w:t>
      </w:r>
      <w:r w:rsidR="00E47225" w:rsidRPr="00BA05A0">
        <w:rPr>
          <w:rFonts w:ascii="Times New Roman" w:hAnsi="Times New Roman"/>
        </w:rPr>
        <w:t xml:space="preserve">PSE’s forecast </w:t>
      </w:r>
      <w:r w:rsidR="00740A44" w:rsidRPr="00BA05A0">
        <w:rPr>
          <w:rFonts w:ascii="Times New Roman" w:hAnsi="Times New Roman"/>
        </w:rPr>
        <w:t xml:space="preserve">is accurate, these additional </w:t>
      </w:r>
      <w:r w:rsidR="00E47225" w:rsidRPr="00BA05A0">
        <w:rPr>
          <w:rFonts w:ascii="Times New Roman" w:hAnsi="Times New Roman"/>
        </w:rPr>
        <w:t xml:space="preserve">costs would effectively double the project’s costs over its useful life </w:t>
      </w:r>
      <w:r w:rsidR="00F96B06" w:rsidRPr="00BA05A0">
        <w:rPr>
          <w:rFonts w:ascii="Times New Roman" w:hAnsi="Times New Roman"/>
        </w:rPr>
        <w:t xml:space="preserve">and </w:t>
      </w:r>
      <w:r w:rsidR="00740A44" w:rsidRPr="00BA05A0">
        <w:rPr>
          <w:rFonts w:ascii="Times New Roman" w:hAnsi="Times New Roman"/>
        </w:rPr>
        <w:t xml:space="preserve">double </w:t>
      </w:r>
      <w:r w:rsidR="00F96B06" w:rsidRPr="00BA05A0">
        <w:rPr>
          <w:rFonts w:ascii="Times New Roman" w:hAnsi="Times New Roman"/>
        </w:rPr>
        <w:t>t</w:t>
      </w:r>
      <w:r w:rsidRPr="00BA05A0">
        <w:rPr>
          <w:rFonts w:ascii="Times New Roman" w:hAnsi="Times New Roman"/>
        </w:rPr>
        <w:t xml:space="preserve">he subsidy </w:t>
      </w:r>
      <w:r w:rsidR="00F96B06" w:rsidRPr="00BA05A0">
        <w:rPr>
          <w:rFonts w:ascii="Times New Roman" w:hAnsi="Times New Roman"/>
        </w:rPr>
        <w:t xml:space="preserve">sought </w:t>
      </w:r>
      <w:r w:rsidRPr="00BA05A0">
        <w:rPr>
          <w:rFonts w:ascii="Times New Roman" w:hAnsi="Times New Roman"/>
        </w:rPr>
        <w:t xml:space="preserve">by the Petitioners. </w:t>
      </w:r>
      <w:r w:rsidR="00BA05A0">
        <w:rPr>
          <w:rFonts w:ascii="Times New Roman" w:hAnsi="Times New Roman"/>
        </w:rPr>
        <w:t xml:space="preserve"> </w:t>
      </w:r>
    </w:p>
    <w:p w14:paraId="6E3D4B9A" w14:textId="5983ED81" w:rsidR="00F96B06" w:rsidRPr="00BA05A0" w:rsidRDefault="00F96B06" w:rsidP="00AB0E55">
      <w:pPr>
        <w:pStyle w:val="Body1"/>
        <w:numPr>
          <w:ilvl w:val="0"/>
          <w:numId w:val="9"/>
        </w:numPr>
        <w:spacing w:line="480" w:lineRule="auto"/>
        <w:rPr>
          <w:rFonts w:ascii="Times New Roman" w:hAnsi="Times New Roman"/>
        </w:rPr>
      </w:pPr>
      <w:r w:rsidRPr="00BA05A0">
        <w:rPr>
          <w:rFonts w:ascii="Times New Roman" w:hAnsi="Times New Roman"/>
        </w:rPr>
        <w:tab/>
      </w:r>
      <w:r w:rsidR="00447D74" w:rsidRPr="00BA05A0">
        <w:rPr>
          <w:rFonts w:ascii="Times New Roman" w:hAnsi="Times New Roman"/>
        </w:rPr>
        <w:t xml:space="preserve">The testimony presented by Staff is compelling. Mr. Ball’s careful and well-reasoned analysis of the economics of the project demonstrate </w:t>
      </w:r>
      <w:r w:rsidR="002A26AF" w:rsidRPr="00BA05A0">
        <w:rPr>
          <w:rFonts w:ascii="Times New Roman" w:hAnsi="Times New Roman"/>
        </w:rPr>
        <w:t xml:space="preserve">that </w:t>
      </w:r>
      <w:r w:rsidR="00447D74" w:rsidRPr="00BA05A0">
        <w:rPr>
          <w:rFonts w:ascii="Times New Roman" w:hAnsi="Times New Roman"/>
        </w:rPr>
        <w:t>t</w:t>
      </w:r>
      <w:r w:rsidRPr="00BA05A0">
        <w:rPr>
          <w:rFonts w:ascii="Times New Roman" w:hAnsi="Times New Roman"/>
        </w:rPr>
        <w:t xml:space="preserve">he costs </w:t>
      </w:r>
      <w:r w:rsidR="00740A44" w:rsidRPr="00BA05A0">
        <w:rPr>
          <w:rFonts w:ascii="Times New Roman" w:hAnsi="Times New Roman"/>
        </w:rPr>
        <w:t xml:space="preserve">to install a new line </w:t>
      </w:r>
      <w:r w:rsidR="00447D74" w:rsidRPr="00BA05A0">
        <w:rPr>
          <w:rFonts w:ascii="Times New Roman" w:hAnsi="Times New Roman"/>
        </w:rPr>
        <w:t>would unquestionably overwhelm any return of and on PSE’s investment</w:t>
      </w:r>
      <w:r w:rsidR="00C7440D" w:rsidRPr="00BA05A0">
        <w:rPr>
          <w:rFonts w:ascii="Times New Roman" w:hAnsi="Times New Roman"/>
        </w:rPr>
        <w:t xml:space="preserve"> in the project</w:t>
      </w:r>
      <w:r w:rsidR="00C7440D" w:rsidRPr="008210BC">
        <w:rPr>
          <w:rFonts w:ascii="Times New Roman" w:hAnsi="Times New Roman"/>
        </w:rPr>
        <w:t xml:space="preserve">. </w:t>
      </w:r>
      <w:r w:rsidR="00070BD2" w:rsidRPr="008210BC">
        <w:rPr>
          <w:rFonts w:ascii="Times New Roman" w:hAnsi="Times New Roman"/>
        </w:rPr>
        <w:t xml:space="preserve"> </w:t>
      </w:r>
      <w:r w:rsidR="00447D74" w:rsidRPr="008210BC">
        <w:rPr>
          <w:rFonts w:ascii="Times New Roman" w:hAnsi="Times New Roman"/>
        </w:rPr>
        <w:t xml:space="preserve">The Petitioners have made no attempt to rebut </w:t>
      </w:r>
      <w:r w:rsidR="00B55BC5" w:rsidRPr="008210BC">
        <w:rPr>
          <w:rFonts w:ascii="Times New Roman" w:hAnsi="Times New Roman"/>
        </w:rPr>
        <w:t xml:space="preserve">the substantive </w:t>
      </w:r>
      <w:r w:rsidR="008210BC">
        <w:rPr>
          <w:rFonts w:ascii="Times New Roman" w:hAnsi="Times New Roman"/>
        </w:rPr>
        <w:t xml:space="preserve">elements of </w:t>
      </w:r>
      <w:r w:rsidR="00447D74" w:rsidRPr="008210BC">
        <w:rPr>
          <w:rFonts w:ascii="Times New Roman" w:hAnsi="Times New Roman"/>
        </w:rPr>
        <w:t xml:space="preserve">Mr. Ball’s </w:t>
      </w:r>
      <w:r w:rsidR="00B55BC5" w:rsidRPr="008210BC">
        <w:rPr>
          <w:rFonts w:ascii="Times New Roman" w:hAnsi="Times New Roman"/>
        </w:rPr>
        <w:t>study</w:t>
      </w:r>
      <w:r w:rsidR="008210BC">
        <w:rPr>
          <w:rFonts w:ascii="Times New Roman" w:hAnsi="Times New Roman"/>
        </w:rPr>
        <w:t>.</w:t>
      </w:r>
      <w:r w:rsidR="007D60F1">
        <w:rPr>
          <w:rStyle w:val="FootnoteReference"/>
          <w:rFonts w:ascii="Times New Roman" w:hAnsi="Times New Roman"/>
        </w:rPr>
        <w:footnoteReference w:id="38"/>
      </w:r>
      <w:r w:rsidR="00070BD2">
        <w:rPr>
          <w:rFonts w:ascii="Times New Roman" w:hAnsi="Times New Roman"/>
        </w:rPr>
        <w:t xml:space="preserve"> </w:t>
      </w:r>
      <w:r w:rsidR="00447D74" w:rsidRPr="00BA05A0">
        <w:rPr>
          <w:rFonts w:ascii="Times New Roman" w:hAnsi="Times New Roman"/>
        </w:rPr>
        <w:t xml:space="preserve">In summary, Staff cost analysis and its conclusions are rock solid, and can be relied upon by the Commission.  </w:t>
      </w:r>
    </w:p>
    <w:p w14:paraId="09682B8A" w14:textId="6F3C6C8F" w:rsidR="00F43DAC" w:rsidRPr="00F43DAC" w:rsidRDefault="00070BD2" w:rsidP="00070BD2">
      <w:pPr>
        <w:pStyle w:val="Body1"/>
        <w:spacing w:line="480" w:lineRule="auto"/>
        <w:jc w:val="center"/>
        <w:rPr>
          <w:rFonts w:ascii="Times New Roman" w:hAnsi="Times New Roman"/>
          <w:b/>
        </w:rPr>
      </w:pPr>
      <w:r>
        <w:rPr>
          <w:rFonts w:ascii="Times New Roman" w:hAnsi="Times New Roman"/>
          <w:b/>
        </w:rPr>
        <w:t>VII.</w:t>
      </w:r>
      <w:r>
        <w:rPr>
          <w:rFonts w:ascii="Times New Roman" w:hAnsi="Times New Roman"/>
          <w:b/>
        </w:rPr>
        <w:tab/>
      </w:r>
      <w:r w:rsidR="00F43DAC" w:rsidRPr="00F43DAC">
        <w:rPr>
          <w:rFonts w:ascii="Times New Roman" w:hAnsi="Times New Roman"/>
          <w:b/>
        </w:rPr>
        <w:t>PSE’s APPLICABLE TARIFFS</w:t>
      </w:r>
      <w:r w:rsidR="00F00164">
        <w:rPr>
          <w:rFonts w:ascii="Times New Roman" w:hAnsi="Times New Roman"/>
          <w:b/>
        </w:rPr>
        <w:t xml:space="preserve"> AND LEGAL FRAMEWORK</w:t>
      </w:r>
    </w:p>
    <w:p w14:paraId="0D241AA7" w14:textId="5839D6EC" w:rsidR="00324BFD" w:rsidRDefault="00070BD2" w:rsidP="00070BD2">
      <w:pPr>
        <w:pStyle w:val="Body1"/>
        <w:numPr>
          <w:ilvl w:val="0"/>
          <w:numId w:val="9"/>
        </w:numPr>
        <w:spacing w:line="480" w:lineRule="auto"/>
        <w:rPr>
          <w:rFonts w:ascii="Times New Roman" w:hAnsi="Times New Roman"/>
          <w:szCs w:val="24"/>
        </w:rPr>
      </w:pPr>
      <w:r>
        <w:rPr>
          <w:rFonts w:ascii="Times New Roman" w:hAnsi="Times New Roman"/>
          <w:szCs w:val="24"/>
        </w:rPr>
        <w:tab/>
      </w:r>
      <w:r w:rsidR="00324BFD" w:rsidRPr="00324BFD">
        <w:rPr>
          <w:rFonts w:ascii="Times New Roman" w:hAnsi="Times New Roman"/>
          <w:szCs w:val="24"/>
        </w:rPr>
        <w:t>PSE’s filed and approved tariffs have</w:t>
      </w:r>
      <w:r w:rsidR="00324BFD" w:rsidRPr="00324BFD">
        <w:rPr>
          <w:rFonts w:ascii="Times New Roman" w:hAnsi="Times New Roman"/>
        </w:rPr>
        <w:t xml:space="preserve"> the force and effect of state law.</w:t>
      </w:r>
      <w:r w:rsidR="00324BFD" w:rsidRPr="00324BFD">
        <w:rPr>
          <w:rStyle w:val="FootnoteReference"/>
          <w:rFonts w:ascii="Times New Roman" w:hAnsi="Times New Roman"/>
        </w:rPr>
        <w:footnoteReference w:id="39"/>
      </w:r>
      <w:r w:rsidR="00324BFD" w:rsidRPr="00324BFD">
        <w:rPr>
          <w:rFonts w:ascii="Times New Roman" w:hAnsi="Times New Roman"/>
        </w:rPr>
        <w:t xml:space="preserve"> </w:t>
      </w:r>
      <w:r w:rsidR="00B92CFA">
        <w:rPr>
          <w:rFonts w:ascii="Times New Roman" w:hAnsi="Times New Roman"/>
        </w:rPr>
        <w:t xml:space="preserve"> </w:t>
      </w:r>
      <w:r w:rsidR="00C7440D">
        <w:rPr>
          <w:rFonts w:ascii="Times New Roman" w:hAnsi="Times New Roman"/>
        </w:rPr>
        <w:t xml:space="preserve">PSE is </w:t>
      </w:r>
      <w:r w:rsidR="00324BFD" w:rsidRPr="00324BFD">
        <w:rPr>
          <w:rFonts w:ascii="Times New Roman" w:hAnsi="Times New Roman"/>
        </w:rPr>
        <w:t>not permitted to charge more or less than that set forth in its approved tariff, and cannot impose terms and conditions different from those in its tariffs.</w:t>
      </w:r>
      <w:r w:rsidR="00727BC1" w:rsidRPr="00324BFD">
        <w:rPr>
          <w:rStyle w:val="FootnoteReference"/>
          <w:rFonts w:ascii="Times New Roman" w:hAnsi="Times New Roman"/>
        </w:rPr>
        <w:footnoteReference w:id="40"/>
      </w:r>
      <w:r w:rsidR="00727BC1" w:rsidRPr="00324BFD">
        <w:rPr>
          <w:rFonts w:ascii="Times New Roman" w:hAnsi="Times New Roman"/>
        </w:rPr>
        <w:t xml:space="preserve"> </w:t>
      </w:r>
      <w:r w:rsidR="00B92CFA">
        <w:rPr>
          <w:rFonts w:ascii="Times New Roman" w:hAnsi="Times New Roman"/>
        </w:rPr>
        <w:t xml:space="preserve"> </w:t>
      </w:r>
      <w:r w:rsidR="00740A44" w:rsidRPr="008273D3">
        <w:rPr>
          <w:rFonts w:ascii="Times New Roman" w:hAnsi="Times New Roman"/>
          <w:szCs w:val="24"/>
        </w:rPr>
        <w:t xml:space="preserve">Neither can PSE </w:t>
      </w:r>
      <w:r w:rsidR="008273D3" w:rsidRPr="008273D3">
        <w:rPr>
          <w:rFonts w:ascii="Times New Roman" w:hAnsi="Times New Roman"/>
          <w:szCs w:val="24"/>
        </w:rPr>
        <w:t>“</w:t>
      </w:r>
      <w:r w:rsidR="00510BE8" w:rsidRPr="008273D3">
        <w:rPr>
          <w:rFonts w:ascii="Times New Roman" w:hAnsi="Times New Roman"/>
          <w:szCs w:val="24"/>
        </w:rPr>
        <w:t xml:space="preserve">grant any undue or unreasonable preference </w:t>
      </w:r>
      <w:r w:rsidR="008273D3" w:rsidRPr="008273D3">
        <w:rPr>
          <w:rFonts w:ascii="Times New Roman" w:hAnsi="Times New Roman"/>
          <w:szCs w:val="24"/>
        </w:rPr>
        <w:t xml:space="preserve">… </w:t>
      </w:r>
      <w:r w:rsidR="00510BE8" w:rsidRPr="008273D3">
        <w:rPr>
          <w:rFonts w:ascii="Times New Roman" w:hAnsi="Times New Roman"/>
          <w:szCs w:val="24"/>
        </w:rPr>
        <w:t>to any person, corporation, or locality, or to any particular description of service in any respect whatsoever</w:t>
      </w:r>
      <w:r w:rsidR="008273D3" w:rsidRPr="008273D3">
        <w:rPr>
          <w:rFonts w:ascii="Times New Roman" w:hAnsi="Times New Roman"/>
          <w:szCs w:val="24"/>
        </w:rPr>
        <w:t xml:space="preserve"> </w:t>
      </w:r>
      <w:r w:rsidR="004C1998" w:rsidRPr="008273D3">
        <w:rPr>
          <w:rFonts w:ascii="Times New Roman" w:hAnsi="Times New Roman"/>
          <w:szCs w:val="24"/>
        </w:rPr>
        <w:t>….</w:t>
      </w:r>
      <w:r w:rsidR="008273D3" w:rsidRPr="008273D3">
        <w:rPr>
          <w:rFonts w:ascii="Times New Roman" w:hAnsi="Times New Roman"/>
          <w:szCs w:val="24"/>
        </w:rPr>
        <w:t>”</w:t>
      </w:r>
      <w:r w:rsidR="008273D3" w:rsidRPr="008273D3">
        <w:rPr>
          <w:rStyle w:val="FootnoteReference"/>
          <w:rFonts w:ascii="Times New Roman" w:hAnsi="Times New Roman"/>
          <w:szCs w:val="24"/>
        </w:rPr>
        <w:footnoteReference w:id="41"/>
      </w:r>
      <w:r w:rsidR="008273D3" w:rsidRPr="008273D3">
        <w:rPr>
          <w:rFonts w:ascii="Times New Roman" w:hAnsi="Times New Roman"/>
          <w:szCs w:val="24"/>
        </w:rPr>
        <w:t xml:space="preserve"> </w:t>
      </w:r>
      <w:r w:rsidR="0059020B" w:rsidRPr="00324BFD">
        <w:rPr>
          <w:rFonts w:ascii="Times New Roman" w:hAnsi="Times New Roman"/>
        </w:rPr>
        <w:t xml:space="preserve">PSE </w:t>
      </w:r>
      <w:r w:rsidR="0059020B">
        <w:rPr>
          <w:rFonts w:ascii="Times New Roman" w:hAnsi="Times New Roman"/>
        </w:rPr>
        <w:t>and its customers are bound by these tariffs.</w:t>
      </w:r>
    </w:p>
    <w:p w14:paraId="1645129E" w14:textId="10C66D19" w:rsidR="005965A2" w:rsidRPr="00070BD2" w:rsidRDefault="00324BFD" w:rsidP="00626B27">
      <w:pPr>
        <w:pStyle w:val="Body1"/>
        <w:numPr>
          <w:ilvl w:val="0"/>
          <w:numId w:val="9"/>
        </w:numPr>
        <w:spacing w:line="480" w:lineRule="auto"/>
        <w:rPr>
          <w:rFonts w:ascii="Times New Roman" w:hAnsi="Times New Roman"/>
          <w:szCs w:val="24"/>
        </w:rPr>
      </w:pPr>
      <w:r w:rsidRPr="00070BD2">
        <w:rPr>
          <w:rFonts w:ascii="Times New Roman" w:hAnsi="Times New Roman"/>
        </w:rPr>
        <w:tab/>
      </w:r>
      <w:r w:rsidR="009F5B21" w:rsidRPr="00070BD2">
        <w:rPr>
          <w:rFonts w:ascii="Times New Roman" w:hAnsi="Times New Roman"/>
        </w:rPr>
        <w:t xml:space="preserve">The Service Agreements executed by the Petitioners </w:t>
      </w:r>
      <w:r w:rsidR="008C0D60" w:rsidRPr="00070BD2">
        <w:rPr>
          <w:rFonts w:ascii="Times New Roman" w:hAnsi="Times New Roman"/>
        </w:rPr>
        <w:t>expressly refer to P</w:t>
      </w:r>
      <w:r w:rsidR="008001AE" w:rsidRPr="00070BD2">
        <w:rPr>
          <w:rFonts w:ascii="Times New Roman" w:hAnsi="Times New Roman"/>
        </w:rPr>
        <w:t xml:space="preserve">SE’s </w:t>
      </w:r>
      <w:r w:rsidR="00EF3E71" w:rsidRPr="00070BD2">
        <w:rPr>
          <w:rFonts w:ascii="Times New Roman" w:hAnsi="Times New Roman"/>
        </w:rPr>
        <w:t xml:space="preserve">Electric </w:t>
      </w:r>
      <w:r w:rsidR="008001AE" w:rsidRPr="00070BD2">
        <w:rPr>
          <w:rFonts w:ascii="Times New Roman" w:hAnsi="Times New Roman"/>
        </w:rPr>
        <w:t>Tariff G</w:t>
      </w:r>
      <w:r w:rsidR="00724C0A" w:rsidRPr="00070BD2">
        <w:rPr>
          <w:rFonts w:ascii="Times New Roman" w:hAnsi="Times New Roman"/>
        </w:rPr>
        <w:t xml:space="preserve">, which includes </w:t>
      </w:r>
      <w:r w:rsidR="00EF3E71" w:rsidRPr="00070BD2">
        <w:rPr>
          <w:rFonts w:ascii="Times New Roman" w:hAnsi="Times New Roman"/>
        </w:rPr>
        <w:t>Electric T</w:t>
      </w:r>
      <w:r w:rsidR="00724C0A" w:rsidRPr="00070BD2">
        <w:rPr>
          <w:rFonts w:ascii="Times New Roman" w:hAnsi="Times New Roman"/>
        </w:rPr>
        <w:t>ariff</w:t>
      </w:r>
      <w:r w:rsidR="008001AE" w:rsidRPr="00070BD2">
        <w:rPr>
          <w:rFonts w:ascii="Times New Roman" w:hAnsi="Times New Roman"/>
        </w:rPr>
        <w:t xml:space="preserve"> Schedules</w:t>
      </w:r>
      <w:r w:rsidR="00EF3E71" w:rsidRPr="00070BD2">
        <w:rPr>
          <w:rFonts w:ascii="Times New Roman" w:hAnsi="Times New Roman"/>
        </w:rPr>
        <w:t xml:space="preserve"> </w:t>
      </w:r>
      <w:r w:rsidR="008001AE" w:rsidRPr="00070BD2">
        <w:rPr>
          <w:rFonts w:ascii="Times New Roman" w:hAnsi="Times New Roman"/>
        </w:rPr>
        <w:t>80 and 85.</w:t>
      </w:r>
      <w:r w:rsidR="008001AE">
        <w:rPr>
          <w:rStyle w:val="FootnoteReference"/>
          <w:rFonts w:ascii="Times New Roman" w:hAnsi="Times New Roman"/>
        </w:rPr>
        <w:footnoteReference w:id="42"/>
      </w:r>
      <w:r w:rsidR="008001AE" w:rsidRPr="00070BD2">
        <w:rPr>
          <w:rFonts w:ascii="Times New Roman" w:hAnsi="Times New Roman"/>
        </w:rPr>
        <w:t xml:space="preserve"> </w:t>
      </w:r>
      <w:r w:rsidR="001B05F7" w:rsidRPr="00070BD2">
        <w:rPr>
          <w:rFonts w:ascii="Times New Roman" w:hAnsi="Times New Roman"/>
        </w:rPr>
        <w:t>PSE’s Schedule 85 governs the terms and conditions applicable to the extension or modification of its electric distribution facilities.</w:t>
      </w:r>
      <w:r w:rsidR="001B05F7">
        <w:rPr>
          <w:rStyle w:val="FootnoteReference"/>
          <w:rFonts w:ascii="Times New Roman" w:hAnsi="Times New Roman"/>
        </w:rPr>
        <w:footnoteReference w:id="43"/>
      </w:r>
      <w:r w:rsidR="001B05F7" w:rsidRPr="00070BD2">
        <w:rPr>
          <w:rFonts w:ascii="Times New Roman" w:hAnsi="Times New Roman"/>
        </w:rPr>
        <w:t xml:space="preserve"> </w:t>
      </w:r>
      <w:r w:rsidR="00B92CFA">
        <w:rPr>
          <w:rFonts w:ascii="Times New Roman" w:hAnsi="Times New Roman"/>
        </w:rPr>
        <w:t xml:space="preserve"> </w:t>
      </w:r>
      <w:r w:rsidR="008C0D60" w:rsidRPr="00070BD2">
        <w:rPr>
          <w:rFonts w:ascii="Times New Roman" w:hAnsi="Times New Roman"/>
        </w:rPr>
        <w:t xml:space="preserve">As noted by Mr. Nightingale, the Service Agreements include </w:t>
      </w:r>
      <w:r w:rsidR="00481C50" w:rsidRPr="00070BD2">
        <w:rPr>
          <w:rFonts w:ascii="Times New Roman" w:hAnsi="Times New Roman"/>
        </w:rPr>
        <w:t>references to PSE’s Schedule 80, Schedule 85, or its Electric Tariff G in “five of their eleven paragraphs.”</w:t>
      </w:r>
      <w:r w:rsidR="00481C50">
        <w:rPr>
          <w:rStyle w:val="FootnoteReference"/>
          <w:rFonts w:ascii="Times New Roman" w:hAnsi="Times New Roman"/>
        </w:rPr>
        <w:footnoteReference w:id="44"/>
      </w:r>
      <w:r w:rsidR="00481C50" w:rsidRPr="00070BD2">
        <w:rPr>
          <w:rFonts w:ascii="Times New Roman" w:hAnsi="Times New Roman"/>
        </w:rPr>
        <w:t xml:space="preserve"> </w:t>
      </w:r>
    </w:p>
    <w:p w14:paraId="51AE9F3E" w14:textId="386D5794" w:rsidR="008D4F94" w:rsidRDefault="00070BD2" w:rsidP="004908FC">
      <w:pPr>
        <w:pStyle w:val="Body1"/>
        <w:keepNext/>
        <w:ind w:left="720" w:hanging="720"/>
        <w:rPr>
          <w:rFonts w:ascii="Times New Roman" w:hAnsi="Times New Roman"/>
          <w:b/>
        </w:rPr>
      </w:pPr>
      <w:r>
        <w:rPr>
          <w:rFonts w:ascii="Times New Roman" w:hAnsi="Times New Roman"/>
          <w:b/>
        </w:rPr>
        <w:t>A.</w:t>
      </w:r>
      <w:r>
        <w:rPr>
          <w:rFonts w:ascii="Times New Roman" w:hAnsi="Times New Roman"/>
          <w:b/>
        </w:rPr>
        <w:tab/>
      </w:r>
      <w:r w:rsidR="008D4F94" w:rsidRPr="008D4F94">
        <w:rPr>
          <w:rFonts w:ascii="Times New Roman" w:hAnsi="Times New Roman"/>
          <w:b/>
        </w:rPr>
        <w:t>Schedule 80</w:t>
      </w:r>
      <w:r w:rsidR="008D4F94">
        <w:rPr>
          <w:rFonts w:ascii="Times New Roman" w:hAnsi="Times New Roman"/>
          <w:b/>
        </w:rPr>
        <w:t xml:space="preserve"> Does Not</w:t>
      </w:r>
      <w:r w:rsidR="008273D3">
        <w:rPr>
          <w:rFonts w:ascii="Times New Roman" w:hAnsi="Times New Roman"/>
          <w:b/>
        </w:rPr>
        <w:t xml:space="preserve"> Require PSE to Provide Service</w:t>
      </w:r>
      <w:r w:rsidR="008D4F94">
        <w:rPr>
          <w:rFonts w:ascii="Times New Roman" w:hAnsi="Times New Roman"/>
          <w:b/>
        </w:rPr>
        <w:t xml:space="preserve"> to the Petitioners </w:t>
      </w:r>
      <w:r w:rsidR="008273D3">
        <w:rPr>
          <w:rFonts w:ascii="Times New Roman" w:hAnsi="Times New Roman"/>
          <w:b/>
        </w:rPr>
        <w:t>Unless Economically Feasible</w:t>
      </w:r>
      <w:r w:rsidR="008D4F94" w:rsidRPr="008D4F94">
        <w:rPr>
          <w:rFonts w:ascii="Times New Roman" w:hAnsi="Times New Roman"/>
          <w:b/>
        </w:rPr>
        <w:t xml:space="preserve">. </w:t>
      </w:r>
    </w:p>
    <w:p w14:paraId="2BC8262D" w14:textId="77777777" w:rsidR="00070BD2" w:rsidRPr="008D4F94" w:rsidRDefault="00070BD2" w:rsidP="00276B08">
      <w:pPr>
        <w:pStyle w:val="Body1"/>
        <w:keepNext/>
        <w:rPr>
          <w:rFonts w:ascii="Times New Roman" w:hAnsi="Times New Roman"/>
          <w:b/>
        </w:rPr>
      </w:pPr>
    </w:p>
    <w:p w14:paraId="52199CEA" w14:textId="5B666DD4" w:rsidR="00070BD2" w:rsidRPr="00070BD2" w:rsidRDefault="00070BD2" w:rsidP="00070BD2">
      <w:pPr>
        <w:pStyle w:val="Body1"/>
        <w:numPr>
          <w:ilvl w:val="0"/>
          <w:numId w:val="9"/>
        </w:numPr>
        <w:spacing w:line="480" w:lineRule="auto"/>
        <w:rPr>
          <w:rFonts w:ascii="Times New Roman" w:hAnsi="Times New Roman"/>
        </w:rPr>
      </w:pPr>
      <w:r>
        <w:rPr>
          <w:rFonts w:ascii="Times New Roman" w:hAnsi="Times New Roman"/>
        </w:rPr>
        <w:tab/>
      </w:r>
      <w:r w:rsidR="00154072">
        <w:rPr>
          <w:rFonts w:ascii="Times New Roman" w:hAnsi="Times New Roman"/>
        </w:rPr>
        <w:t>Schedule 80 expresses the Company’s general rules and provisions governing its electric service to customers.</w:t>
      </w:r>
      <w:r w:rsidR="00154072">
        <w:rPr>
          <w:rStyle w:val="FootnoteReference"/>
          <w:rFonts w:ascii="Times New Roman" w:hAnsi="Times New Roman"/>
        </w:rPr>
        <w:footnoteReference w:id="45"/>
      </w:r>
      <w:r w:rsidR="00154072">
        <w:rPr>
          <w:rFonts w:ascii="Times New Roman" w:hAnsi="Times New Roman"/>
        </w:rPr>
        <w:t xml:space="preserve"> </w:t>
      </w:r>
      <w:r w:rsidR="00B92CFA">
        <w:rPr>
          <w:rFonts w:ascii="Times New Roman" w:hAnsi="Times New Roman"/>
        </w:rPr>
        <w:t xml:space="preserve"> </w:t>
      </w:r>
      <w:r w:rsidR="007D60F1">
        <w:rPr>
          <w:rFonts w:ascii="Times New Roman" w:hAnsi="Times New Roman"/>
        </w:rPr>
        <w:t>The Schedule</w:t>
      </w:r>
      <w:r w:rsidR="00154072">
        <w:rPr>
          <w:rFonts w:ascii="Times New Roman" w:hAnsi="Times New Roman"/>
        </w:rPr>
        <w:t xml:space="preserve"> </w:t>
      </w:r>
      <w:r w:rsidR="009C202C">
        <w:rPr>
          <w:rFonts w:ascii="Times New Roman" w:hAnsi="Times New Roman"/>
        </w:rPr>
        <w:t>has been in effect since 1985.</w:t>
      </w:r>
      <w:r w:rsidR="009C202C">
        <w:rPr>
          <w:rStyle w:val="FootnoteReference"/>
          <w:rFonts w:ascii="Times New Roman" w:hAnsi="Times New Roman"/>
        </w:rPr>
        <w:footnoteReference w:id="46"/>
      </w:r>
      <w:r w:rsidR="009C202C">
        <w:rPr>
          <w:rFonts w:ascii="Times New Roman" w:hAnsi="Times New Roman"/>
        </w:rPr>
        <w:t xml:space="preserve"> </w:t>
      </w:r>
      <w:r w:rsidR="00B92CFA">
        <w:rPr>
          <w:rFonts w:ascii="Times New Roman" w:hAnsi="Times New Roman"/>
        </w:rPr>
        <w:t xml:space="preserve"> </w:t>
      </w:r>
      <w:r w:rsidR="00E01F53">
        <w:rPr>
          <w:rFonts w:ascii="Times New Roman" w:hAnsi="Times New Roman"/>
        </w:rPr>
        <w:t>Under its express terms, PSE is not required to provide service to a customer “if to do so would be economically unfeasible.”</w:t>
      </w:r>
      <w:r w:rsidR="00893A57">
        <w:rPr>
          <w:rStyle w:val="FootnoteReference"/>
          <w:rFonts w:ascii="Times New Roman" w:hAnsi="Times New Roman"/>
        </w:rPr>
        <w:footnoteReference w:id="47"/>
      </w:r>
      <w:r w:rsidR="00E01F53">
        <w:rPr>
          <w:rFonts w:ascii="Times New Roman" w:hAnsi="Times New Roman"/>
        </w:rPr>
        <w:t xml:space="preserve"> </w:t>
      </w:r>
      <w:r w:rsidR="00B92CFA">
        <w:rPr>
          <w:rFonts w:ascii="Times New Roman" w:hAnsi="Times New Roman"/>
        </w:rPr>
        <w:t xml:space="preserve"> </w:t>
      </w:r>
      <w:r w:rsidR="008273D3">
        <w:rPr>
          <w:rFonts w:ascii="Times New Roman" w:hAnsi="Times New Roman"/>
        </w:rPr>
        <w:t xml:space="preserve">Given its </w:t>
      </w:r>
      <w:r w:rsidR="00781EFE">
        <w:rPr>
          <w:rFonts w:ascii="Times New Roman" w:hAnsi="Times New Roman"/>
        </w:rPr>
        <w:t>high cost and low return</w:t>
      </w:r>
      <w:r w:rsidR="008273D3">
        <w:rPr>
          <w:rFonts w:ascii="Times New Roman" w:hAnsi="Times New Roman"/>
        </w:rPr>
        <w:t xml:space="preserve">, the Maloney Line was not economically feasible in 1971 and </w:t>
      </w:r>
      <w:r w:rsidR="007D60F1">
        <w:rPr>
          <w:rFonts w:ascii="Times New Roman" w:hAnsi="Times New Roman"/>
        </w:rPr>
        <w:t xml:space="preserve">as demonstrated by both Staff and PSE, </w:t>
      </w:r>
      <w:r w:rsidR="00781EFE">
        <w:rPr>
          <w:rFonts w:ascii="Times New Roman" w:hAnsi="Times New Roman"/>
        </w:rPr>
        <w:t xml:space="preserve">its replacement </w:t>
      </w:r>
      <w:r w:rsidR="008273D3">
        <w:rPr>
          <w:rFonts w:ascii="Times New Roman" w:hAnsi="Times New Roman"/>
        </w:rPr>
        <w:t xml:space="preserve">would not be so today.  </w:t>
      </w:r>
    </w:p>
    <w:p w14:paraId="537BE0F5" w14:textId="7F121D2D" w:rsidR="0054627B" w:rsidRDefault="00070BD2" w:rsidP="00070BD2">
      <w:pPr>
        <w:pStyle w:val="FootnoteText"/>
        <w:numPr>
          <w:ilvl w:val="0"/>
          <w:numId w:val="9"/>
        </w:numPr>
        <w:spacing w:line="480" w:lineRule="auto"/>
        <w:rPr>
          <w:sz w:val="24"/>
          <w:szCs w:val="24"/>
        </w:rPr>
      </w:pPr>
      <w:r>
        <w:rPr>
          <w:sz w:val="24"/>
          <w:szCs w:val="24"/>
        </w:rPr>
        <w:tab/>
      </w:r>
      <w:r w:rsidR="003E191A">
        <w:rPr>
          <w:sz w:val="24"/>
          <w:szCs w:val="24"/>
        </w:rPr>
        <w:t>I</w:t>
      </w:r>
      <w:r w:rsidR="003F4844">
        <w:rPr>
          <w:sz w:val="24"/>
          <w:szCs w:val="24"/>
        </w:rPr>
        <w:t xml:space="preserve">t is </w:t>
      </w:r>
      <w:r w:rsidR="0061056A">
        <w:rPr>
          <w:sz w:val="24"/>
          <w:szCs w:val="24"/>
        </w:rPr>
        <w:t xml:space="preserve">apparent </w:t>
      </w:r>
      <w:r w:rsidR="003F4844">
        <w:rPr>
          <w:sz w:val="24"/>
          <w:szCs w:val="24"/>
        </w:rPr>
        <w:t xml:space="preserve">that </w:t>
      </w:r>
      <w:r w:rsidR="0054627B" w:rsidRPr="0054627B">
        <w:rPr>
          <w:sz w:val="24"/>
          <w:szCs w:val="24"/>
        </w:rPr>
        <w:t xml:space="preserve">PSE performed </w:t>
      </w:r>
      <w:r w:rsidR="004064B1">
        <w:rPr>
          <w:sz w:val="24"/>
          <w:szCs w:val="24"/>
        </w:rPr>
        <w:t xml:space="preserve">an economic feasibility </w:t>
      </w:r>
      <w:r w:rsidR="003B185C">
        <w:rPr>
          <w:sz w:val="24"/>
          <w:szCs w:val="24"/>
        </w:rPr>
        <w:t xml:space="preserve">review </w:t>
      </w:r>
      <w:r w:rsidR="0054627B" w:rsidRPr="0054627B">
        <w:rPr>
          <w:sz w:val="24"/>
          <w:szCs w:val="24"/>
        </w:rPr>
        <w:t xml:space="preserve">prior </w:t>
      </w:r>
      <w:r w:rsidR="005F1C30">
        <w:rPr>
          <w:sz w:val="24"/>
          <w:szCs w:val="24"/>
        </w:rPr>
        <w:t xml:space="preserve">to </w:t>
      </w:r>
      <w:r w:rsidR="0054627B" w:rsidRPr="0054627B">
        <w:rPr>
          <w:sz w:val="24"/>
          <w:szCs w:val="24"/>
        </w:rPr>
        <w:t xml:space="preserve">the execution of the 1971 agreement with GTE. </w:t>
      </w:r>
      <w:r w:rsidR="00B92CFA">
        <w:rPr>
          <w:sz w:val="24"/>
          <w:szCs w:val="24"/>
        </w:rPr>
        <w:t xml:space="preserve"> </w:t>
      </w:r>
      <w:r w:rsidR="005F1C30">
        <w:rPr>
          <w:sz w:val="24"/>
          <w:szCs w:val="24"/>
        </w:rPr>
        <w:t xml:space="preserve">To this point, </w:t>
      </w:r>
      <w:r w:rsidR="00AB0D2F">
        <w:rPr>
          <w:sz w:val="24"/>
          <w:szCs w:val="24"/>
        </w:rPr>
        <w:t>Mr. Sanders</w:t>
      </w:r>
      <w:r w:rsidR="005F1C30">
        <w:rPr>
          <w:sz w:val="24"/>
          <w:szCs w:val="24"/>
        </w:rPr>
        <w:t xml:space="preserve"> stated in his declaration that the </w:t>
      </w:r>
      <w:r w:rsidR="00AB0D2F">
        <w:rPr>
          <w:sz w:val="24"/>
          <w:szCs w:val="24"/>
        </w:rPr>
        <w:t xml:space="preserve">existing </w:t>
      </w:r>
      <w:r w:rsidR="005F1C30">
        <w:rPr>
          <w:sz w:val="24"/>
          <w:szCs w:val="24"/>
        </w:rPr>
        <w:t xml:space="preserve">Maloney Line was not economically feasible </w:t>
      </w:r>
      <w:r w:rsidR="00AB0D2F">
        <w:rPr>
          <w:sz w:val="24"/>
          <w:szCs w:val="24"/>
        </w:rPr>
        <w:t xml:space="preserve">when proposed </w:t>
      </w:r>
      <w:r w:rsidR="005F1C30">
        <w:rPr>
          <w:sz w:val="24"/>
          <w:szCs w:val="24"/>
        </w:rPr>
        <w:t>and would not have built but for GTE’s agreement to pay PSE for the “construction</w:t>
      </w:r>
      <w:r w:rsidR="003E191A">
        <w:rPr>
          <w:sz w:val="24"/>
          <w:szCs w:val="24"/>
        </w:rPr>
        <w:t>,</w:t>
      </w:r>
      <w:r w:rsidR="005F1C30">
        <w:rPr>
          <w:sz w:val="24"/>
          <w:szCs w:val="24"/>
        </w:rPr>
        <w:t xml:space="preserve"> maintenance, and repair” of the line.</w:t>
      </w:r>
      <w:r w:rsidR="005F1C30">
        <w:rPr>
          <w:rStyle w:val="FootnoteReference"/>
          <w:sz w:val="24"/>
          <w:szCs w:val="24"/>
        </w:rPr>
        <w:footnoteReference w:id="48"/>
      </w:r>
      <w:r w:rsidR="005F1C30">
        <w:rPr>
          <w:sz w:val="24"/>
          <w:szCs w:val="24"/>
        </w:rPr>
        <w:t xml:space="preserve"> </w:t>
      </w:r>
      <w:r w:rsidR="00B92CFA">
        <w:rPr>
          <w:sz w:val="24"/>
          <w:szCs w:val="24"/>
        </w:rPr>
        <w:t xml:space="preserve"> </w:t>
      </w:r>
      <w:r w:rsidR="003D3ACE">
        <w:rPr>
          <w:sz w:val="24"/>
          <w:szCs w:val="24"/>
        </w:rPr>
        <w:t xml:space="preserve">His declaration is </w:t>
      </w:r>
      <w:r w:rsidR="00E736A5">
        <w:rPr>
          <w:sz w:val="24"/>
          <w:szCs w:val="24"/>
        </w:rPr>
        <w:t xml:space="preserve">consistent </w:t>
      </w:r>
      <w:r w:rsidR="00267625">
        <w:rPr>
          <w:sz w:val="24"/>
          <w:szCs w:val="24"/>
        </w:rPr>
        <w:t>with the testimony of M</w:t>
      </w:r>
      <w:r w:rsidR="0054627B" w:rsidRPr="0054627B">
        <w:rPr>
          <w:sz w:val="24"/>
          <w:szCs w:val="24"/>
        </w:rPr>
        <w:t>r. Logan</w:t>
      </w:r>
      <w:r w:rsidR="0054627B">
        <w:rPr>
          <w:sz w:val="24"/>
          <w:szCs w:val="24"/>
        </w:rPr>
        <w:t xml:space="preserve">, </w:t>
      </w:r>
      <w:r w:rsidR="003D3ACE">
        <w:rPr>
          <w:sz w:val="24"/>
          <w:szCs w:val="24"/>
        </w:rPr>
        <w:t xml:space="preserve">who explained that </w:t>
      </w:r>
      <w:r w:rsidR="0054627B">
        <w:rPr>
          <w:sz w:val="24"/>
          <w:szCs w:val="24"/>
        </w:rPr>
        <w:t>PSE required the 1971 agreement because GTE’s proposed project was not economically feasible.</w:t>
      </w:r>
      <w:r w:rsidR="0054627B">
        <w:rPr>
          <w:rStyle w:val="FootnoteReference"/>
          <w:sz w:val="24"/>
          <w:szCs w:val="24"/>
        </w:rPr>
        <w:footnoteReference w:id="49"/>
      </w:r>
      <w:r w:rsidR="0054627B">
        <w:rPr>
          <w:sz w:val="24"/>
          <w:szCs w:val="24"/>
        </w:rPr>
        <w:t xml:space="preserve"> </w:t>
      </w:r>
      <w:r w:rsidR="0054627B" w:rsidRPr="0054627B">
        <w:rPr>
          <w:sz w:val="24"/>
          <w:szCs w:val="24"/>
        </w:rPr>
        <w:t xml:space="preserve"> </w:t>
      </w:r>
      <w:r w:rsidR="00C07748">
        <w:rPr>
          <w:sz w:val="24"/>
          <w:szCs w:val="24"/>
        </w:rPr>
        <w:t xml:space="preserve">Providing detail on PSE’s economic analysis, </w:t>
      </w:r>
      <w:r w:rsidR="00B92CFA">
        <w:rPr>
          <w:sz w:val="24"/>
          <w:szCs w:val="24"/>
        </w:rPr>
        <w:t>Mr. </w:t>
      </w:r>
      <w:r w:rsidR="0054627B" w:rsidRPr="0054627B">
        <w:rPr>
          <w:sz w:val="24"/>
          <w:szCs w:val="24"/>
        </w:rPr>
        <w:t xml:space="preserve">Logan cites to the project’s </w:t>
      </w:r>
      <w:r w:rsidR="00C07748">
        <w:rPr>
          <w:sz w:val="24"/>
          <w:szCs w:val="24"/>
        </w:rPr>
        <w:t>“</w:t>
      </w:r>
      <w:r w:rsidR="0054627B" w:rsidRPr="0054627B">
        <w:rPr>
          <w:sz w:val="24"/>
          <w:szCs w:val="24"/>
        </w:rPr>
        <w:t xml:space="preserve">small load, high costs of </w:t>
      </w:r>
      <w:r w:rsidR="00C07748">
        <w:rPr>
          <w:sz w:val="24"/>
          <w:szCs w:val="24"/>
        </w:rPr>
        <w:t xml:space="preserve">line </w:t>
      </w:r>
      <w:r w:rsidR="0054627B" w:rsidRPr="0054627B">
        <w:rPr>
          <w:sz w:val="24"/>
          <w:szCs w:val="24"/>
        </w:rPr>
        <w:t>installation, limited operational rights</w:t>
      </w:r>
      <w:r w:rsidR="00C07748">
        <w:rPr>
          <w:sz w:val="24"/>
          <w:szCs w:val="24"/>
        </w:rPr>
        <w:t xml:space="preserve">” and the Company’s “expectation that </w:t>
      </w:r>
      <w:r w:rsidR="0054627B" w:rsidRPr="0054627B">
        <w:rPr>
          <w:sz w:val="24"/>
          <w:szCs w:val="24"/>
        </w:rPr>
        <w:t xml:space="preserve">future maintenance would far outweigh maintenance costs </w:t>
      </w:r>
      <w:r w:rsidR="00C07748">
        <w:rPr>
          <w:sz w:val="24"/>
          <w:szCs w:val="24"/>
        </w:rPr>
        <w:t>included i</w:t>
      </w:r>
      <w:r w:rsidR="0054627B" w:rsidRPr="0054627B">
        <w:rPr>
          <w:sz w:val="24"/>
          <w:szCs w:val="24"/>
        </w:rPr>
        <w:t xml:space="preserve">n </w:t>
      </w:r>
      <w:r w:rsidR="00C07748">
        <w:rPr>
          <w:sz w:val="24"/>
          <w:szCs w:val="24"/>
        </w:rPr>
        <w:t xml:space="preserve">electric </w:t>
      </w:r>
      <w:r w:rsidR="0054627B" w:rsidRPr="0054627B">
        <w:rPr>
          <w:sz w:val="24"/>
          <w:szCs w:val="24"/>
        </w:rPr>
        <w:t>rates.</w:t>
      </w:r>
      <w:r w:rsidR="00C07748">
        <w:rPr>
          <w:rStyle w:val="FootnoteReference"/>
          <w:sz w:val="24"/>
          <w:szCs w:val="24"/>
        </w:rPr>
        <w:footnoteReference w:id="50"/>
      </w:r>
      <w:r w:rsidR="0054627B" w:rsidRPr="0054627B">
        <w:rPr>
          <w:sz w:val="24"/>
          <w:szCs w:val="24"/>
        </w:rPr>
        <w:t xml:space="preserve"> </w:t>
      </w:r>
      <w:r w:rsidR="00B92CFA">
        <w:rPr>
          <w:sz w:val="24"/>
          <w:szCs w:val="24"/>
        </w:rPr>
        <w:t xml:space="preserve"> </w:t>
      </w:r>
      <w:r w:rsidR="00317767">
        <w:rPr>
          <w:sz w:val="24"/>
          <w:szCs w:val="24"/>
        </w:rPr>
        <w:t xml:space="preserve">These same deficiencies would exist </w:t>
      </w:r>
      <w:r w:rsidR="00DA155D">
        <w:rPr>
          <w:sz w:val="24"/>
          <w:szCs w:val="24"/>
        </w:rPr>
        <w:t xml:space="preserve">today </w:t>
      </w:r>
      <w:r w:rsidR="00317767">
        <w:rPr>
          <w:sz w:val="24"/>
          <w:szCs w:val="24"/>
        </w:rPr>
        <w:t>for any replacement of the Maloney Line.</w:t>
      </w:r>
      <w:r w:rsidR="0061056A">
        <w:rPr>
          <w:rStyle w:val="FootnoteReference"/>
          <w:sz w:val="24"/>
          <w:szCs w:val="24"/>
        </w:rPr>
        <w:footnoteReference w:id="51"/>
      </w:r>
      <w:r w:rsidR="00317767">
        <w:rPr>
          <w:sz w:val="24"/>
          <w:szCs w:val="24"/>
        </w:rPr>
        <w:t xml:space="preserve"> </w:t>
      </w:r>
      <w:r>
        <w:rPr>
          <w:sz w:val="24"/>
          <w:szCs w:val="24"/>
        </w:rPr>
        <w:t xml:space="preserve"> </w:t>
      </w:r>
    </w:p>
    <w:p w14:paraId="3E1E0952" w14:textId="039057A1" w:rsidR="004C76CF" w:rsidRDefault="004064B1" w:rsidP="0054627B">
      <w:pPr>
        <w:pStyle w:val="FootnoteText"/>
        <w:numPr>
          <w:ilvl w:val="0"/>
          <w:numId w:val="9"/>
        </w:numPr>
        <w:spacing w:line="480" w:lineRule="auto"/>
        <w:rPr>
          <w:sz w:val="24"/>
          <w:szCs w:val="24"/>
        </w:rPr>
      </w:pPr>
      <w:r w:rsidRPr="00070BD2">
        <w:rPr>
          <w:sz w:val="24"/>
          <w:szCs w:val="24"/>
        </w:rPr>
        <w:tab/>
        <w:t xml:space="preserve">The Petitioners </w:t>
      </w:r>
      <w:r w:rsidR="004C76CF" w:rsidRPr="00070BD2">
        <w:rPr>
          <w:sz w:val="24"/>
          <w:szCs w:val="24"/>
        </w:rPr>
        <w:t xml:space="preserve">claim </w:t>
      </w:r>
      <w:r w:rsidRPr="00070BD2">
        <w:rPr>
          <w:sz w:val="24"/>
          <w:szCs w:val="24"/>
        </w:rPr>
        <w:t xml:space="preserve">that the economic feasibility requirement set forth in Schedule 80 does not apply to them because </w:t>
      </w:r>
      <w:r w:rsidR="000F39AA" w:rsidRPr="00070BD2">
        <w:rPr>
          <w:sz w:val="24"/>
          <w:szCs w:val="24"/>
        </w:rPr>
        <w:t>the schedule only applies to “new or ‘additional’ service</w:t>
      </w:r>
      <w:r w:rsidRPr="00070BD2">
        <w:rPr>
          <w:sz w:val="24"/>
          <w:szCs w:val="24"/>
        </w:rPr>
        <w:t>.</w:t>
      </w:r>
      <w:r w:rsidR="000F39AA" w:rsidRPr="00070BD2">
        <w:rPr>
          <w:sz w:val="24"/>
          <w:szCs w:val="24"/>
        </w:rPr>
        <w:t>”</w:t>
      </w:r>
      <w:r>
        <w:rPr>
          <w:rStyle w:val="FootnoteReference"/>
          <w:sz w:val="24"/>
          <w:szCs w:val="24"/>
        </w:rPr>
        <w:footnoteReference w:id="52"/>
      </w:r>
      <w:r w:rsidRPr="00070BD2">
        <w:rPr>
          <w:sz w:val="24"/>
          <w:szCs w:val="24"/>
        </w:rPr>
        <w:t xml:space="preserve"> </w:t>
      </w:r>
      <w:r w:rsidR="00B92CFA">
        <w:rPr>
          <w:sz w:val="24"/>
          <w:szCs w:val="24"/>
        </w:rPr>
        <w:t xml:space="preserve"> </w:t>
      </w:r>
      <w:r w:rsidR="00F45536" w:rsidRPr="00070BD2">
        <w:rPr>
          <w:sz w:val="24"/>
          <w:szCs w:val="24"/>
        </w:rPr>
        <w:t>However</w:t>
      </w:r>
      <w:r w:rsidR="007D60F1">
        <w:rPr>
          <w:sz w:val="24"/>
          <w:szCs w:val="24"/>
        </w:rPr>
        <w:t>,</w:t>
      </w:r>
      <w:r w:rsidR="00F45536" w:rsidRPr="00070BD2">
        <w:rPr>
          <w:sz w:val="24"/>
          <w:szCs w:val="24"/>
        </w:rPr>
        <w:t xml:space="preserve"> and as argued below, </w:t>
      </w:r>
      <w:r w:rsidR="004C76CF" w:rsidRPr="00070BD2">
        <w:rPr>
          <w:sz w:val="24"/>
          <w:szCs w:val="24"/>
        </w:rPr>
        <w:t xml:space="preserve">the record clearly demonstrates that Schedule 80’s economic feasibility test </w:t>
      </w:r>
      <w:r w:rsidR="000F39AA" w:rsidRPr="00070BD2">
        <w:rPr>
          <w:sz w:val="24"/>
          <w:szCs w:val="24"/>
        </w:rPr>
        <w:t xml:space="preserve">is not limited to new or additional services. </w:t>
      </w:r>
      <w:r w:rsidR="00070BD2">
        <w:rPr>
          <w:sz w:val="24"/>
          <w:szCs w:val="24"/>
        </w:rPr>
        <w:t xml:space="preserve"> </w:t>
      </w:r>
    </w:p>
    <w:p w14:paraId="3EEB6A48" w14:textId="76E02A24" w:rsidR="00F45536" w:rsidRPr="00070BD2" w:rsidRDefault="004C76CF" w:rsidP="00070BD2">
      <w:pPr>
        <w:pStyle w:val="FootnoteText"/>
        <w:numPr>
          <w:ilvl w:val="0"/>
          <w:numId w:val="9"/>
        </w:numPr>
        <w:spacing w:line="480" w:lineRule="auto"/>
        <w:rPr>
          <w:sz w:val="24"/>
          <w:szCs w:val="24"/>
        </w:rPr>
      </w:pPr>
      <w:r w:rsidRPr="00070BD2">
        <w:rPr>
          <w:sz w:val="24"/>
        </w:rPr>
        <w:tab/>
      </w:r>
      <w:r w:rsidR="00F45536" w:rsidRPr="00070BD2">
        <w:rPr>
          <w:sz w:val="24"/>
        </w:rPr>
        <w:t xml:space="preserve">The Commission’s analytical framework for determining the meaning of a tariff has been expressed in numerous cases and is embodied in the following statement: </w:t>
      </w:r>
    </w:p>
    <w:p w14:paraId="3C72D792" w14:textId="5178CB85" w:rsidR="00F45536" w:rsidRPr="00F00164" w:rsidRDefault="00F45536" w:rsidP="00070BD2">
      <w:pPr>
        <w:ind w:left="720" w:right="648"/>
        <w:rPr>
          <w:sz w:val="24"/>
        </w:rPr>
      </w:pPr>
      <w:r w:rsidRPr="00F00164">
        <w:rPr>
          <w:sz w:val="24"/>
        </w:rPr>
        <w:t xml:space="preserve">When, as here, parties dispute what particular provisions require, we must look first to the plain meaning of the tariff.  </w:t>
      </w:r>
      <w:r w:rsidRPr="00F00164">
        <w:rPr>
          <w:i/>
          <w:iCs/>
          <w:sz w:val="24"/>
        </w:rPr>
        <w:t>Nat’l Union Ins. Co. v. Puget Power,</w:t>
      </w:r>
      <w:r w:rsidRPr="00F00164">
        <w:rPr>
          <w:sz w:val="24"/>
        </w:rPr>
        <w:t xml:space="preserve"> 94 Wn. App. 163, 171, 972 P.2d 481 (1999).  If the tariff language is plain and unambiguous, there is no need to resort to rules of construction.  </w:t>
      </w:r>
      <w:r w:rsidRPr="00F00164">
        <w:rPr>
          <w:i/>
          <w:iCs/>
          <w:sz w:val="24"/>
        </w:rPr>
        <w:t>Whatcom County v. Bellingham,</w:t>
      </w:r>
      <w:r w:rsidRPr="00F00164">
        <w:rPr>
          <w:sz w:val="24"/>
        </w:rPr>
        <w:t xml:space="preserve"> 128 Wn.2d 537, 546, 909 P.2d 1303 (1996); </w:t>
      </w:r>
      <w:r w:rsidRPr="00F00164">
        <w:rPr>
          <w:i/>
          <w:iCs/>
          <w:sz w:val="24"/>
        </w:rPr>
        <w:t>Food Servs. Of Am. v. Royal Heights, &amp; Transp. Comm’n</w:t>
      </w:r>
      <w:r w:rsidRPr="00F00164">
        <w:rPr>
          <w:sz w:val="24"/>
        </w:rPr>
        <w:t xml:space="preserve">, 123 Wn. 2d 621, 629, 869 P.2d 1034 (1994); </w:t>
      </w:r>
      <w:r w:rsidRPr="00F00164">
        <w:rPr>
          <w:i/>
          <w:iCs/>
          <w:sz w:val="24"/>
        </w:rPr>
        <w:t>Vita Food Prods., Inc. v. State,</w:t>
      </w:r>
      <w:r w:rsidRPr="00F00164">
        <w:rPr>
          <w:sz w:val="24"/>
        </w:rPr>
        <w:t xml:space="preserve"> 91 Wn.2d 132, 134, 587 P.2d 535 (1978).  If the tariff language is not plain, or is ambiguous, the Commission may examine the legislative history and other evidence to determine the meaning of the tariff and how it should be applied to the facts at hand.</w:t>
      </w:r>
      <w:r w:rsidRPr="00F00164">
        <w:rPr>
          <w:rStyle w:val="FootnoteReference"/>
          <w:sz w:val="24"/>
        </w:rPr>
        <w:footnoteReference w:id="53"/>
      </w:r>
      <w:r w:rsidRPr="00F00164">
        <w:rPr>
          <w:sz w:val="24"/>
        </w:rPr>
        <w:t xml:space="preserve"> </w:t>
      </w:r>
    </w:p>
    <w:p w14:paraId="3DE61D10" w14:textId="77777777" w:rsidR="00F45536" w:rsidRDefault="00F45536" w:rsidP="00276B08">
      <w:pPr>
        <w:pStyle w:val="FootnoteText"/>
        <w:rPr>
          <w:sz w:val="24"/>
          <w:szCs w:val="24"/>
        </w:rPr>
      </w:pPr>
      <w:bookmarkStart w:id="0" w:name="_GoBack"/>
      <w:bookmarkEnd w:id="0"/>
    </w:p>
    <w:p w14:paraId="17904C7E" w14:textId="51F1C965" w:rsidR="008A6D79" w:rsidRDefault="00070BD2" w:rsidP="00070BD2">
      <w:pPr>
        <w:pStyle w:val="FootnoteText"/>
        <w:numPr>
          <w:ilvl w:val="0"/>
          <w:numId w:val="9"/>
        </w:numPr>
        <w:spacing w:line="480" w:lineRule="auto"/>
        <w:rPr>
          <w:sz w:val="24"/>
          <w:szCs w:val="24"/>
        </w:rPr>
      </w:pPr>
      <w:r>
        <w:rPr>
          <w:sz w:val="24"/>
          <w:szCs w:val="24"/>
        </w:rPr>
        <w:tab/>
      </w:r>
      <w:r w:rsidR="00F45536">
        <w:rPr>
          <w:sz w:val="24"/>
          <w:szCs w:val="24"/>
        </w:rPr>
        <w:t xml:space="preserve">Without question, </w:t>
      </w:r>
      <w:r w:rsidR="00727BC1">
        <w:rPr>
          <w:sz w:val="24"/>
          <w:szCs w:val="24"/>
        </w:rPr>
        <w:t xml:space="preserve">the economic feasibility language expressed in Section 9 of Schedule 80 </w:t>
      </w:r>
      <w:r w:rsidR="008A6D79">
        <w:rPr>
          <w:sz w:val="24"/>
          <w:szCs w:val="24"/>
        </w:rPr>
        <w:t xml:space="preserve">entitled “Refusal of Service” </w:t>
      </w:r>
      <w:r w:rsidR="00727BC1">
        <w:rPr>
          <w:sz w:val="24"/>
          <w:szCs w:val="24"/>
        </w:rPr>
        <w:t xml:space="preserve">is clear and unambiguous. </w:t>
      </w:r>
      <w:r w:rsidR="00B92CFA">
        <w:rPr>
          <w:sz w:val="24"/>
          <w:szCs w:val="24"/>
        </w:rPr>
        <w:t xml:space="preserve"> </w:t>
      </w:r>
      <w:r w:rsidR="00727BC1">
        <w:rPr>
          <w:sz w:val="24"/>
          <w:szCs w:val="24"/>
        </w:rPr>
        <w:t>In whole, it states</w:t>
      </w:r>
      <w:r w:rsidR="008A6D79">
        <w:rPr>
          <w:sz w:val="24"/>
          <w:szCs w:val="24"/>
        </w:rPr>
        <w:t xml:space="preserve">: </w:t>
      </w:r>
    </w:p>
    <w:p w14:paraId="4ABF0FE5" w14:textId="619FCBF2" w:rsidR="008A6D79" w:rsidRDefault="008A6D79" w:rsidP="00070BD2">
      <w:pPr>
        <w:pStyle w:val="FootnoteText"/>
        <w:ind w:left="720" w:right="648"/>
        <w:rPr>
          <w:sz w:val="24"/>
          <w:szCs w:val="24"/>
        </w:rPr>
      </w:pPr>
      <w:r>
        <w:rPr>
          <w:sz w:val="24"/>
          <w:szCs w:val="24"/>
        </w:rPr>
        <w:t>“The Company shall not be required to provid</w:t>
      </w:r>
      <w:r w:rsidR="00070BD2">
        <w:rPr>
          <w:sz w:val="24"/>
          <w:szCs w:val="24"/>
        </w:rPr>
        <w:t xml:space="preserve">e service if to do so would be </w:t>
      </w:r>
      <w:r>
        <w:rPr>
          <w:sz w:val="24"/>
          <w:szCs w:val="24"/>
        </w:rPr>
        <w:t>economically unfeasible.”</w:t>
      </w:r>
    </w:p>
    <w:p w14:paraId="20BCDE19" w14:textId="77777777" w:rsidR="00F45536" w:rsidRDefault="00F45536" w:rsidP="0049204E">
      <w:pPr>
        <w:widowControl/>
        <w:autoSpaceDE/>
        <w:autoSpaceDN/>
        <w:adjustRightInd/>
        <w:rPr>
          <w:sz w:val="24"/>
        </w:rPr>
      </w:pPr>
    </w:p>
    <w:p w14:paraId="44842543" w14:textId="3F5129DF" w:rsidR="00154072" w:rsidRDefault="00154072" w:rsidP="0054627B">
      <w:pPr>
        <w:pStyle w:val="FootnoteText"/>
        <w:spacing w:line="480" w:lineRule="auto"/>
        <w:rPr>
          <w:sz w:val="24"/>
          <w:szCs w:val="24"/>
        </w:rPr>
      </w:pPr>
      <w:r>
        <w:rPr>
          <w:sz w:val="24"/>
          <w:szCs w:val="24"/>
        </w:rPr>
        <w:t xml:space="preserve">Given its clear expression of intent, the Commission need not go beyond the plain language of the statute. </w:t>
      </w:r>
      <w:r w:rsidR="00E63E72">
        <w:rPr>
          <w:rStyle w:val="FootnoteReference"/>
          <w:sz w:val="24"/>
          <w:szCs w:val="24"/>
        </w:rPr>
        <w:footnoteReference w:id="54"/>
      </w:r>
      <w:r w:rsidR="00B92CFA">
        <w:rPr>
          <w:sz w:val="24"/>
          <w:szCs w:val="24"/>
        </w:rPr>
        <w:t xml:space="preserve"> </w:t>
      </w:r>
      <w:r w:rsidR="0049204E">
        <w:rPr>
          <w:sz w:val="24"/>
          <w:szCs w:val="24"/>
        </w:rPr>
        <w:t xml:space="preserve">This result is supported by the record evidence presented by PSE and Staff. </w:t>
      </w:r>
    </w:p>
    <w:p w14:paraId="7BDC290E" w14:textId="787D7E81" w:rsidR="009C1CE0" w:rsidRDefault="00070BD2" w:rsidP="00276B08">
      <w:pPr>
        <w:pStyle w:val="FootnoteText"/>
        <w:widowControl/>
        <w:numPr>
          <w:ilvl w:val="0"/>
          <w:numId w:val="9"/>
        </w:numPr>
        <w:spacing w:line="480" w:lineRule="auto"/>
        <w:rPr>
          <w:sz w:val="24"/>
          <w:szCs w:val="24"/>
        </w:rPr>
      </w:pPr>
      <w:r>
        <w:rPr>
          <w:sz w:val="24"/>
          <w:szCs w:val="24"/>
        </w:rPr>
        <w:tab/>
      </w:r>
      <w:r w:rsidR="001D16CA">
        <w:rPr>
          <w:sz w:val="24"/>
          <w:szCs w:val="24"/>
        </w:rPr>
        <w:t>Mr. Loga</w:t>
      </w:r>
      <w:r w:rsidR="004C76CF">
        <w:rPr>
          <w:sz w:val="24"/>
          <w:szCs w:val="24"/>
        </w:rPr>
        <w:t>n’</w:t>
      </w:r>
      <w:r w:rsidR="00154072">
        <w:rPr>
          <w:sz w:val="24"/>
          <w:szCs w:val="24"/>
        </w:rPr>
        <w:t>s testimony effectively rebuts the Petitioners</w:t>
      </w:r>
      <w:r w:rsidR="00024EA9">
        <w:rPr>
          <w:sz w:val="24"/>
          <w:szCs w:val="24"/>
        </w:rPr>
        <w:t>’</w:t>
      </w:r>
      <w:r w:rsidR="00154072">
        <w:rPr>
          <w:sz w:val="24"/>
          <w:szCs w:val="24"/>
        </w:rPr>
        <w:t xml:space="preserve"> contention that PSE’s rights under Schedule 80 are somehow limited to new or additional services.  First, he points out that the economic feasibility language expressed in Section 9 of Schedule 80 is not in any way limited to new or additional services.</w:t>
      </w:r>
      <w:r w:rsidR="00154072">
        <w:rPr>
          <w:rStyle w:val="FootnoteReference"/>
          <w:sz w:val="24"/>
          <w:szCs w:val="24"/>
        </w:rPr>
        <w:footnoteReference w:id="55"/>
      </w:r>
      <w:r w:rsidR="00154072">
        <w:rPr>
          <w:sz w:val="24"/>
          <w:szCs w:val="24"/>
        </w:rPr>
        <w:t xml:space="preserve"> </w:t>
      </w:r>
      <w:r w:rsidR="00B92CFA">
        <w:rPr>
          <w:sz w:val="24"/>
          <w:szCs w:val="24"/>
        </w:rPr>
        <w:t xml:space="preserve"> </w:t>
      </w:r>
      <w:r w:rsidR="00024EA9">
        <w:rPr>
          <w:sz w:val="24"/>
          <w:szCs w:val="24"/>
        </w:rPr>
        <w:t xml:space="preserve">The veracity of his conclusion is easily tested by </w:t>
      </w:r>
      <w:r w:rsidR="007D60F1">
        <w:rPr>
          <w:sz w:val="24"/>
          <w:szCs w:val="24"/>
        </w:rPr>
        <w:t xml:space="preserve">the </w:t>
      </w:r>
      <w:r w:rsidR="00024EA9">
        <w:rPr>
          <w:sz w:val="24"/>
          <w:szCs w:val="24"/>
        </w:rPr>
        <w:t>clear and concise language expressed in Section 9.  As further support, h</w:t>
      </w:r>
      <w:r w:rsidR="00154072">
        <w:rPr>
          <w:sz w:val="24"/>
          <w:szCs w:val="24"/>
        </w:rPr>
        <w:t xml:space="preserve">e </w:t>
      </w:r>
      <w:r w:rsidR="00F12869">
        <w:rPr>
          <w:sz w:val="24"/>
          <w:szCs w:val="24"/>
        </w:rPr>
        <w:t xml:space="preserve">then compares the </w:t>
      </w:r>
      <w:r w:rsidR="00024EA9">
        <w:rPr>
          <w:sz w:val="24"/>
          <w:szCs w:val="24"/>
        </w:rPr>
        <w:t xml:space="preserve">language in </w:t>
      </w:r>
      <w:r w:rsidR="00F12869">
        <w:rPr>
          <w:sz w:val="24"/>
          <w:szCs w:val="24"/>
        </w:rPr>
        <w:t xml:space="preserve">Section 9 </w:t>
      </w:r>
      <w:r w:rsidR="00024EA9">
        <w:rPr>
          <w:sz w:val="24"/>
          <w:szCs w:val="24"/>
        </w:rPr>
        <w:t xml:space="preserve">with the section’s other provisions. </w:t>
      </w:r>
      <w:r w:rsidR="00B92CFA">
        <w:rPr>
          <w:sz w:val="24"/>
          <w:szCs w:val="24"/>
        </w:rPr>
        <w:t xml:space="preserve"> </w:t>
      </w:r>
      <w:r w:rsidR="00024EA9">
        <w:rPr>
          <w:sz w:val="24"/>
          <w:szCs w:val="24"/>
        </w:rPr>
        <w:t xml:space="preserve">This comparison shows </w:t>
      </w:r>
      <w:r w:rsidR="00F12869">
        <w:rPr>
          <w:sz w:val="24"/>
          <w:szCs w:val="24"/>
        </w:rPr>
        <w:t>that other sections of th</w:t>
      </w:r>
      <w:r w:rsidR="009C1CE0">
        <w:rPr>
          <w:sz w:val="24"/>
          <w:szCs w:val="24"/>
        </w:rPr>
        <w:t xml:space="preserve">is </w:t>
      </w:r>
      <w:r w:rsidR="00F12869">
        <w:rPr>
          <w:sz w:val="24"/>
          <w:szCs w:val="24"/>
        </w:rPr>
        <w:t xml:space="preserve">tariff </w:t>
      </w:r>
      <w:r w:rsidR="009C1CE0">
        <w:rPr>
          <w:sz w:val="24"/>
          <w:szCs w:val="24"/>
        </w:rPr>
        <w:t xml:space="preserve">section </w:t>
      </w:r>
      <w:r w:rsidR="00F12869">
        <w:rPr>
          <w:sz w:val="24"/>
          <w:szCs w:val="24"/>
        </w:rPr>
        <w:t xml:space="preserve">explicitly refer to </w:t>
      </w:r>
      <w:r w:rsidR="00024EA9">
        <w:rPr>
          <w:sz w:val="24"/>
          <w:szCs w:val="24"/>
        </w:rPr>
        <w:t xml:space="preserve">the </w:t>
      </w:r>
      <w:r w:rsidR="00F12869">
        <w:rPr>
          <w:sz w:val="24"/>
          <w:szCs w:val="24"/>
        </w:rPr>
        <w:t>connection of service or additional service</w:t>
      </w:r>
      <w:r w:rsidR="00024EA9">
        <w:rPr>
          <w:sz w:val="24"/>
          <w:szCs w:val="24"/>
        </w:rPr>
        <w:t xml:space="preserve">. </w:t>
      </w:r>
      <w:r w:rsidR="00B92CFA">
        <w:rPr>
          <w:sz w:val="24"/>
          <w:szCs w:val="24"/>
        </w:rPr>
        <w:t xml:space="preserve"> </w:t>
      </w:r>
      <w:r w:rsidR="00024EA9">
        <w:rPr>
          <w:sz w:val="24"/>
          <w:szCs w:val="24"/>
        </w:rPr>
        <w:t xml:space="preserve">In other words, </w:t>
      </w:r>
      <w:r w:rsidR="009C1CE0">
        <w:rPr>
          <w:sz w:val="24"/>
          <w:szCs w:val="24"/>
        </w:rPr>
        <w:t>where expressed as such</w:t>
      </w:r>
      <w:r w:rsidR="007D60F1">
        <w:rPr>
          <w:sz w:val="24"/>
          <w:szCs w:val="24"/>
        </w:rPr>
        <w:t>,</w:t>
      </w:r>
      <w:r w:rsidR="009C1CE0">
        <w:rPr>
          <w:sz w:val="24"/>
          <w:szCs w:val="24"/>
        </w:rPr>
        <w:t xml:space="preserve"> </w:t>
      </w:r>
      <w:r w:rsidR="00024EA9">
        <w:rPr>
          <w:sz w:val="24"/>
          <w:szCs w:val="24"/>
        </w:rPr>
        <w:t xml:space="preserve">the tariff language’s applicability </w:t>
      </w:r>
      <w:r w:rsidR="00C24B5F">
        <w:rPr>
          <w:sz w:val="24"/>
          <w:szCs w:val="24"/>
        </w:rPr>
        <w:t xml:space="preserve">would be </w:t>
      </w:r>
      <w:r w:rsidR="00024EA9">
        <w:rPr>
          <w:sz w:val="24"/>
          <w:szCs w:val="24"/>
        </w:rPr>
        <w:t>limited</w:t>
      </w:r>
      <w:r w:rsidR="009610F5">
        <w:rPr>
          <w:sz w:val="24"/>
          <w:szCs w:val="24"/>
        </w:rPr>
        <w:t xml:space="preserve">. </w:t>
      </w:r>
      <w:r w:rsidR="00B92CFA">
        <w:rPr>
          <w:sz w:val="24"/>
          <w:szCs w:val="24"/>
        </w:rPr>
        <w:t xml:space="preserve"> </w:t>
      </w:r>
      <w:r w:rsidR="009C1CE0">
        <w:rPr>
          <w:sz w:val="24"/>
          <w:szCs w:val="24"/>
        </w:rPr>
        <w:t xml:space="preserve">On the other hand, the </w:t>
      </w:r>
      <w:r w:rsidR="00024EA9">
        <w:rPr>
          <w:sz w:val="24"/>
          <w:szCs w:val="24"/>
        </w:rPr>
        <w:t xml:space="preserve">economic </w:t>
      </w:r>
      <w:r w:rsidR="009C1CE0">
        <w:rPr>
          <w:sz w:val="24"/>
          <w:szCs w:val="24"/>
        </w:rPr>
        <w:t xml:space="preserve">feasibility </w:t>
      </w:r>
      <w:r w:rsidR="00C24B5F">
        <w:rPr>
          <w:sz w:val="24"/>
          <w:szCs w:val="24"/>
        </w:rPr>
        <w:t>language expressed</w:t>
      </w:r>
      <w:r w:rsidR="009C1CE0">
        <w:rPr>
          <w:sz w:val="24"/>
          <w:szCs w:val="24"/>
        </w:rPr>
        <w:t xml:space="preserve"> in Section 9 is broadly stated and not limited in any </w:t>
      </w:r>
      <w:r w:rsidR="00C24B5F">
        <w:rPr>
          <w:sz w:val="24"/>
          <w:szCs w:val="24"/>
        </w:rPr>
        <w:t xml:space="preserve">manner </w:t>
      </w:r>
      <w:r w:rsidR="009C1CE0">
        <w:rPr>
          <w:sz w:val="24"/>
          <w:szCs w:val="24"/>
        </w:rPr>
        <w:t>to a particular circumstance.</w:t>
      </w:r>
      <w:r w:rsidR="009C1CE0">
        <w:rPr>
          <w:rStyle w:val="FootnoteReference"/>
          <w:sz w:val="24"/>
          <w:szCs w:val="24"/>
        </w:rPr>
        <w:footnoteReference w:id="56"/>
      </w:r>
      <w:r w:rsidR="009C1CE0">
        <w:rPr>
          <w:sz w:val="24"/>
          <w:szCs w:val="24"/>
        </w:rPr>
        <w:t xml:space="preserve"> </w:t>
      </w:r>
      <w:r>
        <w:rPr>
          <w:sz w:val="24"/>
          <w:szCs w:val="24"/>
        </w:rPr>
        <w:t xml:space="preserve"> </w:t>
      </w:r>
    </w:p>
    <w:p w14:paraId="318BD494" w14:textId="7B56B44B" w:rsidR="00A00784" w:rsidRDefault="009C1CE0" w:rsidP="0054627B">
      <w:pPr>
        <w:pStyle w:val="FootnoteText"/>
        <w:numPr>
          <w:ilvl w:val="0"/>
          <w:numId w:val="9"/>
        </w:numPr>
        <w:spacing w:line="480" w:lineRule="auto"/>
        <w:rPr>
          <w:sz w:val="24"/>
          <w:szCs w:val="24"/>
        </w:rPr>
      </w:pPr>
      <w:r w:rsidRPr="00070BD2">
        <w:rPr>
          <w:sz w:val="24"/>
          <w:szCs w:val="24"/>
        </w:rPr>
        <w:tab/>
      </w:r>
      <w:r w:rsidR="004C76CF" w:rsidRPr="00070BD2">
        <w:rPr>
          <w:sz w:val="24"/>
          <w:szCs w:val="24"/>
        </w:rPr>
        <w:t xml:space="preserve">Mr. Nightingale also testified to the import of Section 9 </w:t>
      </w:r>
      <w:r w:rsidR="005C4621" w:rsidRPr="00070BD2">
        <w:rPr>
          <w:sz w:val="24"/>
          <w:szCs w:val="24"/>
        </w:rPr>
        <w:t>and r</w:t>
      </w:r>
      <w:r w:rsidR="004C76CF" w:rsidRPr="00070BD2">
        <w:rPr>
          <w:sz w:val="24"/>
          <w:szCs w:val="24"/>
        </w:rPr>
        <w:t xml:space="preserve">eached </w:t>
      </w:r>
      <w:r w:rsidR="005C4621" w:rsidRPr="00070BD2">
        <w:rPr>
          <w:sz w:val="24"/>
          <w:szCs w:val="24"/>
        </w:rPr>
        <w:t>a similar conclusion finding that PSE would only be responsible to build a new line for the Petitioners if the Company found it “economically feasible to do so.”</w:t>
      </w:r>
      <w:r w:rsidR="005C4621">
        <w:rPr>
          <w:rStyle w:val="FootnoteReference"/>
          <w:sz w:val="24"/>
          <w:szCs w:val="24"/>
        </w:rPr>
        <w:footnoteReference w:id="57"/>
      </w:r>
      <w:r w:rsidR="005C4621" w:rsidRPr="00070BD2">
        <w:rPr>
          <w:sz w:val="24"/>
          <w:szCs w:val="24"/>
        </w:rPr>
        <w:t xml:space="preserve"> </w:t>
      </w:r>
      <w:r w:rsidR="00B92CFA">
        <w:rPr>
          <w:sz w:val="24"/>
          <w:szCs w:val="24"/>
        </w:rPr>
        <w:t xml:space="preserve"> </w:t>
      </w:r>
      <w:r w:rsidR="00C24B5F" w:rsidRPr="00070BD2">
        <w:rPr>
          <w:sz w:val="24"/>
          <w:szCs w:val="24"/>
        </w:rPr>
        <w:t xml:space="preserve">Thus, the compelling evidence points to one conclusion - the intent of Section 9 is clear and unambiguous. </w:t>
      </w:r>
      <w:r w:rsidR="00B92CFA">
        <w:rPr>
          <w:sz w:val="24"/>
          <w:szCs w:val="24"/>
        </w:rPr>
        <w:t xml:space="preserve"> </w:t>
      </w:r>
      <w:r w:rsidR="00C24B5F" w:rsidRPr="00070BD2">
        <w:rPr>
          <w:sz w:val="24"/>
          <w:szCs w:val="24"/>
        </w:rPr>
        <w:t>The Commission needs no further analysis to interpret this language.</w:t>
      </w:r>
      <w:r w:rsidR="00B92CFA">
        <w:rPr>
          <w:sz w:val="24"/>
          <w:szCs w:val="24"/>
        </w:rPr>
        <w:t xml:space="preserve"> </w:t>
      </w:r>
      <w:r w:rsidR="00C24B5F" w:rsidRPr="00070BD2">
        <w:rPr>
          <w:sz w:val="24"/>
          <w:szCs w:val="24"/>
        </w:rPr>
        <w:t xml:space="preserve">In sum, Section 9 makes perfectly clear that PSE is required to provide service only when it is economically feasible to do so. </w:t>
      </w:r>
      <w:r w:rsidR="0049204E" w:rsidRPr="00070BD2">
        <w:rPr>
          <w:sz w:val="24"/>
          <w:szCs w:val="24"/>
        </w:rPr>
        <w:t xml:space="preserve">Given Section 9’s clear intent, the Petitioners’ interpretation of the provision should be dismissed as baseless argument.  </w:t>
      </w:r>
    </w:p>
    <w:p w14:paraId="32BE055A" w14:textId="7DD03B0B" w:rsidR="00A00784" w:rsidRDefault="00A00784" w:rsidP="0054627B">
      <w:pPr>
        <w:pStyle w:val="FootnoteText"/>
        <w:numPr>
          <w:ilvl w:val="0"/>
          <w:numId w:val="9"/>
        </w:numPr>
        <w:spacing w:line="480" w:lineRule="auto"/>
        <w:rPr>
          <w:sz w:val="24"/>
          <w:szCs w:val="24"/>
        </w:rPr>
      </w:pPr>
      <w:r w:rsidRPr="00070BD2">
        <w:rPr>
          <w:sz w:val="24"/>
          <w:szCs w:val="24"/>
        </w:rPr>
        <w:tab/>
      </w:r>
      <w:r w:rsidR="0049204E" w:rsidRPr="00070BD2">
        <w:rPr>
          <w:sz w:val="24"/>
          <w:szCs w:val="24"/>
        </w:rPr>
        <w:t xml:space="preserve">In further support of </w:t>
      </w:r>
      <w:r w:rsidRPr="00070BD2">
        <w:rPr>
          <w:sz w:val="24"/>
          <w:szCs w:val="24"/>
        </w:rPr>
        <w:t xml:space="preserve">Staff’s interpretation of </w:t>
      </w:r>
      <w:r w:rsidR="0049204E" w:rsidRPr="00070BD2">
        <w:rPr>
          <w:sz w:val="24"/>
          <w:szCs w:val="24"/>
        </w:rPr>
        <w:t>S</w:t>
      </w:r>
      <w:r w:rsidRPr="00070BD2">
        <w:rPr>
          <w:sz w:val="24"/>
          <w:szCs w:val="24"/>
        </w:rPr>
        <w:t xml:space="preserve">ection 9, Mr. Ball testified to the </w:t>
      </w:r>
      <w:r w:rsidR="00C24B5F" w:rsidRPr="00070BD2">
        <w:rPr>
          <w:sz w:val="24"/>
          <w:szCs w:val="24"/>
        </w:rPr>
        <w:t xml:space="preserve">sound policy considerations bolstering the economic feasibility requirement set forth in PSE’s tariff. </w:t>
      </w:r>
      <w:r w:rsidR="00B92CFA">
        <w:rPr>
          <w:sz w:val="24"/>
          <w:szCs w:val="24"/>
        </w:rPr>
        <w:t xml:space="preserve"> </w:t>
      </w:r>
      <w:r w:rsidRPr="00070BD2">
        <w:rPr>
          <w:sz w:val="24"/>
          <w:szCs w:val="24"/>
        </w:rPr>
        <w:t xml:space="preserve">He </w:t>
      </w:r>
      <w:r w:rsidR="00BB675D" w:rsidRPr="00070BD2">
        <w:rPr>
          <w:sz w:val="24"/>
          <w:szCs w:val="24"/>
        </w:rPr>
        <w:t xml:space="preserve">explained that </w:t>
      </w:r>
      <w:r w:rsidR="00F657BB" w:rsidRPr="00070BD2">
        <w:rPr>
          <w:sz w:val="24"/>
          <w:szCs w:val="24"/>
        </w:rPr>
        <w:t>without this test ratepayers c</w:t>
      </w:r>
      <w:r w:rsidR="00BB675D" w:rsidRPr="00070BD2">
        <w:rPr>
          <w:sz w:val="24"/>
          <w:szCs w:val="24"/>
        </w:rPr>
        <w:t xml:space="preserve">ould be required to “pay inequitably high rates” caused by another ratepayer whose costs are driven by unique circumstances and are </w:t>
      </w:r>
      <w:r w:rsidR="00F657BB" w:rsidRPr="00070BD2">
        <w:rPr>
          <w:sz w:val="24"/>
          <w:szCs w:val="24"/>
        </w:rPr>
        <w:t>“</w:t>
      </w:r>
      <w:r w:rsidR="00BB675D" w:rsidRPr="00070BD2">
        <w:rPr>
          <w:sz w:val="24"/>
          <w:szCs w:val="24"/>
        </w:rPr>
        <w:t xml:space="preserve">extraordinarily greater than other ratepayers </w:t>
      </w:r>
      <w:r w:rsidR="00F657BB" w:rsidRPr="00070BD2">
        <w:rPr>
          <w:sz w:val="24"/>
          <w:szCs w:val="24"/>
        </w:rPr>
        <w:t xml:space="preserve">of </w:t>
      </w:r>
      <w:r w:rsidR="00BB675D" w:rsidRPr="00070BD2">
        <w:rPr>
          <w:sz w:val="24"/>
          <w:szCs w:val="24"/>
        </w:rPr>
        <w:t xml:space="preserve">the same </w:t>
      </w:r>
      <w:r w:rsidR="00F657BB" w:rsidRPr="00070BD2">
        <w:rPr>
          <w:sz w:val="24"/>
          <w:szCs w:val="24"/>
        </w:rPr>
        <w:t>schedule.”</w:t>
      </w:r>
      <w:r w:rsidR="00F657BB">
        <w:rPr>
          <w:rStyle w:val="FootnoteReference"/>
          <w:sz w:val="24"/>
          <w:szCs w:val="24"/>
        </w:rPr>
        <w:footnoteReference w:id="58"/>
      </w:r>
      <w:r w:rsidR="00F657BB" w:rsidRPr="00070BD2">
        <w:rPr>
          <w:sz w:val="24"/>
          <w:szCs w:val="24"/>
        </w:rPr>
        <w:t xml:space="preserve"> </w:t>
      </w:r>
      <w:r w:rsidR="00B92CFA">
        <w:rPr>
          <w:sz w:val="24"/>
          <w:szCs w:val="24"/>
        </w:rPr>
        <w:t xml:space="preserve"> </w:t>
      </w:r>
      <w:r w:rsidR="00F657BB" w:rsidRPr="00070BD2">
        <w:rPr>
          <w:sz w:val="24"/>
          <w:szCs w:val="24"/>
        </w:rPr>
        <w:t xml:space="preserve">He went on to </w:t>
      </w:r>
      <w:r w:rsidR="006C6F4A">
        <w:rPr>
          <w:sz w:val="24"/>
          <w:szCs w:val="24"/>
        </w:rPr>
        <w:t xml:space="preserve">render his opinion </w:t>
      </w:r>
      <w:r w:rsidR="00F657BB" w:rsidRPr="00070BD2">
        <w:rPr>
          <w:sz w:val="24"/>
          <w:szCs w:val="24"/>
        </w:rPr>
        <w:t>that PSE should not be required to provide service to a remote customer at a “large additional expense … [to] other similarly situated customers.”</w:t>
      </w:r>
      <w:r w:rsidR="00F657BB">
        <w:rPr>
          <w:rStyle w:val="FootnoteReference"/>
          <w:sz w:val="24"/>
          <w:szCs w:val="24"/>
        </w:rPr>
        <w:footnoteReference w:id="59"/>
      </w:r>
      <w:r w:rsidR="00774641" w:rsidRPr="00070BD2">
        <w:rPr>
          <w:sz w:val="24"/>
          <w:szCs w:val="24"/>
        </w:rPr>
        <w:t xml:space="preserve"> </w:t>
      </w:r>
      <w:r w:rsidR="00B92CFA">
        <w:rPr>
          <w:sz w:val="24"/>
          <w:szCs w:val="24"/>
        </w:rPr>
        <w:t xml:space="preserve"> </w:t>
      </w:r>
      <w:r w:rsidR="00774641" w:rsidRPr="00070BD2">
        <w:rPr>
          <w:sz w:val="24"/>
          <w:szCs w:val="24"/>
        </w:rPr>
        <w:t xml:space="preserve">He reasoned that regulation should promote the adoption of sound business practices by the Company and service should only be provided when economically feasible to do so </w:t>
      </w:r>
      <w:r w:rsidR="004C1998" w:rsidRPr="00070BD2">
        <w:rPr>
          <w:sz w:val="24"/>
          <w:szCs w:val="24"/>
        </w:rPr>
        <w:t>….</w:t>
      </w:r>
      <w:r w:rsidR="00774641" w:rsidRPr="00070BD2">
        <w:rPr>
          <w:sz w:val="24"/>
          <w:szCs w:val="24"/>
        </w:rPr>
        <w:t>”</w:t>
      </w:r>
      <w:r w:rsidR="00774641">
        <w:rPr>
          <w:rStyle w:val="FootnoteReference"/>
          <w:sz w:val="24"/>
          <w:szCs w:val="24"/>
        </w:rPr>
        <w:footnoteReference w:id="60"/>
      </w:r>
      <w:r w:rsidR="00774641" w:rsidRPr="00070BD2">
        <w:rPr>
          <w:sz w:val="24"/>
          <w:szCs w:val="24"/>
        </w:rPr>
        <w:t xml:space="preserve"> </w:t>
      </w:r>
      <w:r w:rsidR="00070BD2">
        <w:rPr>
          <w:sz w:val="24"/>
          <w:szCs w:val="24"/>
        </w:rPr>
        <w:t xml:space="preserve"> </w:t>
      </w:r>
    </w:p>
    <w:p w14:paraId="6633F014" w14:textId="2FACD91D" w:rsidR="00860FE1" w:rsidRPr="00860FE1" w:rsidRDefault="001B7ED5" w:rsidP="00860FE1">
      <w:pPr>
        <w:pStyle w:val="FootnoteText"/>
        <w:numPr>
          <w:ilvl w:val="0"/>
          <w:numId w:val="9"/>
        </w:numPr>
        <w:spacing w:line="480" w:lineRule="auto"/>
        <w:rPr>
          <w:sz w:val="24"/>
          <w:szCs w:val="24"/>
        </w:rPr>
      </w:pPr>
      <w:r w:rsidRPr="00860FE1">
        <w:rPr>
          <w:sz w:val="24"/>
          <w:szCs w:val="24"/>
        </w:rPr>
        <w:tab/>
      </w:r>
      <w:r w:rsidR="008210BC" w:rsidRPr="00860FE1">
        <w:rPr>
          <w:sz w:val="24"/>
          <w:szCs w:val="24"/>
        </w:rPr>
        <w:t xml:space="preserve">Staff also directs the Commission to Section 34 of </w:t>
      </w:r>
      <w:r w:rsidR="0078750B" w:rsidRPr="00860FE1">
        <w:rPr>
          <w:sz w:val="24"/>
          <w:szCs w:val="24"/>
        </w:rPr>
        <w:t>S</w:t>
      </w:r>
      <w:r w:rsidR="008210BC" w:rsidRPr="00860FE1">
        <w:rPr>
          <w:sz w:val="24"/>
          <w:szCs w:val="24"/>
        </w:rPr>
        <w:t xml:space="preserve">chedule 80, and </w:t>
      </w:r>
      <w:r w:rsidR="0078750B" w:rsidRPr="00860FE1">
        <w:rPr>
          <w:sz w:val="24"/>
          <w:szCs w:val="24"/>
        </w:rPr>
        <w:t xml:space="preserve">its </w:t>
      </w:r>
      <w:r w:rsidR="00D87B28" w:rsidRPr="00860FE1">
        <w:rPr>
          <w:sz w:val="24"/>
          <w:szCs w:val="24"/>
        </w:rPr>
        <w:t xml:space="preserve">application to </w:t>
      </w:r>
      <w:r w:rsidR="008210BC" w:rsidRPr="00860FE1">
        <w:rPr>
          <w:sz w:val="24"/>
          <w:szCs w:val="24"/>
        </w:rPr>
        <w:t xml:space="preserve">an </w:t>
      </w:r>
      <w:r w:rsidR="0078750B" w:rsidRPr="00860FE1">
        <w:rPr>
          <w:sz w:val="24"/>
          <w:szCs w:val="24"/>
        </w:rPr>
        <w:t xml:space="preserve">entity requesting PSE to replace or change some characteristic of the service it provides to </w:t>
      </w:r>
      <w:r w:rsidR="006C6F4A">
        <w:rPr>
          <w:sz w:val="24"/>
          <w:szCs w:val="24"/>
        </w:rPr>
        <w:t>the customer. In pertinent part,</w:t>
      </w:r>
      <w:r w:rsidR="0078750B" w:rsidRPr="00860FE1">
        <w:rPr>
          <w:sz w:val="24"/>
          <w:szCs w:val="24"/>
        </w:rPr>
        <w:t xml:space="preserve"> this section of Schedule 80</w:t>
      </w:r>
      <w:r w:rsidR="006C6F4A">
        <w:rPr>
          <w:sz w:val="24"/>
          <w:szCs w:val="24"/>
        </w:rPr>
        <w:t xml:space="preserve"> provides</w:t>
      </w:r>
      <w:r w:rsidR="0078750B" w:rsidRPr="00860FE1">
        <w:rPr>
          <w:sz w:val="24"/>
          <w:szCs w:val="24"/>
        </w:rPr>
        <w:t xml:space="preserve">: </w:t>
      </w:r>
    </w:p>
    <w:p w14:paraId="5F3261A6" w14:textId="5ABB7D9E" w:rsidR="0078750B" w:rsidRPr="00860FE1" w:rsidRDefault="00636F8D" w:rsidP="00860FE1">
      <w:pPr>
        <w:pStyle w:val="FootnoteText"/>
        <w:ind w:left="720" w:right="648"/>
        <w:rPr>
          <w:sz w:val="24"/>
          <w:szCs w:val="24"/>
        </w:rPr>
      </w:pPr>
      <w:r>
        <w:rPr>
          <w:sz w:val="24"/>
          <w:szCs w:val="24"/>
        </w:rPr>
        <w:t>“Where a Requesting E</w:t>
      </w:r>
      <w:r w:rsidR="0078750B" w:rsidRPr="00860FE1">
        <w:rPr>
          <w:sz w:val="24"/>
          <w:szCs w:val="24"/>
        </w:rPr>
        <w:t xml:space="preserve">ntity requests a Project that replaces existing Electric Facilities, the Requesting Entity shall pay the Company for all </w:t>
      </w:r>
      <w:r>
        <w:rPr>
          <w:sz w:val="24"/>
          <w:szCs w:val="24"/>
        </w:rPr>
        <w:t xml:space="preserve">of </w:t>
      </w:r>
      <w:r w:rsidR="0078750B" w:rsidRPr="00860FE1">
        <w:rPr>
          <w:sz w:val="24"/>
          <w:szCs w:val="24"/>
        </w:rPr>
        <w:t>its Costs, including, but not limited to, the cost of all Electric Facilities removed or no longer of use, due to such Project.”</w:t>
      </w:r>
      <w:r w:rsidR="00B37559" w:rsidRPr="00860FE1">
        <w:rPr>
          <w:rStyle w:val="FootnoteReference"/>
          <w:sz w:val="24"/>
          <w:szCs w:val="24"/>
        </w:rPr>
        <w:footnoteReference w:id="61"/>
      </w:r>
      <w:r w:rsidR="0078750B" w:rsidRPr="00860FE1">
        <w:rPr>
          <w:sz w:val="24"/>
          <w:szCs w:val="24"/>
        </w:rPr>
        <w:t xml:space="preserve"> </w:t>
      </w:r>
    </w:p>
    <w:p w14:paraId="7FDF457F" w14:textId="77777777" w:rsidR="00860FE1" w:rsidRPr="000851ED" w:rsidRDefault="00860FE1" w:rsidP="00860FE1">
      <w:pPr>
        <w:pStyle w:val="FootnoteText"/>
        <w:ind w:right="648"/>
        <w:rPr>
          <w:sz w:val="24"/>
          <w:szCs w:val="24"/>
          <w:highlight w:val="yellow"/>
        </w:rPr>
      </w:pPr>
    </w:p>
    <w:p w14:paraId="5C90C911" w14:textId="4E4BBCCE" w:rsidR="008210BC" w:rsidRDefault="0078750B" w:rsidP="00067F42">
      <w:pPr>
        <w:pStyle w:val="FootnoteText"/>
        <w:numPr>
          <w:ilvl w:val="0"/>
          <w:numId w:val="9"/>
        </w:numPr>
        <w:spacing w:line="480" w:lineRule="auto"/>
        <w:rPr>
          <w:sz w:val="24"/>
          <w:szCs w:val="24"/>
        </w:rPr>
      </w:pPr>
      <w:r>
        <w:rPr>
          <w:sz w:val="24"/>
          <w:szCs w:val="24"/>
        </w:rPr>
        <w:t xml:space="preserve"> </w:t>
      </w:r>
      <w:r w:rsidR="008210BC">
        <w:rPr>
          <w:sz w:val="24"/>
          <w:szCs w:val="24"/>
        </w:rPr>
        <w:t xml:space="preserve"> </w:t>
      </w:r>
      <w:r w:rsidR="00B37559">
        <w:rPr>
          <w:sz w:val="24"/>
          <w:szCs w:val="24"/>
        </w:rPr>
        <w:tab/>
      </w:r>
      <w:r w:rsidR="00D87B28">
        <w:rPr>
          <w:sz w:val="24"/>
          <w:szCs w:val="24"/>
        </w:rPr>
        <w:t xml:space="preserve">There </w:t>
      </w:r>
      <w:r w:rsidR="000851ED">
        <w:rPr>
          <w:sz w:val="24"/>
          <w:szCs w:val="24"/>
        </w:rPr>
        <w:t xml:space="preserve">should be </w:t>
      </w:r>
      <w:r w:rsidR="00D87B28">
        <w:rPr>
          <w:sz w:val="24"/>
          <w:szCs w:val="24"/>
        </w:rPr>
        <w:t xml:space="preserve">no </w:t>
      </w:r>
      <w:r w:rsidR="000851ED">
        <w:rPr>
          <w:sz w:val="24"/>
          <w:szCs w:val="24"/>
        </w:rPr>
        <w:t xml:space="preserve">argument </w:t>
      </w:r>
      <w:r w:rsidR="00D87B28">
        <w:rPr>
          <w:sz w:val="24"/>
          <w:szCs w:val="24"/>
        </w:rPr>
        <w:t xml:space="preserve">that </w:t>
      </w:r>
      <w:r w:rsidR="00B37559">
        <w:rPr>
          <w:sz w:val="24"/>
          <w:szCs w:val="24"/>
        </w:rPr>
        <w:t>th</w:t>
      </w:r>
      <w:r w:rsidR="00D87B28">
        <w:rPr>
          <w:sz w:val="24"/>
          <w:szCs w:val="24"/>
        </w:rPr>
        <w:t xml:space="preserve">e Maloney Line is an “electric facility” covered by this section of the schedule and the Petitioners are the requesting entity. Given its clear application, the </w:t>
      </w:r>
      <w:r w:rsidR="00B37559">
        <w:rPr>
          <w:sz w:val="24"/>
          <w:szCs w:val="24"/>
        </w:rPr>
        <w:t>cost allocation language expressed in this section of Schedule 80 places upon the Petitioners all costs necessary to replace the Maloney Line. This further supports Staff</w:t>
      </w:r>
      <w:r w:rsidR="006C6F4A">
        <w:rPr>
          <w:sz w:val="24"/>
          <w:szCs w:val="24"/>
        </w:rPr>
        <w:t>’s</w:t>
      </w:r>
      <w:r w:rsidR="00B37559">
        <w:rPr>
          <w:sz w:val="24"/>
          <w:szCs w:val="24"/>
        </w:rPr>
        <w:t xml:space="preserve"> position in this case, and contradicts the Petitioners’ claim that PSE alone is responsible to replace the Maloney Line at its cost. </w:t>
      </w:r>
    </w:p>
    <w:p w14:paraId="00124255" w14:textId="3CFA83EC" w:rsidR="00067F42" w:rsidRPr="00070BD2" w:rsidRDefault="00B37559" w:rsidP="00067F42">
      <w:pPr>
        <w:pStyle w:val="FootnoteText"/>
        <w:numPr>
          <w:ilvl w:val="0"/>
          <w:numId w:val="9"/>
        </w:numPr>
        <w:spacing w:line="480" w:lineRule="auto"/>
        <w:rPr>
          <w:sz w:val="24"/>
          <w:szCs w:val="24"/>
        </w:rPr>
      </w:pPr>
      <w:r>
        <w:rPr>
          <w:sz w:val="24"/>
          <w:szCs w:val="24"/>
        </w:rPr>
        <w:tab/>
      </w:r>
      <w:r w:rsidR="001B7ED5" w:rsidRPr="00070BD2">
        <w:rPr>
          <w:sz w:val="24"/>
          <w:szCs w:val="24"/>
        </w:rPr>
        <w:t>In summary, t</w:t>
      </w:r>
      <w:r w:rsidR="00F657BB" w:rsidRPr="00070BD2">
        <w:rPr>
          <w:sz w:val="24"/>
          <w:szCs w:val="24"/>
        </w:rPr>
        <w:t xml:space="preserve">he economic test set forth in Section 9 of Schedule 80 </w:t>
      </w:r>
      <w:r w:rsidR="00067F42" w:rsidRPr="00070BD2">
        <w:rPr>
          <w:sz w:val="24"/>
          <w:szCs w:val="24"/>
        </w:rPr>
        <w:t xml:space="preserve">unambiguously applies to the Petitioners. </w:t>
      </w:r>
      <w:r w:rsidR="000851ED">
        <w:rPr>
          <w:sz w:val="24"/>
          <w:szCs w:val="24"/>
        </w:rPr>
        <w:t>As shown, i</w:t>
      </w:r>
      <w:r w:rsidR="00492C17" w:rsidRPr="00070BD2">
        <w:rPr>
          <w:sz w:val="24"/>
          <w:szCs w:val="24"/>
        </w:rPr>
        <w:t>t is not limited in any way to new or additional services as argued by Mr. Gorman.</w:t>
      </w:r>
      <w:r w:rsidR="00243291">
        <w:rPr>
          <w:rStyle w:val="FootnoteReference"/>
          <w:sz w:val="24"/>
          <w:szCs w:val="24"/>
        </w:rPr>
        <w:footnoteReference w:id="62"/>
      </w:r>
      <w:r w:rsidR="00492C17" w:rsidRPr="00070BD2">
        <w:rPr>
          <w:sz w:val="24"/>
          <w:szCs w:val="24"/>
        </w:rPr>
        <w:t xml:space="preserve"> </w:t>
      </w:r>
      <w:r w:rsidR="00B92CFA">
        <w:rPr>
          <w:sz w:val="24"/>
          <w:szCs w:val="24"/>
        </w:rPr>
        <w:t xml:space="preserve"> </w:t>
      </w:r>
      <w:r w:rsidR="00067F42" w:rsidRPr="00070BD2">
        <w:rPr>
          <w:sz w:val="24"/>
          <w:szCs w:val="24"/>
        </w:rPr>
        <w:t>Th</w:t>
      </w:r>
      <w:r w:rsidR="00492C17" w:rsidRPr="00070BD2">
        <w:rPr>
          <w:sz w:val="24"/>
          <w:szCs w:val="24"/>
        </w:rPr>
        <w:t xml:space="preserve">e economic feasibility </w:t>
      </w:r>
      <w:r w:rsidR="003F531D" w:rsidRPr="00070BD2">
        <w:rPr>
          <w:sz w:val="24"/>
          <w:szCs w:val="24"/>
        </w:rPr>
        <w:t xml:space="preserve">test </w:t>
      </w:r>
      <w:r w:rsidR="00492C17" w:rsidRPr="00070BD2">
        <w:rPr>
          <w:sz w:val="24"/>
          <w:szCs w:val="24"/>
        </w:rPr>
        <w:t xml:space="preserve">reflects sound policies that promote </w:t>
      </w:r>
      <w:r w:rsidR="003F531D" w:rsidRPr="00070BD2">
        <w:rPr>
          <w:sz w:val="24"/>
          <w:szCs w:val="24"/>
        </w:rPr>
        <w:t xml:space="preserve">efficient business practices and </w:t>
      </w:r>
      <w:r w:rsidR="00243291">
        <w:rPr>
          <w:sz w:val="24"/>
          <w:szCs w:val="24"/>
        </w:rPr>
        <w:t>protect</w:t>
      </w:r>
      <w:r w:rsidR="003F531D" w:rsidRPr="00070BD2">
        <w:rPr>
          <w:sz w:val="24"/>
          <w:szCs w:val="24"/>
        </w:rPr>
        <w:t xml:space="preserve"> customers from unreasonable investments serving </w:t>
      </w:r>
      <w:r w:rsidR="00492C17" w:rsidRPr="00070BD2">
        <w:rPr>
          <w:sz w:val="24"/>
          <w:szCs w:val="24"/>
        </w:rPr>
        <w:t xml:space="preserve">only </w:t>
      </w:r>
      <w:r w:rsidR="003F531D" w:rsidRPr="00070BD2">
        <w:rPr>
          <w:sz w:val="24"/>
          <w:szCs w:val="24"/>
        </w:rPr>
        <w:t>a few</w:t>
      </w:r>
      <w:r w:rsidR="00492C17" w:rsidRPr="00070BD2">
        <w:rPr>
          <w:sz w:val="24"/>
          <w:szCs w:val="24"/>
        </w:rPr>
        <w:t xml:space="preserve">. </w:t>
      </w:r>
      <w:r w:rsidR="003F531D" w:rsidRPr="00070BD2">
        <w:rPr>
          <w:sz w:val="24"/>
          <w:szCs w:val="24"/>
        </w:rPr>
        <w:t xml:space="preserve">Mr. Ball’s economic analysis demonstrates the negative impacts that could result from the absence of such a requirement. </w:t>
      </w:r>
      <w:r w:rsidR="00B92CFA">
        <w:rPr>
          <w:sz w:val="24"/>
          <w:szCs w:val="24"/>
        </w:rPr>
        <w:t xml:space="preserve"> </w:t>
      </w:r>
      <w:r w:rsidR="00D87B28">
        <w:rPr>
          <w:sz w:val="24"/>
          <w:szCs w:val="24"/>
        </w:rPr>
        <w:t xml:space="preserve">Further, the clear language of Section 34(b)(ii) of Schedule 80 requires the Petitioners to pay the costs necessary to replace the Maloney Line. </w:t>
      </w:r>
      <w:r w:rsidR="00492C17" w:rsidRPr="00070BD2">
        <w:rPr>
          <w:sz w:val="24"/>
          <w:szCs w:val="24"/>
        </w:rPr>
        <w:t xml:space="preserve">The </w:t>
      </w:r>
      <w:r w:rsidR="001B7ED5" w:rsidRPr="00070BD2">
        <w:rPr>
          <w:sz w:val="24"/>
          <w:szCs w:val="24"/>
        </w:rPr>
        <w:t xml:space="preserve">unreasonable </w:t>
      </w:r>
      <w:r w:rsidR="00492C17" w:rsidRPr="00070BD2">
        <w:rPr>
          <w:sz w:val="24"/>
          <w:szCs w:val="24"/>
        </w:rPr>
        <w:t xml:space="preserve">imposition of </w:t>
      </w:r>
      <w:r w:rsidR="001B7ED5" w:rsidRPr="00070BD2">
        <w:rPr>
          <w:sz w:val="24"/>
          <w:szCs w:val="24"/>
        </w:rPr>
        <w:t>costs on Schedule 24 customers</w:t>
      </w:r>
      <w:r w:rsidR="00492C17" w:rsidRPr="00070BD2">
        <w:rPr>
          <w:sz w:val="24"/>
          <w:szCs w:val="24"/>
        </w:rPr>
        <w:t xml:space="preserve"> posited by the Petitioners can be avoided by applying the clear and unambiguous language in Section</w:t>
      </w:r>
      <w:r w:rsidR="00D87B28">
        <w:rPr>
          <w:sz w:val="24"/>
          <w:szCs w:val="24"/>
        </w:rPr>
        <w:t>s</w:t>
      </w:r>
      <w:r w:rsidR="00492C17" w:rsidRPr="00070BD2">
        <w:rPr>
          <w:sz w:val="24"/>
          <w:szCs w:val="24"/>
        </w:rPr>
        <w:t xml:space="preserve"> 9 </w:t>
      </w:r>
      <w:r w:rsidR="00D87B28">
        <w:rPr>
          <w:sz w:val="24"/>
          <w:szCs w:val="24"/>
        </w:rPr>
        <w:t>and 34(b)(ii) of</w:t>
      </w:r>
      <w:r w:rsidR="00492C17" w:rsidRPr="00070BD2">
        <w:rPr>
          <w:sz w:val="24"/>
          <w:szCs w:val="24"/>
        </w:rPr>
        <w:t xml:space="preserve"> Schedule 80. </w:t>
      </w:r>
      <w:r w:rsidR="00243291">
        <w:rPr>
          <w:sz w:val="24"/>
          <w:szCs w:val="24"/>
        </w:rPr>
        <w:t xml:space="preserve">This, the Commission should do. </w:t>
      </w:r>
    </w:p>
    <w:p w14:paraId="7A0BBBCC" w14:textId="4CDC7303" w:rsidR="008D4F94" w:rsidRDefault="00070BD2" w:rsidP="00070BD2">
      <w:pPr>
        <w:pStyle w:val="Body1"/>
        <w:keepNext/>
        <w:ind w:left="720" w:hanging="720"/>
        <w:rPr>
          <w:rFonts w:ascii="Times New Roman" w:hAnsi="Times New Roman"/>
          <w:b/>
          <w:szCs w:val="24"/>
        </w:rPr>
      </w:pPr>
      <w:r>
        <w:rPr>
          <w:rFonts w:ascii="Times New Roman" w:hAnsi="Times New Roman"/>
          <w:b/>
          <w:szCs w:val="24"/>
        </w:rPr>
        <w:t>B.</w:t>
      </w:r>
      <w:r>
        <w:rPr>
          <w:rFonts w:ascii="Times New Roman" w:hAnsi="Times New Roman"/>
          <w:b/>
          <w:szCs w:val="24"/>
        </w:rPr>
        <w:tab/>
      </w:r>
      <w:r w:rsidR="008D4F94" w:rsidRPr="00BF5003">
        <w:rPr>
          <w:rFonts w:ascii="Times New Roman" w:hAnsi="Times New Roman"/>
          <w:b/>
          <w:szCs w:val="24"/>
        </w:rPr>
        <w:t>PSE’</w:t>
      </w:r>
      <w:r w:rsidR="00BF5003">
        <w:rPr>
          <w:rFonts w:ascii="Times New Roman" w:hAnsi="Times New Roman"/>
          <w:b/>
          <w:szCs w:val="24"/>
        </w:rPr>
        <w:t>s Schedule 85 E</w:t>
      </w:r>
      <w:r w:rsidR="002718D3">
        <w:rPr>
          <w:rFonts w:ascii="Times New Roman" w:hAnsi="Times New Roman"/>
          <w:b/>
          <w:szCs w:val="24"/>
        </w:rPr>
        <w:t>ncompasses</w:t>
      </w:r>
      <w:r w:rsidR="00BF5003">
        <w:rPr>
          <w:rFonts w:ascii="Times New Roman" w:hAnsi="Times New Roman"/>
          <w:b/>
          <w:szCs w:val="24"/>
        </w:rPr>
        <w:t xml:space="preserve"> PSE’s Line Extension Tariff</w:t>
      </w:r>
      <w:r w:rsidR="006C6C20">
        <w:rPr>
          <w:rFonts w:ascii="Times New Roman" w:hAnsi="Times New Roman"/>
          <w:b/>
          <w:szCs w:val="24"/>
        </w:rPr>
        <w:t xml:space="preserve"> and Overarching Tariff G.</w:t>
      </w:r>
    </w:p>
    <w:p w14:paraId="398EE92E" w14:textId="77777777" w:rsidR="00070BD2" w:rsidRPr="00BF5003" w:rsidRDefault="00070BD2" w:rsidP="00070BD2">
      <w:pPr>
        <w:pStyle w:val="Body1"/>
        <w:keepNext/>
        <w:ind w:left="720" w:hanging="720"/>
        <w:rPr>
          <w:rFonts w:ascii="Times New Roman" w:hAnsi="Times New Roman"/>
          <w:b/>
          <w:szCs w:val="24"/>
        </w:rPr>
      </w:pPr>
    </w:p>
    <w:p w14:paraId="1903346D" w14:textId="69F6F166" w:rsidR="003B185C" w:rsidRDefault="00070BD2" w:rsidP="00070BD2">
      <w:pPr>
        <w:pStyle w:val="Body1"/>
        <w:numPr>
          <w:ilvl w:val="0"/>
          <w:numId w:val="9"/>
        </w:numPr>
        <w:spacing w:line="480" w:lineRule="auto"/>
        <w:rPr>
          <w:rFonts w:ascii="Times New Roman" w:hAnsi="Times New Roman"/>
          <w:szCs w:val="24"/>
        </w:rPr>
      </w:pPr>
      <w:r>
        <w:rPr>
          <w:rFonts w:ascii="Times New Roman" w:hAnsi="Times New Roman"/>
          <w:szCs w:val="24"/>
        </w:rPr>
        <w:tab/>
      </w:r>
      <w:r w:rsidR="003B185C">
        <w:rPr>
          <w:rFonts w:ascii="Times New Roman" w:hAnsi="Times New Roman"/>
          <w:szCs w:val="24"/>
        </w:rPr>
        <w:t xml:space="preserve">PSE’s Schedule 85 </w:t>
      </w:r>
      <w:r w:rsidR="00A00240">
        <w:rPr>
          <w:rFonts w:ascii="Times New Roman" w:hAnsi="Times New Roman"/>
          <w:szCs w:val="24"/>
        </w:rPr>
        <w:t>became effective on June 6, 1991 - approximately three years prior to the execution of the Service Agreements</w:t>
      </w:r>
      <w:r w:rsidR="00E76481">
        <w:rPr>
          <w:rFonts w:ascii="Times New Roman" w:hAnsi="Times New Roman"/>
          <w:szCs w:val="24"/>
        </w:rPr>
        <w:t>.</w:t>
      </w:r>
      <w:r w:rsidR="00E76481">
        <w:rPr>
          <w:rStyle w:val="FootnoteReference"/>
          <w:rFonts w:ascii="Times New Roman" w:hAnsi="Times New Roman"/>
          <w:szCs w:val="24"/>
        </w:rPr>
        <w:footnoteReference w:id="63"/>
      </w:r>
      <w:r w:rsidR="00E76481">
        <w:rPr>
          <w:rFonts w:ascii="Times New Roman" w:hAnsi="Times New Roman"/>
          <w:szCs w:val="24"/>
        </w:rPr>
        <w:t xml:space="preserve"> </w:t>
      </w:r>
      <w:r w:rsidR="00B92CFA">
        <w:rPr>
          <w:rFonts w:ascii="Times New Roman" w:hAnsi="Times New Roman"/>
          <w:szCs w:val="24"/>
        </w:rPr>
        <w:t xml:space="preserve"> </w:t>
      </w:r>
      <w:r w:rsidR="00E76481">
        <w:rPr>
          <w:rFonts w:ascii="Times New Roman" w:hAnsi="Times New Roman"/>
          <w:szCs w:val="24"/>
        </w:rPr>
        <w:t>It governs the “circumstances, terms and conditions under which the Company is responsible for the ownership, installation, maintenance, repair or replacement of electric distribution facilities</w:t>
      </w:r>
      <w:r w:rsidR="00266D4D">
        <w:rPr>
          <w:rFonts w:ascii="Times New Roman" w:hAnsi="Times New Roman"/>
          <w:szCs w:val="24"/>
        </w:rPr>
        <w:t xml:space="preserve"> </w:t>
      </w:r>
      <w:r w:rsidR="004C1998">
        <w:rPr>
          <w:rFonts w:ascii="Times New Roman" w:hAnsi="Times New Roman"/>
          <w:szCs w:val="24"/>
        </w:rPr>
        <w:t>….</w:t>
      </w:r>
      <w:r w:rsidR="00266D4D">
        <w:rPr>
          <w:rFonts w:ascii="Times New Roman" w:hAnsi="Times New Roman"/>
          <w:szCs w:val="24"/>
        </w:rPr>
        <w:t>”</w:t>
      </w:r>
      <w:r w:rsidR="00266D4D">
        <w:rPr>
          <w:rStyle w:val="FootnoteReference"/>
          <w:rFonts w:ascii="Times New Roman" w:hAnsi="Times New Roman"/>
          <w:szCs w:val="24"/>
        </w:rPr>
        <w:footnoteReference w:id="64"/>
      </w:r>
      <w:r w:rsidR="007350E4">
        <w:rPr>
          <w:rFonts w:ascii="Times New Roman" w:hAnsi="Times New Roman"/>
          <w:szCs w:val="24"/>
        </w:rPr>
        <w:t xml:space="preserve"> </w:t>
      </w:r>
      <w:r w:rsidR="00B92CFA">
        <w:rPr>
          <w:rFonts w:ascii="Times New Roman" w:hAnsi="Times New Roman"/>
          <w:szCs w:val="24"/>
        </w:rPr>
        <w:t xml:space="preserve"> </w:t>
      </w:r>
      <w:r w:rsidR="007350E4">
        <w:rPr>
          <w:rFonts w:ascii="Times New Roman" w:hAnsi="Times New Roman"/>
          <w:szCs w:val="24"/>
        </w:rPr>
        <w:t xml:space="preserve">Included in this </w:t>
      </w:r>
      <w:r w:rsidR="000267AC">
        <w:rPr>
          <w:rFonts w:ascii="Times New Roman" w:hAnsi="Times New Roman"/>
          <w:szCs w:val="24"/>
        </w:rPr>
        <w:t xml:space="preserve">Schedule </w:t>
      </w:r>
      <w:r w:rsidR="00266D4D">
        <w:rPr>
          <w:rFonts w:ascii="Times New Roman" w:hAnsi="Times New Roman"/>
          <w:szCs w:val="24"/>
        </w:rPr>
        <w:t xml:space="preserve">are </w:t>
      </w:r>
      <w:r w:rsidR="000267AC">
        <w:rPr>
          <w:rFonts w:ascii="Times New Roman" w:hAnsi="Times New Roman"/>
          <w:szCs w:val="24"/>
        </w:rPr>
        <w:t xml:space="preserve">the </w:t>
      </w:r>
      <w:r w:rsidR="00266D4D">
        <w:rPr>
          <w:rFonts w:ascii="Times New Roman" w:hAnsi="Times New Roman"/>
          <w:szCs w:val="24"/>
        </w:rPr>
        <w:t xml:space="preserve">terms and provisions governing PSE’s obligations to customers that request line extensions. </w:t>
      </w:r>
      <w:r w:rsidR="005802FA">
        <w:rPr>
          <w:rFonts w:ascii="Times New Roman" w:hAnsi="Times New Roman"/>
          <w:szCs w:val="24"/>
        </w:rPr>
        <w:t xml:space="preserve"> </w:t>
      </w:r>
    </w:p>
    <w:p w14:paraId="4CD79DA2" w14:textId="78BBDF51" w:rsidR="00C745CA" w:rsidRDefault="00266D4D" w:rsidP="0054627B">
      <w:pPr>
        <w:pStyle w:val="Body1"/>
        <w:numPr>
          <w:ilvl w:val="0"/>
          <w:numId w:val="9"/>
        </w:numPr>
        <w:spacing w:line="480" w:lineRule="auto"/>
        <w:rPr>
          <w:rFonts w:ascii="Times New Roman" w:hAnsi="Times New Roman"/>
          <w:szCs w:val="24"/>
        </w:rPr>
      </w:pPr>
      <w:r w:rsidRPr="005802FA">
        <w:rPr>
          <w:rFonts w:ascii="Times New Roman" w:hAnsi="Times New Roman"/>
          <w:szCs w:val="24"/>
        </w:rPr>
        <w:tab/>
      </w:r>
      <w:r w:rsidR="00C745CA" w:rsidRPr="005802FA">
        <w:rPr>
          <w:rFonts w:ascii="Times New Roman" w:hAnsi="Times New Roman"/>
          <w:szCs w:val="24"/>
        </w:rPr>
        <w:t>As in PSE’s Schedule 80, t</w:t>
      </w:r>
      <w:r w:rsidR="0026136A" w:rsidRPr="005802FA">
        <w:rPr>
          <w:rFonts w:ascii="Times New Roman" w:hAnsi="Times New Roman"/>
          <w:szCs w:val="24"/>
        </w:rPr>
        <w:t xml:space="preserve">he determination of economic feasibility is one of the cornerstones </w:t>
      </w:r>
      <w:r w:rsidR="003277CC" w:rsidRPr="005802FA">
        <w:rPr>
          <w:rFonts w:ascii="Times New Roman" w:hAnsi="Times New Roman"/>
          <w:szCs w:val="24"/>
        </w:rPr>
        <w:t xml:space="preserve">that inform PSE’s decisions </w:t>
      </w:r>
      <w:r w:rsidR="0026136A" w:rsidRPr="005802FA">
        <w:rPr>
          <w:rFonts w:ascii="Times New Roman" w:hAnsi="Times New Roman"/>
          <w:szCs w:val="24"/>
        </w:rPr>
        <w:t>to extend</w:t>
      </w:r>
      <w:r w:rsidR="000267AC" w:rsidRPr="005802FA">
        <w:rPr>
          <w:rFonts w:ascii="Times New Roman" w:hAnsi="Times New Roman"/>
          <w:szCs w:val="24"/>
        </w:rPr>
        <w:t xml:space="preserve"> or replace</w:t>
      </w:r>
      <w:r w:rsidR="0026136A" w:rsidRPr="005802FA">
        <w:rPr>
          <w:rFonts w:ascii="Times New Roman" w:hAnsi="Times New Roman"/>
          <w:szCs w:val="24"/>
        </w:rPr>
        <w:t xml:space="preserve"> lines requested by customers.</w:t>
      </w:r>
      <w:r w:rsidR="00C745CA" w:rsidRPr="005802FA">
        <w:rPr>
          <w:rFonts w:ascii="Times New Roman" w:hAnsi="Times New Roman"/>
          <w:szCs w:val="24"/>
        </w:rPr>
        <w:t xml:space="preserve"> </w:t>
      </w:r>
      <w:r w:rsidR="00B92CFA">
        <w:rPr>
          <w:rFonts w:ascii="Times New Roman" w:hAnsi="Times New Roman"/>
          <w:szCs w:val="24"/>
        </w:rPr>
        <w:t xml:space="preserve"> </w:t>
      </w:r>
      <w:r w:rsidR="00893A57" w:rsidRPr="005802FA">
        <w:rPr>
          <w:rFonts w:ascii="Times New Roman" w:hAnsi="Times New Roman"/>
          <w:szCs w:val="24"/>
        </w:rPr>
        <w:t xml:space="preserve">If </w:t>
      </w:r>
      <w:r w:rsidR="00A9781B">
        <w:rPr>
          <w:rFonts w:ascii="Times New Roman" w:hAnsi="Times New Roman"/>
          <w:szCs w:val="24"/>
        </w:rPr>
        <w:t xml:space="preserve">the proposed </w:t>
      </w:r>
      <w:r w:rsidR="00893A57" w:rsidRPr="005802FA">
        <w:rPr>
          <w:rFonts w:ascii="Times New Roman" w:hAnsi="Times New Roman"/>
          <w:szCs w:val="24"/>
        </w:rPr>
        <w:t xml:space="preserve">project </w:t>
      </w:r>
      <w:r w:rsidR="004F2261" w:rsidRPr="005802FA">
        <w:rPr>
          <w:rFonts w:ascii="Times New Roman" w:hAnsi="Times New Roman"/>
          <w:szCs w:val="24"/>
        </w:rPr>
        <w:t>fail</w:t>
      </w:r>
      <w:r w:rsidR="00A9781B">
        <w:rPr>
          <w:rFonts w:ascii="Times New Roman" w:hAnsi="Times New Roman"/>
          <w:szCs w:val="24"/>
        </w:rPr>
        <w:t>s</w:t>
      </w:r>
      <w:r w:rsidR="004F2261" w:rsidRPr="005802FA">
        <w:rPr>
          <w:rFonts w:ascii="Times New Roman" w:hAnsi="Times New Roman"/>
          <w:szCs w:val="24"/>
        </w:rPr>
        <w:t xml:space="preserve"> to meet this test, then </w:t>
      </w:r>
      <w:r w:rsidR="00893A57" w:rsidRPr="005802FA">
        <w:rPr>
          <w:rFonts w:ascii="Times New Roman" w:hAnsi="Times New Roman"/>
          <w:szCs w:val="24"/>
        </w:rPr>
        <w:t xml:space="preserve">PSE </w:t>
      </w:r>
      <w:r w:rsidR="00A9781B">
        <w:rPr>
          <w:rFonts w:ascii="Times New Roman" w:hAnsi="Times New Roman"/>
          <w:szCs w:val="24"/>
        </w:rPr>
        <w:t xml:space="preserve">has </w:t>
      </w:r>
      <w:r w:rsidR="00893A57" w:rsidRPr="005802FA">
        <w:rPr>
          <w:rFonts w:ascii="Times New Roman" w:hAnsi="Times New Roman"/>
          <w:szCs w:val="24"/>
        </w:rPr>
        <w:t xml:space="preserve">no obligation to </w:t>
      </w:r>
      <w:r w:rsidR="004F2261" w:rsidRPr="005802FA">
        <w:rPr>
          <w:rFonts w:ascii="Times New Roman" w:hAnsi="Times New Roman"/>
          <w:szCs w:val="24"/>
        </w:rPr>
        <w:t xml:space="preserve">provide service to or </w:t>
      </w:r>
      <w:r w:rsidR="00893A57" w:rsidRPr="005802FA">
        <w:rPr>
          <w:rFonts w:ascii="Times New Roman" w:hAnsi="Times New Roman"/>
          <w:szCs w:val="24"/>
        </w:rPr>
        <w:t>extend service to the customer</w:t>
      </w:r>
      <w:r w:rsidR="0026136A" w:rsidRPr="005802FA">
        <w:rPr>
          <w:rFonts w:ascii="Times New Roman" w:hAnsi="Times New Roman"/>
          <w:szCs w:val="24"/>
        </w:rPr>
        <w:t>.</w:t>
      </w:r>
      <w:r w:rsidR="0026136A">
        <w:rPr>
          <w:rStyle w:val="FootnoteReference"/>
          <w:rFonts w:ascii="Times New Roman" w:hAnsi="Times New Roman"/>
          <w:szCs w:val="24"/>
        </w:rPr>
        <w:footnoteReference w:id="65"/>
      </w:r>
      <w:r w:rsidR="0026136A" w:rsidRPr="005802FA">
        <w:rPr>
          <w:rFonts w:ascii="Times New Roman" w:hAnsi="Times New Roman"/>
          <w:szCs w:val="24"/>
        </w:rPr>
        <w:t xml:space="preserve"> </w:t>
      </w:r>
      <w:r w:rsidR="00B92CFA">
        <w:rPr>
          <w:rFonts w:ascii="Times New Roman" w:hAnsi="Times New Roman"/>
          <w:szCs w:val="24"/>
        </w:rPr>
        <w:t xml:space="preserve"> </w:t>
      </w:r>
      <w:r w:rsidR="000267AC" w:rsidRPr="005802FA">
        <w:rPr>
          <w:rFonts w:ascii="Times New Roman" w:hAnsi="Times New Roman"/>
          <w:szCs w:val="24"/>
        </w:rPr>
        <w:t xml:space="preserve">While the </w:t>
      </w:r>
      <w:r w:rsidR="0026136A" w:rsidRPr="005802FA">
        <w:rPr>
          <w:rFonts w:ascii="Times New Roman" w:hAnsi="Times New Roman"/>
          <w:szCs w:val="24"/>
        </w:rPr>
        <w:t xml:space="preserve">original language in PSE’s prior Schedule 85 </w:t>
      </w:r>
      <w:r w:rsidR="00423C62" w:rsidRPr="005802FA">
        <w:rPr>
          <w:rFonts w:ascii="Times New Roman" w:hAnsi="Times New Roman"/>
          <w:szCs w:val="24"/>
        </w:rPr>
        <w:t>has</w:t>
      </w:r>
      <w:r w:rsidR="000267AC" w:rsidRPr="005802FA">
        <w:rPr>
          <w:rFonts w:ascii="Times New Roman" w:hAnsi="Times New Roman"/>
          <w:szCs w:val="24"/>
        </w:rPr>
        <w:t xml:space="preserve"> </w:t>
      </w:r>
      <w:r w:rsidR="00423C62" w:rsidRPr="005802FA">
        <w:rPr>
          <w:rFonts w:ascii="Times New Roman" w:hAnsi="Times New Roman"/>
          <w:szCs w:val="24"/>
        </w:rPr>
        <w:t xml:space="preserve">been </w:t>
      </w:r>
      <w:r w:rsidR="0026136A" w:rsidRPr="005802FA">
        <w:rPr>
          <w:rFonts w:ascii="Times New Roman" w:hAnsi="Times New Roman"/>
          <w:szCs w:val="24"/>
        </w:rPr>
        <w:t>modified</w:t>
      </w:r>
      <w:r w:rsidR="000267AC" w:rsidRPr="005802FA">
        <w:rPr>
          <w:rFonts w:ascii="Times New Roman" w:hAnsi="Times New Roman"/>
          <w:szCs w:val="24"/>
        </w:rPr>
        <w:t xml:space="preserve">, </w:t>
      </w:r>
      <w:r w:rsidR="004F2261" w:rsidRPr="005802FA">
        <w:rPr>
          <w:rFonts w:ascii="Times New Roman" w:hAnsi="Times New Roman"/>
          <w:szCs w:val="24"/>
        </w:rPr>
        <w:t>it</w:t>
      </w:r>
      <w:r w:rsidR="000267AC" w:rsidRPr="005802FA">
        <w:rPr>
          <w:rFonts w:ascii="Times New Roman" w:hAnsi="Times New Roman"/>
          <w:szCs w:val="24"/>
        </w:rPr>
        <w:t xml:space="preserve"> </w:t>
      </w:r>
      <w:r w:rsidR="00251C5B" w:rsidRPr="005802FA">
        <w:rPr>
          <w:rFonts w:ascii="Times New Roman" w:hAnsi="Times New Roman"/>
          <w:szCs w:val="24"/>
        </w:rPr>
        <w:t>c</w:t>
      </w:r>
      <w:r w:rsidR="004F2261" w:rsidRPr="005802FA">
        <w:rPr>
          <w:rFonts w:ascii="Times New Roman" w:hAnsi="Times New Roman"/>
          <w:szCs w:val="24"/>
        </w:rPr>
        <w:t xml:space="preserve">learly and unambiguously refers to </w:t>
      </w:r>
      <w:r w:rsidR="00B6773F" w:rsidRPr="005802FA">
        <w:rPr>
          <w:rFonts w:ascii="Times New Roman" w:hAnsi="Times New Roman"/>
          <w:szCs w:val="24"/>
        </w:rPr>
        <w:t xml:space="preserve">and incorporates by reference </w:t>
      </w:r>
      <w:r w:rsidR="00423C62" w:rsidRPr="005802FA">
        <w:rPr>
          <w:rFonts w:ascii="Times New Roman" w:hAnsi="Times New Roman"/>
          <w:szCs w:val="24"/>
        </w:rPr>
        <w:t xml:space="preserve">PSE’s </w:t>
      </w:r>
      <w:r w:rsidR="004F2261" w:rsidRPr="005802FA">
        <w:rPr>
          <w:rFonts w:ascii="Times New Roman" w:hAnsi="Times New Roman"/>
          <w:szCs w:val="24"/>
        </w:rPr>
        <w:t xml:space="preserve">Electric Tariff G. </w:t>
      </w:r>
      <w:r w:rsidR="00B92CFA">
        <w:rPr>
          <w:rFonts w:ascii="Times New Roman" w:hAnsi="Times New Roman"/>
          <w:szCs w:val="24"/>
        </w:rPr>
        <w:t xml:space="preserve"> </w:t>
      </w:r>
      <w:r w:rsidR="00C745CA" w:rsidRPr="005802FA">
        <w:rPr>
          <w:rFonts w:ascii="Times New Roman" w:hAnsi="Times New Roman"/>
          <w:szCs w:val="24"/>
        </w:rPr>
        <w:t xml:space="preserve">As noted above, PSE’s Tariff G includes Schedules 80 and 85. </w:t>
      </w:r>
      <w:r w:rsidR="005802FA">
        <w:rPr>
          <w:rFonts w:ascii="Times New Roman" w:hAnsi="Times New Roman"/>
          <w:szCs w:val="24"/>
        </w:rPr>
        <w:t xml:space="preserve"> </w:t>
      </w:r>
    </w:p>
    <w:p w14:paraId="21C553C9" w14:textId="47FDDC40" w:rsidR="004F2261" w:rsidRPr="005802FA" w:rsidRDefault="00C745CA" w:rsidP="00B92CFA">
      <w:pPr>
        <w:pStyle w:val="Body1"/>
        <w:keepNext/>
        <w:numPr>
          <w:ilvl w:val="0"/>
          <w:numId w:val="9"/>
        </w:numPr>
        <w:spacing w:line="480" w:lineRule="auto"/>
        <w:rPr>
          <w:rFonts w:ascii="Times New Roman" w:hAnsi="Times New Roman"/>
          <w:szCs w:val="24"/>
        </w:rPr>
      </w:pPr>
      <w:r w:rsidRPr="005802FA">
        <w:rPr>
          <w:rFonts w:ascii="Times New Roman" w:hAnsi="Times New Roman"/>
          <w:szCs w:val="24"/>
        </w:rPr>
        <w:tab/>
      </w:r>
      <w:r w:rsidR="004F2261" w:rsidRPr="005802FA">
        <w:rPr>
          <w:rFonts w:ascii="Times New Roman" w:hAnsi="Times New Roman"/>
          <w:szCs w:val="24"/>
        </w:rPr>
        <w:t xml:space="preserve">In pertinent part </w:t>
      </w:r>
      <w:r w:rsidR="00B6773F" w:rsidRPr="005802FA">
        <w:rPr>
          <w:rFonts w:ascii="Times New Roman" w:hAnsi="Times New Roman"/>
          <w:szCs w:val="24"/>
        </w:rPr>
        <w:t xml:space="preserve">Schedule 85 </w:t>
      </w:r>
      <w:r w:rsidR="004F2261" w:rsidRPr="005802FA">
        <w:rPr>
          <w:rFonts w:ascii="Times New Roman" w:hAnsi="Times New Roman"/>
          <w:szCs w:val="24"/>
        </w:rPr>
        <w:t>states:</w:t>
      </w:r>
    </w:p>
    <w:p w14:paraId="5728736E" w14:textId="46212CF3" w:rsidR="004F2261" w:rsidRDefault="004F2261" w:rsidP="00AE6F08">
      <w:pPr>
        <w:pStyle w:val="Body1"/>
        <w:ind w:left="720" w:right="648"/>
        <w:rPr>
          <w:rFonts w:ascii="Times New Roman" w:hAnsi="Times New Roman"/>
          <w:szCs w:val="24"/>
        </w:rPr>
      </w:pPr>
      <w:r>
        <w:rPr>
          <w:rFonts w:ascii="Times New Roman" w:hAnsi="Times New Roman"/>
          <w:szCs w:val="24"/>
        </w:rPr>
        <w:t xml:space="preserve">“GENERAL RULES AND PROVISIONS. Service under this schedule is subject to the General Rules and Provisions contained </w:t>
      </w:r>
      <w:r w:rsidRPr="00B6773F">
        <w:rPr>
          <w:rFonts w:ascii="Times New Roman" w:hAnsi="Times New Roman"/>
          <w:i/>
          <w:szCs w:val="24"/>
        </w:rPr>
        <w:t>in this tariff</w:t>
      </w:r>
      <w:r>
        <w:rPr>
          <w:rFonts w:ascii="Times New Roman" w:hAnsi="Times New Roman"/>
          <w:szCs w:val="24"/>
        </w:rPr>
        <w:t>.”</w:t>
      </w:r>
      <w:r>
        <w:rPr>
          <w:rStyle w:val="FootnoteReference"/>
          <w:rFonts w:ascii="Times New Roman" w:hAnsi="Times New Roman"/>
          <w:szCs w:val="24"/>
        </w:rPr>
        <w:footnoteReference w:id="66"/>
      </w:r>
      <w:r w:rsidR="00B6773F">
        <w:rPr>
          <w:rFonts w:ascii="Times New Roman" w:hAnsi="Times New Roman"/>
          <w:szCs w:val="24"/>
        </w:rPr>
        <w:t xml:space="preserve"> (Emphasis Added).</w:t>
      </w:r>
    </w:p>
    <w:p w14:paraId="61D01FD2" w14:textId="77777777" w:rsidR="00B6773F" w:rsidRDefault="00B6773F" w:rsidP="004F2261">
      <w:pPr>
        <w:pStyle w:val="Body1"/>
        <w:rPr>
          <w:rFonts w:ascii="Times New Roman" w:hAnsi="Times New Roman"/>
          <w:szCs w:val="24"/>
        </w:rPr>
      </w:pPr>
    </w:p>
    <w:p w14:paraId="67AEE8BF" w14:textId="645C0E45" w:rsidR="00893A57" w:rsidRDefault="00A9781B" w:rsidP="0054627B">
      <w:pPr>
        <w:pStyle w:val="Body1"/>
        <w:spacing w:line="480" w:lineRule="auto"/>
        <w:rPr>
          <w:rFonts w:ascii="Times New Roman" w:hAnsi="Times New Roman"/>
          <w:szCs w:val="24"/>
        </w:rPr>
      </w:pPr>
      <w:r>
        <w:rPr>
          <w:rFonts w:ascii="Times New Roman" w:hAnsi="Times New Roman"/>
          <w:szCs w:val="24"/>
        </w:rPr>
        <w:t xml:space="preserve">The word “tariff” in the above provision makes a </w:t>
      </w:r>
      <w:r w:rsidR="00C745CA">
        <w:rPr>
          <w:rFonts w:ascii="Times New Roman" w:hAnsi="Times New Roman"/>
          <w:szCs w:val="24"/>
        </w:rPr>
        <w:t xml:space="preserve">clear reference to overarching Tariff G, </w:t>
      </w:r>
      <w:r w:rsidR="002718D3">
        <w:rPr>
          <w:rFonts w:ascii="Times New Roman" w:hAnsi="Times New Roman"/>
          <w:szCs w:val="24"/>
        </w:rPr>
        <w:t xml:space="preserve">which includes </w:t>
      </w:r>
      <w:r w:rsidR="00C745CA">
        <w:rPr>
          <w:rFonts w:ascii="Times New Roman" w:hAnsi="Times New Roman"/>
          <w:szCs w:val="24"/>
        </w:rPr>
        <w:t xml:space="preserve">the </w:t>
      </w:r>
      <w:r w:rsidR="00423C62">
        <w:rPr>
          <w:rFonts w:ascii="Times New Roman" w:hAnsi="Times New Roman"/>
          <w:szCs w:val="24"/>
        </w:rPr>
        <w:t xml:space="preserve">economic feasibility language </w:t>
      </w:r>
      <w:r w:rsidR="00C745CA">
        <w:rPr>
          <w:rFonts w:ascii="Times New Roman" w:hAnsi="Times New Roman"/>
          <w:szCs w:val="24"/>
        </w:rPr>
        <w:t>expressed in Section 9 of Schedule 80</w:t>
      </w:r>
      <w:r w:rsidR="002718D3">
        <w:rPr>
          <w:rFonts w:ascii="Times New Roman" w:hAnsi="Times New Roman"/>
          <w:szCs w:val="24"/>
        </w:rPr>
        <w:t xml:space="preserve">. As such, both are </w:t>
      </w:r>
      <w:r w:rsidR="00C745CA">
        <w:rPr>
          <w:rFonts w:ascii="Times New Roman" w:hAnsi="Times New Roman"/>
          <w:szCs w:val="24"/>
        </w:rPr>
        <w:t xml:space="preserve">applicable to </w:t>
      </w:r>
      <w:r w:rsidR="00CF3B90">
        <w:rPr>
          <w:rFonts w:ascii="Times New Roman" w:hAnsi="Times New Roman"/>
          <w:szCs w:val="24"/>
        </w:rPr>
        <w:t xml:space="preserve">projects installed under </w:t>
      </w:r>
      <w:r w:rsidR="00C745CA">
        <w:rPr>
          <w:rFonts w:ascii="Times New Roman" w:hAnsi="Times New Roman"/>
          <w:szCs w:val="24"/>
        </w:rPr>
        <w:t>Schedule 85.</w:t>
      </w:r>
      <w:r w:rsidR="00423C62">
        <w:rPr>
          <w:rStyle w:val="FootnoteReference"/>
          <w:rFonts w:ascii="Times New Roman" w:hAnsi="Times New Roman"/>
          <w:szCs w:val="24"/>
        </w:rPr>
        <w:footnoteReference w:id="67"/>
      </w:r>
      <w:r w:rsidR="00423C62">
        <w:rPr>
          <w:rFonts w:ascii="Times New Roman" w:hAnsi="Times New Roman"/>
          <w:szCs w:val="24"/>
        </w:rPr>
        <w:t xml:space="preserve"> </w:t>
      </w:r>
      <w:r w:rsidR="00893A57">
        <w:rPr>
          <w:rFonts w:ascii="Times New Roman" w:hAnsi="Times New Roman"/>
          <w:szCs w:val="24"/>
        </w:rPr>
        <w:t xml:space="preserve"> </w:t>
      </w:r>
    </w:p>
    <w:p w14:paraId="1522BFE4" w14:textId="40A26514" w:rsidR="00324C32" w:rsidRDefault="00087895" w:rsidP="00D317E3">
      <w:pPr>
        <w:pStyle w:val="Body1"/>
        <w:numPr>
          <w:ilvl w:val="0"/>
          <w:numId w:val="9"/>
        </w:numPr>
        <w:spacing w:line="480" w:lineRule="auto"/>
        <w:rPr>
          <w:rFonts w:ascii="Times New Roman" w:hAnsi="Times New Roman"/>
        </w:rPr>
      </w:pPr>
      <w:r>
        <w:rPr>
          <w:rFonts w:ascii="Times New Roman" w:hAnsi="Times New Roman"/>
        </w:rPr>
        <w:tab/>
      </w:r>
      <w:r w:rsidR="000267AC">
        <w:rPr>
          <w:rFonts w:ascii="Times New Roman" w:hAnsi="Times New Roman"/>
        </w:rPr>
        <w:t xml:space="preserve">The Petitioners </w:t>
      </w:r>
      <w:r w:rsidR="005A5B2B">
        <w:rPr>
          <w:rFonts w:ascii="Times New Roman" w:hAnsi="Times New Roman"/>
        </w:rPr>
        <w:t>claim that PSE is obligated to install a replacement for the existing Maloney Line.</w:t>
      </w:r>
      <w:r w:rsidR="00B617D5">
        <w:rPr>
          <w:rStyle w:val="FootnoteReference"/>
          <w:rFonts w:ascii="Times New Roman" w:hAnsi="Times New Roman"/>
        </w:rPr>
        <w:footnoteReference w:id="68"/>
      </w:r>
      <w:r w:rsidR="005A5B2B">
        <w:rPr>
          <w:rFonts w:ascii="Times New Roman" w:hAnsi="Times New Roman"/>
        </w:rPr>
        <w:t xml:space="preserve"> </w:t>
      </w:r>
      <w:r w:rsidR="00B92CFA">
        <w:rPr>
          <w:rFonts w:ascii="Times New Roman" w:hAnsi="Times New Roman"/>
        </w:rPr>
        <w:t xml:space="preserve"> </w:t>
      </w:r>
      <w:r w:rsidR="005A5B2B">
        <w:rPr>
          <w:rFonts w:ascii="Times New Roman" w:hAnsi="Times New Roman"/>
        </w:rPr>
        <w:t>Their</w:t>
      </w:r>
      <w:r w:rsidR="00BE2C0F">
        <w:rPr>
          <w:rFonts w:ascii="Times New Roman" w:hAnsi="Times New Roman"/>
        </w:rPr>
        <w:t xml:space="preserve"> argument </w:t>
      </w:r>
      <w:r w:rsidR="005A5B2B">
        <w:rPr>
          <w:rFonts w:ascii="Times New Roman" w:hAnsi="Times New Roman"/>
        </w:rPr>
        <w:t xml:space="preserve">turns on </w:t>
      </w:r>
      <w:r w:rsidR="00BE2C0F">
        <w:rPr>
          <w:rFonts w:ascii="Times New Roman" w:hAnsi="Times New Roman"/>
        </w:rPr>
        <w:t xml:space="preserve">their </w:t>
      </w:r>
      <w:r w:rsidR="00324C32">
        <w:rPr>
          <w:rFonts w:ascii="Times New Roman" w:hAnsi="Times New Roman"/>
        </w:rPr>
        <w:t xml:space="preserve">interpretation of a particular provision of Schedule 85 that states: </w:t>
      </w:r>
    </w:p>
    <w:p w14:paraId="319FFAF0" w14:textId="25DA8877" w:rsidR="000267AC" w:rsidRDefault="00324C32" w:rsidP="00AE6F08">
      <w:pPr>
        <w:pStyle w:val="Body1"/>
        <w:ind w:left="720" w:right="648"/>
        <w:rPr>
          <w:rFonts w:ascii="Times New Roman" w:hAnsi="Times New Roman"/>
        </w:rPr>
      </w:pPr>
      <w:r>
        <w:rPr>
          <w:rFonts w:ascii="Times New Roman" w:hAnsi="Times New Roman"/>
        </w:rPr>
        <w:t xml:space="preserve">“1. </w:t>
      </w:r>
      <w:r w:rsidR="00CF3B90">
        <w:rPr>
          <w:rFonts w:ascii="Times New Roman" w:hAnsi="Times New Roman"/>
        </w:rPr>
        <w:t xml:space="preserve">A. </w:t>
      </w:r>
      <w:r w:rsidRPr="00324C32">
        <w:rPr>
          <w:rFonts w:ascii="Times New Roman" w:hAnsi="Times New Roman"/>
          <w:u w:val="single"/>
        </w:rPr>
        <w:t>OWNERSHIP OF FACILITIES</w:t>
      </w:r>
      <w:r>
        <w:rPr>
          <w:rFonts w:ascii="Times New Roman" w:hAnsi="Times New Roman"/>
        </w:rPr>
        <w:t xml:space="preserve">: </w:t>
      </w:r>
      <w:r w:rsidR="005A5B2B">
        <w:rPr>
          <w:rFonts w:ascii="Times New Roman" w:hAnsi="Times New Roman"/>
        </w:rPr>
        <w:t xml:space="preserve"> </w:t>
      </w:r>
      <w:r>
        <w:rPr>
          <w:rFonts w:ascii="Times New Roman" w:hAnsi="Times New Roman"/>
        </w:rPr>
        <w:t xml:space="preserve">The Company shall own, operate, maintain and repair all electric distribution facilities installed by or for the Company </w:t>
      </w:r>
      <w:r w:rsidRPr="009610F5">
        <w:rPr>
          <w:rFonts w:ascii="Times New Roman" w:hAnsi="Times New Roman"/>
        </w:rPr>
        <w:t>under this schedule</w:t>
      </w:r>
      <w:r>
        <w:rPr>
          <w:rFonts w:ascii="Times New Roman" w:hAnsi="Times New Roman"/>
        </w:rPr>
        <w:t xml:space="preserve">, including replacement of such facilities, if necessary </w:t>
      </w:r>
      <w:r w:rsidRPr="00BE2C0F">
        <w:rPr>
          <w:rFonts w:ascii="Times New Roman" w:hAnsi="Times New Roman"/>
        </w:rPr>
        <w:t xml:space="preserve">so long as such replacement is not inconsistent with this schedule or a contract governing such facilities. </w:t>
      </w:r>
      <w:r>
        <w:rPr>
          <w:rFonts w:ascii="Times New Roman" w:hAnsi="Times New Roman"/>
        </w:rPr>
        <w:t xml:space="preserve">Other than as provided in Section 1.B., below, the Company shall not own or shall have no responsibility to operate, maintain, repair or replace any electric distribution facilities that were not installed </w:t>
      </w:r>
      <w:r w:rsidR="00B617D5">
        <w:rPr>
          <w:rFonts w:ascii="Times New Roman" w:hAnsi="Times New Roman"/>
        </w:rPr>
        <w:t>by or for the Company under this schedule.”</w:t>
      </w:r>
      <w:r w:rsidR="00B617D5">
        <w:rPr>
          <w:rStyle w:val="FootnoteReference"/>
          <w:rFonts w:ascii="Times New Roman" w:hAnsi="Times New Roman"/>
        </w:rPr>
        <w:footnoteReference w:id="69"/>
      </w:r>
      <w:r w:rsidR="00B617D5">
        <w:rPr>
          <w:rFonts w:ascii="Times New Roman" w:hAnsi="Times New Roman"/>
        </w:rPr>
        <w:t xml:space="preserve"> </w:t>
      </w:r>
    </w:p>
    <w:p w14:paraId="1C8918FD" w14:textId="77777777" w:rsidR="000267AC" w:rsidRDefault="000267AC" w:rsidP="00087895">
      <w:pPr>
        <w:pStyle w:val="Body1"/>
        <w:spacing w:line="480" w:lineRule="auto"/>
        <w:rPr>
          <w:rFonts w:ascii="Times New Roman" w:hAnsi="Times New Roman"/>
        </w:rPr>
      </w:pPr>
    </w:p>
    <w:p w14:paraId="2283C120" w14:textId="24487AED" w:rsidR="00CF3B90" w:rsidRDefault="00CF3B90" w:rsidP="00087895">
      <w:pPr>
        <w:pStyle w:val="Body1"/>
        <w:spacing w:line="480" w:lineRule="auto"/>
        <w:rPr>
          <w:rFonts w:ascii="Times New Roman" w:hAnsi="Times New Roman"/>
        </w:rPr>
      </w:pPr>
      <w:r>
        <w:rPr>
          <w:rFonts w:ascii="Times New Roman" w:hAnsi="Times New Roman"/>
        </w:rPr>
        <w:t xml:space="preserve">To support their claim, the Petitioners argue that replacement of the Maloney Line would </w:t>
      </w:r>
      <w:r w:rsidR="009610F5">
        <w:rPr>
          <w:rFonts w:ascii="Times New Roman" w:hAnsi="Times New Roman"/>
        </w:rPr>
        <w:t xml:space="preserve">be </w:t>
      </w:r>
      <w:r>
        <w:rPr>
          <w:rFonts w:ascii="Times New Roman" w:hAnsi="Times New Roman"/>
        </w:rPr>
        <w:t xml:space="preserve">consistent with </w:t>
      </w:r>
      <w:r w:rsidR="00BE2C0F">
        <w:rPr>
          <w:rFonts w:ascii="Times New Roman" w:hAnsi="Times New Roman"/>
        </w:rPr>
        <w:t xml:space="preserve">Schedule </w:t>
      </w:r>
      <w:r>
        <w:rPr>
          <w:rFonts w:ascii="Times New Roman" w:hAnsi="Times New Roman"/>
        </w:rPr>
        <w:t>85</w:t>
      </w:r>
      <w:r w:rsidR="00CE5C1C">
        <w:rPr>
          <w:rFonts w:ascii="Times New Roman" w:hAnsi="Times New Roman"/>
        </w:rPr>
        <w:t>, and as such PSE is responsible</w:t>
      </w:r>
      <w:r w:rsidR="00A9781B">
        <w:rPr>
          <w:rFonts w:ascii="Times New Roman" w:hAnsi="Times New Roman"/>
        </w:rPr>
        <w:t xml:space="preserve"> for the requested replacement</w:t>
      </w:r>
      <w:r w:rsidR="00CE5C1C">
        <w:rPr>
          <w:rFonts w:ascii="Times New Roman" w:hAnsi="Times New Roman"/>
        </w:rPr>
        <w:t>.</w:t>
      </w:r>
      <w:r>
        <w:rPr>
          <w:rStyle w:val="FootnoteReference"/>
          <w:rFonts w:ascii="Times New Roman" w:hAnsi="Times New Roman"/>
        </w:rPr>
        <w:footnoteReference w:id="70"/>
      </w:r>
      <w:r>
        <w:rPr>
          <w:rFonts w:ascii="Times New Roman" w:hAnsi="Times New Roman"/>
        </w:rPr>
        <w:t xml:space="preserve"> </w:t>
      </w:r>
      <w:r w:rsidR="00B92CFA">
        <w:rPr>
          <w:rFonts w:ascii="Times New Roman" w:hAnsi="Times New Roman"/>
        </w:rPr>
        <w:t xml:space="preserve"> </w:t>
      </w:r>
      <w:r w:rsidR="00CE5C1C">
        <w:rPr>
          <w:rFonts w:ascii="Times New Roman" w:hAnsi="Times New Roman"/>
        </w:rPr>
        <w:t>The Petitioners</w:t>
      </w:r>
      <w:r w:rsidR="00A9781B">
        <w:rPr>
          <w:rFonts w:ascii="Times New Roman" w:hAnsi="Times New Roman"/>
        </w:rPr>
        <w:t>’</w:t>
      </w:r>
      <w:r w:rsidR="00CE5C1C">
        <w:rPr>
          <w:rFonts w:ascii="Times New Roman" w:hAnsi="Times New Roman"/>
        </w:rPr>
        <w:t xml:space="preserve"> argument misses the mark. </w:t>
      </w:r>
    </w:p>
    <w:p w14:paraId="73937DED" w14:textId="1FD8E24F" w:rsidR="00C76243" w:rsidRDefault="00CE5C1C" w:rsidP="00D317E3">
      <w:pPr>
        <w:pStyle w:val="Body1"/>
        <w:numPr>
          <w:ilvl w:val="0"/>
          <w:numId w:val="9"/>
        </w:numPr>
        <w:spacing w:line="480" w:lineRule="auto"/>
        <w:rPr>
          <w:rFonts w:ascii="Times New Roman" w:hAnsi="Times New Roman"/>
        </w:rPr>
      </w:pPr>
      <w:r>
        <w:rPr>
          <w:rFonts w:ascii="Times New Roman" w:hAnsi="Times New Roman"/>
        </w:rPr>
        <w:tab/>
        <w:t xml:space="preserve">First, the </w:t>
      </w:r>
      <w:r w:rsidR="00A9781B">
        <w:rPr>
          <w:rFonts w:ascii="Times New Roman" w:hAnsi="Times New Roman"/>
        </w:rPr>
        <w:t xml:space="preserve">plain </w:t>
      </w:r>
      <w:r>
        <w:rPr>
          <w:rFonts w:ascii="Times New Roman" w:hAnsi="Times New Roman"/>
        </w:rPr>
        <w:t xml:space="preserve">language of the above-referenced section of Schedule 85 relied upon by the Petitioners is limited to projects “installed by … the Company </w:t>
      </w:r>
      <w:r w:rsidRPr="006C6C20">
        <w:rPr>
          <w:rFonts w:ascii="Times New Roman" w:hAnsi="Times New Roman"/>
          <w:i/>
        </w:rPr>
        <w:t>under this schedule</w:t>
      </w:r>
      <w:r>
        <w:rPr>
          <w:rFonts w:ascii="Times New Roman" w:hAnsi="Times New Roman"/>
        </w:rPr>
        <w:t xml:space="preserve">.” </w:t>
      </w:r>
      <w:r w:rsidR="00B92CFA">
        <w:rPr>
          <w:rFonts w:ascii="Times New Roman" w:hAnsi="Times New Roman"/>
        </w:rPr>
        <w:t xml:space="preserve"> </w:t>
      </w:r>
      <w:r w:rsidR="006C6C20">
        <w:rPr>
          <w:rFonts w:ascii="Times New Roman" w:hAnsi="Times New Roman"/>
        </w:rPr>
        <w:t xml:space="preserve">(Emphasis added). </w:t>
      </w:r>
      <w:r w:rsidR="00B92CFA">
        <w:rPr>
          <w:rFonts w:ascii="Times New Roman" w:hAnsi="Times New Roman"/>
        </w:rPr>
        <w:t xml:space="preserve"> </w:t>
      </w:r>
      <w:r>
        <w:rPr>
          <w:rFonts w:ascii="Times New Roman" w:hAnsi="Times New Roman"/>
        </w:rPr>
        <w:t xml:space="preserve">While the </w:t>
      </w:r>
      <w:r w:rsidR="00585160">
        <w:rPr>
          <w:rFonts w:ascii="Times New Roman" w:hAnsi="Times New Roman"/>
        </w:rPr>
        <w:t xml:space="preserve">subsequent </w:t>
      </w:r>
      <w:r>
        <w:rPr>
          <w:rFonts w:ascii="Times New Roman" w:hAnsi="Times New Roman"/>
        </w:rPr>
        <w:t xml:space="preserve">Service Agreements make reference to Schedule 85, the </w:t>
      </w:r>
      <w:r w:rsidR="00585160">
        <w:rPr>
          <w:rFonts w:ascii="Times New Roman" w:hAnsi="Times New Roman"/>
        </w:rPr>
        <w:t xml:space="preserve">original </w:t>
      </w:r>
      <w:r w:rsidR="00CF5D81">
        <w:rPr>
          <w:rFonts w:ascii="Times New Roman" w:hAnsi="Times New Roman"/>
        </w:rPr>
        <w:t xml:space="preserve">1971 agreement between PSE and GTE </w:t>
      </w:r>
      <w:r w:rsidR="00585160">
        <w:rPr>
          <w:rFonts w:ascii="Times New Roman" w:hAnsi="Times New Roman"/>
        </w:rPr>
        <w:t xml:space="preserve">does not. </w:t>
      </w:r>
      <w:r w:rsidR="00B92CFA">
        <w:rPr>
          <w:rFonts w:ascii="Times New Roman" w:hAnsi="Times New Roman"/>
        </w:rPr>
        <w:t xml:space="preserve"> </w:t>
      </w:r>
      <w:r w:rsidR="00585160">
        <w:rPr>
          <w:rFonts w:ascii="Times New Roman" w:hAnsi="Times New Roman"/>
        </w:rPr>
        <w:t xml:space="preserve">The Commission can therefore conclude that the </w:t>
      </w:r>
      <w:r>
        <w:rPr>
          <w:rFonts w:ascii="Times New Roman" w:hAnsi="Times New Roman"/>
        </w:rPr>
        <w:t>Maloney Line was not originally installed as a line extension</w:t>
      </w:r>
      <w:r w:rsidR="00A9781B">
        <w:rPr>
          <w:rFonts w:ascii="Times New Roman" w:hAnsi="Times New Roman"/>
        </w:rPr>
        <w:t xml:space="preserve"> under PSE’s then-</w:t>
      </w:r>
      <w:r w:rsidR="00585160">
        <w:rPr>
          <w:rFonts w:ascii="Times New Roman" w:hAnsi="Times New Roman"/>
        </w:rPr>
        <w:t>applicable tariff schedule.</w:t>
      </w:r>
      <w:r w:rsidR="00585160">
        <w:rPr>
          <w:rStyle w:val="FootnoteReference"/>
          <w:rFonts w:ascii="Times New Roman" w:hAnsi="Times New Roman"/>
        </w:rPr>
        <w:footnoteReference w:id="71"/>
      </w:r>
      <w:r w:rsidR="00585160">
        <w:rPr>
          <w:rFonts w:ascii="Times New Roman" w:hAnsi="Times New Roman"/>
        </w:rPr>
        <w:t xml:space="preserve"> </w:t>
      </w:r>
      <w:r w:rsidR="00B92CFA">
        <w:rPr>
          <w:rFonts w:ascii="Times New Roman" w:hAnsi="Times New Roman"/>
        </w:rPr>
        <w:t xml:space="preserve"> </w:t>
      </w:r>
      <w:r w:rsidR="00585160">
        <w:rPr>
          <w:rFonts w:ascii="Times New Roman" w:hAnsi="Times New Roman"/>
        </w:rPr>
        <w:t xml:space="preserve">As such, the </w:t>
      </w:r>
      <w:r w:rsidR="00F60957">
        <w:rPr>
          <w:rFonts w:ascii="Times New Roman" w:hAnsi="Times New Roman"/>
        </w:rPr>
        <w:t xml:space="preserve">Schedule’s </w:t>
      </w:r>
      <w:r w:rsidR="00585160">
        <w:rPr>
          <w:rFonts w:ascii="Times New Roman" w:hAnsi="Times New Roman"/>
        </w:rPr>
        <w:t>“replacement” language relied upon the Petitioners is clear</w:t>
      </w:r>
      <w:r w:rsidR="00F60957">
        <w:rPr>
          <w:rFonts w:ascii="Times New Roman" w:hAnsi="Times New Roman"/>
        </w:rPr>
        <w:t xml:space="preserve">ly </w:t>
      </w:r>
      <w:r w:rsidR="00585160">
        <w:rPr>
          <w:rFonts w:ascii="Times New Roman" w:hAnsi="Times New Roman"/>
        </w:rPr>
        <w:t xml:space="preserve">inapplicable. </w:t>
      </w:r>
    </w:p>
    <w:p w14:paraId="694A46C7" w14:textId="78299710" w:rsidR="00CF3B90" w:rsidRPr="00C76243" w:rsidRDefault="00AC1950" w:rsidP="004908FC">
      <w:pPr>
        <w:pStyle w:val="Body1"/>
        <w:numPr>
          <w:ilvl w:val="0"/>
          <w:numId w:val="9"/>
        </w:numPr>
        <w:spacing w:line="480" w:lineRule="auto"/>
        <w:rPr>
          <w:rFonts w:ascii="Times New Roman" w:hAnsi="Times New Roman"/>
        </w:rPr>
      </w:pPr>
      <w:r>
        <w:rPr>
          <w:rFonts w:ascii="Times New Roman" w:hAnsi="Times New Roman"/>
        </w:rPr>
        <w:tab/>
      </w:r>
      <w:r w:rsidR="00452553">
        <w:rPr>
          <w:rFonts w:ascii="Times New Roman" w:hAnsi="Times New Roman"/>
        </w:rPr>
        <w:t xml:space="preserve">Also, </w:t>
      </w:r>
      <w:r w:rsidR="00F60957" w:rsidRPr="00C76243">
        <w:rPr>
          <w:rFonts w:ascii="Times New Roman" w:hAnsi="Times New Roman"/>
        </w:rPr>
        <w:t xml:space="preserve">Schedule 85’s reference to </w:t>
      </w:r>
      <w:r w:rsidR="004F5B02" w:rsidRPr="00C76243">
        <w:rPr>
          <w:rFonts w:ascii="Times New Roman" w:hAnsi="Times New Roman"/>
        </w:rPr>
        <w:t xml:space="preserve">Tariff G </w:t>
      </w:r>
      <w:r w:rsidR="004F5B02">
        <w:rPr>
          <w:rFonts w:ascii="Times New Roman" w:hAnsi="Times New Roman"/>
        </w:rPr>
        <w:t xml:space="preserve">(and its included </w:t>
      </w:r>
      <w:r w:rsidR="004F5B02" w:rsidRPr="00C76243">
        <w:rPr>
          <w:rFonts w:ascii="Times New Roman" w:hAnsi="Times New Roman"/>
        </w:rPr>
        <w:t>Schedule 80</w:t>
      </w:r>
      <w:r w:rsidR="004F5B02">
        <w:rPr>
          <w:rFonts w:ascii="Times New Roman" w:hAnsi="Times New Roman"/>
        </w:rPr>
        <w:t>)</w:t>
      </w:r>
      <w:r w:rsidR="004F5B02" w:rsidRPr="00C76243">
        <w:rPr>
          <w:rFonts w:ascii="Times New Roman" w:hAnsi="Times New Roman"/>
        </w:rPr>
        <w:t xml:space="preserve"> </w:t>
      </w:r>
      <w:r w:rsidR="004F5B02">
        <w:rPr>
          <w:rFonts w:ascii="Times New Roman" w:hAnsi="Times New Roman"/>
        </w:rPr>
        <w:t xml:space="preserve">require </w:t>
      </w:r>
      <w:r w:rsidR="00F60957" w:rsidRPr="00C76243">
        <w:rPr>
          <w:rFonts w:ascii="Times New Roman" w:hAnsi="Times New Roman"/>
        </w:rPr>
        <w:t xml:space="preserve">that any “replacement” of the Maloney Line must be economically feasible. </w:t>
      </w:r>
      <w:r w:rsidR="00B92CFA">
        <w:rPr>
          <w:rFonts w:ascii="Times New Roman" w:hAnsi="Times New Roman"/>
        </w:rPr>
        <w:t xml:space="preserve"> </w:t>
      </w:r>
      <w:r w:rsidR="00F60957" w:rsidRPr="00C76243">
        <w:rPr>
          <w:rFonts w:ascii="Times New Roman" w:hAnsi="Times New Roman"/>
        </w:rPr>
        <w:t xml:space="preserve">As demonstrated above, it is not </w:t>
      </w:r>
      <w:r w:rsidR="004F5B02">
        <w:rPr>
          <w:rFonts w:ascii="Times New Roman" w:hAnsi="Times New Roman"/>
        </w:rPr>
        <w:t xml:space="preserve">economically feasible </w:t>
      </w:r>
      <w:r w:rsidR="00F60957" w:rsidRPr="00C76243">
        <w:rPr>
          <w:rFonts w:ascii="Times New Roman" w:hAnsi="Times New Roman"/>
        </w:rPr>
        <w:t>and PSE’s refusal to install a new line for the Petitioners is consistent with its tariffs and sound economic business practices.</w:t>
      </w:r>
    </w:p>
    <w:p w14:paraId="65347AB8" w14:textId="7233709E" w:rsidR="00C76243" w:rsidRDefault="00F60957" w:rsidP="00D317E3">
      <w:pPr>
        <w:pStyle w:val="Body1"/>
        <w:numPr>
          <w:ilvl w:val="0"/>
          <w:numId w:val="9"/>
        </w:numPr>
        <w:spacing w:line="480" w:lineRule="auto"/>
        <w:rPr>
          <w:rFonts w:ascii="Times New Roman" w:hAnsi="Times New Roman"/>
        </w:rPr>
      </w:pPr>
      <w:r>
        <w:rPr>
          <w:rFonts w:ascii="Times New Roman" w:hAnsi="Times New Roman"/>
        </w:rPr>
        <w:tab/>
      </w:r>
      <w:r w:rsidR="00452553">
        <w:rPr>
          <w:rFonts w:ascii="Times New Roman" w:hAnsi="Times New Roman"/>
        </w:rPr>
        <w:t xml:space="preserve">Finally, </w:t>
      </w:r>
      <w:r w:rsidR="00C76243">
        <w:rPr>
          <w:rFonts w:ascii="Times New Roman" w:hAnsi="Times New Roman"/>
        </w:rPr>
        <w:t>the Service Agreements require the Petitioners to pay all costs associated with operating the Line.</w:t>
      </w:r>
      <w:r w:rsidR="00C76243">
        <w:rPr>
          <w:rStyle w:val="FootnoteReference"/>
          <w:rFonts w:ascii="Times New Roman" w:hAnsi="Times New Roman"/>
        </w:rPr>
        <w:footnoteReference w:id="72"/>
      </w:r>
      <w:r w:rsidR="00C76243">
        <w:rPr>
          <w:rFonts w:ascii="Times New Roman" w:hAnsi="Times New Roman"/>
        </w:rPr>
        <w:t xml:space="preserve">  To place the obligation to replace the Line upon PSE and the customers of Schedule 24 </w:t>
      </w:r>
      <w:r w:rsidR="004F5B02">
        <w:rPr>
          <w:rFonts w:ascii="Times New Roman" w:hAnsi="Times New Roman"/>
        </w:rPr>
        <w:t xml:space="preserve">would be </w:t>
      </w:r>
      <w:r w:rsidR="00C76243">
        <w:rPr>
          <w:rFonts w:ascii="Times New Roman" w:hAnsi="Times New Roman"/>
        </w:rPr>
        <w:t xml:space="preserve">patently inconsistent with the clear intent of the parties as expressed in the Service Agreements and the original 1971 agreement. </w:t>
      </w:r>
    </w:p>
    <w:p w14:paraId="0A7834F7" w14:textId="48653C89" w:rsidR="00087895" w:rsidRDefault="00C76243" w:rsidP="00D317E3">
      <w:pPr>
        <w:pStyle w:val="Body1"/>
        <w:numPr>
          <w:ilvl w:val="0"/>
          <w:numId w:val="9"/>
        </w:numPr>
        <w:spacing w:line="480" w:lineRule="auto"/>
        <w:rPr>
          <w:rFonts w:ascii="Times New Roman" w:hAnsi="Times New Roman"/>
        </w:rPr>
      </w:pPr>
      <w:r>
        <w:rPr>
          <w:rFonts w:ascii="Times New Roman" w:hAnsi="Times New Roman"/>
        </w:rPr>
        <w:tab/>
      </w:r>
      <w:r w:rsidR="00087895">
        <w:rPr>
          <w:rFonts w:ascii="Times New Roman" w:hAnsi="Times New Roman"/>
        </w:rPr>
        <w:t>The specific tariff provisions in Schedules 80 and 85 and the Petitioners’ explicit agreement to these tariff provisions in the Service Agreements support Staff’s conclusion that “PSE is under no obligation to replace the Maloney Line at its cost</w:t>
      </w:r>
      <w:r w:rsidR="00BE2C0F">
        <w:rPr>
          <w:rFonts w:ascii="Times New Roman" w:hAnsi="Times New Roman"/>
        </w:rPr>
        <w:t>,</w:t>
      </w:r>
      <w:r w:rsidR="00087895">
        <w:rPr>
          <w:rFonts w:ascii="Times New Roman" w:hAnsi="Times New Roman"/>
        </w:rPr>
        <w:t>”</w:t>
      </w:r>
      <w:r w:rsidR="00087895" w:rsidRPr="00087895">
        <w:rPr>
          <w:rStyle w:val="FootnoteReference"/>
          <w:rFonts w:ascii="Times New Roman" w:hAnsi="Times New Roman"/>
        </w:rPr>
        <w:t xml:space="preserve"> </w:t>
      </w:r>
      <w:r w:rsidR="00BE2C0F">
        <w:rPr>
          <w:rFonts w:ascii="Times New Roman" w:hAnsi="Times New Roman"/>
        </w:rPr>
        <w:t>in the absence of satisfaction of the economic feasibility test.</w:t>
      </w:r>
      <w:r w:rsidR="00BE2C0F">
        <w:rPr>
          <w:rStyle w:val="FootnoteReference"/>
          <w:rFonts w:ascii="Times New Roman" w:hAnsi="Times New Roman"/>
        </w:rPr>
        <w:footnoteReference w:id="73"/>
      </w:r>
      <w:r w:rsidR="00BE2C0F">
        <w:rPr>
          <w:rFonts w:ascii="Times New Roman" w:hAnsi="Times New Roman"/>
        </w:rPr>
        <w:t xml:space="preserve"> </w:t>
      </w:r>
      <w:r w:rsidR="00E736A5">
        <w:rPr>
          <w:rFonts w:ascii="Times New Roman" w:hAnsi="Times New Roman"/>
        </w:rPr>
        <w:t>H</w:t>
      </w:r>
      <w:r w:rsidR="00BE2C0F">
        <w:rPr>
          <w:rFonts w:ascii="Times New Roman" w:hAnsi="Times New Roman"/>
        </w:rPr>
        <w:t xml:space="preserve">ere, that test is not satisfied. </w:t>
      </w:r>
      <w:r w:rsidR="00087895">
        <w:rPr>
          <w:rFonts w:ascii="Times New Roman" w:hAnsi="Times New Roman"/>
        </w:rPr>
        <w:t xml:space="preserve"> </w:t>
      </w:r>
    </w:p>
    <w:p w14:paraId="5A57F205" w14:textId="598C930A" w:rsidR="00B92CFA" w:rsidRDefault="00B92CFA" w:rsidP="00276B08">
      <w:pPr>
        <w:pStyle w:val="Body1"/>
        <w:keepNext/>
        <w:jc w:val="center"/>
        <w:rPr>
          <w:rFonts w:ascii="Times New Roman" w:hAnsi="Times New Roman"/>
          <w:b/>
          <w:color w:val="auto"/>
        </w:rPr>
      </w:pPr>
      <w:r>
        <w:rPr>
          <w:rFonts w:ascii="Times New Roman" w:hAnsi="Times New Roman"/>
          <w:b/>
          <w:color w:val="auto"/>
        </w:rPr>
        <w:t xml:space="preserve">VIII. </w:t>
      </w:r>
      <w:r>
        <w:rPr>
          <w:rFonts w:ascii="Times New Roman" w:hAnsi="Times New Roman"/>
          <w:b/>
          <w:color w:val="auto"/>
        </w:rPr>
        <w:tab/>
      </w:r>
      <w:r w:rsidR="009610F5" w:rsidRPr="00452553">
        <w:rPr>
          <w:rFonts w:ascii="Times New Roman" w:hAnsi="Times New Roman"/>
          <w:b/>
          <w:color w:val="auto"/>
        </w:rPr>
        <w:t xml:space="preserve">THE </w:t>
      </w:r>
      <w:r w:rsidR="00CB3B10">
        <w:rPr>
          <w:rFonts w:ascii="Times New Roman" w:hAnsi="Times New Roman"/>
          <w:b/>
          <w:color w:val="auto"/>
        </w:rPr>
        <w:t>COMMISSION HAS PREVIOUSLY</w:t>
      </w:r>
    </w:p>
    <w:p w14:paraId="6D221520" w14:textId="7AEC82FA" w:rsidR="005A19EA" w:rsidRPr="00452553" w:rsidRDefault="00CB3B10" w:rsidP="00276B08">
      <w:pPr>
        <w:pStyle w:val="Body1"/>
        <w:keepNext/>
        <w:jc w:val="center"/>
        <w:rPr>
          <w:rFonts w:ascii="Times New Roman" w:hAnsi="Times New Roman"/>
          <w:b/>
          <w:color w:val="auto"/>
        </w:rPr>
      </w:pPr>
      <w:r>
        <w:rPr>
          <w:rFonts w:ascii="Times New Roman" w:hAnsi="Times New Roman"/>
          <w:b/>
          <w:color w:val="auto"/>
        </w:rPr>
        <w:t>DENIED UNECONOMIC LINE EXTENSIONS</w:t>
      </w:r>
    </w:p>
    <w:p w14:paraId="3BBBAC3C" w14:textId="2AB8EEA7" w:rsidR="00626B27" w:rsidRPr="00626B27" w:rsidRDefault="00626B27" w:rsidP="00276B08">
      <w:pPr>
        <w:keepNext/>
        <w:spacing w:line="480" w:lineRule="auto"/>
        <w:jc w:val="both"/>
      </w:pPr>
    </w:p>
    <w:p w14:paraId="47140CAA" w14:textId="58B37425" w:rsidR="003D5656" w:rsidRDefault="00B92CFA" w:rsidP="00B92CFA">
      <w:pPr>
        <w:pStyle w:val="Body1"/>
        <w:numPr>
          <w:ilvl w:val="0"/>
          <w:numId w:val="9"/>
        </w:numPr>
        <w:spacing w:line="480" w:lineRule="auto"/>
        <w:rPr>
          <w:rFonts w:ascii="Times New Roman" w:hAnsi="Times New Roman"/>
        </w:rPr>
      </w:pPr>
      <w:r>
        <w:rPr>
          <w:rFonts w:ascii="Times New Roman" w:hAnsi="Times New Roman"/>
        </w:rPr>
        <w:tab/>
      </w:r>
      <w:r w:rsidR="00800EF6">
        <w:rPr>
          <w:rFonts w:ascii="Times New Roman" w:hAnsi="Times New Roman"/>
        </w:rPr>
        <w:t xml:space="preserve">The Commission </w:t>
      </w:r>
      <w:r w:rsidR="001B68B6">
        <w:rPr>
          <w:rFonts w:ascii="Times New Roman" w:hAnsi="Times New Roman"/>
        </w:rPr>
        <w:t xml:space="preserve">has </w:t>
      </w:r>
      <w:r w:rsidR="00C15796">
        <w:rPr>
          <w:rFonts w:ascii="Times New Roman" w:hAnsi="Times New Roman"/>
        </w:rPr>
        <w:t>previously determined that in certain circumstances the high cost to serve militates against the pr</w:t>
      </w:r>
      <w:r w:rsidR="0008461B">
        <w:rPr>
          <w:rFonts w:ascii="Times New Roman" w:hAnsi="Times New Roman"/>
        </w:rPr>
        <w:t>ovision</w:t>
      </w:r>
      <w:r w:rsidR="00C15796">
        <w:rPr>
          <w:rFonts w:ascii="Times New Roman" w:hAnsi="Times New Roman"/>
        </w:rPr>
        <w:t xml:space="preserve"> of service through a line extension. In Verizon, the Commission </w:t>
      </w:r>
      <w:r w:rsidR="00800EF6">
        <w:rPr>
          <w:rFonts w:ascii="Times New Roman" w:hAnsi="Times New Roman"/>
        </w:rPr>
        <w:t>examined the reasonableness of extending service to an isolated group of residents living approximately thirty miles from Verizon’s nearest distribution system point of interconnection.</w:t>
      </w:r>
      <w:r w:rsidR="00800EF6">
        <w:rPr>
          <w:rStyle w:val="FootnoteReference"/>
          <w:rFonts w:ascii="Times New Roman" w:hAnsi="Times New Roman"/>
        </w:rPr>
        <w:footnoteReference w:id="74"/>
      </w:r>
      <w:r w:rsidR="00800EF6">
        <w:rPr>
          <w:rFonts w:ascii="Times New Roman" w:hAnsi="Times New Roman"/>
        </w:rPr>
        <w:t xml:space="preserve"> </w:t>
      </w:r>
      <w:r>
        <w:rPr>
          <w:rFonts w:ascii="Times New Roman" w:hAnsi="Times New Roman"/>
        </w:rPr>
        <w:t xml:space="preserve"> </w:t>
      </w:r>
      <w:r w:rsidR="00C15796">
        <w:rPr>
          <w:rFonts w:ascii="Times New Roman" w:hAnsi="Times New Roman"/>
        </w:rPr>
        <w:t>T</w:t>
      </w:r>
      <w:r w:rsidR="00E62D6E">
        <w:rPr>
          <w:rFonts w:ascii="Times New Roman" w:hAnsi="Times New Roman"/>
        </w:rPr>
        <w:t xml:space="preserve">he Commission addressed the economic feasibility of extending telecommunications service to two small groups of potential customers. </w:t>
      </w:r>
      <w:r>
        <w:rPr>
          <w:rFonts w:ascii="Times New Roman" w:hAnsi="Times New Roman"/>
        </w:rPr>
        <w:t xml:space="preserve"> </w:t>
      </w:r>
      <w:r w:rsidR="00E62D6E">
        <w:rPr>
          <w:rFonts w:ascii="Times New Roman" w:hAnsi="Times New Roman"/>
        </w:rPr>
        <w:t xml:space="preserve">One </w:t>
      </w:r>
      <w:r w:rsidR="00787974">
        <w:rPr>
          <w:rFonts w:ascii="Times New Roman" w:hAnsi="Times New Roman"/>
        </w:rPr>
        <w:t xml:space="preserve">group </w:t>
      </w:r>
      <w:r w:rsidR="00E62D6E">
        <w:rPr>
          <w:rFonts w:ascii="Times New Roman" w:hAnsi="Times New Roman"/>
        </w:rPr>
        <w:t>co</w:t>
      </w:r>
      <w:r w:rsidR="00C15796">
        <w:rPr>
          <w:rFonts w:ascii="Times New Roman" w:hAnsi="Times New Roman"/>
        </w:rPr>
        <w:t xml:space="preserve">nsisted </w:t>
      </w:r>
      <w:r w:rsidR="00E62D6E">
        <w:rPr>
          <w:rFonts w:ascii="Times New Roman" w:hAnsi="Times New Roman"/>
        </w:rPr>
        <w:t xml:space="preserve">of three applicants </w:t>
      </w:r>
      <w:r w:rsidR="00A55DA9">
        <w:rPr>
          <w:rFonts w:ascii="Times New Roman" w:hAnsi="Times New Roman"/>
        </w:rPr>
        <w:t xml:space="preserve">(“Taylor”) </w:t>
      </w:r>
      <w:r w:rsidR="00E62D6E">
        <w:rPr>
          <w:rFonts w:ascii="Times New Roman" w:hAnsi="Times New Roman"/>
        </w:rPr>
        <w:t xml:space="preserve">located approximately 14 miles from the town of Bridgeport, </w:t>
      </w:r>
      <w:r w:rsidR="00A55DA9">
        <w:rPr>
          <w:rFonts w:ascii="Times New Roman" w:hAnsi="Times New Roman"/>
        </w:rPr>
        <w:t xml:space="preserve">Washington. </w:t>
      </w:r>
      <w:r>
        <w:rPr>
          <w:rFonts w:ascii="Times New Roman" w:hAnsi="Times New Roman"/>
        </w:rPr>
        <w:t xml:space="preserve"> </w:t>
      </w:r>
      <w:r w:rsidR="00E62D6E">
        <w:rPr>
          <w:rFonts w:ascii="Times New Roman" w:hAnsi="Times New Roman"/>
        </w:rPr>
        <w:t>To serve this group, the utility would have been required to build 17 miles of new service</w:t>
      </w:r>
      <w:r w:rsidR="00B37CA7">
        <w:rPr>
          <w:rFonts w:ascii="Times New Roman" w:hAnsi="Times New Roman"/>
        </w:rPr>
        <w:t xml:space="preserve"> line.</w:t>
      </w:r>
      <w:r w:rsidR="00B37CA7">
        <w:rPr>
          <w:rStyle w:val="FootnoteReference"/>
          <w:rFonts w:ascii="Times New Roman" w:hAnsi="Times New Roman"/>
        </w:rPr>
        <w:footnoteReference w:id="75"/>
      </w:r>
      <w:r w:rsidR="00B37CA7">
        <w:rPr>
          <w:rFonts w:ascii="Times New Roman" w:hAnsi="Times New Roman"/>
        </w:rPr>
        <w:t xml:space="preserve"> </w:t>
      </w:r>
      <w:r>
        <w:rPr>
          <w:rFonts w:ascii="Times New Roman" w:hAnsi="Times New Roman"/>
        </w:rPr>
        <w:t xml:space="preserve"> </w:t>
      </w:r>
      <w:r w:rsidR="00B37CA7">
        <w:rPr>
          <w:rFonts w:ascii="Times New Roman" w:hAnsi="Times New Roman"/>
        </w:rPr>
        <w:t>Another group co</w:t>
      </w:r>
      <w:r w:rsidR="00C15796">
        <w:rPr>
          <w:rFonts w:ascii="Times New Roman" w:hAnsi="Times New Roman"/>
        </w:rPr>
        <w:t>nsisted o</w:t>
      </w:r>
      <w:r w:rsidR="00B37CA7">
        <w:rPr>
          <w:rFonts w:ascii="Times New Roman" w:hAnsi="Times New Roman"/>
        </w:rPr>
        <w:t xml:space="preserve">f five applicants </w:t>
      </w:r>
      <w:r w:rsidR="00750ECC">
        <w:rPr>
          <w:rFonts w:ascii="Times New Roman" w:hAnsi="Times New Roman"/>
        </w:rPr>
        <w:t>(“Timm”</w:t>
      </w:r>
      <w:r w:rsidR="00C15796">
        <w:rPr>
          <w:rFonts w:ascii="Times New Roman" w:hAnsi="Times New Roman"/>
        </w:rPr>
        <w:t>) located</w:t>
      </w:r>
      <w:r w:rsidR="00B37CA7">
        <w:rPr>
          <w:rFonts w:ascii="Times New Roman" w:hAnsi="Times New Roman"/>
        </w:rPr>
        <w:t xml:space="preserve"> in Okanogan County along Timm Road in the Bridgeport exchange.  </w:t>
      </w:r>
      <w:r w:rsidR="000F64C9">
        <w:rPr>
          <w:rFonts w:ascii="Times New Roman" w:hAnsi="Times New Roman"/>
        </w:rPr>
        <w:t>T</w:t>
      </w:r>
      <w:r w:rsidR="00B37CA7">
        <w:rPr>
          <w:rFonts w:ascii="Times New Roman" w:hAnsi="Times New Roman"/>
        </w:rPr>
        <w:t xml:space="preserve">he utility would have been required to install “approximately 30 miles </w:t>
      </w:r>
      <w:r w:rsidR="00C15796">
        <w:rPr>
          <w:rFonts w:ascii="Times New Roman" w:hAnsi="Times New Roman"/>
        </w:rPr>
        <w:t xml:space="preserve">of </w:t>
      </w:r>
      <w:r w:rsidR="00B37CA7">
        <w:rPr>
          <w:rFonts w:ascii="Times New Roman" w:hAnsi="Times New Roman"/>
        </w:rPr>
        <w:t>fiber cable” to serve th</w:t>
      </w:r>
      <w:r w:rsidR="000F64C9">
        <w:rPr>
          <w:rFonts w:ascii="Times New Roman" w:hAnsi="Times New Roman"/>
        </w:rPr>
        <w:t xml:space="preserve">is </w:t>
      </w:r>
      <w:r w:rsidR="00B37CA7">
        <w:rPr>
          <w:rFonts w:ascii="Times New Roman" w:hAnsi="Times New Roman"/>
        </w:rPr>
        <w:t>location.</w:t>
      </w:r>
      <w:r w:rsidR="00B37CA7">
        <w:rPr>
          <w:rStyle w:val="FootnoteReference"/>
          <w:rFonts w:ascii="Times New Roman" w:hAnsi="Times New Roman"/>
        </w:rPr>
        <w:footnoteReference w:id="76"/>
      </w:r>
      <w:r w:rsidR="000F64C9">
        <w:rPr>
          <w:rFonts w:ascii="Times New Roman" w:hAnsi="Times New Roman"/>
        </w:rPr>
        <w:t xml:space="preserve"> </w:t>
      </w:r>
      <w:r>
        <w:rPr>
          <w:rFonts w:ascii="Times New Roman" w:hAnsi="Times New Roman"/>
        </w:rPr>
        <w:t xml:space="preserve"> </w:t>
      </w:r>
      <w:r w:rsidR="00A55DA9">
        <w:rPr>
          <w:rFonts w:ascii="Times New Roman" w:hAnsi="Times New Roman"/>
        </w:rPr>
        <w:t xml:space="preserve">The Commission determined that Verizon’s </w:t>
      </w:r>
      <w:r w:rsidR="00C15796">
        <w:rPr>
          <w:rFonts w:ascii="Times New Roman" w:hAnsi="Times New Roman"/>
        </w:rPr>
        <w:t>estimated cost</w:t>
      </w:r>
      <w:r w:rsidR="00A55DA9">
        <w:rPr>
          <w:rFonts w:ascii="Times New Roman" w:hAnsi="Times New Roman"/>
        </w:rPr>
        <w:t xml:space="preserve"> to serve the Taylor location was $329,839.</w:t>
      </w:r>
      <w:r w:rsidR="00A55DA9">
        <w:rPr>
          <w:rStyle w:val="FootnoteReference"/>
          <w:rFonts w:ascii="Times New Roman" w:hAnsi="Times New Roman"/>
        </w:rPr>
        <w:footnoteReference w:id="77"/>
      </w:r>
      <w:r w:rsidR="00A55DA9">
        <w:rPr>
          <w:rFonts w:ascii="Times New Roman" w:hAnsi="Times New Roman"/>
        </w:rPr>
        <w:t xml:space="preserve"> </w:t>
      </w:r>
      <w:r>
        <w:rPr>
          <w:rFonts w:ascii="Times New Roman" w:hAnsi="Times New Roman"/>
        </w:rPr>
        <w:t xml:space="preserve"> </w:t>
      </w:r>
      <w:r w:rsidR="00A55DA9">
        <w:rPr>
          <w:rFonts w:ascii="Times New Roman" w:hAnsi="Times New Roman"/>
        </w:rPr>
        <w:t>The cost estimate to serve the Timm location was $881,497.</w:t>
      </w:r>
      <w:r w:rsidR="00A55DA9">
        <w:rPr>
          <w:rStyle w:val="FootnoteReference"/>
          <w:rFonts w:ascii="Times New Roman" w:hAnsi="Times New Roman"/>
        </w:rPr>
        <w:footnoteReference w:id="78"/>
      </w:r>
      <w:r w:rsidR="00A55DA9">
        <w:rPr>
          <w:rFonts w:ascii="Times New Roman" w:hAnsi="Times New Roman"/>
        </w:rPr>
        <w:t xml:space="preserve"> </w:t>
      </w:r>
      <w:r w:rsidR="00970E3B">
        <w:rPr>
          <w:rFonts w:ascii="Times New Roman" w:hAnsi="Times New Roman"/>
        </w:rPr>
        <w:t xml:space="preserve"> </w:t>
      </w:r>
      <w:r w:rsidR="00A55DA9">
        <w:rPr>
          <w:rFonts w:ascii="Times New Roman" w:hAnsi="Times New Roman"/>
        </w:rPr>
        <w:t>Qwest’s estimate to serve the Timm location was $811,920.</w:t>
      </w:r>
      <w:r w:rsidR="00A55DA9">
        <w:rPr>
          <w:rStyle w:val="FootnoteReference"/>
          <w:rFonts w:ascii="Times New Roman" w:hAnsi="Times New Roman"/>
        </w:rPr>
        <w:footnoteReference w:id="79"/>
      </w:r>
      <w:r w:rsidR="00A55DA9">
        <w:rPr>
          <w:rFonts w:ascii="Times New Roman" w:hAnsi="Times New Roman"/>
        </w:rPr>
        <w:t xml:space="preserve"> </w:t>
      </w:r>
      <w:r>
        <w:rPr>
          <w:rFonts w:ascii="Times New Roman" w:hAnsi="Times New Roman"/>
        </w:rPr>
        <w:t xml:space="preserve"> </w:t>
      </w:r>
    </w:p>
    <w:p w14:paraId="578A1A41" w14:textId="1EB539F7" w:rsidR="003D5656" w:rsidRDefault="003D5656" w:rsidP="00800EF6">
      <w:pPr>
        <w:pStyle w:val="Body1"/>
        <w:numPr>
          <w:ilvl w:val="0"/>
          <w:numId w:val="9"/>
        </w:numPr>
        <w:spacing w:line="480" w:lineRule="auto"/>
        <w:rPr>
          <w:rFonts w:ascii="Times New Roman" w:hAnsi="Times New Roman"/>
        </w:rPr>
      </w:pPr>
      <w:r w:rsidRPr="00B92CFA">
        <w:rPr>
          <w:rFonts w:ascii="Times New Roman" w:hAnsi="Times New Roman"/>
        </w:rPr>
        <w:tab/>
      </w:r>
      <w:r w:rsidR="00787974" w:rsidRPr="00B92CFA">
        <w:rPr>
          <w:rFonts w:ascii="Times New Roman" w:hAnsi="Times New Roman"/>
        </w:rPr>
        <w:t xml:space="preserve">The Commission found these costs “extraordinarily high” considering the number of customers </w:t>
      </w:r>
      <w:r w:rsidRPr="00B92CFA">
        <w:rPr>
          <w:rFonts w:ascii="Times New Roman" w:hAnsi="Times New Roman"/>
        </w:rPr>
        <w:t>served and the “future maintenance costs.”</w:t>
      </w:r>
      <w:r>
        <w:rPr>
          <w:rStyle w:val="FootnoteReference"/>
          <w:rFonts w:ascii="Times New Roman" w:hAnsi="Times New Roman"/>
        </w:rPr>
        <w:footnoteReference w:id="80"/>
      </w:r>
      <w:r w:rsidRPr="00B92CFA">
        <w:rPr>
          <w:rFonts w:ascii="Times New Roman" w:hAnsi="Times New Roman"/>
        </w:rPr>
        <w:t xml:space="preserve"> </w:t>
      </w:r>
      <w:r w:rsidR="005B1B2B">
        <w:rPr>
          <w:rFonts w:ascii="Times New Roman" w:hAnsi="Times New Roman"/>
        </w:rPr>
        <w:t xml:space="preserve"> </w:t>
      </w:r>
      <w:r w:rsidRPr="00B92CFA">
        <w:rPr>
          <w:rFonts w:ascii="Times New Roman" w:hAnsi="Times New Roman"/>
        </w:rPr>
        <w:t>The Commission also questioned “the value of adding so small a number of customers to the network.”</w:t>
      </w:r>
      <w:r>
        <w:rPr>
          <w:rStyle w:val="FootnoteReference"/>
          <w:rFonts w:ascii="Times New Roman" w:hAnsi="Times New Roman"/>
        </w:rPr>
        <w:footnoteReference w:id="81"/>
      </w:r>
      <w:r w:rsidRPr="00B92CFA">
        <w:rPr>
          <w:rFonts w:ascii="Times New Roman" w:hAnsi="Times New Roman"/>
        </w:rPr>
        <w:t xml:space="preserve"> </w:t>
      </w:r>
      <w:r w:rsidR="005B1B2B">
        <w:rPr>
          <w:rFonts w:ascii="Times New Roman" w:hAnsi="Times New Roman"/>
        </w:rPr>
        <w:t xml:space="preserve"> </w:t>
      </w:r>
      <w:r w:rsidRPr="00B92CFA">
        <w:rPr>
          <w:rFonts w:ascii="Times New Roman" w:hAnsi="Times New Roman"/>
        </w:rPr>
        <w:t>After review</w:t>
      </w:r>
      <w:r w:rsidR="00C15796">
        <w:rPr>
          <w:rFonts w:ascii="Times New Roman" w:hAnsi="Times New Roman"/>
        </w:rPr>
        <w:t>ing</w:t>
      </w:r>
      <w:r w:rsidRPr="00B92CFA">
        <w:rPr>
          <w:rFonts w:ascii="Times New Roman" w:hAnsi="Times New Roman"/>
        </w:rPr>
        <w:t xml:space="preserve"> the evidence presented</w:t>
      </w:r>
      <w:r w:rsidR="00C15796">
        <w:rPr>
          <w:rFonts w:ascii="Times New Roman" w:hAnsi="Times New Roman"/>
        </w:rPr>
        <w:t xml:space="preserve">, </w:t>
      </w:r>
      <w:r w:rsidRPr="00B92CFA">
        <w:rPr>
          <w:rFonts w:ascii="Times New Roman" w:hAnsi="Times New Roman"/>
        </w:rPr>
        <w:t>the Commission granted Verizon’s request to waive the requirement to extend service to the two locations.</w:t>
      </w:r>
      <w:r>
        <w:rPr>
          <w:rStyle w:val="FootnoteReference"/>
          <w:rFonts w:ascii="Times New Roman" w:hAnsi="Times New Roman"/>
        </w:rPr>
        <w:footnoteReference w:id="82"/>
      </w:r>
      <w:r w:rsidRPr="00B92CFA">
        <w:rPr>
          <w:rFonts w:ascii="Times New Roman" w:hAnsi="Times New Roman"/>
        </w:rPr>
        <w:t xml:space="preserve"> </w:t>
      </w:r>
      <w:r w:rsidR="005B1B2B">
        <w:rPr>
          <w:rFonts w:ascii="Times New Roman" w:hAnsi="Times New Roman"/>
        </w:rPr>
        <w:t xml:space="preserve"> </w:t>
      </w:r>
      <w:r w:rsidRPr="00B92CFA">
        <w:rPr>
          <w:rFonts w:ascii="Times New Roman" w:hAnsi="Times New Roman"/>
        </w:rPr>
        <w:t xml:space="preserve">To this end, the Commission opined: </w:t>
      </w:r>
      <w:r w:rsidR="005B1B2B">
        <w:rPr>
          <w:rFonts w:ascii="Times New Roman" w:hAnsi="Times New Roman"/>
        </w:rPr>
        <w:t xml:space="preserve"> </w:t>
      </w:r>
    </w:p>
    <w:p w14:paraId="7A1C3EE2" w14:textId="297D85AF" w:rsidR="005B1B2B" w:rsidRDefault="005B1B2B" w:rsidP="005B1B2B">
      <w:pPr>
        <w:pStyle w:val="Body1"/>
        <w:ind w:left="720" w:right="648"/>
        <w:rPr>
          <w:rFonts w:ascii="Times New Roman" w:hAnsi="Times New Roman"/>
        </w:rPr>
      </w:pPr>
      <w:r>
        <w:rPr>
          <w:rFonts w:ascii="Times New Roman" w:hAnsi="Times New Roman"/>
        </w:rPr>
        <w:t>“[T]</w:t>
      </w:r>
      <w:r w:rsidRPr="003D5656">
        <w:rPr>
          <w:rFonts w:ascii="Times New Roman" w:hAnsi="Times New Roman"/>
        </w:rPr>
        <w:t>he Commission is persuaded that there would be a potentially significant adverse effect on the company and other ratepayers if a waiver is not granted.  A denial of the waiver would send the signal that extraordinarily costly line extensions to serve few customers are warranted under the new rule.  This in turn would make it increasingly difficult for carriers to devote resources to their existing network and would create an unreasonable increase in the subsidies paid by other ratepayers.  It would increase maintenance costs and burdens for which carriers either would not obtain cost recovery or would have to seek recovery from other ratepayers.</w:t>
      </w:r>
      <w:r>
        <w:rPr>
          <w:rFonts w:ascii="Times New Roman" w:hAnsi="Times New Roman"/>
        </w:rPr>
        <w:t>”</w:t>
      </w:r>
      <w:r w:rsidR="00C15796">
        <w:rPr>
          <w:rStyle w:val="FootnoteReference"/>
          <w:rFonts w:ascii="Times New Roman" w:hAnsi="Times New Roman"/>
        </w:rPr>
        <w:footnoteReference w:id="83"/>
      </w:r>
      <w:r>
        <w:rPr>
          <w:rFonts w:ascii="Times New Roman" w:hAnsi="Times New Roman"/>
        </w:rPr>
        <w:t xml:space="preserve"> </w:t>
      </w:r>
      <w:r w:rsidRPr="003D5656">
        <w:rPr>
          <w:rFonts w:ascii="Times New Roman" w:hAnsi="Times New Roman"/>
        </w:rPr>
        <w:t xml:space="preserve"> </w:t>
      </w:r>
    </w:p>
    <w:p w14:paraId="010C3C0F" w14:textId="77777777" w:rsidR="005B1B2B" w:rsidRPr="005B1B2B" w:rsidRDefault="005B1B2B" w:rsidP="005B1B2B">
      <w:pPr>
        <w:pStyle w:val="Body1"/>
        <w:ind w:right="648"/>
        <w:rPr>
          <w:rFonts w:ascii="Times New Roman" w:hAnsi="Times New Roman"/>
        </w:rPr>
      </w:pPr>
    </w:p>
    <w:p w14:paraId="26CD1057" w14:textId="14642292" w:rsidR="00787974" w:rsidRDefault="004908FC" w:rsidP="004908FC">
      <w:pPr>
        <w:pStyle w:val="Body1"/>
        <w:numPr>
          <w:ilvl w:val="0"/>
          <w:numId w:val="9"/>
        </w:numPr>
        <w:spacing w:line="480" w:lineRule="auto"/>
        <w:rPr>
          <w:rFonts w:ascii="Times New Roman" w:hAnsi="Times New Roman"/>
        </w:rPr>
      </w:pPr>
      <w:r>
        <w:rPr>
          <w:rFonts w:ascii="Times New Roman" w:hAnsi="Times New Roman"/>
        </w:rPr>
        <w:tab/>
      </w:r>
      <w:r w:rsidR="00B6344D" w:rsidRPr="005B1B2B">
        <w:rPr>
          <w:rFonts w:ascii="Times New Roman" w:hAnsi="Times New Roman"/>
        </w:rPr>
        <w:t xml:space="preserve">The instant case shares many of the characteristics of the Taylor and Timm line extensions. </w:t>
      </w:r>
      <w:r w:rsidR="005B1B2B" w:rsidRPr="005B1B2B">
        <w:rPr>
          <w:rFonts w:ascii="Times New Roman" w:hAnsi="Times New Roman"/>
        </w:rPr>
        <w:t xml:space="preserve"> </w:t>
      </w:r>
      <w:r w:rsidR="0008461B">
        <w:rPr>
          <w:rFonts w:ascii="Times New Roman" w:hAnsi="Times New Roman"/>
        </w:rPr>
        <w:t>The Maloney Line’s replacement would be</w:t>
      </w:r>
      <w:r w:rsidR="00B6344D" w:rsidRPr="005B1B2B">
        <w:rPr>
          <w:rFonts w:ascii="Times New Roman" w:hAnsi="Times New Roman"/>
        </w:rPr>
        <w:t xml:space="preserve"> prohibitively expensive to install, the </w:t>
      </w:r>
      <w:r w:rsidR="009A63A8" w:rsidRPr="005B1B2B">
        <w:rPr>
          <w:rFonts w:ascii="Times New Roman" w:hAnsi="Times New Roman"/>
        </w:rPr>
        <w:t xml:space="preserve">costs to maintain and repair the project </w:t>
      </w:r>
      <w:r w:rsidR="0008461B">
        <w:rPr>
          <w:rFonts w:ascii="Times New Roman" w:hAnsi="Times New Roman"/>
        </w:rPr>
        <w:t>w</w:t>
      </w:r>
      <w:r w:rsidR="009A63A8" w:rsidRPr="005B1B2B">
        <w:rPr>
          <w:rFonts w:ascii="Times New Roman" w:hAnsi="Times New Roman"/>
        </w:rPr>
        <w:t xml:space="preserve">ould be significant, the </w:t>
      </w:r>
      <w:r w:rsidR="00B6344D" w:rsidRPr="005B1B2B">
        <w:rPr>
          <w:rFonts w:ascii="Times New Roman" w:hAnsi="Times New Roman"/>
        </w:rPr>
        <w:t>revenues generat</w:t>
      </w:r>
      <w:r w:rsidR="0008461B">
        <w:rPr>
          <w:rFonts w:ascii="Times New Roman" w:hAnsi="Times New Roman"/>
        </w:rPr>
        <w:t>ed from serving the Petitioners</w:t>
      </w:r>
      <w:r w:rsidR="00B6344D" w:rsidRPr="005B1B2B">
        <w:rPr>
          <w:rFonts w:ascii="Times New Roman" w:hAnsi="Times New Roman"/>
        </w:rPr>
        <w:t xml:space="preserve"> would cover less than 5% of PSE’s costs to install the project, </w:t>
      </w:r>
      <w:r w:rsidR="009A63A8" w:rsidRPr="005B1B2B">
        <w:rPr>
          <w:rFonts w:ascii="Times New Roman" w:hAnsi="Times New Roman"/>
        </w:rPr>
        <w:t xml:space="preserve">and the ratepayers of PSE would be expected cover the remainder of the costs. </w:t>
      </w:r>
      <w:r w:rsidR="005B1B2B" w:rsidRPr="005B1B2B">
        <w:rPr>
          <w:rFonts w:ascii="Times New Roman" w:hAnsi="Times New Roman"/>
        </w:rPr>
        <w:t xml:space="preserve"> </w:t>
      </w:r>
      <w:r w:rsidR="009A63A8" w:rsidRPr="005B1B2B">
        <w:rPr>
          <w:rFonts w:ascii="Times New Roman" w:hAnsi="Times New Roman"/>
        </w:rPr>
        <w:t xml:space="preserve">While the Commission’s earlier decision is not </w:t>
      </w:r>
      <w:r w:rsidR="00A854D9" w:rsidRPr="005B1B2B">
        <w:rPr>
          <w:rFonts w:ascii="Times New Roman" w:hAnsi="Times New Roman"/>
        </w:rPr>
        <w:t>dispositive precedent</w:t>
      </w:r>
      <w:r w:rsidR="008F2F8D" w:rsidRPr="005B1B2B">
        <w:rPr>
          <w:rFonts w:ascii="Times New Roman" w:hAnsi="Times New Roman"/>
        </w:rPr>
        <w:t xml:space="preserve"> on the issues raised by the </w:t>
      </w:r>
      <w:r w:rsidR="009A63A8" w:rsidRPr="005B1B2B">
        <w:rPr>
          <w:rFonts w:ascii="Times New Roman" w:hAnsi="Times New Roman"/>
        </w:rPr>
        <w:t xml:space="preserve">Petitioner’s request, </w:t>
      </w:r>
      <w:r w:rsidR="008F2F8D" w:rsidRPr="005B1B2B">
        <w:rPr>
          <w:rFonts w:ascii="Times New Roman" w:hAnsi="Times New Roman"/>
        </w:rPr>
        <w:t xml:space="preserve">it highlights </w:t>
      </w:r>
      <w:r w:rsidR="00A854D9" w:rsidRPr="005B1B2B">
        <w:rPr>
          <w:rFonts w:ascii="Times New Roman" w:hAnsi="Times New Roman"/>
        </w:rPr>
        <w:t xml:space="preserve">how much weight the </w:t>
      </w:r>
      <w:r w:rsidR="008F2F8D" w:rsidRPr="005B1B2B">
        <w:rPr>
          <w:rFonts w:ascii="Times New Roman" w:hAnsi="Times New Roman"/>
        </w:rPr>
        <w:t>Commission</w:t>
      </w:r>
      <w:r w:rsidR="00A854D9" w:rsidRPr="005B1B2B">
        <w:rPr>
          <w:rFonts w:ascii="Times New Roman" w:hAnsi="Times New Roman"/>
        </w:rPr>
        <w:t xml:space="preserve"> </w:t>
      </w:r>
      <w:r w:rsidR="00E647E8" w:rsidRPr="005B1B2B">
        <w:rPr>
          <w:rFonts w:ascii="Times New Roman" w:hAnsi="Times New Roman"/>
        </w:rPr>
        <w:t xml:space="preserve">should </w:t>
      </w:r>
      <w:r w:rsidR="00A854D9" w:rsidRPr="005B1B2B">
        <w:rPr>
          <w:rFonts w:ascii="Times New Roman" w:hAnsi="Times New Roman"/>
        </w:rPr>
        <w:t xml:space="preserve">place on the cost of project, the number of customers served, and the project’s cost to other ratepayers. </w:t>
      </w:r>
      <w:r w:rsidR="005B1B2B" w:rsidRPr="005B1B2B">
        <w:rPr>
          <w:rFonts w:ascii="Times New Roman" w:hAnsi="Times New Roman"/>
        </w:rPr>
        <w:t xml:space="preserve"> </w:t>
      </w:r>
      <w:r w:rsidR="003B610D" w:rsidRPr="005B1B2B">
        <w:rPr>
          <w:rFonts w:ascii="Times New Roman" w:hAnsi="Times New Roman"/>
        </w:rPr>
        <w:t xml:space="preserve">While not expressly stated, the Commission’s decision represents adherence to a common ratemaking principle - </w:t>
      </w:r>
      <w:r w:rsidR="0008461B">
        <w:rPr>
          <w:rFonts w:ascii="Times New Roman" w:hAnsi="Times New Roman"/>
        </w:rPr>
        <w:t xml:space="preserve">the </w:t>
      </w:r>
      <w:r w:rsidR="003B610D" w:rsidRPr="005B1B2B">
        <w:rPr>
          <w:rFonts w:ascii="Times New Roman" w:hAnsi="Times New Roman"/>
        </w:rPr>
        <w:t xml:space="preserve">cost causers should bear the cost to serve them. </w:t>
      </w:r>
      <w:r w:rsidR="0008461B">
        <w:rPr>
          <w:rFonts w:ascii="Times New Roman" w:hAnsi="Times New Roman"/>
        </w:rPr>
        <w:t xml:space="preserve">This sound principle should be affirmed by the Commission on the facts presented in this case. </w:t>
      </w:r>
    </w:p>
    <w:p w14:paraId="60B59F8C" w14:textId="2631E64E" w:rsidR="005B1B2B" w:rsidRPr="005B1B2B" w:rsidRDefault="005B1B2B" w:rsidP="000345F8">
      <w:pPr>
        <w:pStyle w:val="Body1"/>
        <w:keepNext/>
        <w:spacing w:line="480" w:lineRule="auto"/>
        <w:jc w:val="center"/>
        <w:rPr>
          <w:rFonts w:ascii="Times New Roman" w:hAnsi="Times New Roman"/>
          <w:b/>
        </w:rPr>
      </w:pPr>
      <w:r>
        <w:rPr>
          <w:rFonts w:ascii="Times New Roman" w:hAnsi="Times New Roman"/>
          <w:b/>
        </w:rPr>
        <w:t>IX.</w:t>
      </w:r>
      <w:r>
        <w:rPr>
          <w:rFonts w:ascii="Times New Roman" w:hAnsi="Times New Roman"/>
          <w:b/>
        </w:rPr>
        <w:tab/>
      </w:r>
      <w:r w:rsidR="0008461B">
        <w:rPr>
          <w:rFonts w:ascii="Times New Roman" w:hAnsi="Times New Roman"/>
          <w:b/>
        </w:rPr>
        <w:t>CONCLUSION</w:t>
      </w:r>
    </w:p>
    <w:p w14:paraId="20864E16" w14:textId="5C114341" w:rsidR="00393C2B" w:rsidRDefault="005B1B2B" w:rsidP="005B1B2B">
      <w:pPr>
        <w:pStyle w:val="Body1"/>
        <w:numPr>
          <w:ilvl w:val="0"/>
          <w:numId w:val="9"/>
        </w:numPr>
        <w:spacing w:line="480" w:lineRule="auto"/>
        <w:rPr>
          <w:rFonts w:ascii="Times New Roman" w:hAnsi="Times New Roman"/>
        </w:rPr>
      </w:pPr>
      <w:r>
        <w:rPr>
          <w:rFonts w:ascii="Times New Roman" w:hAnsi="Times New Roman"/>
        </w:rPr>
        <w:tab/>
      </w:r>
      <w:r w:rsidR="0008461B">
        <w:rPr>
          <w:rFonts w:ascii="Times New Roman" w:hAnsi="Times New Roman"/>
        </w:rPr>
        <w:t xml:space="preserve">The Commission should deny the Petitioners’ </w:t>
      </w:r>
      <w:r w:rsidR="0008461B" w:rsidRPr="0008461B">
        <w:rPr>
          <w:rFonts w:ascii="Times New Roman" w:hAnsi="Times New Roman"/>
          <w:i/>
        </w:rPr>
        <w:t>Petition for Declaratory Order</w:t>
      </w:r>
      <w:r w:rsidR="0008461B">
        <w:rPr>
          <w:rFonts w:ascii="Times New Roman" w:hAnsi="Times New Roman"/>
        </w:rPr>
        <w:t xml:space="preserve">. </w:t>
      </w:r>
      <w:r w:rsidR="003B610D" w:rsidRPr="005B1B2B">
        <w:rPr>
          <w:rFonts w:ascii="Times New Roman" w:hAnsi="Times New Roman"/>
        </w:rPr>
        <w:t xml:space="preserve">The Maloney Line is still serving the Petitioners. </w:t>
      </w:r>
      <w:r w:rsidRPr="005B1B2B">
        <w:rPr>
          <w:rFonts w:ascii="Times New Roman" w:hAnsi="Times New Roman"/>
        </w:rPr>
        <w:t xml:space="preserve"> </w:t>
      </w:r>
      <w:r w:rsidR="003B610D" w:rsidRPr="005B1B2B">
        <w:rPr>
          <w:rFonts w:ascii="Times New Roman" w:hAnsi="Times New Roman"/>
        </w:rPr>
        <w:t xml:space="preserve">Whether it will need to be replaced in the near future is not an issue the Commission has been asked to determine in this case. </w:t>
      </w:r>
      <w:r w:rsidRPr="005B1B2B">
        <w:rPr>
          <w:rFonts w:ascii="Times New Roman" w:hAnsi="Times New Roman"/>
        </w:rPr>
        <w:t xml:space="preserve"> </w:t>
      </w:r>
      <w:r w:rsidR="003B610D" w:rsidRPr="005B1B2B">
        <w:rPr>
          <w:rFonts w:ascii="Times New Roman" w:hAnsi="Times New Roman"/>
        </w:rPr>
        <w:t xml:space="preserve">Rather, the Petitioners seek an order determining that PSE should </w:t>
      </w:r>
      <w:r w:rsidR="00393C2B" w:rsidRPr="005B1B2B">
        <w:rPr>
          <w:rFonts w:ascii="Times New Roman" w:hAnsi="Times New Roman"/>
        </w:rPr>
        <w:t xml:space="preserve">replace the Line at its cost and then </w:t>
      </w:r>
      <w:r w:rsidR="003B610D" w:rsidRPr="005B1B2B">
        <w:rPr>
          <w:rFonts w:ascii="Times New Roman" w:hAnsi="Times New Roman"/>
        </w:rPr>
        <w:t xml:space="preserve">pass these costs to the ratepayers on Schedule 24. </w:t>
      </w:r>
      <w:r>
        <w:rPr>
          <w:rFonts w:ascii="Times New Roman" w:hAnsi="Times New Roman"/>
        </w:rPr>
        <w:t xml:space="preserve"> </w:t>
      </w:r>
    </w:p>
    <w:p w14:paraId="5DE033D4" w14:textId="65052B86" w:rsidR="00E647E8" w:rsidRDefault="00393C2B" w:rsidP="00800EF6">
      <w:pPr>
        <w:pStyle w:val="Body1"/>
        <w:numPr>
          <w:ilvl w:val="0"/>
          <w:numId w:val="9"/>
        </w:numPr>
        <w:spacing w:line="480" w:lineRule="auto"/>
        <w:rPr>
          <w:rFonts w:ascii="Times New Roman" w:hAnsi="Times New Roman"/>
        </w:rPr>
      </w:pPr>
      <w:r w:rsidRPr="005B1B2B">
        <w:rPr>
          <w:rFonts w:ascii="Times New Roman" w:hAnsi="Times New Roman"/>
        </w:rPr>
        <w:tab/>
        <w:t xml:space="preserve">PSE would not have built the project in 1971 but for GTE’s agreement to pay all costs to install, maintain and repair the facility. </w:t>
      </w:r>
      <w:r w:rsidR="00F3248F">
        <w:rPr>
          <w:rFonts w:ascii="Times New Roman" w:hAnsi="Times New Roman"/>
        </w:rPr>
        <w:t xml:space="preserve"> </w:t>
      </w:r>
      <w:r w:rsidRPr="005B1B2B">
        <w:rPr>
          <w:rFonts w:ascii="Times New Roman" w:hAnsi="Times New Roman"/>
        </w:rPr>
        <w:t xml:space="preserve">At that time, the Maloney Line was not economically feasible for PSE to build. </w:t>
      </w:r>
      <w:r w:rsidR="00F3248F">
        <w:rPr>
          <w:rFonts w:ascii="Times New Roman" w:hAnsi="Times New Roman"/>
        </w:rPr>
        <w:t xml:space="preserve"> </w:t>
      </w:r>
      <w:r w:rsidRPr="005B1B2B">
        <w:rPr>
          <w:rFonts w:ascii="Times New Roman" w:hAnsi="Times New Roman"/>
        </w:rPr>
        <w:t xml:space="preserve">This fact </w:t>
      </w:r>
      <w:r w:rsidR="0008461B">
        <w:rPr>
          <w:rFonts w:ascii="Times New Roman" w:hAnsi="Times New Roman"/>
        </w:rPr>
        <w:t xml:space="preserve">remains </w:t>
      </w:r>
      <w:r w:rsidRPr="005B1B2B">
        <w:rPr>
          <w:rFonts w:ascii="Times New Roman" w:hAnsi="Times New Roman"/>
        </w:rPr>
        <w:t xml:space="preserve">true today. </w:t>
      </w:r>
      <w:r w:rsidR="00F3248F">
        <w:rPr>
          <w:rFonts w:ascii="Times New Roman" w:hAnsi="Times New Roman"/>
        </w:rPr>
        <w:t xml:space="preserve"> </w:t>
      </w:r>
      <w:r w:rsidRPr="005B1B2B">
        <w:rPr>
          <w:rFonts w:ascii="Times New Roman" w:hAnsi="Times New Roman"/>
        </w:rPr>
        <w:t xml:space="preserve">If the Commission orders PSE to build a new line for the Petitioners, the ratepayers on Schedule 24 would bear over 95% of the replacement line’s costs, including all of PSE’s costs to repair and maintain the facility. </w:t>
      </w:r>
      <w:r w:rsidR="00F3248F">
        <w:rPr>
          <w:rFonts w:ascii="Times New Roman" w:hAnsi="Times New Roman"/>
        </w:rPr>
        <w:t xml:space="preserve"> </w:t>
      </w:r>
      <w:r w:rsidRPr="005B1B2B">
        <w:rPr>
          <w:rFonts w:ascii="Times New Roman" w:hAnsi="Times New Roman"/>
        </w:rPr>
        <w:t xml:space="preserve">Staff’s case clearly demonstrates the project’s dramatic absence of economic feasibility. </w:t>
      </w:r>
      <w:r w:rsidR="00F3248F">
        <w:rPr>
          <w:rFonts w:ascii="Times New Roman" w:hAnsi="Times New Roman"/>
        </w:rPr>
        <w:t xml:space="preserve"> </w:t>
      </w:r>
      <w:r w:rsidRPr="005B1B2B">
        <w:rPr>
          <w:rFonts w:ascii="Times New Roman" w:hAnsi="Times New Roman"/>
        </w:rPr>
        <w:t xml:space="preserve">Even if the Petitioners could possibly generate a 500 percent increase in electricity usage, </w:t>
      </w:r>
      <w:r w:rsidR="0090268A" w:rsidRPr="005B1B2B">
        <w:rPr>
          <w:rFonts w:ascii="Times New Roman" w:hAnsi="Times New Roman"/>
        </w:rPr>
        <w:t xml:space="preserve">the ratepayers on Schedule 24 would still bear </w:t>
      </w:r>
      <w:r w:rsidR="00636F8D">
        <w:rPr>
          <w:rFonts w:ascii="Times New Roman" w:hAnsi="Times New Roman"/>
        </w:rPr>
        <w:t xml:space="preserve">over $5 million </w:t>
      </w:r>
      <w:r w:rsidR="0090268A" w:rsidRPr="005B1B2B">
        <w:rPr>
          <w:rFonts w:ascii="Times New Roman" w:hAnsi="Times New Roman"/>
        </w:rPr>
        <w:t>of the project’s</w:t>
      </w:r>
      <w:r w:rsidR="00BB2FC2">
        <w:rPr>
          <w:rFonts w:ascii="Times New Roman" w:hAnsi="Times New Roman"/>
        </w:rPr>
        <w:t xml:space="preserve"> estimated $6.8 million total</w:t>
      </w:r>
      <w:r w:rsidR="0090268A" w:rsidRPr="005B1B2B">
        <w:rPr>
          <w:rFonts w:ascii="Times New Roman" w:hAnsi="Times New Roman"/>
        </w:rPr>
        <w:t xml:space="preserve"> cost. </w:t>
      </w:r>
      <w:r w:rsidR="00F3248F">
        <w:rPr>
          <w:rFonts w:ascii="Times New Roman" w:hAnsi="Times New Roman"/>
        </w:rPr>
        <w:t xml:space="preserve"> </w:t>
      </w:r>
      <w:r w:rsidR="0090268A" w:rsidRPr="005B1B2B">
        <w:rPr>
          <w:rFonts w:ascii="Times New Roman" w:hAnsi="Times New Roman"/>
        </w:rPr>
        <w:t xml:space="preserve">The immense gap between the costs to serve the Petitioners and revenues generated by them to cover those costs cannot be </w:t>
      </w:r>
      <w:r w:rsidR="0008461B">
        <w:rPr>
          <w:rFonts w:ascii="Times New Roman" w:hAnsi="Times New Roman"/>
        </w:rPr>
        <w:t>bridged</w:t>
      </w:r>
      <w:r w:rsidR="0090268A" w:rsidRPr="005B1B2B">
        <w:rPr>
          <w:rFonts w:ascii="Times New Roman" w:hAnsi="Times New Roman"/>
        </w:rPr>
        <w:t xml:space="preserve">. </w:t>
      </w:r>
      <w:r w:rsidR="00F3248F">
        <w:rPr>
          <w:rFonts w:ascii="Times New Roman" w:hAnsi="Times New Roman"/>
        </w:rPr>
        <w:t xml:space="preserve"> </w:t>
      </w:r>
    </w:p>
    <w:p w14:paraId="36744133" w14:textId="5FDC9893" w:rsidR="00E647E8" w:rsidRDefault="00E647E8" w:rsidP="00800EF6">
      <w:pPr>
        <w:pStyle w:val="Body1"/>
        <w:numPr>
          <w:ilvl w:val="0"/>
          <w:numId w:val="9"/>
        </w:numPr>
        <w:spacing w:line="480" w:lineRule="auto"/>
        <w:rPr>
          <w:rFonts w:ascii="Times New Roman" w:hAnsi="Times New Roman"/>
        </w:rPr>
      </w:pPr>
      <w:r w:rsidRPr="00F3248F">
        <w:rPr>
          <w:rFonts w:ascii="Times New Roman" w:hAnsi="Times New Roman"/>
        </w:rPr>
        <w:tab/>
      </w:r>
      <w:r w:rsidR="0090268A" w:rsidRPr="00F3248F">
        <w:rPr>
          <w:rFonts w:ascii="Times New Roman" w:hAnsi="Times New Roman"/>
        </w:rPr>
        <w:t>PSE’s applicable tariffs clearly place th</w:t>
      </w:r>
      <w:r w:rsidRPr="00F3248F">
        <w:rPr>
          <w:rFonts w:ascii="Times New Roman" w:hAnsi="Times New Roman"/>
        </w:rPr>
        <w:t xml:space="preserve">e </w:t>
      </w:r>
      <w:r w:rsidR="0090268A" w:rsidRPr="00F3248F">
        <w:rPr>
          <w:rFonts w:ascii="Times New Roman" w:hAnsi="Times New Roman"/>
        </w:rPr>
        <w:t xml:space="preserve">costs </w:t>
      </w:r>
      <w:r w:rsidRPr="00F3248F">
        <w:rPr>
          <w:rFonts w:ascii="Times New Roman" w:hAnsi="Times New Roman"/>
        </w:rPr>
        <w:t xml:space="preserve">of a new facility </w:t>
      </w:r>
      <w:r w:rsidR="0090268A" w:rsidRPr="00F3248F">
        <w:rPr>
          <w:rFonts w:ascii="Times New Roman" w:hAnsi="Times New Roman"/>
        </w:rPr>
        <w:t xml:space="preserve">on the Petitioners. </w:t>
      </w:r>
      <w:r w:rsidR="00F3248F">
        <w:rPr>
          <w:rFonts w:ascii="Times New Roman" w:hAnsi="Times New Roman"/>
        </w:rPr>
        <w:t xml:space="preserve"> </w:t>
      </w:r>
      <w:r w:rsidR="0090268A" w:rsidRPr="00F3248F">
        <w:rPr>
          <w:rFonts w:ascii="Times New Roman" w:hAnsi="Times New Roman"/>
        </w:rPr>
        <w:t xml:space="preserve">Staff </w:t>
      </w:r>
      <w:r w:rsidRPr="00F3248F">
        <w:rPr>
          <w:rFonts w:ascii="Times New Roman" w:hAnsi="Times New Roman"/>
        </w:rPr>
        <w:t xml:space="preserve">sees no ambiguity in PSE’s tariff language and </w:t>
      </w:r>
      <w:r w:rsidR="0090268A" w:rsidRPr="00F3248F">
        <w:rPr>
          <w:rFonts w:ascii="Times New Roman" w:hAnsi="Times New Roman"/>
        </w:rPr>
        <w:t>supports PSE’s advocacy in this regard</w:t>
      </w:r>
      <w:r w:rsidRPr="00F3248F">
        <w:rPr>
          <w:rFonts w:ascii="Times New Roman" w:hAnsi="Times New Roman"/>
        </w:rPr>
        <w:t xml:space="preserve">. </w:t>
      </w:r>
      <w:r w:rsidR="0090268A" w:rsidRPr="00F3248F">
        <w:rPr>
          <w:rFonts w:ascii="Times New Roman" w:hAnsi="Times New Roman"/>
        </w:rPr>
        <w:t xml:space="preserve"> </w:t>
      </w:r>
      <w:r w:rsidR="0008461B">
        <w:rPr>
          <w:rFonts w:ascii="Times New Roman" w:hAnsi="Times New Roman"/>
        </w:rPr>
        <w:t>Under the circumstances presented in this case, t</w:t>
      </w:r>
      <w:r w:rsidRPr="00F3248F">
        <w:rPr>
          <w:rFonts w:ascii="Times New Roman" w:hAnsi="Times New Roman"/>
        </w:rPr>
        <w:t xml:space="preserve">his result is fair and equitable to the Petitioners and the ratepayers on Schedule 24. </w:t>
      </w:r>
      <w:r w:rsidR="00F3248F">
        <w:rPr>
          <w:rFonts w:ascii="Times New Roman" w:hAnsi="Times New Roman"/>
        </w:rPr>
        <w:t xml:space="preserve"> </w:t>
      </w:r>
      <w:r w:rsidRPr="00F3248F">
        <w:rPr>
          <w:rFonts w:ascii="Times New Roman" w:hAnsi="Times New Roman"/>
        </w:rPr>
        <w:t xml:space="preserve">In this instance, the cost causers should pay the cost to serve them. </w:t>
      </w:r>
      <w:r w:rsidR="00F3248F">
        <w:rPr>
          <w:rFonts w:ascii="Times New Roman" w:hAnsi="Times New Roman"/>
        </w:rPr>
        <w:t xml:space="preserve"> </w:t>
      </w:r>
    </w:p>
    <w:p w14:paraId="2338973E" w14:textId="136CFC0E" w:rsidR="00466982" w:rsidRPr="00F3248F" w:rsidRDefault="00E647E8" w:rsidP="00E647E8">
      <w:pPr>
        <w:pStyle w:val="Body1"/>
        <w:numPr>
          <w:ilvl w:val="0"/>
          <w:numId w:val="9"/>
        </w:numPr>
        <w:spacing w:line="480" w:lineRule="auto"/>
        <w:rPr>
          <w:rFonts w:ascii="Times New Roman" w:hAnsi="Times New Roman"/>
        </w:rPr>
      </w:pPr>
      <w:r w:rsidRPr="00F3248F">
        <w:rPr>
          <w:rFonts w:ascii="Times New Roman" w:hAnsi="Times New Roman"/>
        </w:rPr>
        <w:tab/>
        <w:t xml:space="preserve">In conclusion, the Petitioners request should be denied and the status quo should be maintained. </w:t>
      </w:r>
    </w:p>
    <w:p w14:paraId="3DEF8177" w14:textId="41CB8D73" w:rsidR="00F748D8" w:rsidRDefault="00F748D8" w:rsidP="00F748D8">
      <w:pPr>
        <w:ind w:left="720"/>
        <w:rPr>
          <w:sz w:val="24"/>
        </w:rPr>
      </w:pPr>
      <w:r w:rsidRPr="004A2910">
        <w:rPr>
          <w:sz w:val="24"/>
        </w:rPr>
        <w:t xml:space="preserve">DATED this </w:t>
      </w:r>
      <w:r w:rsidR="00466982">
        <w:rPr>
          <w:sz w:val="24"/>
        </w:rPr>
        <w:t>30</w:t>
      </w:r>
      <w:r w:rsidR="00EF5014" w:rsidRPr="00EF5014">
        <w:rPr>
          <w:sz w:val="24"/>
          <w:vertAlign w:val="superscript"/>
        </w:rPr>
        <w:t>th</w:t>
      </w:r>
      <w:r w:rsidR="00EF5014">
        <w:rPr>
          <w:sz w:val="24"/>
        </w:rPr>
        <w:t xml:space="preserve"> </w:t>
      </w:r>
      <w:r w:rsidRPr="004A2910">
        <w:rPr>
          <w:sz w:val="24"/>
        </w:rPr>
        <w:t xml:space="preserve">day of </w:t>
      </w:r>
      <w:r w:rsidR="00EF5014">
        <w:rPr>
          <w:sz w:val="24"/>
        </w:rPr>
        <w:t>Ju</w:t>
      </w:r>
      <w:r w:rsidR="00466982">
        <w:rPr>
          <w:sz w:val="24"/>
        </w:rPr>
        <w:t>ne</w:t>
      </w:r>
      <w:r w:rsidRPr="004A2910">
        <w:rPr>
          <w:sz w:val="24"/>
        </w:rPr>
        <w:t xml:space="preserve"> 20</w:t>
      </w:r>
      <w:r w:rsidR="004A26FF">
        <w:rPr>
          <w:sz w:val="24"/>
        </w:rPr>
        <w:t>1</w:t>
      </w:r>
      <w:r w:rsidR="00466982">
        <w:rPr>
          <w:sz w:val="24"/>
        </w:rPr>
        <w:t>5</w:t>
      </w:r>
      <w:r w:rsidRPr="004A2910">
        <w:rPr>
          <w:sz w:val="24"/>
        </w:rPr>
        <w:t>.</w:t>
      </w:r>
    </w:p>
    <w:p w14:paraId="3DEF8178" w14:textId="77777777" w:rsidR="00F748D8" w:rsidRDefault="00F748D8" w:rsidP="00F748D8">
      <w:pPr>
        <w:ind w:left="720"/>
        <w:rPr>
          <w:sz w:val="24"/>
        </w:rPr>
      </w:pPr>
    </w:p>
    <w:p w14:paraId="3DEF8179" w14:textId="77777777" w:rsidR="00F748D8" w:rsidRPr="004A2910" w:rsidRDefault="00F748D8" w:rsidP="00F748D8">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14:paraId="3DEF817A" w14:textId="77777777" w:rsidR="00F748D8" w:rsidRPr="004A2910" w:rsidRDefault="00F748D8" w:rsidP="00F748D8">
      <w:pPr>
        <w:pStyle w:val="BodyTextIndent2"/>
        <w:rPr>
          <w:rFonts w:ascii="Times New Roman" w:hAnsi="Times New Roman"/>
        </w:rPr>
      </w:pPr>
    </w:p>
    <w:p w14:paraId="3DEF817B" w14:textId="77777777" w:rsidR="00F748D8" w:rsidRPr="004A2910" w:rsidRDefault="00F748D8" w:rsidP="00F748D8">
      <w:pPr>
        <w:ind w:left="5040"/>
        <w:jc w:val="both"/>
        <w:rPr>
          <w:sz w:val="24"/>
        </w:rPr>
      </w:pPr>
      <w:r w:rsidRPr="004A2910">
        <w:rPr>
          <w:sz w:val="24"/>
        </w:rPr>
        <w:t>ROB</w:t>
      </w:r>
      <w:r w:rsidR="00BF3CD1">
        <w:rPr>
          <w:sz w:val="24"/>
        </w:rPr>
        <w:t xml:space="preserve">ERT </w:t>
      </w:r>
      <w:r w:rsidR="009D3E3D">
        <w:rPr>
          <w:sz w:val="24"/>
        </w:rPr>
        <w:t>W. FERGUSON</w:t>
      </w:r>
      <w:r w:rsidRPr="004A2910">
        <w:rPr>
          <w:sz w:val="24"/>
        </w:rPr>
        <w:t xml:space="preserve"> </w:t>
      </w:r>
    </w:p>
    <w:p w14:paraId="3DEF817C" w14:textId="77777777" w:rsidR="00F748D8" w:rsidRPr="004A2910" w:rsidRDefault="00F748D8" w:rsidP="00F748D8">
      <w:pPr>
        <w:ind w:firstLine="5040"/>
        <w:jc w:val="both"/>
        <w:rPr>
          <w:sz w:val="24"/>
        </w:rPr>
      </w:pPr>
      <w:r w:rsidRPr="004A2910">
        <w:rPr>
          <w:sz w:val="24"/>
        </w:rPr>
        <w:t>Attorney General</w:t>
      </w:r>
    </w:p>
    <w:p w14:paraId="3DEF817D" w14:textId="77777777" w:rsidR="00F748D8" w:rsidRPr="004A2910" w:rsidRDefault="00F748D8" w:rsidP="00F748D8">
      <w:pPr>
        <w:jc w:val="both"/>
        <w:rPr>
          <w:sz w:val="24"/>
        </w:rPr>
      </w:pPr>
    </w:p>
    <w:p w14:paraId="3DEF817E" w14:textId="77777777" w:rsidR="00F748D8" w:rsidRDefault="00F748D8" w:rsidP="00F748D8">
      <w:pPr>
        <w:jc w:val="both"/>
        <w:rPr>
          <w:sz w:val="24"/>
        </w:rPr>
      </w:pPr>
    </w:p>
    <w:p w14:paraId="3DEF817F" w14:textId="77777777" w:rsidR="005E07C2" w:rsidRPr="004A2910" w:rsidRDefault="005E07C2" w:rsidP="00F748D8">
      <w:pPr>
        <w:jc w:val="both"/>
        <w:rPr>
          <w:sz w:val="24"/>
        </w:rPr>
      </w:pPr>
    </w:p>
    <w:p w14:paraId="3DEF8180" w14:textId="77777777" w:rsidR="00F748D8" w:rsidRPr="004A2910" w:rsidRDefault="00F748D8" w:rsidP="00F748D8">
      <w:pPr>
        <w:ind w:left="1440" w:firstLine="3600"/>
        <w:jc w:val="both"/>
        <w:rPr>
          <w:sz w:val="24"/>
        </w:rPr>
      </w:pPr>
      <w:r w:rsidRPr="004A2910">
        <w:rPr>
          <w:sz w:val="24"/>
        </w:rPr>
        <w:t>______________________________</w:t>
      </w:r>
    </w:p>
    <w:p w14:paraId="3DEF8181" w14:textId="73B288D7" w:rsidR="00F748D8" w:rsidRPr="004A2910" w:rsidRDefault="00466982" w:rsidP="00F748D8">
      <w:pPr>
        <w:ind w:firstLine="5040"/>
        <w:jc w:val="both"/>
        <w:rPr>
          <w:sz w:val="24"/>
        </w:rPr>
      </w:pPr>
      <w:r>
        <w:rPr>
          <w:sz w:val="24"/>
        </w:rPr>
        <w:t>PATRICK J. OSHIE</w:t>
      </w:r>
    </w:p>
    <w:p w14:paraId="3DEF8182" w14:textId="77777777" w:rsidR="00F748D8" w:rsidRPr="004A2910" w:rsidRDefault="00F748D8" w:rsidP="00F748D8">
      <w:pPr>
        <w:ind w:left="1440" w:firstLine="3600"/>
        <w:jc w:val="both"/>
        <w:rPr>
          <w:sz w:val="24"/>
        </w:rPr>
      </w:pPr>
      <w:r w:rsidRPr="004A2910">
        <w:rPr>
          <w:sz w:val="24"/>
        </w:rPr>
        <w:t>Assistant Attorney General</w:t>
      </w:r>
    </w:p>
    <w:p w14:paraId="3DEF8183" w14:textId="77777777" w:rsidR="00F748D8" w:rsidRPr="004A2910" w:rsidRDefault="00F748D8" w:rsidP="00F748D8">
      <w:pPr>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14:paraId="3DEF8184" w14:textId="77777777" w:rsidR="00F748D8" w:rsidRPr="004A2910" w:rsidRDefault="004F69A5" w:rsidP="00F748D8">
      <w:pPr>
        <w:ind w:left="2880" w:firstLine="2160"/>
        <w:jc w:val="both"/>
        <w:rPr>
          <w:sz w:val="24"/>
        </w:rPr>
      </w:pPr>
      <w:r>
        <w:rPr>
          <w:sz w:val="24"/>
        </w:rPr>
        <w:t>Transportation Commission</w:t>
      </w:r>
      <w:r w:rsidR="005E07C2">
        <w:rPr>
          <w:sz w:val="24"/>
        </w:rPr>
        <w:t xml:space="preserve"> Staff</w:t>
      </w:r>
    </w:p>
    <w:p w14:paraId="3DEF8185" w14:textId="77777777" w:rsidR="00F748D8" w:rsidRDefault="00F748D8"/>
    <w:sectPr w:rsidR="00F748D8" w:rsidSect="00F748D8">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4427C" w14:textId="77777777" w:rsidR="004908FC" w:rsidRDefault="004908FC">
      <w:r>
        <w:separator/>
      </w:r>
    </w:p>
  </w:endnote>
  <w:endnote w:type="continuationSeparator" w:id="0">
    <w:p w14:paraId="61516E9E" w14:textId="77777777" w:rsidR="004908FC" w:rsidRDefault="004908FC">
      <w:r>
        <w:continuationSeparator/>
      </w:r>
    </w:p>
  </w:endnote>
  <w:endnote w:type="continuationNotice" w:id="1">
    <w:p w14:paraId="0036548C" w14:textId="77777777" w:rsidR="004908FC" w:rsidRDefault="00490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F818A" w14:textId="77777777" w:rsidR="004908FC" w:rsidRDefault="004908FC">
    <w:pPr>
      <w:pStyle w:val="Footer"/>
    </w:pPr>
  </w:p>
  <w:p w14:paraId="3DEF818B" w14:textId="3964AF93" w:rsidR="004908FC" w:rsidRPr="00737B08" w:rsidRDefault="004908FC">
    <w:pPr>
      <w:pStyle w:val="Footer"/>
    </w:pPr>
    <w:r>
      <w:t xml:space="preserve">BRIEF ON BEHALF OF COMMISSION STAFF </w:t>
    </w:r>
    <w:r w:rsidRPr="00737B08">
      <w:t xml:space="preserve">-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276B08">
      <w:rPr>
        <w:rStyle w:val="PageNumber"/>
        <w:noProof/>
      </w:rPr>
      <w:t>20</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A65F2" w14:textId="77777777" w:rsidR="004908FC" w:rsidRDefault="004908FC">
      <w:r>
        <w:separator/>
      </w:r>
    </w:p>
  </w:footnote>
  <w:footnote w:type="continuationSeparator" w:id="0">
    <w:p w14:paraId="397357AA" w14:textId="77777777" w:rsidR="004908FC" w:rsidRDefault="004908FC">
      <w:r>
        <w:continuationSeparator/>
      </w:r>
    </w:p>
  </w:footnote>
  <w:footnote w:type="continuationNotice" w:id="1">
    <w:p w14:paraId="5562A749" w14:textId="77777777" w:rsidR="004908FC" w:rsidRDefault="004908FC"/>
  </w:footnote>
  <w:footnote w:id="2">
    <w:p w14:paraId="672C4568" w14:textId="1C2BDEB9" w:rsidR="004908FC" w:rsidRDefault="004908FC">
      <w:pPr>
        <w:pStyle w:val="FootnoteText"/>
      </w:pPr>
      <w:r>
        <w:rPr>
          <w:rStyle w:val="FootnoteReference"/>
        </w:rPr>
        <w:footnoteRef/>
      </w:r>
      <w:r>
        <w:t xml:space="preserve"> Tr. at 29: 10-15.</w:t>
      </w:r>
    </w:p>
  </w:footnote>
  <w:footnote w:id="3">
    <w:p w14:paraId="7EB415DC" w14:textId="58D4FEBE" w:rsidR="004908FC" w:rsidRDefault="004908FC" w:rsidP="00C05783">
      <w:pPr>
        <w:pStyle w:val="FootnoteText"/>
      </w:pPr>
      <w:r>
        <w:rPr>
          <w:rStyle w:val="FootnoteReference"/>
        </w:rPr>
        <w:footnoteRef/>
      </w:r>
      <w:r>
        <w:t xml:space="preserve"> Logan, Exh. No. LFL-1T at 2: 16-25.  The Maloney Line’s four customers are the Burlington Northern Railroad (“BNSF”), King County, General Telephone and Electronics Corporation (“GTE”) through its successor in interest Frontier Communications, and the Maloney Ridge Users Association.  </w:t>
      </w:r>
    </w:p>
  </w:footnote>
  <w:footnote w:id="4">
    <w:p w14:paraId="62AB3B5E" w14:textId="381E4B36" w:rsidR="004908FC" w:rsidRPr="001F0E91" w:rsidRDefault="004908FC">
      <w:pPr>
        <w:pStyle w:val="FootnoteText"/>
      </w:pPr>
      <w:r>
        <w:rPr>
          <w:rStyle w:val="FootnoteReference"/>
        </w:rPr>
        <w:footnoteRef/>
      </w:r>
      <w:r>
        <w:t xml:space="preserve"> </w:t>
      </w:r>
      <w:r>
        <w:rPr>
          <w:i/>
        </w:rPr>
        <w:t>Id.</w:t>
      </w:r>
      <w:r>
        <w:t xml:space="preserve"> at 4: 4-10. </w:t>
      </w:r>
    </w:p>
  </w:footnote>
  <w:footnote w:id="5">
    <w:p w14:paraId="5F632E9D" w14:textId="5DBB4C3B" w:rsidR="004908FC" w:rsidRDefault="004908FC">
      <w:pPr>
        <w:pStyle w:val="FootnoteText"/>
      </w:pPr>
      <w:r>
        <w:rPr>
          <w:rStyle w:val="FootnoteReference"/>
        </w:rPr>
        <w:footnoteRef/>
      </w:r>
      <w:r>
        <w:t xml:space="preserve"> </w:t>
      </w:r>
      <w:r w:rsidRPr="00C05783">
        <w:rPr>
          <w:i/>
        </w:rPr>
        <w:t>Id</w:t>
      </w:r>
      <w:r>
        <w:t xml:space="preserve">, at 2: 5-14. </w:t>
      </w:r>
      <w:r w:rsidRPr="00C05783">
        <w:rPr>
          <w:i/>
        </w:rPr>
        <w:t>See also</w:t>
      </w:r>
      <w:r>
        <w:t xml:space="preserve">, Logan, Exh, No. LFL-3. Exhibit 3 is a copy of the original 1971 agreement. </w:t>
      </w:r>
    </w:p>
  </w:footnote>
  <w:footnote w:id="6">
    <w:p w14:paraId="02FA99DD" w14:textId="35B3DFFF" w:rsidR="004908FC" w:rsidRDefault="004908FC">
      <w:pPr>
        <w:pStyle w:val="FootnoteText"/>
      </w:pPr>
      <w:r>
        <w:rPr>
          <w:rStyle w:val="FootnoteReference"/>
        </w:rPr>
        <w:footnoteRef/>
      </w:r>
      <w:r>
        <w:t xml:space="preserve"> </w:t>
      </w:r>
      <w:r w:rsidRPr="00D956B4">
        <w:rPr>
          <w:i/>
        </w:rPr>
        <w:t>Id</w:t>
      </w:r>
      <w:r>
        <w:t xml:space="preserve">, at 2: 9-14. </w:t>
      </w:r>
      <w:r w:rsidRPr="00D956B4">
        <w:rPr>
          <w:i/>
        </w:rPr>
        <w:t>See also</w:t>
      </w:r>
      <w:r>
        <w:t xml:space="preserve">, Logan, Exh, No. LFL-3 at </w:t>
      </w:r>
      <w:r w:rsidRPr="00016183">
        <w:t>¶¶</w:t>
      </w:r>
      <w:r>
        <w:t xml:space="preserve"> 3 and 5. </w:t>
      </w:r>
    </w:p>
  </w:footnote>
  <w:footnote w:id="7">
    <w:p w14:paraId="6BA40D84" w14:textId="49E8644D" w:rsidR="004908FC" w:rsidRPr="001F0E91" w:rsidRDefault="004908FC">
      <w:pPr>
        <w:pStyle w:val="FootnoteText"/>
      </w:pPr>
      <w:r>
        <w:rPr>
          <w:rStyle w:val="FootnoteReference"/>
        </w:rPr>
        <w:footnoteRef/>
      </w:r>
      <w:r>
        <w:t xml:space="preserve"> </w:t>
      </w:r>
      <w:r>
        <w:rPr>
          <w:i/>
        </w:rPr>
        <w:t>Id.</w:t>
      </w:r>
      <w:r>
        <w:t xml:space="preserve"> at 4: 6-9.</w:t>
      </w:r>
    </w:p>
  </w:footnote>
  <w:footnote w:id="8">
    <w:p w14:paraId="7CFE3B7C" w14:textId="6411CA98" w:rsidR="004908FC" w:rsidRPr="000110F5" w:rsidRDefault="004908FC" w:rsidP="002D1E46">
      <w:pPr>
        <w:pStyle w:val="FootnoteText"/>
      </w:pPr>
      <w:r>
        <w:rPr>
          <w:rStyle w:val="FootnoteReference"/>
        </w:rPr>
        <w:footnoteRef/>
      </w:r>
      <w:r>
        <w:t xml:space="preserve"> </w:t>
      </w:r>
      <w:r>
        <w:rPr>
          <w:i/>
        </w:rPr>
        <w:t>Id.</w:t>
      </w:r>
      <w:r>
        <w:t xml:space="preserve"> at 2: 18-19 and at 3: 6-11.</w:t>
      </w:r>
    </w:p>
  </w:footnote>
  <w:footnote w:id="9">
    <w:p w14:paraId="622DB4F5" w14:textId="1C4E73F0" w:rsidR="004908FC" w:rsidRPr="002D1E46" w:rsidRDefault="004908FC">
      <w:pPr>
        <w:pStyle w:val="FootnoteText"/>
      </w:pPr>
      <w:r>
        <w:rPr>
          <w:rStyle w:val="FootnoteReference"/>
        </w:rPr>
        <w:footnoteRef/>
      </w:r>
      <w:r>
        <w:t xml:space="preserve"> </w:t>
      </w:r>
      <w:r>
        <w:rPr>
          <w:i/>
        </w:rPr>
        <w:t xml:space="preserve">Id. </w:t>
      </w:r>
      <w:r>
        <w:t>at 2: 20-25 and at 3: 6-11.</w:t>
      </w:r>
    </w:p>
  </w:footnote>
  <w:footnote w:id="10">
    <w:p w14:paraId="522CC480" w14:textId="2E8E92C3" w:rsidR="004908FC" w:rsidRPr="0049066A" w:rsidRDefault="004908FC">
      <w:pPr>
        <w:pStyle w:val="FootnoteText"/>
      </w:pPr>
      <w:r>
        <w:rPr>
          <w:rStyle w:val="FootnoteReference"/>
        </w:rPr>
        <w:footnoteRef/>
      </w:r>
      <w:r>
        <w:t xml:space="preserve"> </w:t>
      </w:r>
      <w:r>
        <w:rPr>
          <w:i/>
        </w:rPr>
        <w:t>Id.</w:t>
      </w:r>
      <w:r>
        <w:t xml:space="preserve"> at 3: 17-18.  </w:t>
      </w:r>
      <w:r w:rsidRPr="0049066A">
        <w:t xml:space="preserve">Electric demand refers to the maximum amount of electrical energy that is being consumed </w:t>
      </w:r>
      <w:r>
        <w:t xml:space="preserve">by a customer </w:t>
      </w:r>
      <w:r w:rsidRPr="0049066A">
        <w:t>at a given time.  </w:t>
      </w:r>
    </w:p>
  </w:footnote>
  <w:footnote w:id="11">
    <w:p w14:paraId="6AD712DF" w14:textId="7D875FA6" w:rsidR="004908FC" w:rsidRDefault="004908FC">
      <w:pPr>
        <w:pStyle w:val="FootnoteText"/>
      </w:pPr>
      <w:r>
        <w:rPr>
          <w:rStyle w:val="FootnoteReference"/>
        </w:rPr>
        <w:footnoteRef/>
      </w:r>
      <w:r>
        <w:t xml:space="preserve"> </w:t>
      </w:r>
      <w:r w:rsidRPr="00BA204E">
        <w:rPr>
          <w:i/>
        </w:rPr>
        <w:t>See</w:t>
      </w:r>
      <w:r>
        <w:t xml:space="preserve"> RCW 80.28.080(1)(a). </w:t>
      </w:r>
    </w:p>
  </w:footnote>
  <w:footnote w:id="12">
    <w:p w14:paraId="67416752" w14:textId="264CC0A9" w:rsidR="004908FC" w:rsidRDefault="004908FC" w:rsidP="008A7D02">
      <w:pPr>
        <w:pStyle w:val="FootnoteText"/>
      </w:pPr>
      <w:r>
        <w:rPr>
          <w:rStyle w:val="FootnoteReference"/>
        </w:rPr>
        <w:footnoteRef/>
      </w:r>
      <w:r>
        <w:t xml:space="preserve"> Nightingale, Exh. No. DN-1T at 11: 23-24. See also, Tr. at 57: 1-8.</w:t>
      </w:r>
    </w:p>
  </w:footnote>
  <w:footnote w:id="13">
    <w:p w14:paraId="5325AABA" w14:textId="6987E12B" w:rsidR="004908FC" w:rsidRDefault="004908FC" w:rsidP="008A7D02">
      <w:pPr>
        <w:pStyle w:val="FootnoteText"/>
      </w:pPr>
      <w:r>
        <w:rPr>
          <w:rStyle w:val="FootnoteReference"/>
        </w:rPr>
        <w:footnoteRef/>
      </w:r>
      <w:r>
        <w:t xml:space="preserve"> Sanders, Exh. No. JMS-1T at 3: 17-20.</w:t>
      </w:r>
    </w:p>
  </w:footnote>
  <w:footnote w:id="14">
    <w:p w14:paraId="67138EAA" w14:textId="77777777" w:rsidR="004908FC" w:rsidRDefault="004908FC" w:rsidP="008A7D02">
      <w:pPr>
        <w:pStyle w:val="FootnoteText"/>
      </w:pPr>
      <w:r>
        <w:rPr>
          <w:rStyle w:val="FootnoteReference"/>
        </w:rPr>
        <w:footnoteRef/>
      </w:r>
      <w:r>
        <w:t xml:space="preserve"> Sanders, Exh. No. JMS-1T at 4: 7-10.</w:t>
      </w:r>
    </w:p>
  </w:footnote>
  <w:footnote w:id="15">
    <w:p w14:paraId="78760ED4" w14:textId="1C090CDA" w:rsidR="004908FC" w:rsidRDefault="004908FC">
      <w:pPr>
        <w:pStyle w:val="FootnoteText"/>
      </w:pPr>
      <w:r>
        <w:rPr>
          <w:rStyle w:val="FootnoteReference"/>
        </w:rPr>
        <w:footnoteRef/>
      </w:r>
      <w:r>
        <w:t xml:space="preserve"> Docket UE-141335, </w:t>
      </w:r>
      <w:r w:rsidRPr="007C2B66">
        <w:rPr>
          <w:i/>
        </w:rPr>
        <w:t>PETITION FOR DECLARATORY ORDER</w:t>
      </w:r>
      <w:r>
        <w:t xml:space="preserve">, at </w:t>
      </w:r>
      <w:r w:rsidRPr="00016183">
        <w:t>¶</w:t>
      </w:r>
      <w:r>
        <w:t xml:space="preserve"> 53(d). </w:t>
      </w:r>
    </w:p>
  </w:footnote>
  <w:footnote w:id="16">
    <w:p w14:paraId="2A32B3C5" w14:textId="127102D5" w:rsidR="004908FC" w:rsidRPr="00386D6C" w:rsidRDefault="004908FC">
      <w:pPr>
        <w:pStyle w:val="FootnoteText"/>
      </w:pPr>
      <w:r>
        <w:rPr>
          <w:rStyle w:val="FootnoteReference"/>
        </w:rPr>
        <w:footnoteRef/>
      </w:r>
      <w:r>
        <w:t xml:space="preserve"> </w:t>
      </w:r>
      <w:r>
        <w:rPr>
          <w:i/>
        </w:rPr>
        <w:t xml:space="preserve">Id. </w:t>
      </w:r>
      <w:r w:rsidRPr="00BA204E">
        <w:t>at</w:t>
      </w:r>
      <w:r>
        <w:rPr>
          <w:i/>
        </w:rPr>
        <w:t xml:space="preserve"> </w:t>
      </w:r>
      <w:r w:rsidRPr="00386D6C">
        <w:t>¶ 53</w:t>
      </w:r>
      <w:r>
        <w:t>(e)</w:t>
      </w:r>
      <w:r w:rsidRPr="00386D6C">
        <w:t xml:space="preserve">.  </w:t>
      </w:r>
    </w:p>
  </w:footnote>
  <w:footnote w:id="17">
    <w:p w14:paraId="59BC7E88" w14:textId="44576945" w:rsidR="004908FC" w:rsidRDefault="004908FC">
      <w:pPr>
        <w:pStyle w:val="FootnoteText"/>
      </w:pPr>
      <w:r>
        <w:rPr>
          <w:rStyle w:val="FootnoteReference"/>
        </w:rPr>
        <w:footnoteRef/>
      </w:r>
      <w:r>
        <w:t xml:space="preserve"> Sanders, Exh. No. JMS-1T at 2: 11-16.</w:t>
      </w:r>
    </w:p>
  </w:footnote>
  <w:footnote w:id="18">
    <w:p w14:paraId="2FF9008D" w14:textId="6F5F08FA" w:rsidR="004908FC" w:rsidRPr="007E505B" w:rsidRDefault="004908FC">
      <w:pPr>
        <w:pStyle w:val="FootnoteText"/>
      </w:pPr>
      <w:r>
        <w:rPr>
          <w:rStyle w:val="FootnoteReference"/>
        </w:rPr>
        <w:footnoteRef/>
      </w:r>
      <w:r>
        <w:t xml:space="preserve"> Sanders, Exh. No. JMS-1T</w:t>
      </w:r>
      <w:r>
        <w:rPr>
          <w:i/>
        </w:rPr>
        <w:t xml:space="preserve"> </w:t>
      </w:r>
      <w:r>
        <w:t>at 3: 5-7.</w:t>
      </w:r>
      <w:r w:rsidRPr="00D346C4">
        <w:rPr>
          <w:i/>
        </w:rPr>
        <w:t xml:space="preserve"> </w:t>
      </w:r>
      <w:r w:rsidRPr="00B03B69">
        <w:rPr>
          <w:i/>
        </w:rPr>
        <w:t>See also</w:t>
      </w:r>
      <w:r>
        <w:t>, Logan, TR, at 34: 23-24.</w:t>
      </w:r>
    </w:p>
  </w:footnote>
  <w:footnote w:id="19">
    <w:p w14:paraId="41DD2E5E" w14:textId="2F5ACB41" w:rsidR="004908FC" w:rsidRDefault="004908FC">
      <w:pPr>
        <w:pStyle w:val="FootnoteText"/>
      </w:pPr>
      <w:r>
        <w:rPr>
          <w:rStyle w:val="FootnoteReference"/>
        </w:rPr>
        <w:footnoteRef/>
      </w:r>
      <w:r>
        <w:t xml:space="preserve"> </w:t>
      </w:r>
      <w:r w:rsidRPr="005B0A40">
        <w:rPr>
          <w:i/>
        </w:rPr>
        <w:t>See</w:t>
      </w:r>
      <w:r>
        <w:t xml:space="preserve"> revised Exh. No. LFL-9T at 7:3 and TR 26: 10-18.  </w:t>
      </w:r>
    </w:p>
  </w:footnote>
  <w:footnote w:id="20">
    <w:p w14:paraId="581FFD98" w14:textId="0AED272E" w:rsidR="004908FC" w:rsidRDefault="004908FC">
      <w:pPr>
        <w:pStyle w:val="FootnoteText"/>
      </w:pPr>
      <w:r>
        <w:rPr>
          <w:rStyle w:val="FootnoteReference"/>
        </w:rPr>
        <w:footnoteRef/>
      </w:r>
      <w:r>
        <w:t xml:space="preserve"> To be clear, the Petitioners also take service under Schedule 24 and as such, would be allocated a small amount of these costs. </w:t>
      </w:r>
    </w:p>
  </w:footnote>
  <w:footnote w:id="21">
    <w:p w14:paraId="6F35810E" w14:textId="7D89736B" w:rsidR="004908FC" w:rsidRDefault="004908FC">
      <w:pPr>
        <w:pStyle w:val="FootnoteText"/>
      </w:pPr>
      <w:r>
        <w:rPr>
          <w:rStyle w:val="FootnoteReference"/>
        </w:rPr>
        <w:footnoteRef/>
      </w:r>
      <w:r>
        <w:t xml:space="preserve"> The Petitioners demand that PSE replace the Maloney Line and include its costs in general rates. Staff assumes that under this circumstance the replacement line would be treated as other PSE-owned distribution facilities for ratemaking purposes. Therefore, the repair and maintenance costs would be included in the general rates paid under Schedule 24.  </w:t>
      </w:r>
    </w:p>
  </w:footnote>
  <w:footnote w:id="22">
    <w:p w14:paraId="3C341E4C" w14:textId="04DCCEF9" w:rsidR="004908FC" w:rsidRDefault="004908FC">
      <w:pPr>
        <w:pStyle w:val="FootnoteText"/>
      </w:pPr>
      <w:r>
        <w:rPr>
          <w:rStyle w:val="FootnoteReference"/>
        </w:rPr>
        <w:footnoteRef/>
      </w:r>
      <w:r>
        <w:t xml:space="preserve"> Ball, Exh. No. JLB-2Cr (Revised June 8, 2015) at 1: 8-11 and at 6: 13-16, citing to Figures 1 and 2 at 7.</w:t>
      </w:r>
    </w:p>
  </w:footnote>
  <w:footnote w:id="23">
    <w:p w14:paraId="5223BD0B" w14:textId="77777777" w:rsidR="004908FC" w:rsidRDefault="004908FC" w:rsidP="00AB0E55">
      <w:pPr>
        <w:pStyle w:val="FootnoteText"/>
      </w:pPr>
      <w:r>
        <w:rPr>
          <w:rStyle w:val="FootnoteReference"/>
        </w:rPr>
        <w:footnoteRef/>
      </w:r>
      <w:r>
        <w:t xml:space="preserve"> Ball, Exh. No. JLB-1Tr at 3: 8-10.</w:t>
      </w:r>
    </w:p>
  </w:footnote>
  <w:footnote w:id="24">
    <w:p w14:paraId="4C7890EA" w14:textId="77777777" w:rsidR="004908FC" w:rsidRDefault="004908FC" w:rsidP="007542DC">
      <w:pPr>
        <w:pStyle w:val="FootnoteText"/>
      </w:pPr>
      <w:r>
        <w:rPr>
          <w:rStyle w:val="FootnoteReference"/>
        </w:rPr>
        <w:footnoteRef/>
      </w:r>
      <w:r>
        <w:t xml:space="preserve"> Ball, Exh. No. JLB-1Tr at 5: 8-12.</w:t>
      </w:r>
    </w:p>
  </w:footnote>
  <w:footnote w:id="25">
    <w:p w14:paraId="6EA02053" w14:textId="52174619" w:rsidR="004908FC" w:rsidRDefault="004908FC">
      <w:pPr>
        <w:pStyle w:val="FootnoteText"/>
      </w:pPr>
      <w:r>
        <w:rPr>
          <w:rStyle w:val="FootnoteReference"/>
        </w:rPr>
        <w:footnoteRef/>
      </w:r>
      <w:r>
        <w:t xml:space="preserve"> Ball, Exh. No. JLB-1Tr at 8: 15-21.</w:t>
      </w:r>
    </w:p>
  </w:footnote>
  <w:footnote w:id="26">
    <w:p w14:paraId="7BC095F1" w14:textId="42142129" w:rsidR="004908FC" w:rsidRDefault="004908FC" w:rsidP="00AB0E55">
      <w:pPr>
        <w:pStyle w:val="FootnoteText"/>
      </w:pPr>
      <w:r>
        <w:rPr>
          <w:rStyle w:val="FootnoteReference"/>
        </w:rPr>
        <w:footnoteRef/>
      </w:r>
      <w:r>
        <w:t xml:space="preserve"> Ball, Exh. No. JLB-1Tr at 6: 7-8.  The expected useful life of the project is 35 years, based on PSE’s response to Staff’s data request No. 009. See footnote 2 therein.</w:t>
      </w:r>
    </w:p>
  </w:footnote>
  <w:footnote w:id="27">
    <w:p w14:paraId="264544C0" w14:textId="58596B5F" w:rsidR="004908FC" w:rsidRDefault="004908FC" w:rsidP="00AB0E55">
      <w:pPr>
        <w:pStyle w:val="FootnoteText"/>
      </w:pPr>
      <w:r>
        <w:rPr>
          <w:rStyle w:val="FootnoteReference"/>
        </w:rPr>
        <w:footnoteRef/>
      </w:r>
      <w:r>
        <w:t xml:space="preserve"> Ball, Exh. No. JLB-2Cr (Revised June 8, 2015) at 1: 8-11 and at 6: 13-16, citing to Figures 1 and 2 at 7. </w:t>
      </w:r>
    </w:p>
  </w:footnote>
  <w:footnote w:id="28">
    <w:p w14:paraId="4A6B3983" w14:textId="669D889D" w:rsidR="004908FC" w:rsidRDefault="004908FC" w:rsidP="00AB0E55">
      <w:pPr>
        <w:pStyle w:val="FootnoteText"/>
      </w:pPr>
      <w:r>
        <w:rPr>
          <w:rStyle w:val="FootnoteReference"/>
        </w:rPr>
        <w:footnoteRef/>
      </w:r>
      <w:r>
        <w:t xml:space="preserve"> Ball, Exh. No. JLB-1Tr at 2: 20-23. </w:t>
      </w:r>
    </w:p>
  </w:footnote>
  <w:footnote w:id="29">
    <w:p w14:paraId="3A68A9BD" w14:textId="0BE0D690" w:rsidR="004908FC" w:rsidRDefault="004908FC">
      <w:pPr>
        <w:pStyle w:val="FootnoteText"/>
      </w:pPr>
      <w:r>
        <w:rPr>
          <w:rStyle w:val="FootnoteReference"/>
        </w:rPr>
        <w:footnoteRef/>
      </w:r>
      <w:r>
        <w:t xml:space="preserve"> The Service Agreements were executed in 1994 and 1995. To Staff’s knowledge, no similar agreements have been executed by PSE and other entities taking service on Maloney Ridge. </w:t>
      </w:r>
    </w:p>
  </w:footnote>
  <w:footnote w:id="30">
    <w:p w14:paraId="0E8A4689" w14:textId="2BADF067" w:rsidR="004908FC" w:rsidRDefault="004908FC" w:rsidP="00AB0E55">
      <w:pPr>
        <w:pStyle w:val="FootnoteText"/>
      </w:pPr>
      <w:r>
        <w:rPr>
          <w:rStyle w:val="FootnoteReference"/>
        </w:rPr>
        <w:footnoteRef/>
      </w:r>
      <w:r>
        <w:t xml:space="preserve"> Ball, Exh. No. JLB-1Tr at 5: 12-13.</w:t>
      </w:r>
    </w:p>
  </w:footnote>
  <w:footnote w:id="31">
    <w:p w14:paraId="69C0B77B" w14:textId="50889365" w:rsidR="004908FC" w:rsidRDefault="004908FC" w:rsidP="00AB0E55">
      <w:pPr>
        <w:pStyle w:val="FootnoteText"/>
      </w:pPr>
      <w:r>
        <w:rPr>
          <w:rStyle w:val="FootnoteReference"/>
        </w:rPr>
        <w:footnoteRef/>
      </w:r>
      <w:r>
        <w:t xml:space="preserve"> Ball, Exh. No. JLB-2Cr at 1: 15. </w:t>
      </w:r>
    </w:p>
  </w:footnote>
  <w:footnote w:id="32">
    <w:p w14:paraId="214BCEFD" w14:textId="77777777" w:rsidR="004908FC" w:rsidRDefault="004908FC" w:rsidP="00AB0E55">
      <w:pPr>
        <w:pStyle w:val="FootnoteText"/>
      </w:pPr>
      <w:r>
        <w:rPr>
          <w:rStyle w:val="FootnoteReference"/>
        </w:rPr>
        <w:footnoteRef/>
      </w:r>
      <w:r>
        <w:t xml:space="preserve"> Ball, Exh. No. JLB-1Tr at 6: 11-13. </w:t>
      </w:r>
    </w:p>
  </w:footnote>
  <w:footnote w:id="33">
    <w:p w14:paraId="74508990" w14:textId="77777777" w:rsidR="004908FC" w:rsidRDefault="004908FC" w:rsidP="00AB0E55">
      <w:pPr>
        <w:pStyle w:val="FootnoteText"/>
      </w:pPr>
      <w:r>
        <w:rPr>
          <w:rStyle w:val="FootnoteReference"/>
        </w:rPr>
        <w:footnoteRef/>
      </w:r>
      <w:r>
        <w:t xml:space="preserve"> Ball, Exh. No. JLB-1Tr at 5: 16-17. </w:t>
      </w:r>
    </w:p>
  </w:footnote>
  <w:footnote w:id="34">
    <w:p w14:paraId="50BA485B" w14:textId="77777777" w:rsidR="004908FC" w:rsidRDefault="004908FC" w:rsidP="00AB0E55">
      <w:pPr>
        <w:pStyle w:val="FootnoteText"/>
      </w:pPr>
      <w:r>
        <w:rPr>
          <w:rStyle w:val="FootnoteReference"/>
        </w:rPr>
        <w:footnoteRef/>
      </w:r>
      <w:r>
        <w:t xml:space="preserve"> Sanders, JMS-1T at 3: 5-6. </w:t>
      </w:r>
    </w:p>
  </w:footnote>
  <w:footnote w:id="35">
    <w:p w14:paraId="1576AC65" w14:textId="51FED0D5" w:rsidR="004908FC" w:rsidRDefault="004908FC" w:rsidP="00AB0E55">
      <w:pPr>
        <w:pStyle w:val="FootnoteText"/>
      </w:pPr>
      <w:r>
        <w:rPr>
          <w:rStyle w:val="FootnoteReference"/>
        </w:rPr>
        <w:footnoteRef/>
      </w:r>
      <w:r>
        <w:t xml:space="preserve"> Sanders, JMS-1T at 3: 7-9. </w:t>
      </w:r>
    </w:p>
  </w:footnote>
  <w:footnote w:id="36">
    <w:p w14:paraId="04C0504C" w14:textId="77777777" w:rsidR="004908FC" w:rsidRDefault="004908FC" w:rsidP="00AB0E55">
      <w:pPr>
        <w:pStyle w:val="FootnoteText"/>
      </w:pPr>
      <w:r>
        <w:rPr>
          <w:rStyle w:val="FootnoteReference"/>
        </w:rPr>
        <w:footnoteRef/>
      </w:r>
      <w:r>
        <w:t xml:space="preserve"> Nightingale, Exh. No. DN-1T at 2, Figure 1.</w:t>
      </w:r>
    </w:p>
  </w:footnote>
  <w:footnote w:id="37">
    <w:p w14:paraId="35DA4DE2" w14:textId="1A857E76" w:rsidR="004908FC" w:rsidRDefault="004908FC">
      <w:pPr>
        <w:pStyle w:val="FootnoteText"/>
      </w:pPr>
      <w:r>
        <w:rPr>
          <w:rStyle w:val="FootnoteReference"/>
        </w:rPr>
        <w:footnoteRef/>
      </w:r>
      <w:r>
        <w:t xml:space="preserve"> Ball, Exh. No. JLB-2Cr at 1: 4. </w:t>
      </w:r>
    </w:p>
  </w:footnote>
  <w:footnote w:id="38">
    <w:p w14:paraId="353B45C1" w14:textId="11560B2D" w:rsidR="004908FC" w:rsidRDefault="004908FC">
      <w:pPr>
        <w:pStyle w:val="FootnoteText"/>
      </w:pPr>
      <w:r>
        <w:rPr>
          <w:rStyle w:val="FootnoteReference"/>
        </w:rPr>
        <w:footnoteRef/>
      </w:r>
      <w:r>
        <w:t xml:space="preserve"> Gorman, Exh. No. MPG-6T at 11: 9-16.</w:t>
      </w:r>
    </w:p>
  </w:footnote>
  <w:footnote w:id="39">
    <w:p w14:paraId="14DFDDA8" w14:textId="4517CAA1" w:rsidR="004908FC" w:rsidRDefault="004908FC" w:rsidP="00324BFD">
      <w:pPr>
        <w:pStyle w:val="FootnoteText"/>
      </w:pPr>
      <w:r>
        <w:rPr>
          <w:rStyle w:val="FootnoteReference"/>
        </w:rPr>
        <w:footnoteRef/>
      </w:r>
      <w:r>
        <w:t xml:space="preserve"> </w:t>
      </w:r>
      <w:r w:rsidRPr="00087895">
        <w:rPr>
          <w:i/>
        </w:rPr>
        <w:t>Gen. Tel. Co. of the Northwest, Inc. v. City of Bothell</w:t>
      </w:r>
      <w:r w:rsidRPr="00087895">
        <w:t>, 105 Wn.2</w:t>
      </w:r>
      <w:r>
        <w:t xml:space="preserve">d 579, 585, 716 P.2d 879 (1986).  See also </w:t>
      </w:r>
    </w:p>
  </w:footnote>
  <w:footnote w:id="40">
    <w:p w14:paraId="200D1718" w14:textId="085C527B" w:rsidR="004908FC" w:rsidRPr="00714724" w:rsidRDefault="004908FC" w:rsidP="00727BC1">
      <w:pPr>
        <w:pStyle w:val="FootnoteText"/>
      </w:pPr>
      <w:r>
        <w:rPr>
          <w:rStyle w:val="FootnoteReference"/>
        </w:rPr>
        <w:footnoteRef/>
      </w:r>
      <w:r>
        <w:t xml:space="preserve"> </w:t>
      </w:r>
      <w:r w:rsidRPr="004C1998">
        <w:rPr>
          <w:i/>
        </w:rPr>
        <w:t>See</w:t>
      </w:r>
      <w:r>
        <w:t xml:space="preserve"> RCW 80.28.080(1)(a). The applicable language is as follows:  No … electric company … </w:t>
      </w:r>
      <w:r w:rsidRPr="00714724">
        <w:t>may charge, demand, collect or receive a greater or less or different compensation for any service rendered or to be rendered than the rates and charges applicable to such service as specified in its schedule filed and in effect at the time</w:t>
      </w:r>
      <w:r>
        <w:t xml:space="preserve"> ….” </w:t>
      </w:r>
    </w:p>
  </w:footnote>
  <w:footnote w:id="41">
    <w:p w14:paraId="7977783A" w14:textId="038ED158" w:rsidR="004908FC" w:rsidRDefault="004908FC">
      <w:pPr>
        <w:pStyle w:val="FootnoteText"/>
      </w:pPr>
      <w:r>
        <w:rPr>
          <w:rStyle w:val="FootnoteReference"/>
        </w:rPr>
        <w:footnoteRef/>
      </w:r>
      <w:r>
        <w:t xml:space="preserve"> </w:t>
      </w:r>
      <w:r w:rsidRPr="004C1998">
        <w:rPr>
          <w:i/>
        </w:rPr>
        <w:t>See</w:t>
      </w:r>
      <w:r>
        <w:t xml:space="preserve"> RCW 80.28.090. </w:t>
      </w:r>
    </w:p>
  </w:footnote>
  <w:footnote w:id="42">
    <w:p w14:paraId="3A3C73C9" w14:textId="129B3FF8" w:rsidR="004908FC" w:rsidRPr="008001AE" w:rsidRDefault="004908FC">
      <w:pPr>
        <w:pStyle w:val="FootnoteText"/>
      </w:pPr>
      <w:r>
        <w:rPr>
          <w:rStyle w:val="FootnoteReference"/>
        </w:rPr>
        <w:footnoteRef/>
      </w:r>
      <w:r>
        <w:t xml:space="preserve"> Nightingale, Exh. No. DN-1T at 8: 16-18 and 10: 11-15.</w:t>
      </w:r>
    </w:p>
  </w:footnote>
  <w:footnote w:id="43">
    <w:p w14:paraId="677F5ACC" w14:textId="00D19297" w:rsidR="004908FC" w:rsidRPr="001B05F7" w:rsidRDefault="004908FC">
      <w:pPr>
        <w:pStyle w:val="FootnoteText"/>
      </w:pPr>
      <w:r>
        <w:rPr>
          <w:rStyle w:val="FootnoteReference"/>
        </w:rPr>
        <w:footnoteRef/>
      </w:r>
      <w:r>
        <w:t xml:space="preserve"> </w:t>
      </w:r>
      <w:r w:rsidRPr="001B05F7">
        <w:rPr>
          <w:i/>
        </w:rPr>
        <w:t>See</w:t>
      </w:r>
      <w:r>
        <w:t xml:space="preserve"> </w:t>
      </w:r>
      <w:hyperlink r:id="rId1" w:history="1">
        <w:r w:rsidRPr="00083C00">
          <w:rPr>
            <w:rStyle w:val="Hyperlink"/>
          </w:rPr>
          <w:t>http://pse.com/aboutpse/Rates/Documents/elec_sch_085.pdf</w:t>
        </w:r>
      </w:hyperlink>
      <w:r>
        <w:t>.</w:t>
      </w:r>
    </w:p>
  </w:footnote>
  <w:footnote w:id="44">
    <w:p w14:paraId="1A35985D" w14:textId="267389FC" w:rsidR="004908FC" w:rsidRDefault="004908FC">
      <w:pPr>
        <w:pStyle w:val="FootnoteText"/>
      </w:pPr>
      <w:r>
        <w:rPr>
          <w:rStyle w:val="FootnoteReference"/>
        </w:rPr>
        <w:footnoteRef/>
      </w:r>
      <w:r>
        <w:t xml:space="preserve"> Nightingale, Exh. No. DN-1T at 10: 1-2. </w:t>
      </w:r>
    </w:p>
  </w:footnote>
  <w:footnote w:id="45">
    <w:p w14:paraId="6092891C" w14:textId="1E765893" w:rsidR="004908FC" w:rsidRDefault="004908FC" w:rsidP="00154072">
      <w:pPr>
        <w:pStyle w:val="FootnoteText"/>
      </w:pPr>
      <w:r>
        <w:rPr>
          <w:rStyle w:val="FootnoteReference"/>
        </w:rPr>
        <w:footnoteRef/>
      </w:r>
      <w:r>
        <w:t xml:space="preserve"> Logan, Exh. No. LFL-7 at 3, 4 and 5.  </w:t>
      </w:r>
      <w:r w:rsidRPr="001B05F7">
        <w:rPr>
          <w:i/>
        </w:rPr>
        <w:t>See also</w:t>
      </w:r>
      <w:r>
        <w:t xml:space="preserve"> </w:t>
      </w:r>
      <w:r w:rsidRPr="001B05F7">
        <w:t>http://pse.com/aboutpse/Rates/Documents/elec_sch_080.pdf</w:t>
      </w:r>
    </w:p>
  </w:footnote>
  <w:footnote w:id="46">
    <w:p w14:paraId="12BDEB4A" w14:textId="081E4AFB" w:rsidR="004908FC" w:rsidRPr="009C202C" w:rsidRDefault="004908FC">
      <w:pPr>
        <w:pStyle w:val="FootnoteText"/>
      </w:pPr>
      <w:r>
        <w:rPr>
          <w:rStyle w:val="FootnoteReference"/>
        </w:rPr>
        <w:footnoteRef/>
      </w:r>
      <w:r>
        <w:t xml:space="preserve"> Logan, Exh. No. LFL- 1T at 4: 14.</w:t>
      </w:r>
    </w:p>
  </w:footnote>
  <w:footnote w:id="47">
    <w:p w14:paraId="12A03307" w14:textId="360E9653" w:rsidR="004908FC" w:rsidRDefault="004908FC">
      <w:pPr>
        <w:pStyle w:val="FootnoteText"/>
      </w:pPr>
      <w:r>
        <w:rPr>
          <w:rStyle w:val="FootnoteReference"/>
        </w:rPr>
        <w:footnoteRef/>
      </w:r>
      <w:r>
        <w:t xml:space="preserve"> Nightingale, Exh. No. DN-1T at 9: 4-6.  </w:t>
      </w:r>
      <w:r w:rsidRPr="00B92CFA">
        <w:rPr>
          <w:i/>
        </w:rPr>
        <w:t>See also</w:t>
      </w:r>
      <w:r>
        <w:t xml:space="preserve"> Logan, Exh. No. LFL-7 at 1, last sentence in paragraph 9 therein. </w:t>
      </w:r>
    </w:p>
  </w:footnote>
  <w:footnote w:id="48">
    <w:p w14:paraId="776C0C00" w14:textId="0594F579" w:rsidR="004908FC" w:rsidRDefault="004908FC">
      <w:pPr>
        <w:pStyle w:val="FootnoteText"/>
      </w:pPr>
      <w:r>
        <w:rPr>
          <w:rStyle w:val="FootnoteReference"/>
        </w:rPr>
        <w:footnoteRef/>
      </w:r>
      <w:r>
        <w:t xml:space="preserve"> PSE’s Statement of Fact and Law, Sanders Decl. at </w:t>
      </w:r>
      <w:r w:rsidRPr="00016183">
        <w:t>¶</w:t>
      </w:r>
      <w:r>
        <w:t xml:space="preserve"> 3.</w:t>
      </w:r>
    </w:p>
  </w:footnote>
  <w:footnote w:id="49">
    <w:p w14:paraId="0D1E3D1C" w14:textId="68A9B781" w:rsidR="004908FC" w:rsidRPr="00DA155D" w:rsidRDefault="004908FC">
      <w:pPr>
        <w:pStyle w:val="FootnoteText"/>
      </w:pPr>
      <w:r>
        <w:rPr>
          <w:rStyle w:val="FootnoteReference"/>
        </w:rPr>
        <w:footnoteRef/>
      </w:r>
      <w:r>
        <w:t xml:space="preserve"> Logan, Exh. No. LFL-1T at 8: 1-2.  </w:t>
      </w:r>
      <w:r>
        <w:rPr>
          <w:i/>
        </w:rPr>
        <w:t>See</w:t>
      </w:r>
      <w:r w:rsidRPr="00DA155D">
        <w:rPr>
          <w:i/>
        </w:rPr>
        <w:t xml:space="preserve"> also</w:t>
      </w:r>
      <w:r>
        <w:t xml:space="preserve"> Nightingale, DN-1T at 10: 18-22 and 8: 1-4.</w:t>
      </w:r>
    </w:p>
  </w:footnote>
  <w:footnote w:id="50">
    <w:p w14:paraId="7AB4F1F5" w14:textId="2A1ED6C1" w:rsidR="004908FC" w:rsidRPr="00C07748" w:rsidRDefault="004908FC">
      <w:pPr>
        <w:pStyle w:val="FootnoteText"/>
      </w:pPr>
      <w:r>
        <w:rPr>
          <w:rStyle w:val="FootnoteReference"/>
        </w:rPr>
        <w:footnoteRef/>
      </w:r>
      <w:r>
        <w:t xml:space="preserve"> Logan, Exh. No. LFL-1T at 8: 1-5. See also Ball, Exh. No. JLB-2Cr at 1: 4</w:t>
      </w:r>
    </w:p>
  </w:footnote>
  <w:footnote w:id="51">
    <w:p w14:paraId="65E7FCDF" w14:textId="15718B63" w:rsidR="004908FC" w:rsidRDefault="004908FC">
      <w:pPr>
        <w:pStyle w:val="FootnoteText"/>
      </w:pPr>
      <w:r>
        <w:rPr>
          <w:rStyle w:val="FootnoteReference"/>
        </w:rPr>
        <w:footnoteRef/>
      </w:r>
      <w:r>
        <w:t xml:space="preserve"> Nightingale, Exh. DN-1T at 11: 1-8.</w:t>
      </w:r>
    </w:p>
  </w:footnote>
  <w:footnote w:id="52">
    <w:p w14:paraId="6E09DE77" w14:textId="69DB0102" w:rsidR="004908FC" w:rsidRDefault="004908FC">
      <w:pPr>
        <w:pStyle w:val="FootnoteText"/>
      </w:pPr>
      <w:r>
        <w:rPr>
          <w:rStyle w:val="FootnoteReference"/>
        </w:rPr>
        <w:footnoteRef/>
      </w:r>
      <w:r>
        <w:t xml:space="preserve"> Gorman, Exh. No. MPG-1T at 10: 9-11. </w:t>
      </w:r>
    </w:p>
  </w:footnote>
  <w:footnote w:id="53">
    <w:p w14:paraId="1CC4DAAD" w14:textId="05945665" w:rsidR="004908FC" w:rsidRPr="00EB2B19" w:rsidRDefault="004908FC" w:rsidP="00F45536">
      <w:pPr>
        <w:rPr>
          <w:szCs w:val="20"/>
        </w:rPr>
      </w:pPr>
      <w:r w:rsidRPr="00EB2B19">
        <w:rPr>
          <w:rStyle w:val="FootnoteReference"/>
          <w:szCs w:val="20"/>
        </w:rPr>
        <w:footnoteRef/>
      </w:r>
      <w:r w:rsidRPr="00EB2B19">
        <w:rPr>
          <w:szCs w:val="20"/>
        </w:rPr>
        <w:t xml:space="preserve"> </w:t>
      </w:r>
      <w:r w:rsidRPr="00EB2B19">
        <w:rPr>
          <w:i/>
          <w:szCs w:val="20"/>
        </w:rPr>
        <w:t xml:space="preserve">City of </w:t>
      </w:r>
      <w:smartTag w:uri="urn:schemas-microsoft-com:office:smarttags" w:element="place">
        <w:smartTag w:uri="urn:schemas-microsoft-com:office:smarttags" w:element="City">
          <w:r w:rsidRPr="00EB2B19">
            <w:rPr>
              <w:i/>
              <w:szCs w:val="20"/>
            </w:rPr>
            <w:t>SeaTac</w:t>
          </w:r>
        </w:smartTag>
      </w:smartTag>
      <w:r w:rsidRPr="00EB2B19">
        <w:rPr>
          <w:i/>
          <w:szCs w:val="20"/>
        </w:rPr>
        <w:t>, et al. v. Puget Sound Energy, Inc.</w:t>
      </w:r>
      <w:r w:rsidRPr="00EB2B19">
        <w:rPr>
          <w:szCs w:val="20"/>
        </w:rPr>
        <w:t xml:space="preserve">, Third Suppl. Order at ¶ 13, Docket Nos. UE-010891 and UE-011027 (January 28, 2002).  </w:t>
      </w:r>
      <w:r w:rsidRPr="00EB2B19">
        <w:rPr>
          <w:i/>
          <w:szCs w:val="20"/>
        </w:rPr>
        <w:t>See also</w:t>
      </w:r>
      <w:r w:rsidRPr="00EB2B19">
        <w:rPr>
          <w:szCs w:val="20"/>
        </w:rPr>
        <w:t xml:space="preserve">, </w:t>
      </w:r>
      <w:r w:rsidRPr="00EB2B19">
        <w:rPr>
          <w:i/>
          <w:szCs w:val="20"/>
        </w:rPr>
        <w:t xml:space="preserve">City of </w:t>
      </w:r>
      <w:smartTag w:uri="urn:schemas-microsoft-com:office:smarttags" w:element="place">
        <w:smartTag w:uri="urn:schemas-microsoft-com:office:smarttags" w:element="City">
          <w:r w:rsidRPr="00EB2B19">
            <w:rPr>
              <w:i/>
              <w:szCs w:val="20"/>
            </w:rPr>
            <w:t>Kent</w:t>
          </w:r>
        </w:smartTag>
      </w:smartTag>
      <w:r w:rsidRPr="00EB2B19">
        <w:rPr>
          <w:i/>
          <w:szCs w:val="20"/>
        </w:rPr>
        <w:t>, et al. v. Puget Sound Energy, Inc.</w:t>
      </w:r>
      <w:r w:rsidRPr="00EB2B19">
        <w:rPr>
          <w:szCs w:val="20"/>
        </w:rPr>
        <w:t>, Third Suppl. Order at ¶ 17, Docket Nos. UE-010778 and UE-010911 (January 28, 2002)</w:t>
      </w:r>
      <w:r>
        <w:rPr>
          <w:szCs w:val="20"/>
        </w:rPr>
        <w:t xml:space="preserve"> and </w:t>
      </w:r>
      <w:r>
        <w:rPr>
          <w:i/>
        </w:rPr>
        <w:t>Air Liquide America Corp. v. Puget Sound Energy, Inc.</w:t>
      </w:r>
      <w:r>
        <w:t>, Docket No. UE</w:t>
      </w:r>
      <w:r>
        <w:noBreakHyphen/>
        <w:t xml:space="preserve">981410, Fifth Supplemental Order Granting Complaint, Ordering Refunds and Other Relief, at 5-6 (Aug. 3, 1999).   </w:t>
      </w:r>
    </w:p>
  </w:footnote>
  <w:footnote w:id="54">
    <w:p w14:paraId="56A332D1" w14:textId="3014675B" w:rsidR="00E63E72" w:rsidRPr="00E63E72" w:rsidRDefault="00E63E72">
      <w:pPr>
        <w:pStyle w:val="FootnoteText"/>
      </w:pPr>
      <w:r>
        <w:rPr>
          <w:rStyle w:val="FootnoteReference"/>
        </w:rPr>
        <w:footnoteRef/>
      </w:r>
      <w:r>
        <w:t xml:space="preserve"> </w:t>
      </w:r>
      <w:r>
        <w:rPr>
          <w:i/>
        </w:rPr>
        <w:t>See</w:t>
      </w:r>
      <w:r>
        <w:t xml:space="preserve"> </w:t>
      </w:r>
      <w:r>
        <w:rPr>
          <w:i/>
        </w:rPr>
        <w:t>Tracfone Wireless, Inc. v. Dep’t of Revenue</w:t>
      </w:r>
      <w:r>
        <w:t xml:space="preserve">, 170 Wn.2d 273, 281, 242 P.3d 810 (2002).  </w:t>
      </w:r>
    </w:p>
  </w:footnote>
  <w:footnote w:id="55">
    <w:p w14:paraId="7159C45A" w14:textId="77777777" w:rsidR="004908FC" w:rsidRDefault="004908FC" w:rsidP="00154072">
      <w:pPr>
        <w:pStyle w:val="FootnoteText"/>
      </w:pPr>
      <w:r>
        <w:rPr>
          <w:rStyle w:val="FootnoteReference"/>
        </w:rPr>
        <w:footnoteRef/>
      </w:r>
      <w:r>
        <w:t xml:space="preserve"> Logan, Exh. No. LFL-8T at 5: 34-40, citing to </w:t>
      </w:r>
      <w:r w:rsidRPr="00016183">
        <w:t>¶</w:t>
      </w:r>
      <w:r>
        <w:t xml:space="preserve"> 9 of Schedule 80. </w:t>
      </w:r>
    </w:p>
  </w:footnote>
  <w:footnote w:id="56">
    <w:p w14:paraId="7EF1AC72" w14:textId="77777777" w:rsidR="004908FC" w:rsidRDefault="004908FC" w:rsidP="009C1CE0">
      <w:pPr>
        <w:pStyle w:val="FootnoteText"/>
      </w:pPr>
      <w:r>
        <w:rPr>
          <w:rStyle w:val="FootnoteReference"/>
        </w:rPr>
        <w:footnoteRef/>
      </w:r>
      <w:r>
        <w:t xml:space="preserve"> Logan, Exh. No. LFL-8T at 5: 35-40. </w:t>
      </w:r>
    </w:p>
  </w:footnote>
  <w:footnote w:id="57">
    <w:p w14:paraId="3E6FCBB8" w14:textId="7D6316B4" w:rsidR="004908FC" w:rsidRDefault="004908FC">
      <w:pPr>
        <w:pStyle w:val="FootnoteText"/>
      </w:pPr>
      <w:r>
        <w:rPr>
          <w:rStyle w:val="FootnoteReference"/>
        </w:rPr>
        <w:footnoteRef/>
      </w:r>
      <w:r>
        <w:t xml:space="preserve"> Nightingale, Exh. No. DN-1T at 9: 7-11. </w:t>
      </w:r>
    </w:p>
  </w:footnote>
  <w:footnote w:id="58">
    <w:p w14:paraId="00643969" w14:textId="75590D1B" w:rsidR="004908FC" w:rsidRDefault="004908FC">
      <w:pPr>
        <w:pStyle w:val="FootnoteText"/>
      </w:pPr>
      <w:r>
        <w:rPr>
          <w:rStyle w:val="FootnoteReference"/>
        </w:rPr>
        <w:footnoteRef/>
      </w:r>
      <w:r>
        <w:t xml:space="preserve"> Ball, Exh. No. JLB-1T at 4: 4-7.</w:t>
      </w:r>
    </w:p>
  </w:footnote>
  <w:footnote w:id="59">
    <w:p w14:paraId="41145F94" w14:textId="0986D18E" w:rsidR="004908FC" w:rsidRPr="00F657BB" w:rsidRDefault="004908FC">
      <w:pPr>
        <w:pStyle w:val="FootnoteText"/>
      </w:pPr>
      <w:r>
        <w:rPr>
          <w:rStyle w:val="FootnoteReference"/>
        </w:rPr>
        <w:footnoteRef/>
      </w:r>
      <w:r>
        <w:t xml:space="preserve"> </w:t>
      </w:r>
      <w:r>
        <w:rPr>
          <w:i/>
        </w:rPr>
        <w:t xml:space="preserve">Id. </w:t>
      </w:r>
      <w:r>
        <w:t xml:space="preserve">at 4: 21-23. </w:t>
      </w:r>
    </w:p>
  </w:footnote>
  <w:footnote w:id="60">
    <w:p w14:paraId="4B5580C7" w14:textId="7DF88B64" w:rsidR="004908FC" w:rsidRPr="00774641" w:rsidRDefault="004908FC">
      <w:pPr>
        <w:pStyle w:val="FootnoteText"/>
      </w:pPr>
      <w:r>
        <w:rPr>
          <w:rStyle w:val="FootnoteReference"/>
        </w:rPr>
        <w:footnoteRef/>
      </w:r>
      <w:r>
        <w:t xml:space="preserve"> </w:t>
      </w:r>
      <w:r>
        <w:rPr>
          <w:i/>
        </w:rPr>
        <w:t>Id.</w:t>
      </w:r>
      <w:r>
        <w:t xml:space="preserve"> at 4: 14-16 and 5: 1-4. </w:t>
      </w:r>
    </w:p>
  </w:footnote>
  <w:footnote w:id="61">
    <w:p w14:paraId="5B0F8935" w14:textId="6B38EB7D" w:rsidR="004908FC" w:rsidRDefault="004908FC">
      <w:pPr>
        <w:pStyle w:val="FootnoteText"/>
      </w:pPr>
      <w:r>
        <w:rPr>
          <w:rStyle w:val="FootnoteReference"/>
        </w:rPr>
        <w:footnoteRef/>
      </w:r>
      <w:r>
        <w:t xml:space="preserve"> </w:t>
      </w:r>
      <w:r w:rsidRPr="000345F8">
        <w:rPr>
          <w:i/>
        </w:rPr>
        <w:t>See</w:t>
      </w:r>
      <w:r>
        <w:t xml:space="preserve"> Schedule 80, Construction of Electric Facilities at </w:t>
      </w:r>
      <w:r w:rsidRPr="00016183">
        <w:t>¶</w:t>
      </w:r>
      <w:r>
        <w:t xml:space="preserve"> 34(b)(ii). </w:t>
      </w:r>
    </w:p>
  </w:footnote>
  <w:footnote w:id="62">
    <w:p w14:paraId="1D8C4101" w14:textId="4BADD0DF" w:rsidR="004908FC" w:rsidRDefault="004908FC">
      <w:pPr>
        <w:pStyle w:val="FootnoteText"/>
      </w:pPr>
      <w:r>
        <w:rPr>
          <w:rStyle w:val="FootnoteReference"/>
        </w:rPr>
        <w:footnoteRef/>
      </w:r>
      <w:r>
        <w:t xml:space="preserve"> Gorman, Exh. No. MPG-6T at 2: 23-25 and at 3: 1-3.</w:t>
      </w:r>
    </w:p>
  </w:footnote>
  <w:footnote w:id="63">
    <w:p w14:paraId="3F603B42" w14:textId="742599FB" w:rsidR="004908FC" w:rsidRPr="00A00240" w:rsidRDefault="004908FC" w:rsidP="00E76481">
      <w:pPr>
        <w:pStyle w:val="FootnoteText"/>
        <w:rPr>
          <w:i/>
        </w:rPr>
      </w:pPr>
      <w:r>
        <w:rPr>
          <w:rStyle w:val="FootnoteReference"/>
        </w:rPr>
        <w:footnoteRef/>
      </w:r>
      <w:r>
        <w:t xml:space="preserve"> Logan, Exh. No. LFL-1T at 4: 14-15. </w:t>
      </w:r>
      <w:r>
        <w:rPr>
          <w:i/>
        </w:rPr>
        <w:t xml:space="preserve"> </w:t>
      </w:r>
    </w:p>
  </w:footnote>
  <w:footnote w:id="64">
    <w:p w14:paraId="02C96AD9" w14:textId="0C5F8DCC" w:rsidR="004908FC" w:rsidRDefault="004908FC">
      <w:pPr>
        <w:pStyle w:val="FootnoteText"/>
      </w:pPr>
      <w:r>
        <w:rPr>
          <w:rStyle w:val="FootnoteReference"/>
        </w:rPr>
        <w:footnoteRef/>
      </w:r>
      <w:r>
        <w:t xml:space="preserve"> </w:t>
      </w:r>
      <w:r>
        <w:rPr>
          <w:i/>
        </w:rPr>
        <w:t xml:space="preserve">See </w:t>
      </w:r>
      <w:hyperlink r:id="rId2" w:history="1">
        <w:r w:rsidRPr="00083C00">
          <w:rPr>
            <w:rStyle w:val="Hyperlink"/>
          </w:rPr>
          <w:t>http://pse.com/aboutpse/Rates/Documents/elec_sch_085.pdf</w:t>
        </w:r>
      </w:hyperlink>
      <w:r>
        <w:t xml:space="preserve"> at pg. 1. </w:t>
      </w:r>
    </w:p>
  </w:footnote>
  <w:footnote w:id="65">
    <w:p w14:paraId="65943950" w14:textId="6ECD8EAD" w:rsidR="004908FC" w:rsidRDefault="004908FC">
      <w:pPr>
        <w:pStyle w:val="FootnoteText"/>
      </w:pPr>
      <w:r>
        <w:rPr>
          <w:rStyle w:val="FootnoteReference"/>
        </w:rPr>
        <w:footnoteRef/>
      </w:r>
      <w:r>
        <w:t xml:space="preserve"> Logan, Exh. No. LFL-1T at 4: 17-18.  </w:t>
      </w:r>
      <w:r>
        <w:rPr>
          <w:szCs w:val="24"/>
        </w:rPr>
        <w:t xml:space="preserve">As noted above, the Maloney Line did not meet PSE’s economic feasibility test when originally constructed.  As a result, PSE installed the project pursuant to an agreement with GTE - its original requestor.  </w:t>
      </w:r>
    </w:p>
  </w:footnote>
  <w:footnote w:id="66">
    <w:p w14:paraId="3317FC7F" w14:textId="4DF2198E" w:rsidR="004908FC" w:rsidRDefault="004908FC">
      <w:pPr>
        <w:pStyle w:val="FootnoteText"/>
      </w:pPr>
      <w:r>
        <w:rPr>
          <w:rStyle w:val="FootnoteReference"/>
        </w:rPr>
        <w:footnoteRef/>
      </w:r>
      <w:r>
        <w:t xml:space="preserve"> Logan, LFL-7 at 22: </w:t>
      </w:r>
      <w:r w:rsidRPr="00016183">
        <w:t>¶</w:t>
      </w:r>
      <w:r>
        <w:t xml:space="preserve"> 16.  </w:t>
      </w:r>
      <w:r w:rsidRPr="00B92CFA">
        <w:rPr>
          <w:i/>
        </w:rPr>
        <w:t>See also</w:t>
      </w:r>
      <w:r>
        <w:t xml:space="preserve"> Schedule 85, Line Extensions and Service Lines (Continued), Additional Terms of Service, Section 16. </w:t>
      </w:r>
    </w:p>
  </w:footnote>
  <w:footnote w:id="67">
    <w:p w14:paraId="1DD6E06A" w14:textId="25C039A4" w:rsidR="004908FC" w:rsidRDefault="004908FC">
      <w:pPr>
        <w:pStyle w:val="FootnoteText"/>
      </w:pPr>
      <w:r>
        <w:rPr>
          <w:rStyle w:val="FootnoteReference"/>
        </w:rPr>
        <w:footnoteRef/>
      </w:r>
      <w:r>
        <w:t xml:space="preserve"> Nightingale, Exh. No. DN-1T at 9: 4-6 and Logan, Exh. No. LFL- 1T at 5: 4-6.</w:t>
      </w:r>
    </w:p>
  </w:footnote>
  <w:footnote w:id="68">
    <w:p w14:paraId="74CD0F37" w14:textId="603C361F" w:rsidR="004908FC" w:rsidRDefault="004908FC">
      <w:pPr>
        <w:pStyle w:val="FootnoteText"/>
      </w:pPr>
      <w:r>
        <w:rPr>
          <w:rStyle w:val="FootnoteReference"/>
        </w:rPr>
        <w:footnoteRef/>
      </w:r>
      <w:r>
        <w:t xml:space="preserve"> Gorman, Exh. No. MPG-1T at 14: 8-12. </w:t>
      </w:r>
    </w:p>
  </w:footnote>
  <w:footnote w:id="69">
    <w:p w14:paraId="1C5872A1" w14:textId="08325B07" w:rsidR="004908FC" w:rsidRDefault="004908FC">
      <w:pPr>
        <w:pStyle w:val="FootnoteText"/>
      </w:pPr>
      <w:r>
        <w:rPr>
          <w:rStyle w:val="FootnoteReference"/>
        </w:rPr>
        <w:footnoteRef/>
      </w:r>
      <w:r>
        <w:t xml:space="preserve"> Gorman, MPG-1T at 13: 26-28 and at 14: 1-7.  </w:t>
      </w:r>
      <w:r w:rsidRPr="00B92CFA">
        <w:rPr>
          <w:i/>
        </w:rPr>
        <w:t>See also</w:t>
      </w:r>
      <w:r>
        <w:t xml:space="preserve"> Schedule 85, Line Extensions and Service Lines (Continued), Additional Terms of Service, Section 1.A. </w:t>
      </w:r>
    </w:p>
  </w:footnote>
  <w:footnote w:id="70">
    <w:p w14:paraId="2EF7497C" w14:textId="72E89F48" w:rsidR="004908FC" w:rsidRDefault="004908FC">
      <w:pPr>
        <w:pStyle w:val="FootnoteText"/>
      </w:pPr>
      <w:r>
        <w:rPr>
          <w:rStyle w:val="FootnoteReference"/>
        </w:rPr>
        <w:footnoteRef/>
      </w:r>
      <w:r>
        <w:t xml:space="preserve"> Gorman, MPG-1T at 14: 10-12. </w:t>
      </w:r>
    </w:p>
  </w:footnote>
  <w:footnote w:id="71">
    <w:p w14:paraId="71F8D12B" w14:textId="77777777" w:rsidR="004908FC" w:rsidRDefault="004908FC" w:rsidP="00585160">
      <w:pPr>
        <w:pStyle w:val="FootnoteText"/>
      </w:pPr>
      <w:r>
        <w:rPr>
          <w:rStyle w:val="FootnoteReference"/>
        </w:rPr>
        <w:footnoteRef/>
      </w:r>
      <w:r>
        <w:t xml:space="preserve"> Nightingale, Exh. No. DN-4T at 3: 5-7. </w:t>
      </w:r>
    </w:p>
  </w:footnote>
  <w:footnote w:id="72">
    <w:p w14:paraId="275591ED" w14:textId="77777777" w:rsidR="004908FC" w:rsidRDefault="004908FC" w:rsidP="00C76243">
      <w:pPr>
        <w:pStyle w:val="FootnoteText"/>
      </w:pPr>
      <w:r>
        <w:rPr>
          <w:rStyle w:val="FootnoteReference"/>
        </w:rPr>
        <w:footnoteRef/>
      </w:r>
      <w:r>
        <w:t xml:space="preserve"> Logan, Exh. No LFL-1T at 3: 4-11. </w:t>
      </w:r>
    </w:p>
  </w:footnote>
  <w:footnote w:id="73">
    <w:p w14:paraId="5CEC80BB" w14:textId="77777777" w:rsidR="004908FC" w:rsidRDefault="004908FC" w:rsidP="00BE2C0F">
      <w:pPr>
        <w:pStyle w:val="FootnoteText"/>
      </w:pPr>
      <w:r>
        <w:rPr>
          <w:rStyle w:val="FootnoteReference"/>
        </w:rPr>
        <w:footnoteRef/>
      </w:r>
      <w:r>
        <w:t xml:space="preserve"> Nightingale, Exh. No. DN-1T at 9: 10-11.</w:t>
      </w:r>
    </w:p>
  </w:footnote>
  <w:footnote w:id="74">
    <w:p w14:paraId="63C50C7D" w14:textId="568764F5" w:rsidR="004908FC" w:rsidRDefault="004908FC">
      <w:pPr>
        <w:pStyle w:val="FootnoteText"/>
      </w:pPr>
      <w:r>
        <w:rPr>
          <w:rStyle w:val="FootnoteReference"/>
        </w:rPr>
        <w:footnoteRef/>
      </w:r>
      <w:r>
        <w:t xml:space="preserve"> </w:t>
      </w:r>
      <w:r w:rsidRPr="00E62D6E">
        <w:rPr>
          <w:i/>
        </w:rPr>
        <w:t>Re Verizon Northwest Inc</w:t>
      </w:r>
      <w:r>
        <w:t>., Docket No. UT-011439, 12</w:t>
      </w:r>
      <w:r w:rsidRPr="00800EF6">
        <w:rPr>
          <w:vertAlign w:val="superscript"/>
        </w:rPr>
        <w:t>th</w:t>
      </w:r>
      <w:r>
        <w:t xml:space="preserve"> Supplemental Order (April 23, 2002).</w:t>
      </w:r>
    </w:p>
  </w:footnote>
  <w:footnote w:id="75">
    <w:p w14:paraId="58A15C7D" w14:textId="65D75767" w:rsidR="004908FC" w:rsidRPr="00B37CA7" w:rsidRDefault="004908FC">
      <w:pPr>
        <w:pStyle w:val="FootnoteText"/>
      </w:pPr>
      <w:r>
        <w:rPr>
          <w:rStyle w:val="FootnoteReference"/>
        </w:rPr>
        <w:footnoteRef/>
      </w:r>
      <w:r>
        <w:t xml:space="preserve"> </w:t>
      </w:r>
      <w:r>
        <w:rPr>
          <w:i/>
        </w:rPr>
        <w:t>Id.</w:t>
      </w:r>
      <w:r>
        <w:t xml:space="preserve"> at 4, </w:t>
      </w:r>
      <w:r w:rsidRPr="00016183">
        <w:t>¶</w:t>
      </w:r>
      <w:r>
        <w:t xml:space="preserve"> 14. </w:t>
      </w:r>
    </w:p>
  </w:footnote>
  <w:footnote w:id="76">
    <w:p w14:paraId="6ABB6734" w14:textId="29933001" w:rsidR="004908FC" w:rsidRDefault="004908FC">
      <w:pPr>
        <w:pStyle w:val="FootnoteText"/>
      </w:pPr>
      <w:r>
        <w:rPr>
          <w:rStyle w:val="FootnoteReference"/>
        </w:rPr>
        <w:footnoteRef/>
      </w:r>
      <w:r>
        <w:t xml:space="preserve"> </w:t>
      </w:r>
      <w:r w:rsidRPr="00B37CA7">
        <w:rPr>
          <w:i/>
        </w:rPr>
        <w:t>Id.</w:t>
      </w:r>
      <w:r>
        <w:t xml:space="preserve"> at 4, </w:t>
      </w:r>
      <w:r w:rsidRPr="00016183">
        <w:t>¶</w:t>
      </w:r>
      <w:r>
        <w:t xml:space="preserve"> 15. </w:t>
      </w:r>
    </w:p>
  </w:footnote>
  <w:footnote w:id="77">
    <w:p w14:paraId="0FCDA9CE" w14:textId="0F260E84" w:rsidR="004908FC" w:rsidRPr="00A55DA9" w:rsidRDefault="004908FC">
      <w:pPr>
        <w:pStyle w:val="FootnoteText"/>
      </w:pPr>
      <w:r>
        <w:rPr>
          <w:rStyle w:val="FootnoteReference"/>
        </w:rPr>
        <w:footnoteRef/>
      </w:r>
      <w:r>
        <w:t xml:space="preserve"> </w:t>
      </w:r>
      <w:r>
        <w:rPr>
          <w:i/>
        </w:rPr>
        <w:t xml:space="preserve">Id. </w:t>
      </w:r>
      <w:r>
        <w:t xml:space="preserve">at 22, </w:t>
      </w:r>
      <w:r w:rsidRPr="00016183">
        <w:t>¶</w:t>
      </w:r>
      <w:r>
        <w:t xml:space="preserve"> 94. </w:t>
      </w:r>
    </w:p>
  </w:footnote>
  <w:footnote w:id="78">
    <w:p w14:paraId="3A9ED563" w14:textId="2A2D6D60" w:rsidR="004908FC" w:rsidRDefault="004908FC">
      <w:pPr>
        <w:pStyle w:val="FootnoteText"/>
      </w:pPr>
      <w:r>
        <w:rPr>
          <w:rStyle w:val="FootnoteReference"/>
        </w:rPr>
        <w:footnoteRef/>
      </w:r>
      <w:r>
        <w:t xml:space="preserve"> </w:t>
      </w:r>
      <w:r w:rsidRPr="00A55DA9">
        <w:rPr>
          <w:i/>
        </w:rPr>
        <w:t>Id.</w:t>
      </w:r>
      <w:r>
        <w:t xml:space="preserve"> at 22, </w:t>
      </w:r>
      <w:r w:rsidRPr="00016183">
        <w:t>¶</w:t>
      </w:r>
      <w:r>
        <w:t xml:space="preserve"> 96. </w:t>
      </w:r>
    </w:p>
  </w:footnote>
  <w:footnote w:id="79">
    <w:p w14:paraId="472AAC6B" w14:textId="30EA94D7" w:rsidR="004908FC" w:rsidRDefault="004908FC">
      <w:pPr>
        <w:pStyle w:val="FootnoteText"/>
      </w:pPr>
      <w:r>
        <w:rPr>
          <w:rStyle w:val="FootnoteReference"/>
        </w:rPr>
        <w:footnoteRef/>
      </w:r>
      <w:r>
        <w:t xml:space="preserve"> </w:t>
      </w:r>
      <w:r w:rsidRPr="00787974">
        <w:rPr>
          <w:i/>
        </w:rPr>
        <w:t>Id.</w:t>
      </w:r>
      <w:r>
        <w:t xml:space="preserve"> at 23, </w:t>
      </w:r>
      <w:r w:rsidRPr="00016183">
        <w:t>¶</w:t>
      </w:r>
      <w:r>
        <w:t xml:space="preserve"> 100. </w:t>
      </w:r>
    </w:p>
  </w:footnote>
  <w:footnote w:id="80">
    <w:p w14:paraId="726C6ED7" w14:textId="72306EB5" w:rsidR="004908FC" w:rsidRPr="003D5656" w:rsidRDefault="004908FC">
      <w:pPr>
        <w:pStyle w:val="FootnoteText"/>
      </w:pPr>
      <w:r>
        <w:rPr>
          <w:rStyle w:val="FootnoteReference"/>
        </w:rPr>
        <w:footnoteRef/>
      </w:r>
      <w:r>
        <w:t xml:space="preserve"> </w:t>
      </w:r>
      <w:r>
        <w:rPr>
          <w:i/>
        </w:rPr>
        <w:t xml:space="preserve">Id. </w:t>
      </w:r>
      <w:r>
        <w:t xml:space="preserve">at 17, </w:t>
      </w:r>
      <w:r w:rsidRPr="00016183">
        <w:t>¶</w:t>
      </w:r>
      <w:r>
        <w:t xml:space="preserve"> 63. </w:t>
      </w:r>
    </w:p>
  </w:footnote>
  <w:footnote w:id="81">
    <w:p w14:paraId="656A78E4" w14:textId="4C5B784D" w:rsidR="004908FC" w:rsidRPr="003D5656" w:rsidRDefault="004908FC">
      <w:pPr>
        <w:pStyle w:val="FootnoteText"/>
      </w:pPr>
      <w:r>
        <w:rPr>
          <w:rStyle w:val="FootnoteReference"/>
        </w:rPr>
        <w:footnoteRef/>
      </w:r>
      <w:r>
        <w:t xml:space="preserve"> </w:t>
      </w:r>
      <w:r>
        <w:rPr>
          <w:i/>
        </w:rPr>
        <w:t xml:space="preserve">Id </w:t>
      </w:r>
      <w:r>
        <w:t xml:space="preserve">at 17, </w:t>
      </w:r>
      <w:r w:rsidRPr="00016183">
        <w:t>¶</w:t>
      </w:r>
      <w:r>
        <w:t xml:space="preserve"> 64.</w:t>
      </w:r>
    </w:p>
  </w:footnote>
  <w:footnote w:id="82">
    <w:p w14:paraId="70266B0E" w14:textId="77777777" w:rsidR="004908FC" w:rsidRDefault="004908FC" w:rsidP="003D5656">
      <w:pPr>
        <w:pStyle w:val="FootnoteText"/>
      </w:pPr>
      <w:r>
        <w:rPr>
          <w:rStyle w:val="FootnoteReference"/>
        </w:rPr>
        <w:footnoteRef/>
      </w:r>
      <w:r>
        <w:t xml:space="preserve"> </w:t>
      </w:r>
      <w:r w:rsidRPr="00787974">
        <w:rPr>
          <w:i/>
        </w:rPr>
        <w:t>Id.</w:t>
      </w:r>
      <w:r>
        <w:t xml:space="preserve"> at 19, </w:t>
      </w:r>
      <w:r w:rsidRPr="00016183">
        <w:t>¶</w:t>
      </w:r>
      <w:r>
        <w:t xml:space="preserve"> 70. </w:t>
      </w:r>
    </w:p>
  </w:footnote>
  <w:footnote w:id="83">
    <w:p w14:paraId="4F7E52F4" w14:textId="530AC6EC" w:rsidR="004908FC" w:rsidRDefault="004908FC">
      <w:pPr>
        <w:pStyle w:val="FootnoteText"/>
      </w:pPr>
      <w:r>
        <w:rPr>
          <w:rStyle w:val="FootnoteReference"/>
        </w:rPr>
        <w:footnoteRef/>
      </w:r>
      <w:r>
        <w:t xml:space="preserve"> Id. at 18, </w:t>
      </w:r>
      <w:r w:rsidRPr="00016183">
        <w:t>¶</w:t>
      </w:r>
      <w:r>
        <w:t xml:space="preserve"> 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7254"/>
    <w:multiLevelType w:val="hybridMultilevel"/>
    <w:tmpl w:val="A4EA219C"/>
    <w:lvl w:ilvl="0" w:tplc="1966C046">
      <w:start w:val="1"/>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 w15:restartNumberingAfterBreak="0">
    <w:nsid w:val="0C35001B"/>
    <w:multiLevelType w:val="hybridMultilevel"/>
    <w:tmpl w:val="99CA600C"/>
    <w:lvl w:ilvl="0" w:tplc="1966C046">
      <w:start w:val="1"/>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 w15:restartNumberingAfterBreak="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1D18FF"/>
    <w:multiLevelType w:val="hybridMultilevel"/>
    <w:tmpl w:val="2D0EBBA8"/>
    <w:lvl w:ilvl="0" w:tplc="1966C046">
      <w:start w:val="1"/>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 w15:restartNumberingAfterBreak="0">
    <w:nsid w:val="191D1F91"/>
    <w:multiLevelType w:val="hybridMultilevel"/>
    <w:tmpl w:val="510EDAD6"/>
    <w:lvl w:ilvl="0" w:tplc="C1BA6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00222"/>
    <w:multiLevelType w:val="hybridMultilevel"/>
    <w:tmpl w:val="25C441B4"/>
    <w:lvl w:ilvl="0" w:tplc="BA5CF68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85E50"/>
    <w:multiLevelType w:val="hybridMultilevel"/>
    <w:tmpl w:val="F16C677A"/>
    <w:lvl w:ilvl="0" w:tplc="584A7872">
      <w:start w:val="1"/>
      <w:numFmt w:val="decimal"/>
      <w:lvlText w:val="%1"/>
      <w:lvlJc w:val="left"/>
      <w:pPr>
        <w:tabs>
          <w:tab w:val="num" w:pos="720"/>
        </w:tabs>
        <w:ind w:left="0" w:hanging="720"/>
      </w:pPr>
      <w:rPr>
        <w:rFonts w:ascii="Times New Roman" w:hAnsi="Times New Roman" w:hint="default"/>
        <w:b w:val="0"/>
        <w:i/>
        <w:sz w:val="20"/>
      </w:rPr>
    </w:lvl>
    <w:lvl w:ilvl="1" w:tplc="51C09B78">
      <w:start w:val="1"/>
      <w:numFmt w:val="decimal"/>
      <w:lvlText w:val="%2"/>
      <w:lvlJc w:val="left"/>
      <w:pPr>
        <w:tabs>
          <w:tab w:val="num" w:pos="720"/>
        </w:tabs>
        <w:ind w:left="0" w:hanging="720"/>
      </w:pPr>
      <w:rPr>
        <w:rFonts w:ascii="Times New Roman" w:hAnsi="Times New Roman" w:hint="default"/>
        <w:b w:val="0"/>
        <w:i/>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253612"/>
    <w:multiLevelType w:val="hybridMultilevel"/>
    <w:tmpl w:val="1B224CDA"/>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8" w15:restartNumberingAfterBreak="0">
    <w:nsid w:val="2C514F69"/>
    <w:multiLevelType w:val="hybridMultilevel"/>
    <w:tmpl w:val="72B636EE"/>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9" w15:restartNumberingAfterBreak="0">
    <w:nsid w:val="2D986A62"/>
    <w:multiLevelType w:val="hybridMultilevel"/>
    <w:tmpl w:val="7F16E17A"/>
    <w:lvl w:ilvl="0" w:tplc="1966C046">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0" w15:restartNumberingAfterBreak="0">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DD2387"/>
    <w:multiLevelType w:val="hybridMultilevel"/>
    <w:tmpl w:val="13726532"/>
    <w:lvl w:ilvl="0" w:tplc="9EC6C008">
      <w:start w:val="8"/>
      <w:numFmt w:val="upperRoman"/>
      <w:lvlText w:val="%1."/>
      <w:lvlJc w:val="left"/>
      <w:pPr>
        <w:ind w:left="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752EB"/>
    <w:multiLevelType w:val="hybridMultilevel"/>
    <w:tmpl w:val="754ED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09BA"/>
    <w:multiLevelType w:val="hybridMultilevel"/>
    <w:tmpl w:val="A47A679A"/>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4" w15:restartNumberingAfterBreak="0">
    <w:nsid w:val="5541701A"/>
    <w:multiLevelType w:val="hybridMultilevel"/>
    <w:tmpl w:val="D1E03904"/>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815DED"/>
    <w:multiLevelType w:val="hybridMultilevel"/>
    <w:tmpl w:val="1FEA94F0"/>
    <w:lvl w:ilvl="0" w:tplc="1966C046">
      <w:start w:val="1"/>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6" w15:restartNumberingAfterBreak="0">
    <w:nsid w:val="67A577AE"/>
    <w:multiLevelType w:val="hybridMultilevel"/>
    <w:tmpl w:val="41BAF1BA"/>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DB73CE"/>
    <w:multiLevelType w:val="hybridMultilevel"/>
    <w:tmpl w:val="7B5638D4"/>
    <w:lvl w:ilvl="0" w:tplc="5FCEE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A84E83"/>
    <w:multiLevelType w:val="hybridMultilevel"/>
    <w:tmpl w:val="76CCF818"/>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9" w15:restartNumberingAfterBreak="0">
    <w:nsid w:val="74547B43"/>
    <w:multiLevelType w:val="hybridMultilevel"/>
    <w:tmpl w:val="510EDAD6"/>
    <w:lvl w:ilvl="0" w:tplc="C1BA6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757A0"/>
    <w:multiLevelType w:val="hybridMultilevel"/>
    <w:tmpl w:val="BA4A2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7"/>
  </w:num>
  <w:num w:numId="4">
    <w:abstractNumId w:val="4"/>
  </w:num>
  <w:num w:numId="5">
    <w:abstractNumId w:val="20"/>
  </w:num>
  <w:num w:numId="6">
    <w:abstractNumId w:val="6"/>
  </w:num>
  <w:num w:numId="7">
    <w:abstractNumId w:val="5"/>
  </w:num>
  <w:num w:numId="8">
    <w:abstractNumId w:val="19"/>
  </w:num>
  <w:num w:numId="9">
    <w:abstractNumId w:val="9"/>
  </w:num>
  <w:num w:numId="10">
    <w:abstractNumId w:val="7"/>
  </w:num>
  <w:num w:numId="11">
    <w:abstractNumId w:val="18"/>
  </w:num>
  <w:num w:numId="12">
    <w:abstractNumId w:val="13"/>
  </w:num>
  <w:num w:numId="13">
    <w:abstractNumId w:val="16"/>
  </w:num>
  <w:num w:numId="14">
    <w:abstractNumId w:val="15"/>
  </w:num>
  <w:num w:numId="15">
    <w:abstractNumId w:val="3"/>
  </w:num>
  <w:num w:numId="16">
    <w:abstractNumId w:val="1"/>
  </w:num>
  <w:num w:numId="17">
    <w:abstractNumId w:val="0"/>
  </w:num>
  <w:num w:numId="18">
    <w:abstractNumId w:val="11"/>
  </w:num>
  <w:num w:numId="19">
    <w:abstractNumId w:val="8"/>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110F5"/>
    <w:rsid w:val="000156D9"/>
    <w:rsid w:val="000217C4"/>
    <w:rsid w:val="00024EA9"/>
    <w:rsid w:val="00025DB8"/>
    <w:rsid w:val="000267AC"/>
    <w:rsid w:val="00032F6E"/>
    <w:rsid w:val="000345F8"/>
    <w:rsid w:val="00043E14"/>
    <w:rsid w:val="00067F42"/>
    <w:rsid w:val="00070BD2"/>
    <w:rsid w:val="00081D55"/>
    <w:rsid w:val="0008461B"/>
    <w:rsid w:val="000851ED"/>
    <w:rsid w:val="00087895"/>
    <w:rsid w:val="000B3A48"/>
    <w:rsid w:val="000C53DB"/>
    <w:rsid w:val="000C640C"/>
    <w:rsid w:val="000E5544"/>
    <w:rsid w:val="000F39AA"/>
    <w:rsid w:val="000F64C9"/>
    <w:rsid w:val="00103168"/>
    <w:rsid w:val="0011239A"/>
    <w:rsid w:val="00113658"/>
    <w:rsid w:val="00123DA5"/>
    <w:rsid w:val="00150D42"/>
    <w:rsid w:val="00151CE6"/>
    <w:rsid w:val="00154072"/>
    <w:rsid w:val="001574A0"/>
    <w:rsid w:val="00167197"/>
    <w:rsid w:val="00170B85"/>
    <w:rsid w:val="00171A04"/>
    <w:rsid w:val="00195E38"/>
    <w:rsid w:val="001A3E51"/>
    <w:rsid w:val="001B05F7"/>
    <w:rsid w:val="001B2300"/>
    <w:rsid w:val="001B68B6"/>
    <w:rsid w:val="001B7880"/>
    <w:rsid w:val="001B7ED5"/>
    <w:rsid w:val="001D16CA"/>
    <w:rsid w:val="001D261D"/>
    <w:rsid w:val="001D3FD2"/>
    <w:rsid w:val="001E11B4"/>
    <w:rsid w:val="001F0E91"/>
    <w:rsid w:val="001F3EBD"/>
    <w:rsid w:val="002324B1"/>
    <w:rsid w:val="00233A21"/>
    <w:rsid w:val="00236972"/>
    <w:rsid w:val="00243291"/>
    <w:rsid w:val="00251C5B"/>
    <w:rsid w:val="00252CCA"/>
    <w:rsid w:val="00255923"/>
    <w:rsid w:val="0026136A"/>
    <w:rsid w:val="0026431C"/>
    <w:rsid w:val="00266D4D"/>
    <w:rsid w:val="00267625"/>
    <w:rsid w:val="002718D3"/>
    <w:rsid w:val="00276B08"/>
    <w:rsid w:val="0029682E"/>
    <w:rsid w:val="002A26AF"/>
    <w:rsid w:val="002B1056"/>
    <w:rsid w:val="002D1E46"/>
    <w:rsid w:val="002E0209"/>
    <w:rsid w:val="002F1103"/>
    <w:rsid w:val="00301085"/>
    <w:rsid w:val="003020F3"/>
    <w:rsid w:val="0030735B"/>
    <w:rsid w:val="00317767"/>
    <w:rsid w:val="00324BFD"/>
    <w:rsid w:val="00324C32"/>
    <w:rsid w:val="00324C39"/>
    <w:rsid w:val="003277CC"/>
    <w:rsid w:val="00353CEB"/>
    <w:rsid w:val="00367316"/>
    <w:rsid w:val="00374054"/>
    <w:rsid w:val="00380B25"/>
    <w:rsid w:val="00386D6C"/>
    <w:rsid w:val="00387C7B"/>
    <w:rsid w:val="00393C2B"/>
    <w:rsid w:val="003B185C"/>
    <w:rsid w:val="003B610D"/>
    <w:rsid w:val="003C5390"/>
    <w:rsid w:val="003D3ACE"/>
    <w:rsid w:val="003D4CA3"/>
    <w:rsid w:val="003D5656"/>
    <w:rsid w:val="003E191A"/>
    <w:rsid w:val="003E3B7E"/>
    <w:rsid w:val="003F1945"/>
    <w:rsid w:val="003F4844"/>
    <w:rsid w:val="003F4E6F"/>
    <w:rsid w:val="003F531D"/>
    <w:rsid w:val="004064B1"/>
    <w:rsid w:val="00406D36"/>
    <w:rsid w:val="00420F5F"/>
    <w:rsid w:val="00423C62"/>
    <w:rsid w:val="00433988"/>
    <w:rsid w:val="00447D74"/>
    <w:rsid w:val="00451D26"/>
    <w:rsid w:val="00452553"/>
    <w:rsid w:val="00456BE8"/>
    <w:rsid w:val="00462D68"/>
    <w:rsid w:val="0046385F"/>
    <w:rsid w:val="00466982"/>
    <w:rsid w:val="004717E6"/>
    <w:rsid w:val="00471EEE"/>
    <w:rsid w:val="00481C50"/>
    <w:rsid w:val="0049066A"/>
    <w:rsid w:val="004908FC"/>
    <w:rsid w:val="0049204E"/>
    <w:rsid w:val="004928F1"/>
    <w:rsid w:val="00492C17"/>
    <w:rsid w:val="004A26FF"/>
    <w:rsid w:val="004A4F64"/>
    <w:rsid w:val="004B3D50"/>
    <w:rsid w:val="004C1998"/>
    <w:rsid w:val="004C3D65"/>
    <w:rsid w:val="004C76CF"/>
    <w:rsid w:val="004D5199"/>
    <w:rsid w:val="004F2261"/>
    <w:rsid w:val="004F511D"/>
    <w:rsid w:val="004F565C"/>
    <w:rsid w:val="004F5B02"/>
    <w:rsid w:val="004F69A5"/>
    <w:rsid w:val="00501FFC"/>
    <w:rsid w:val="00510BE8"/>
    <w:rsid w:val="0054627B"/>
    <w:rsid w:val="00547A68"/>
    <w:rsid w:val="0055251B"/>
    <w:rsid w:val="005623BC"/>
    <w:rsid w:val="005802FA"/>
    <w:rsid w:val="005826C5"/>
    <w:rsid w:val="00585160"/>
    <w:rsid w:val="00587091"/>
    <w:rsid w:val="0059020B"/>
    <w:rsid w:val="0059322B"/>
    <w:rsid w:val="00595D41"/>
    <w:rsid w:val="00595F0F"/>
    <w:rsid w:val="005965A2"/>
    <w:rsid w:val="005A19EA"/>
    <w:rsid w:val="005A1DFC"/>
    <w:rsid w:val="005A5B2B"/>
    <w:rsid w:val="005B0A40"/>
    <w:rsid w:val="005B1B2B"/>
    <w:rsid w:val="005C4621"/>
    <w:rsid w:val="005E07C2"/>
    <w:rsid w:val="005E1A95"/>
    <w:rsid w:val="005F1C30"/>
    <w:rsid w:val="005F29CE"/>
    <w:rsid w:val="0061056A"/>
    <w:rsid w:val="00626B27"/>
    <w:rsid w:val="00636F8D"/>
    <w:rsid w:val="00641F98"/>
    <w:rsid w:val="006467D9"/>
    <w:rsid w:val="0065561B"/>
    <w:rsid w:val="006770D3"/>
    <w:rsid w:val="006C6C20"/>
    <w:rsid w:val="006C6F4A"/>
    <w:rsid w:val="006D3273"/>
    <w:rsid w:val="006D45B4"/>
    <w:rsid w:val="006D4D87"/>
    <w:rsid w:val="006D5D6E"/>
    <w:rsid w:val="00714724"/>
    <w:rsid w:val="00716671"/>
    <w:rsid w:val="00724C0A"/>
    <w:rsid w:val="00727BC1"/>
    <w:rsid w:val="007330EC"/>
    <w:rsid w:val="007350E4"/>
    <w:rsid w:val="00737B08"/>
    <w:rsid w:val="00740A44"/>
    <w:rsid w:val="007464F1"/>
    <w:rsid w:val="00750ECC"/>
    <w:rsid w:val="007542DC"/>
    <w:rsid w:val="00764D35"/>
    <w:rsid w:val="0076699B"/>
    <w:rsid w:val="0077240C"/>
    <w:rsid w:val="00774641"/>
    <w:rsid w:val="00776DA8"/>
    <w:rsid w:val="00781EFE"/>
    <w:rsid w:val="0078750B"/>
    <w:rsid w:val="00787974"/>
    <w:rsid w:val="00796701"/>
    <w:rsid w:val="00796D3F"/>
    <w:rsid w:val="007A77D9"/>
    <w:rsid w:val="007B601E"/>
    <w:rsid w:val="007B6FB1"/>
    <w:rsid w:val="007C1BA6"/>
    <w:rsid w:val="007C2B66"/>
    <w:rsid w:val="007C6AF6"/>
    <w:rsid w:val="007D3A1D"/>
    <w:rsid w:val="007D60F1"/>
    <w:rsid w:val="007E505B"/>
    <w:rsid w:val="008001AE"/>
    <w:rsid w:val="00800EF6"/>
    <w:rsid w:val="008210BC"/>
    <w:rsid w:val="00822A36"/>
    <w:rsid w:val="00826C97"/>
    <w:rsid w:val="008273D3"/>
    <w:rsid w:val="00835284"/>
    <w:rsid w:val="00840BD5"/>
    <w:rsid w:val="00855FE1"/>
    <w:rsid w:val="00856B83"/>
    <w:rsid w:val="00860FE1"/>
    <w:rsid w:val="00881B82"/>
    <w:rsid w:val="0089062F"/>
    <w:rsid w:val="00893A57"/>
    <w:rsid w:val="008A6D79"/>
    <w:rsid w:val="008A7D02"/>
    <w:rsid w:val="008B3B1B"/>
    <w:rsid w:val="008C0D60"/>
    <w:rsid w:val="008C127E"/>
    <w:rsid w:val="008C420B"/>
    <w:rsid w:val="008D4F94"/>
    <w:rsid w:val="008E18FD"/>
    <w:rsid w:val="008F2F8D"/>
    <w:rsid w:val="0090268A"/>
    <w:rsid w:val="00935901"/>
    <w:rsid w:val="009610F5"/>
    <w:rsid w:val="00970E3B"/>
    <w:rsid w:val="0097267B"/>
    <w:rsid w:val="009A63A8"/>
    <w:rsid w:val="009C1CE0"/>
    <w:rsid w:val="009C202C"/>
    <w:rsid w:val="009C2DB0"/>
    <w:rsid w:val="009D3E3D"/>
    <w:rsid w:val="009D6057"/>
    <w:rsid w:val="009D7573"/>
    <w:rsid w:val="009F340B"/>
    <w:rsid w:val="009F5B21"/>
    <w:rsid w:val="00A00240"/>
    <w:rsid w:val="00A00784"/>
    <w:rsid w:val="00A213FA"/>
    <w:rsid w:val="00A30C52"/>
    <w:rsid w:val="00A40998"/>
    <w:rsid w:val="00A53244"/>
    <w:rsid w:val="00A55DA9"/>
    <w:rsid w:val="00A701DE"/>
    <w:rsid w:val="00A80028"/>
    <w:rsid w:val="00A854D9"/>
    <w:rsid w:val="00A918DE"/>
    <w:rsid w:val="00A9781B"/>
    <w:rsid w:val="00AA16CA"/>
    <w:rsid w:val="00AB0D2F"/>
    <w:rsid w:val="00AB0E55"/>
    <w:rsid w:val="00AC1950"/>
    <w:rsid w:val="00AE6F08"/>
    <w:rsid w:val="00B03B69"/>
    <w:rsid w:val="00B24191"/>
    <w:rsid w:val="00B37559"/>
    <w:rsid w:val="00B37CA7"/>
    <w:rsid w:val="00B44403"/>
    <w:rsid w:val="00B46002"/>
    <w:rsid w:val="00B55BC5"/>
    <w:rsid w:val="00B617D5"/>
    <w:rsid w:val="00B6344D"/>
    <w:rsid w:val="00B66380"/>
    <w:rsid w:val="00B6773F"/>
    <w:rsid w:val="00B73973"/>
    <w:rsid w:val="00B92CFA"/>
    <w:rsid w:val="00B9338C"/>
    <w:rsid w:val="00BA05A0"/>
    <w:rsid w:val="00BA204E"/>
    <w:rsid w:val="00BB2FC2"/>
    <w:rsid w:val="00BB675D"/>
    <w:rsid w:val="00BC4C3A"/>
    <w:rsid w:val="00BC5A85"/>
    <w:rsid w:val="00BE2C0F"/>
    <w:rsid w:val="00BF2806"/>
    <w:rsid w:val="00BF2F67"/>
    <w:rsid w:val="00BF3CD1"/>
    <w:rsid w:val="00BF5003"/>
    <w:rsid w:val="00BF6410"/>
    <w:rsid w:val="00C023D4"/>
    <w:rsid w:val="00C05783"/>
    <w:rsid w:val="00C07748"/>
    <w:rsid w:val="00C15796"/>
    <w:rsid w:val="00C24B5F"/>
    <w:rsid w:val="00C25E9D"/>
    <w:rsid w:val="00C360A4"/>
    <w:rsid w:val="00C50043"/>
    <w:rsid w:val="00C5478B"/>
    <w:rsid w:val="00C676DD"/>
    <w:rsid w:val="00C67ACA"/>
    <w:rsid w:val="00C7440D"/>
    <w:rsid w:val="00C745CA"/>
    <w:rsid w:val="00C76243"/>
    <w:rsid w:val="00C94F4F"/>
    <w:rsid w:val="00CB3451"/>
    <w:rsid w:val="00CB3B10"/>
    <w:rsid w:val="00CC2F11"/>
    <w:rsid w:val="00CE5C1C"/>
    <w:rsid w:val="00CF3B90"/>
    <w:rsid w:val="00CF4D6A"/>
    <w:rsid w:val="00CF5D81"/>
    <w:rsid w:val="00D22816"/>
    <w:rsid w:val="00D273C5"/>
    <w:rsid w:val="00D317E3"/>
    <w:rsid w:val="00D346C4"/>
    <w:rsid w:val="00D52AF5"/>
    <w:rsid w:val="00D73A4A"/>
    <w:rsid w:val="00D87B28"/>
    <w:rsid w:val="00D90E4B"/>
    <w:rsid w:val="00D956B4"/>
    <w:rsid w:val="00DA155D"/>
    <w:rsid w:val="00DA18A0"/>
    <w:rsid w:val="00DA492F"/>
    <w:rsid w:val="00E01F53"/>
    <w:rsid w:val="00E0364A"/>
    <w:rsid w:val="00E07462"/>
    <w:rsid w:val="00E30261"/>
    <w:rsid w:val="00E33AAB"/>
    <w:rsid w:val="00E47225"/>
    <w:rsid w:val="00E62D6E"/>
    <w:rsid w:val="00E63E72"/>
    <w:rsid w:val="00E647E8"/>
    <w:rsid w:val="00E7125B"/>
    <w:rsid w:val="00E736A5"/>
    <w:rsid w:val="00E76481"/>
    <w:rsid w:val="00EA483D"/>
    <w:rsid w:val="00EC500B"/>
    <w:rsid w:val="00EF3E71"/>
    <w:rsid w:val="00EF5014"/>
    <w:rsid w:val="00F00164"/>
    <w:rsid w:val="00F12869"/>
    <w:rsid w:val="00F13A25"/>
    <w:rsid w:val="00F14EBD"/>
    <w:rsid w:val="00F3248F"/>
    <w:rsid w:val="00F34B55"/>
    <w:rsid w:val="00F3728B"/>
    <w:rsid w:val="00F37FD1"/>
    <w:rsid w:val="00F43DAC"/>
    <w:rsid w:val="00F45536"/>
    <w:rsid w:val="00F60957"/>
    <w:rsid w:val="00F657BB"/>
    <w:rsid w:val="00F72650"/>
    <w:rsid w:val="00F748D8"/>
    <w:rsid w:val="00F74E43"/>
    <w:rsid w:val="00F77C60"/>
    <w:rsid w:val="00F8691B"/>
    <w:rsid w:val="00F96B06"/>
    <w:rsid w:val="00FA40C6"/>
    <w:rsid w:val="00FC32EB"/>
    <w:rsid w:val="00FD2994"/>
    <w:rsid w:val="00FD62B2"/>
    <w:rsid w:val="00FE097F"/>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ostalCode"/>
  <w:smartTagType w:namespaceuri="urn:schemas-microsoft-com:office:smarttags" w:name="stockticker"/>
  <w:shapeDefaults>
    <o:shapedefaults v:ext="edit" spidmax="1026"/>
    <o:shapelayout v:ext="edit">
      <o:idmap v:ext="edit" data="1"/>
    </o:shapelayout>
  </w:shapeDefaults>
  <w:decimalSymbol w:val="."/>
  <w:listSeparator w:val=","/>
  <w14:docId w14:val="3DEF815E"/>
  <w15:docId w15:val="{7EEA1251-08BA-485E-BA2B-B8A03F96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link w:val="HeaderChar"/>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customStyle="1" w:styleId="FootnoteTextChar">
    <w:name w:val="Footnote Text Char"/>
    <w:link w:val="FootnoteText"/>
    <w:uiPriority w:val="99"/>
    <w:semiHidden/>
    <w:rsid w:val="00F74E43"/>
  </w:style>
  <w:style w:type="character" w:customStyle="1" w:styleId="BodyTextIndent2Char">
    <w:name w:val="Body Text Indent 2 Char"/>
    <w:basedOn w:val="DefaultParagraphFont"/>
    <w:link w:val="BodyTextIndent2"/>
    <w:rsid w:val="00EF5014"/>
    <w:rPr>
      <w:rFonts w:ascii="Palatino Linotype" w:hAnsi="Palatino Linotype"/>
      <w:sz w:val="24"/>
      <w:szCs w:val="24"/>
    </w:rPr>
  </w:style>
  <w:style w:type="character" w:customStyle="1" w:styleId="HeaderChar">
    <w:name w:val="Header Char"/>
    <w:basedOn w:val="DefaultParagraphFont"/>
    <w:link w:val="Header"/>
    <w:rsid w:val="00EF5014"/>
    <w:rPr>
      <w:szCs w:val="24"/>
    </w:rPr>
  </w:style>
  <w:style w:type="paragraph" w:customStyle="1" w:styleId="Body1">
    <w:name w:val="Body 1"/>
    <w:rsid w:val="00626B27"/>
    <w:rPr>
      <w:rFonts w:ascii="Helvetica" w:eastAsia="Arial Unicode MS" w:hAnsi="Helvetica"/>
      <w:color w:val="000000"/>
      <w:sz w:val="24"/>
    </w:rPr>
  </w:style>
  <w:style w:type="character" w:styleId="Hyperlink">
    <w:name w:val="Hyperlink"/>
    <w:basedOn w:val="DefaultParagraphFont"/>
    <w:unhideWhenUsed/>
    <w:rsid w:val="00266D4D"/>
    <w:rPr>
      <w:color w:val="0000FF" w:themeColor="hyperlink"/>
      <w:u w:val="single"/>
    </w:rPr>
  </w:style>
  <w:style w:type="paragraph" w:styleId="NormalIndent">
    <w:name w:val="Normal Indent"/>
    <w:basedOn w:val="Normal"/>
    <w:semiHidden/>
    <w:rsid w:val="00087895"/>
    <w:pPr>
      <w:widowControl/>
      <w:autoSpaceDE/>
      <w:autoSpaceDN/>
      <w:adjustRightInd/>
      <w:spacing w:before="240" w:line="240" w:lineRule="atLeast"/>
      <w:ind w:left="1440" w:right="720"/>
    </w:pPr>
    <w:rPr>
      <w:sz w:val="24"/>
      <w:szCs w:val="20"/>
    </w:rPr>
  </w:style>
  <w:style w:type="paragraph" w:customStyle="1" w:styleId="normalblock">
    <w:name w:val="normal block"/>
    <w:basedOn w:val="Normal"/>
    <w:rsid w:val="00087895"/>
    <w:pPr>
      <w:widowControl/>
      <w:autoSpaceDE/>
      <w:autoSpaceDN/>
      <w:adjustRightInd/>
      <w:spacing w:line="480" w:lineRule="atLeast"/>
    </w:pPr>
    <w:rPr>
      <w:sz w:val="24"/>
      <w:szCs w:val="20"/>
    </w:rPr>
  </w:style>
  <w:style w:type="paragraph" w:styleId="BalloonText">
    <w:name w:val="Balloon Text"/>
    <w:basedOn w:val="Normal"/>
    <w:link w:val="BalloonTextChar"/>
    <w:semiHidden/>
    <w:unhideWhenUsed/>
    <w:rsid w:val="008D4F94"/>
    <w:rPr>
      <w:rFonts w:ascii="Segoe UI" w:hAnsi="Segoe UI" w:cs="Segoe UI"/>
      <w:sz w:val="18"/>
      <w:szCs w:val="18"/>
    </w:rPr>
  </w:style>
  <w:style w:type="character" w:customStyle="1" w:styleId="BalloonTextChar">
    <w:name w:val="Balloon Text Char"/>
    <w:basedOn w:val="DefaultParagraphFont"/>
    <w:link w:val="BalloonText"/>
    <w:semiHidden/>
    <w:rsid w:val="008D4F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98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pse.com/aboutpse/Rates/Documents/elec_sch_085.pdf" TargetMode="External"/><Relationship Id="rId1" Type="http://schemas.openxmlformats.org/officeDocument/2006/relationships/hyperlink" Target="http://pse.com/aboutpse/Rates/Documents/elec_sch_0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0C4D768-DCBB-4E37-9A84-449E598926CA}"/>
</file>

<file path=customXml/itemProps2.xml><?xml version="1.0" encoding="utf-8"?>
<ds:datastoreItem xmlns:ds="http://schemas.openxmlformats.org/officeDocument/2006/customXml" ds:itemID="{53EAE6C6-77F2-4948-BA97-2BC0DD74AB4B}"/>
</file>

<file path=customXml/itemProps3.xml><?xml version="1.0" encoding="utf-8"?>
<ds:datastoreItem xmlns:ds="http://schemas.openxmlformats.org/officeDocument/2006/customXml" ds:itemID="{C191DCFB-D936-49D9-B154-DE0CE7473E1C}"/>
</file>

<file path=customXml/itemProps4.xml><?xml version="1.0" encoding="utf-8"?>
<ds:datastoreItem xmlns:ds="http://schemas.openxmlformats.org/officeDocument/2006/customXml" ds:itemID="{0FEB3646-DECD-4204-87BB-2C3DC59C59DF}"/>
</file>

<file path=customXml/itemProps5.xml><?xml version="1.0" encoding="utf-8"?>
<ds:datastoreItem xmlns:ds="http://schemas.openxmlformats.org/officeDocument/2006/customXml" ds:itemID="{73AD7CD1-A674-4174-864C-1D15E6E3C94B}"/>
</file>

<file path=docProps/app.xml><?xml version="1.0" encoding="utf-8"?>
<Properties xmlns="http://schemas.openxmlformats.org/officeDocument/2006/extended-properties" xmlns:vt="http://schemas.openxmlformats.org/officeDocument/2006/docPropsVTypes">
  <Template>Normal.dotm</Template>
  <TotalTime>3777</TotalTime>
  <Pages>20</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Linley</dc:creator>
  <cp:lastModifiedBy>Gross, Krista (UTC)</cp:lastModifiedBy>
  <cp:revision>81</cp:revision>
  <cp:lastPrinted>2015-06-25T22:32:00Z</cp:lastPrinted>
  <dcterms:created xsi:type="dcterms:W3CDTF">2015-06-10T21:17:00Z</dcterms:created>
  <dcterms:modified xsi:type="dcterms:W3CDTF">2015-06-30T23:13:00Z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0x0101006E56B4D1795A2E4DB2F0B01679ED314A00BDEB9561B6E69B4BB5883E057266F749</vt:lpwstr>
  </property>
  <property fmtid="{D5CDD505-2E9C-101B-9397-08002B2CF9AE}" pid="3" name="_docset_NoMedatataSyncRequired">
    <vt:lpwstr>False</vt:lpwstr>
  </property>
</Properties>
</file>