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B4F" w:rsidRDefault="007C5B4F" w:rsidP="007C5B4F">
      <w:pPr>
        <w:spacing w:after="0"/>
        <w:rPr>
          <w:rFonts w:ascii="Times New Roman" w:hAnsi="Times New Roman" w:cs="Times New Roman"/>
          <w:b/>
          <w:sz w:val="24"/>
          <w:szCs w:val="24"/>
        </w:rPr>
      </w:pPr>
      <w:r>
        <w:rPr>
          <w:rFonts w:ascii="Times New Roman" w:hAnsi="Times New Roman" w:cs="Times New Roman"/>
          <w:b/>
          <w:sz w:val="24"/>
          <w:szCs w:val="24"/>
        </w:rPr>
        <w:t>RULEMAKING: Distribution of White Pages Directories</w:t>
      </w:r>
    </w:p>
    <w:p w:rsidR="007C5B4F" w:rsidRDefault="007C5B4F" w:rsidP="007C5B4F">
      <w:pPr>
        <w:spacing w:after="0"/>
        <w:rPr>
          <w:rFonts w:ascii="Times New Roman" w:hAnsi="Times New Roman" w:cs="Times New Roman"/>
          <w:b/>
          <w:sz w:val="24"/>
          <w:szCs w:val="24"/>
        </w:rPr>
      </w:pPr>
      <w:r>
        <w:rPr>
          <w:rFonts w:ascii="Times New Roman" w:hAnsi="Times New Roman" w:cs="Times New Roman"/>
          <w:b/>
          <w:sz w:val="24"/>
          <w:szCs w:val="24"/>
        </w:rPr>
        <w:t>DOCKET UT-120451</w:t>
      </w:r>
    </w:p>
    <w:p w:rsidR="007C5B4F" w:rsidRDefault="000D2052" w:rsidP="007C5B4F">
      <w:pPr>
        <w:spacing w:after="0"/>
        <w:rPr>
          <w:rFonts w:ascii="Times New Roman" w:hAnsi="Times New Roman" w:cs="Times New Roman"/>
          <w:b/>
          <w:sz w:val="24"/>
          <w:szCs w:val="24"/>
        </w:rPr>
      </w:pPr>
      <w:r>
        <w:rPr>
          <w:rFonts w:ascii="Times New Roman" w:hAnsi="Times New Roman" w:cs="Times New Roman"/>
          <w:b/>
          <w:sz w:val="24"/>
          <w:szCs w:val="24"/>
        </w:rPr>
        <w:t xml:space="preserve">Second Supplemental </w:t>
      </w:r>
      <w:r w:rsidR="007C5B4F">
        <w:rPr>
          <w:rFonts w:ascii="Times New Roman" w:hAnsi="Times New Roman" w:cs="Times New Roman"/>
          <w:b/>
          <w:sz w:val="24"/>
          <w:szCs w:val="24"/>
        </w:rPr>
        <w:t>CR-102 Comment Matrix</w:t>
      </w:r>
    </w:p>
    <w:tbl>
      <w:tblPr>
        <w:tblStyle w:val="TableGrid"/>
        <w:tblW w:w="14310" w:type="dxa"/>
        <w:tblInd w:w="-522" w:type="dxa"/>
        <w:tblLook w:val="04A0" w:firstRow="1" w:lastRow="0" w:firstColumn="1" w:lastColumn="0" w:noHBand="0" w:noVBand="1"/>
      </w:tblPr>
      <w:tblGrid>
        <w:gridCol w:w="2790"/>
        <w:gridCol w:w="7380"/>
        <w:gridCol w:w="4140"/>
      </w:tblGrid>
      <w:tr w:rsidR="007C5B4F" w:rsidRPr="008F6AC7" w:rsidTr="007C5B4F">
        <w:tc>
          <w:tcPr>
            <w:tcW w:w="2790" w:type="dxa"/>
          </w:tcPr>
          <w:p w:rsidR="007C5B4F" w:rsidRPr="008F6AC7" w:rsidRDefault="007C5B4F">
            <w:pPr>
              <w:rPr>
                <w:rFonts w:ascii="Times New Roman" w:hAnsi="Times New Roman" w:cs="Times New Roman"/>
                <w:b/>
              </w:rPr>
            </w:pPr>
            <w:r w:rsidRPr="008F6AC7">
              <w:rPr>
                <w:rFonts w:ascii="Times New Roman" w:hAnsi="Times New Roman" w:cs="Times New Roman"/>
                <w:b/>
              </w:rPr>
              <w:t>Commenter</w:t>
            </w:r>
          </w:p>
        </w:tc>
        <w:tc>
          <w:tcPr>
            <w:tcW w:w="7380" w:type="dxa"/>
          </w:tcPr>
          <w:p w:rsidR="007C5B4F" w:rsidRPr="008F6AC7" w:rsidRDefault="007C5B4F">
            <w:pPr>
              <w:rPr>
                <w:rFonts w:ascii="Times New Roman" w:hAnsi="Times New Roman" w:cs="Times New Roman"/>
                <w:b/>
              </w:rPr>
            </w:pPr>
            <w:r w:rsidRPr="008F6AC7">
              <w:rPr>
                <w:rFonts w:ascii="Times New Roman" w:hAnsi="Times New Roman" w:cs="Times New Roman"/>
                <w:b/>
              </w:rPr>
              <w:t>Comment</w:t>
            </w:r>
          </w:p>
        </w:tc>
        <w:tc>
          <w:tcPr>
            <w:tcW w:w="4140" w:type="dxa"/>
          </w:tcPr>
          <w:p w:rsidR="007C5B4F" w:rsidRPr="008F6AC7" w:rsidRDefault="007C5B4F">
            <w:pPr>
              <w:rPr>
                <w:rFonts w:ascii="Times New Roman" w:hAnsi="Times New Roman" w:cs="Times New Roman"/>
                <w:b/>
              </w:rPr>
            </w:pPr>
            <w:r w:rsidRPr="008F6AC7">
              <w:rPr>
                <w:rFonts w:ascii="Times New Roman" w:hAnsi="Times New Roman" w:cs="Times New Roman"/>
                <w:b/>
              </w:rPr>
              <w:t>Staff Position</w:t>
            </w:r>
          </w:p>
        </w:tc>
      </w:tr>
      <w:tr w:rsidR="007C5B4F" w:rsidRPr="008F6AC7" w:rsidTr="007C5B4F">
        <w:tc>
          <w:tcPr>
            <w:tcW w:w="2790" w:type="dxa"/>
          </w:tcPr>
          <w:p w:rsidR="007C5B4F" w:rsidRPr="008F6AC7" w:rsidRDefault="007C5B4F">
            <w:pPr>
              <w:rPr>
                <w:rFonts w:ascii="Times New Roman" w:hAnsi="Times New Roman" w:cs="Times New Roman"/>
              </w:rPr>
            </w:pPr>
            <w:r w:rsidRPr="008F6AC7">
              <w:rPr>
                <w:rFonts w:ascii="Times New Roman" w:hAnsi="Times New Roman" w:cs="Times New Roman"/>
              </w:rPr>
              <w:t>Jeanette L. Henderson</w:t>
            </w:r>
          </w:p>
        </w:tc>
        <w:tc>
          <w:tcPr>
            <w:tcW w:w="7380" w:type="dxa"/>
          </w:tcPr>
          <w:p w:rsidR="007C5B4F" w:rsidRPr="008F6AC7" w:rsidRDefault="00D62071">
            <w:pPr>
              <w:rPr>
                <w:rFonts w:ascii="Times New Roman" w:hAnsi="Times New Roman" w:cs="Times New Roman"/>
              </w:rPr>
            </w:pPr>
            <w:r w:rsidRPr="008F6AC7">
              <w:rPr>
                <w:rFonts w:ascii="Times New Roman" w:hAnsi="Times New Roman" w:cs="Times New Roman"/>
              </w:rPr>
              <w:t>Proposed rule would be improved by removing subsection (3).</w:t>
            </w:r>
          </w:p>
        </w:tc>
        <w:tc>
          <w:tcPr>
            <w:tcW w:w="4140" w:type="dxa"/>
          </w:tcPr>
          <w:p w:rsidR="007C5B4F" w:rsidRPr="008F6AC7" w:rsidRDefault="00626F1D">
            <w:pPr>
              <w:rPr>
                <w:rFonts w:ascii="Times New Roman" w:hAnsi="Times New Roman" w:cs="Times New Roman"/>
                <w:b/>
              </w:rPr>
            </w:pPr>
            <w:r>
              <w:rPr>
                <w:rFonts w:ascii="Times New Roman" w:hAnsi="Times New Roman" w:cs="Times New Roman"/>
              </w:rPr>
              <w:t>Staff believes the revised rule as currently drafted strikes the appropriate balance between company, customer, and environmental concerns and does not recommend accepting this change.</w:t>
            </w:r>
          </w:p>
        </w:tc>
      </w:tr>
      <w:tr w:rsidR="00D62071" w:rsidRPr="008F6AC7" w:rsidTr="007C5B4F">
        <w:tc>
          <w:tcPr>
            <w:tcW w:w="2790" w:type="dxa"/>
          </w:tcPr>
          <w:p w:rsidR="00D62071" w:rsidRPr="008F6AC7" w:rsidRDefault="00D62071" w:rsidP="00D62071">
            <w:pPr>
              <w:rPr>
                <w:rFonts w:ascii="Times New Roman" w:hAnsi="Times New Roman" w:cs="Times New Roman"/>
              </w:rPr>
            </w:pPr>
            <w:r w:rsidRPr="008F6AC7">
              <w:rPr>
                <w:rFonts w:ascii="Times New Roman" w:hAnsi="Times New Roman" w:cs="Times New Roman"/>
              </w:rPr>
              <w:t>Seattle Public Utilities</w:t>
            </w:r>
          </w:p>
          <w:p w:rsidR="00D62071" w:rsidRPr="008F6AC7" w:rsidRDefault="00D62071" w:rsidP="00D62071">
            <w:pPr>
              <w:rPr>
                <w:rFonts w:ascii="Times New Roman" w:hAnsi="Times New Roman" w:cs="Times New Roman"/>
              </w:rPr>
            </w:pPr>
            <w:r w:rsidRPr="008F6AC7">
              <w:rPr>
                <w:rFonts w:ascii="Times New Roman" w:hAnsi="Times New Roman" w:cs="Times New Roman"/>
              </w:rPr>
              <w:t>Represented by Timothy Croll</w:t>
            </w:r>
          </w:p>
        </w:tc>
        <w:tc>
          <w:tcPr>
            <w:tcW w:w="7380" w:type="dxa"/>
          </w:tcPr>
          <w:p w:rsidR="00D62071" w:rsidRPr="008F6AC7" w:rsidRDefault="00D62071">
            <w:pPr>
              <w:rPr>
                <w:rFonts w:ascii="Times New Roman" w:hAnsi="Times New Roman" w:cs="Times New Roman"/>
              </w:rPr>
            </w:pPr>
            <w:r w:rsidRPr="008F6AC7">
              <w:rPr>
                <w:rFonts w:ascii="Times New Roman" w:hAnsi="Times New Roman" w:cs="Times New Roman"/>
              </w:rPr>
              <w:t>Supports the most recent draft, particularly (2)(a), the opt-in provision.</w:t>
            </w:r>
          </w:p>
        </w:tc>
        <w:tc>
          <w:tcPr>
            <w:tcW w:w="4140" w:type="dxa"/>
          </w:tcPr>
          <w:p w:rsidR="00D62071" w:rsidRPr="008F6AC7" w:rsidRDefault="00D62071">
            <w:pPr>
              <w:rPr>
                <w:rFonts w:ascii="Times New Roman" w:hAnsi="Times New Roman" w:cs="Times New Roman"/>
                <w:b/>
              </w:rPr>
            </w:pPr>
          </w:p>
        </w:tc>
      </w:tr>
      <w:tr w:rsidR="00D62071" w:rsidRPr="008F6AC7" w:rsidTr="007C5B4F">
        <w:tc>
          <w:tcPr>
            <w:tcW w:w="2790" w:type="dxa"/>
          </w:tcPr>
          <w:p w:rsidR="00D62071" w:rsidRPr="008F6AC7" w:rsidRDefault="00D62071" w:rsidP="00D62071">
            <w:pPr>
              <w:rPr>
                <w:rFonts w:ascii="Times New Roman" w:hAnsi="Times New Roman" w:cs="Times New Roman"/>
              </w:rPr>
            </w:pPr>
            <w:r w:rsidRPr="008F6AC7">
              <w:rPr>
                <w:rFonts w:ascii="Times New Roman" w:hAnsi="Times New Roman" w:cs="Times New Roman"/>
              </w:rPr>
              <w:t>Century Link</w:t>
            </w:r>
          </w:p>
          <w:p w:rsidR="00D62071" w:rsidRPr="008F6AC7" w:rsidRDefault="00D62071" w:rsidP="00D62071">
            <w:pPr>
              <w:rPr>
                <w:rFonts w:ascii="Times New Roman" w:hAnsi="Times New Roman" w:cs="Times New Roman"/>
              </w:rPr>
            </w:pPr>
            <w:r w:rsidRPr="008F6AC7">
              <w:rPr>
                <w:rFonts w:ascii="Times New Roman" w:hAnsi="Times New Roman" w:cs="Times New Roman"/>
              </w:rPr>
              <w:t>Represented by Lisa Anderl</w:t>
            </w:r>
          </w:p>
        </w:tc>
        <w:tc>
          <w:tcPr>
            <w:tcW w:w="7380" w:type="dxa"/>
          </w:tcPr>
          <w:p w:rsidR="00D62071" w:rsidRPr="008F6AC7" w:rsidRDefault="00433AF0" w:rsidP="00433AF0">
            <w:pPr>
              <w:rPr>
                <w:rFonts w:ascii="Times New Roman" w:hAnsi="Times New Roman" w:cs="Times New Roman"/>
              </w:rPr>
            </w:pPr>
            <w:r w:rsidRPr="008F6AC7">
              <w:rPr>
                <w:rFonts w:ascii="Times New Roman" w:hAnsi="Times New Roman" w:cs="Times New Roman"/>
              </w:rPr>
              <w:t xml:space="preserve">The current draft does not allow for the protection of non-published customers’ information because </w:t>
            </w:r>
            <w:r w:rsidR="00F22341">
              <w:rPr>
                <w:rFonts w:ascii="Times New Roman" w:hAnsi="Times New Roman" w:cs="Times New Roman"/>
              </w:rPr>
              <w:t xml:space="preserve">personal and </w:t>
            </w:r>
            <w:r w:rsidRPr="008F6AC7">
              <w:rPr>
                <w:rFonts w:ascii="Times New Roman" w:hAnsi="Times New Roman" w:cs="Times New Roman"/>
              </w:rPr>
              <w:t>proprietary information is available to those who use the Dex online website.</w:t>
            </w:r>
          </w:p>
          <w:p w:rsidR="00433AF0" w:rsidRPr="008F6AC7" w:rsidRDefault="00433AF0" w:rsidP="00433AF0">
            <w:pPr>
              <w:rPr>
                <w:rFonts w:ascii="Times New Roman" w:hAnsi="Times New Roman" w:cs="Times New Roman"/>
              </w:rPr>
            </w:pPr>
          </w:p>
          <w:p w:rsidR="00552772" w:rsidRPr="008F6AC7" w:rsidRDefault="00433AF0" w:rsidP="00433AF0">
            <w:pPr>
              <w:rPr>
                <w:rFonts w:ascii="Times New Roman" w:hAnsi="Times New Roman" w:cs="Times New Roman"/>
              </w:rPr>
            </w:pPr>
            <w:r w:rsidRPr="008F6AC7">
              <w:rPr>
                <w:rFonts w:ascii="Times New Roman" w:hAnsi="Times New Roman" w:cs="Times New Roman"/>
              </w:rPr>
              <w:t>An opt-in approach would result in customers not getting notice that they would not receive a printed phone book.</w:t>
            </w:r>
          </w:p>
          <w:p w:rsidR="00552772" w:rsidRPr="008F6AC7" w:rsidRDefault="00552772" w:rsidP="00433AF0">
            <w:pPr>
              <w:rPr>
                <w:rFonts w:ascii="Times New Roman" w:hAnsi="Times New Roman" w:cs="Times New Roman"/>
              </w:rPr>
            </w:pPr>
            <w:bookmarkStart w:id="0" w:name="_GoBack"/>
            <w:bookmarkEnd w:id="0"/>
          </w:p>
          <w:p w:rsidR="00552772" w:rsidRPr="008F6AC7" w:rsidRDefault="00552772" w:rsidP="00433AF0">
            <w:pPr>
              <w:rPr>
                <w:rFonts w:ascii="Times New Roman" w:hAnsi="Times New Roman" w:cs="Times New Roman"/>
              </w:rPr>
            </w:pPr>
            <w:r w:rsidRPr="008F6AC7">
              <w:rPr>
                <w:rFonts w:ascii="Times New Roman" w:hAnsi="Times New Roman" w:cs="Times New Roman"/>
              </w:rPr>
              <w:t>An opt-in approach should apply only to residential white pages, not business listing in the white pages, so that the company, or Dex, would not be out of compliance if it were to deliver combined white and yellow page business listings.</w:t>
            </w:r>
          </w:p>
          <w:p w:rsidR="00552772" w:rsidRPr="008F6AC7" w:rsidRDefault="00552772" w:rsidP="00433AF0">
            <w:pPr>
              <w:rPr>
                <w:rFonts w:ascii="Times New Roman" w:hAnsi="Times New Roman" w:cs="Times New Roman"/>
              </w:rPr>
            </w:pPr>
          </w:p>
          <w:p w:rsidR="00552772" w:rsidRPr="008F6AC7" w:rsidRDefault="00552772" w:rsidP="00552772">
            <w:pPr>
              <w:rPr>
                <w:rFonts w:ascii="Times New Roman" w:hAnsi="Times New Roman" w:cs="Times New Roman"/>
              </w:rPr>
            </w:pPr>
            <w:r w:rsidRPr="008F6AC7">
              <w:rPr>
                <w:rFonts w:ascii="Times New Roman" w:hAnsi="Times New Roman" w:cs="Times New Roman"/>
              </w:rPr>
              <w:t>An opt-in approach should be phased in, with a notice about how a customer can continue to receive directories.</w:t>
            </w:r>
          </w:p>
          <w:p w:rsidR="00552772" w:rsidRPr="008F6AC7" w:rsidRDefault="00552772" w:rsidP="00552772">
            <w:pPr>
              <w:rPr>
                <w:rFonts w:ascii="Times New Roman" w:hAnsi="Times New Roman" w:cs="Times New Roman"/>
              </w:rPr>
            </w:pPr>
          </w:p>
          <w:p w:rsidR="00552772" w:rsidRPr="008F6AC7" w:rsidRDefault="00552772" w:rsidP="00552772">
            <w:pPr>
              <w:rPr>
                <w:rFonts w:ascii="Times New Roman" w:hAnsi="Times New Roman" w:cs="Times New Roman"/>
              </w:rPr>
            </w:pPr>
            <w:r w:rsidRPr="008F6AC7">
              <w:rPr>
                <w:rFonts w:ascii="Times New Roman" w:hAnsi="Times New Roman" w:cs="Times New Roman"/>
              </w:rPr>
              <w:t xml:space="preserve">Subsection (2) should be modified so that a LEC is obligated to provide </w:t>
            </w:r>
            <w:r w:rsidR="001026B1">
              <w:rPr>
                <w:rFonts w:ascii="Times New Roman" w:hAnsi="Times New Roman" w:cs="Times New Roman"/>
              </w:rPr>
              <w:t xml:space="preserve">access to </w:t>
            </w:r>
            <w:r w:rsidRPr="008F6AC7">
              <w:rPr>
                <w:rFonts w:ascii="Times New Roman" w:hAnsi="Times New Roman" w:cs="Times New Roman"/>
              </w:rPr>
              <w:t>list</w:t>
            </w:r>
            <w:r w:rsidR="008F6AC7" w:rsidRPr="008F6AC7">
              <w:rPr>
                <w:rFonts w:ascii="Times New Roman" w:hAnsi="Times New Roman" w:cs="Times New Roman"/>
              </w:rPr>
              <w:t>ings only for its own customers and customers of carriers who provide their listings at no charge.</w:t>
            </w:r>
          </w:p>
        </w:tc>
        <w:tc>
          <w:tcPr>
            <w:tcW w:w="4140" w:type="dxa"/>
          </w:tcPr>
          <w:p w:rsidR="00D62071" w:rsidRDefault="0050191A" w:rsidP="0050191A">
            <w:pPr>
              <w:rPr>
                <w:rFonts w:ascii="Times New Roman" w:hAnsi="Times New Roman" w:cs="Times New Roman"/>
              </w:rPr>
            </w:pPr>
            <w:r>
              <w:rPr>
                <w:rFonts w:ascii="Times New Roman" w:hAnsi="Times New Roman" w:cs="Times New Roman"/>
              </w:rPr>
              <w:t>LECs have the same ability to protect customer</w:t>
            </w:r>
            <w:r w:rsidR="00573AC6">
              <w:rPr>
                <w:rFonts w:ascii="Times New Roman" w:hAnsi="Times New Roman" w:cs="Times New Roman"/>
              </w:rPr>
              <w:t xml:space="preserve"> </w:t>
            </w:r>
            <w:r>
              <w:rPr>
                <w:rFonts w:ascii="Times New Roman" w:hAnsi="Times New Roman" w:cs="Times New Roman"/>
              </w:rPr>
              <w:t xml:space="preserve">privacy under the proposed rule that they have under the existing rule. </w:t>
            </w:r>
          </w:p>
          <w:p w:rsidR="0050191A" w:rsidRDefault="0050191A" w:rsidP="0050191A">
            <w:pPr>
              <w:rPr>
                <w:rFonts w:ascii="Times New Roman" w:hAnsi="Times New Roman" w:cs="Times New Roman"/>
              </w:rPr>
            </w:pPr>
          </w:p>
          <w:p w:rsidR="0050191A" w:rsidRPr="008F6AC7" w:rsidRDefault="0050191A" w:rsidP="0050191A">
            <w:pPr>
              <w:rPr>
                <w:rFonts w:ascii="Times New Roman" w:hAnsi="Times New Roman" w:cs="Times New Roman"/>
                <w:b/>
              </w:rPr>
            </w:pPr>
            <w:r>
              <w:rPr>
                <w:rFonts w:ascii="Times New Roman" w:hAnsi="Times New Roman" w:cs="Times New Roman"/>
              </w:rPr>
              <w:t xml:space="preserve">The proposed rule does not require a LEC </w:t>
            </w:r>
            <w:r w:rsidRPr="008B6D99">
              <w:rPr>
                <w:rFonts w:ascii="Times New Roman" w:hAnsi="Times New Roman" w:cs="Times New Roman"/>
                <w:i/>
              </w:rPr>
              <w:t>not</w:t>
            </w:r>
            <w:r>
              <w:rPr>
                <w:rFonts w:ascii="Times New Roman" w:hAnsi="Times New Roman" w:cs="Times New Roman"/>
              </w:rPr>
              <w:t xml:space="preserve"> to publish a printed directory and thus the LEC would be able to provide what it believes is an appropriate phase-out period and notice if the LEC chooses not to publish a printed directory for all of its customers. Similarly, a LEC will not be out of compliance with the rule if it continues to publish a printed directory that combines white and yellow pages. </w:t>
            </w:r>
          </w:p>
        </w:tc>
      </w:tr>
      <w:tr w:rsidR="00D62071" w:rsidRPr="008F6AC7" w:rsidTr="007C5B4F">
        <w:tc>
          <w:tcPr>
            <w:tcW w:w="2790" w:type="dxa"/>
          </w:tcPr>
          <w:p w:rsidR="00433AF0" w:rsidRPr="008F6AC7" w:rsidRDefault="00433AF0" w:rsidP="00433AF0">
            <w:pPr>
              <w:rPr>
                <w:rFonts w:ascii="Times New Roman" w:hAnsi="Times New Roman" w:cs="Times New Roman"/>
              </w:rPr>
            </w:pPr>
            <w:r w:rsidRPr="008F6AC7">
              <w:rPr>
                <w:rFonts w:ascii="Times New Roman" w:hAnsi="Times New Roman" w:cs="Times New Roman"/>
              </w:rPr>
              <w:t>Public Counsel</w:t>
            </w:r>
          </w:p>
          <w:p w:rsidR="00D62071" w:rsidRPr="008F6AC7" w:rsidRDefault="00433AF0" w:rsidP="00433AF0">
            <w:pPr>
              <w:rPr>
                <w:rFonts w:ascii="Times New Roman" w:hAnsi="Times New Roman" w:cs="Times New Roman"/>
              </w:rPr>
            </w:pPr>
            <w:r w:rsidRPr="008F6AC7">
              <w:rPr>
                <w:rFonts w:ascii="Times New Roman" w:hAnsi="Times New Roman" w:cs="Times New Roman"/>
              </w:rPr>
              <w:t>Represented by Lisa A. Gafken</w:t>
            </w:r>
          </w:p>
        </w:tc>
        <w:tc>
          <w:tcPr>
            <w:tcW w:w="7380" w:type="dxa"/>
          </w:tcPr>
          <w:p w:rsidR="00D62071" w:rsidRPr="008F6AC7" w:rsidRDefault="00433AF0">
            <w:pPr>
              <w:rPr>
                <w:rFonts w:ascii="Times New Roman" w:hAnsi="Times New Roman" w:cs="Times New Roman"/>
              </w:rPr>
            </w:pPr>
            <w:r w:rsidRPr="008F6AC7">
              <w:rPr>
                <w:rFonts w:ascii="Times New Roman" w:hAnsi="Times New Roman" w:cs="Times New Roman"/>
              </w:rPr>
              <w:t>No further comments.</w:t>
            </w:r>
          </w:p>
        </w:tc>
        <w:tc>
          <w:tcPr>
            <w:tcW w:w="4140" w:type="dxa"/>
          </w:tcPr>
          <w:p w:rsidR="00D62071" w:rsidRPr="008F6AC7" w:rsidRDefault="00D62071">
            <w:pPr>
              <w:rPr>
                <w:rFonts w:ascii="Times New Roman" w:hAnsi="Times New Roman" w:cs="Times New Roman"/>
                <w:b/>
              </w:rPr>
            </w:pPr>
          </w:p>
        </w:tc>
      </w:tr>
      <w:tr w:rsidR="00D62071" w:rsidRPr="008F6AC7" w:rsidTr="007C5B4F">
        <w:tc>
          <w:tcPr>
            <w:tcW w:w="2790" w:type="dxa"/>
          </w:tcPr>
          <w:p w:rsidR="00433AF0" w:rsidRPr="008F6AC7" w:rsidRDefault="00433AF0" w:rsidP="00433AF0">
            <w:pPr>
              <w:rPr>
                <w:rFonts w:ascii="Times New Roman" w:hAnsi="Times New Roman" w:cs="Times New Roman"/>
              </w:rPr>
            </w:pPr>
            <w:r w:rsidRPr="008F6AC7">
              <w:rPr>
                <w:rFonts w:ascii="Times New Roman" w:hAnsi="Times New Roman" w:cs="Times New Roman"/>
              </w:rPr>
              <w:t>WITA</w:t>
            </w:r>
          </w:p>
          <w:p w:rsidR="00433AF0" w:rsidRPr="008F6AC7" w:rsidRDefault="00433AF0" w:rsidP="00433AF0">
            <w:pPr>
              <w:rPr>
                <w:rFonts w:ascii="Times New Roman" w:hAnsi="Times New Roman" w:cs="Times New Roman"/>
              </w:rPr>
            </w:pPr>
            <w:r w:rsidRPr="008F6AC7">
              <w:rPr>
                <w:rFonts w:ascii="Times New Roman" w:hAnsi="Times New Roman" w:cs="Times New Roman"/>
              </w:rPr>
              <w:t xml:space="preserve">Represented by </w:t>
            </w:r>
          </w:p>
          <w:p w:rsidR="00D62071" w:rsidRPr="008F6AC7" w:rsidRDefault="00433AF0" w:rsidP="00433AF0">
            <w:pPr>
              <w:rPr>
                <w:rFonts w:ascii="Times New Roman" w:hAnsi="Times New Roman" w:cs="Times New Roman"/>
              </w:rPr>
            </w:pPr>
            <w:r w:rsidRPr="008F6AC7">
              <w:rPr>
                <w:rFonts w:ascii="Times New Roman" w:hAnsi="Times New Roman" w:cs="Times New Roman"/>
              </w:rPr>
              <w:lastRenderedPageBreak/>
              <w:t>Betty S. Buckley</w:t>
            </w:r>
          </w:p>
          <w:p w:rsidR="004828E7" w:rsidRPr="008F6AC7" w:rsidRDefault="004828E7" w:rsidP="00433AF0">
            <w:pPr>
              <w:rPr>
                <w:rFonts w:ascii="Times New Roman" w:hAnsi="Times New Roman" w:cs="Times New Roman"/>
              </w:rPr>
            </w:pPr>
            <w:r w:rsidRPr="008F6AC7">
              <w:rPr>
                <w:rFonts w:ascii="Times New Roman" w:hAnsi="Times New Roman" w:cs="Times New Roman"/>
              </w:rPr>
              <w:t>WITA (cont’d)</w:t>
            </w:r>
          </w:p>
        </w:tc>
        <w:tc>
          <w:tcPr>
            <w:tcW w:w="7380" w:type="dxa"/>
          </w:tcPr>
          <w:p w:rsidR="00D62071" w:rsidRPr="008F6AC7" w:rsidRDefault="00433AF0">
            <w:pPr>
              <w:rPr>
                <w:rFonts w:ascii="Times New Roman" w:hAnsi="Times New Roman" w:cs="Times New Roman"/>
              </w:rPr>
            </w:pPr>
            <w:r w:rsidRPr="008F6AC7">
              <w:rPr>
                <w:rFonts w:ascii="Times New Roman" w:hAnsi="Times New Roman" w:cs="Times New Roman"/>
              </w:rPr>
              <w:lastRenderedPageBreak/>
              <w:t xml:space="preserve">Language in subsection (2) implies that a LEC must be responsible for making </w:t>
            </w:r>
            <w:r w:rsidR="00AD3143" w:rsidRPr="008F6AC7">
              <w:rPr>
                <w:rFonts w:ascii="Times New Roman" w:hAnsi="Times New Roman" w:cs="Times New Roman"/>
              </w:rPr>
              <w:t>“</w:t>
            </w:r>
            <w:r w:rsidRPr="008F6AC7">
              <w:rPr>
                <w:rFonts w:ascii="Times New Roman" w:hAnsi="Times New Roman" w:cs="Times New Roman"/>
              </w:rPr>
              <w:t>all</w:t>
            </w:r>
            <w:r w:rsidR="00AD3143" w:rsidRPr="008F6AC7">
              <w:rPr>
                <w:rFonts w:ascii="Times New Roman" w:hAnsi="Times New Roman" w:cs="Times New Roman"/>
              </w:rPr>
              <w:t>”</w:t>
            </w:r>
            <w:r w:rsidRPr="008F6AC7">
              <w:rPr>
                <w:rFonts w:ascii="Times New Roman" w:hAnsi="Times New Roman" w:cs="Times New Roman"/>
              </w:rPr>
              <w:t xml:space="preserve"> directory listings in the local calling area</w:t>
            </w:r>
            <w:r w:rsidR="00AD3143" w:rsidRPr="008F6AC7">
              <w:rPr>
                <w:rFonts w:ascii="Times New Roman" w:hAnsi="Times New Roman" w:cs="Times New Roman"/>
              </w:rPr>
              <w:t xml:space="preserve"> available</w:t>
            </w:r>
            <w:r w:rsidRPr="008F6AC7">
              <w:rPr>
                <w:rFonts w:ascii="Times New Roman" w:hAnsi="Times New Roman" w:cs="Times New Roman"/>
              </w:rPr>
              <w:t>, rather than</w:t>
            </w:r>
            <w:r w:rsidR="00AD3143" w:rsidRPr="008F6AC7">
              <w:rPr>
                <w:rFonts w:ascii="Times New Roman" w:hAnsi="Times New Roman" w:cs="Times New Roman"/>
              </w:rPr>
              <w:t xml:space="preserve"> just the </w:t>
            </w:r>
            <w:r w:rsidR="00F455BE">
              <w:rPr>
                <w:rFonts w:ascii="Times New Roman" w:hAnsi="Times New Roman" w:cs="Times New Roman"/>
              </w:rPr>
              <w:lastRenderedPageBreak/>
              <w:t xml:space="preserve">listings of the </w:t>
            </w:r>
            <w:r w:rsidR="00AD3143" w:rsidRPr="008F6AC7">
              <w:rPr>
                <w:rFonts w:ascii="Times New Roman" w:hAnsi="Times New Roman" w:cs="Times New Roman"/>
              </w:rPr>
              <w:t>LEC’s own customers.</w:t>
            </w:r>
          </w:p>
          <w:p w:rsidR="004828E7" w:rsidRPr="008F6AC7" w:rsidRDefault="004828E7">
            <w:pPr>
              <w:rPr>
                <w:rFonts w:ascii="Times New Roman" w:hAnsi="Times New Roman" w:cs="Times New Roman"/>
              </w:rPr>
            </w:pPr>
          </w:p>
          <w:p w:rsidR="004828E7" w:rsidRPr="008F6AC7" w:rsidRDefault="004828E7">
            <w:pPr>
              <w:rPr>
                <w:rFonts w:ascii="Times New Roman" w:hAnsi="Times New Roman" w:cs="Times New Roman"/>
              </w:rPr>
            </w:pPr>
            <w:r w:rsidRPr="008F6AC7">
              <w:rPr>
                <w:rFonts w:ascii="Times New Roman" w:hAnsi="Times New Roman" w:cs="Times New Roman"/>
              </w:rPr>
              <w:t>There are potential problems in providing electronic listings</w:t>
            </w:r>
            <w:r w:rsidR="00EE3CF7">
              <w:rPr>
                <w:rFonts w:ascii="Times New Roman" w:hAnsi="Times New Roman" w:cs="Times New Roman"/>
              </w:rPr>
              <w:t xml:space="preserve"> of other LECs</w:t>
            </w:r>
            <w:r w:rsidRPr="008F6AC7">
              <w:rPr>
                <w:rFonts w:ascii="Times New Roman" w:hAnsi="Times New Roman" w:cs="Times New Roman"/>
              </w:rPr>
              <w:t xml:space="preserve">, related to </w:t>
            </w:r>
            <w:r w:rsidR="008F6AC7" w:rsidRPr="008F6AC7">
              <w:rPr>
                <w:rFonts w:ascii="Times New Roman" w:hAnsi="Times New Roman" w:cs="Times New Roman"/>
              </w:rPr>
              <w:t>licensing agreements</w:t>
            </w:r>
            <w:r w:rsidR="00EE3CF7">
              <w:rPr>
                <w:rFonts w:ascii="Times New Roman" w:hAnsi="Times New Roman" w:cs="Times New Roman"/>
              </w:rPr>
              <w:t>,</w:t>
            </w:r>
            <w:r w:rsidR="008F6AC7" w:rsidRPr="008F6AC7">
              <w:rPr>
                <w:rFonts w:ascii="Times New Roman" w:hAnsi="Times New Roman" w:cs="Times New Roman"/>
              </w:rPr>
              <w:t xml:space="preserve"> that could make some listings unavailable or burdensome to obtain.</w:t>
            </w:r>
          </w:p>
          <w:p w:rsidR="004828E7" w:rsidRPr="008F6AC7" w:rsidRDefault="004828E7">
            <w:pPr>
              <w:rPr>
                <w:rFonts w:ascii="Times New Roman" w:hAnsi="Times New Roman" w:cs="Times New Roman"/>
              </w:rPr>
            </w:pPr>
          </w:p>
          <w:p w:rsidR="004828E7" w:rsidRPr="008F6AC7" w:rsidRDefault="004828E7">
            <w:pPr>
              <w:rPr>
                <w:rFonts w:ascii="Times New Roman" w:hAnsi="Times New Roman" w:cs="Times New Roman"/>
              </w:rPr>
            </w:pPr>
            <w:r w:rsidRPr="008F6AC7">
              <w:rPr>
                <w:rFonts w:ascii="Times New Roman" w:hAnsi="Times New Roman" w:cs="Times New Roman"/>
              </w:rPr>
              <w:t>Does not understand how listings will be handled on situations where an ILEC also conducts CLEC activities in the local calling area.</w:t>
            </w:r>
          </w:p>
          <w:p w:rsidR="004828E7" w:rsidRPr="008F6AC7" w:rsidRDefault="004828E7">
            <w:pPr>
              <w:rPr>
                <w:rFonts w:ascii="Times New Roman" w:hAnsi="Times New Roman" w:cs="Times New Roman"/>
              </w:rPr>
            </w:pPr>
          </w:p>
          <w:p w:rsidR="004828E7" w:rsidRPr="008F6AC7" w:rsidRDefault="004828E7">
            <w:pPr>
              <w:rPr>
                <w:rFonts w:ascii="Times New Roman" w:hAnsi="Times New Roman" w:cs="Times New Roman"/>
              </w:rPr>
            </w:pPr>
            <w:r w:rsidRPr="008F6AC7">
              <w:rPr>
                <w:rFonts w:ascii="Times New Roman" w:hAnsi="Times New Roman" w:cs="Times New Roman"/>
              </w:rPr>
              <w:t>Recommends subsection (2) be rewritten as follows:</w:t>
            </w:r>
          </w:p>
          <w:p w:rsidR="004828E7" w:rsidRPr="008F6AC7" w:rsidRDefault="004828E7">
            <w:pPr>
              <w:rPr>
                <w:rFonts w:ascii="Times New Roman" w:hAnsi="Times New Roman" w:cs="Times New Roman"/>
              </w:rPr>
            </w:pPr>
          </w:p>
          <w:p w:rsidR="004828E7" w:rsidRPr="008F6AC7" w:rsidRDefault="004828E7" w:rsidP="004828E7">
            <w:pPr>
              <w:ind w:left="720" w:right="720"/>
              <w:rPr>
                <w:rFonts w:ascii="Times New Roman" w:hAnsi="Times New Roman" w:cs="Times New Roman"/>
              </w:rPr>
            </w:pPr>
            <w:r w:rsidRPr="008F6AC7">
              <w:rPr>
                <w:rFonts w:ascii="Times New Roman" w:hAnsi="Times New Roman" w:cs="Times New Roman"/>
              </w:rPr>
              <w:t>(2)  A local exchange company must allow access by the local exchange customers it serves to the publicly available listings for the local exchange company's exchange area by publishing those publicly available listings electronically via a document, database, or link on the local exchange company's web site.  A local exchange company is not required to distribute a printed directory.</w:t>
            </w:r>
          </w:p>
          <w:p w:rsidR="004828E7" w:rsidRPr="008F6AC7" w:rsidRDefault="004828E7">
            <w:pPr>
              <w:rPr>
                <w:rFonts w:ascii="Times New Roman" w:hAnsi="Times New Roman" w:cs="Times New Roman"/>
              </w:rPr>
            </w:pPr>
          </w:p>
        </w:tc>
        <w:tc>
          <w:tcPr>
            <w:tcW w:w="4140" w:type="dxa"/>
          </w:tcPr>
          <w:p w:rsidR="00626F1D" w:rsidRDefault="00626F1D" w:rsidP="00664864">
            <w:pPr>
              <w:rPr>
                <w:rFonts w:ascii="Times New Roman" w:hAnsi="Times New Roman" w:cs="Times New Roman"/>
                <w:b/>
              </w:rPr>
            </w:pPr>
            <w:r w:rsidRPr="00455A4E">
              <w:rPr>
                <w:rFonts w:ascii="Times New Roman" w:hAnsi="Times New Roman" w:cs="Times New Roman"/>
                <w:i/>
              </w:rPr>
              <w:lastRenderedPageBreak/>
              <w:t>See</w:t>
            </w:r>
            <w:r>
              <w:rPr>
                <w:rFonts w:ascii="Times New Roman" w:hAnsi="Times New Roman" w:cs="Times New Roman"/>
              </w:rPr>
              <w:t xml:space="preserve"> first Staff position statement above.</w:t>
            </w:r>
          </w:p>
          <w:p w:rsidR="00626F1D" w:rsidRDefault="00626F1D" w:rsidP="00664864">
            <w:pPr>
              <w:rPr>
                <w:rFonts w:ascii="Times New Roman" w:hAnsi="Times New Roman" w:cs="Times New Roman"/>
                <w:b/>
              </w:rPr>
            </w:pPr>
          </w:p>
          <w:p w:rsidR="00D62071" w:rsidRPr="008F6AC7" w:rsidRDefault="00EE3CF7" w:rsidP="00E13032">
            <w:pPr>
              <w:rPr>
                <w:rFonts w:ascii="Times New Roman" w:hAnsi="Times New Roman" w:cs="Times New Roman"/>
                <w:b/>
              </w:rPr>
            </w:pPr>
            <w:r>
              <w:rPr>
                <w:rFonts w:ascii="Times New Roman" w:hAnsi="Times New Roman" w:cs="Times New Roman"/>
                <w:b/>
              </w:rPr>
              <w:lastRenderedPageBreak/>
              <w:t>CTL</w:t>
            </w:r>
            <w:r w:rsidR="00664864">
              <w:rPr>
                <w:rFonts w:ascii="Times New Roman" w:hAnsi="Times New Roman" w:cs="Times New Roman"/>
                <w:b/>
              </w:rPr>
              <w:t>,</w:t>
            </w:r>
            <w:r>
              <w:rPr>
                <w:rFonts w:ascii="Times New Roman" w:hAnsi="Times New Roman" w:cs="Times New Roman"/>
                <w:b/>
              </w:rPr>
              <w:t xml:space="preserve"> WITA</w:t>
            </w:r>
            <w:r w:rsidR="00664864">
              <w:rPr>
                <w:rFonts w:ascii="Times New Roman" w:hAnsi="Times New Roman" w:cs="Times New Roman"/>
                <w:b/>
              </w:rPr>
              <w:t>, and Frontier</w:t>
            </w:r>
            <w:r>
              <w:rPr>
                <w:rFonts w:ascii="Times New Roman" w:hAnsi="Times New Roman" w:cs="Times New Roman"/>
                <w:b/>
              </w:rPr>
              <w:t xml:space="preserve"> </w:t>
            </w:r>
            <w:r w:rsidR="0050191A">
              <w:rPr>
                <w:rFonts w:ascii="Times New Roman" w:hAnsi="Times New Roman" w:cs="Times New Roman"/>
                <w:b/>
              </w:rPr>
              <w:t>contend</w:t>
            </w:r>
            <w:r>
              <w:rPr>
                <w:rFonts w:ascii="Times New Roman" w:hAnsi="Times New Roman" w:cs="Times New Roman"/>
                <w:b/>
              </w:rPr>
              <w:t xml:space="preserve"> that the rule creates an obligation to </w:t>
            </w:r>
            <w:r w:rsidR="00E13032">
              <w:rPr>
                <w:rFonts w:ascii="Times New Roman" w:hAnsi="Times New Roman" w:cs="Times New Roman"/>
                <w:b/>
              </w:rPr>
              <w:t>provide access to</w:t>
            </w:r>
            <w:r>
              <w:rPr>
                <w:rFonts w:ascii="Times New Roman" w:hAnsi="Times New Roman" w:cs="Times New Roman"/>
                <w:b/>
              </w:rPr>
              <w:t xml:space="preserve"> directory </w:t>
            </w:r>
            <w:r w:rsidR="00E13032">
              <w:rPr>
                <w:rFonts w:ascii="Times New Roman" w:hAnsi="Times New Roman" w:cs="Times New Roman"/>
                <w:b/>
              </w:rPr>
              <w:t xml:space="preserve">listings of </w:t>
            </w:r>
            <w:r>
              <w:rPr>
                <w:rFonts w:ascii="Times New Roman" w:hAnsi="Times New Roman" w:cs="Times New Roman"/>
                <w:b/>
              </w:rPr>
              <w:t>other LECs</w:t>
            </w:r>
            <w:r w:rsidR="00E13032">
              <w:rPr>
                <w:rFonts w:ascii="Times New Roman" w:hAnsi="Times New Roman" w:cs="Times New Roman"/>
                <w:b/>
              </w:rPr>
              <w:t>’ customers</w:t>
            </w:r>
            <w:r>
              <w:rPr>
                <w:rFonts w:ascii="Times New Roman" w:hAnsi="Times New Roman" w:cs="Times New Roman"/>
                <w:b/>
              </w:rPr>
              <w:t>.  The description of “directory listings” in section 1, however, makes clear that</w:t>
            </w:r>
            <w:r w:rsidR="00E13032">
              <w:rPr>
                <w:rFonts w:ascii="Times New Roman" w:hAnsi="Times New Roman" w:cs="Times New Roman"/>
                <w:b/>
              </w:rPr>
              <w:t xml:space="preserve"> a LEC’s</w:t>
            </w:r>
            <w:r>
              <w:rPr>
                <w:rFonts w:ascii="Times New Roman" w:hAnsi="Times New Roman" w:cs="Times New Roman"/>
                <w:b/>
              </w:rPr>
              <w:t xml:space="preserve"> directory listings </w:t>
            </w:r>
            <w:r w:rsidR="0050191A">
              <w:rPr>
                <w:rFonts w:ascii="Times New Roman" w:hAnsi="Times New Roman" w:cs="Times New Roman"/>
                <w:b/>
              </w:rPr>
              <w:t>include only</w:t>
            </w:r>
            <w:r>
              <w:rPr>
                <w:rFonts w:ascii="Times New Roman" w:hAnsi="Times New Roman" w:cs="Times New Roman"/>
                <w:b/>
              </w:rPr>
              <w:t xml:space="preserve"> the </w:t>
            </w:r>
            <w:r w:rsidR="0050191A">
              <w:rPr>
                <w:rFonts w:ascii="Times New Roman" w:hAnsi="Times New Roman" w:cs="Times New Roman"/>
                <w:b/>
              </w:rPr>
              <w:t xml:space="preserve">LECs’ </w:t>
            </w:r>
            <w:r>
              <w:rPr>
                <w:rFonts w:ascii="Times New Roman" w:hAnsi="Times New Roman" w:cs="Times New Roman"/>
                <w:b/>
              </w:rPr>
              <w:t>customer</w:t>
            </w:r>
            <w:r w:rsidR="0050191A">
              <w:rPr>
                <w:rFonts w:ascii="Times New Roman" w:hAnsi="Times New Roman" w:cs="Times New Roman"/>
                <w:b/>
              </w:rPr>
              <w:t xml:space="preserve">s, </w:t>
            </w:r>
            <w:r w:rsidR="00E13032">
              <w:rPr>
                <w:rFonts w:ascii="Times New Roman" w:hAnsi="Times New Roman" w:cs="Times New Roman"/>
                <w:b/>
              </w:rPr>
              <w:t xml:space="preserve">although ILECs remain </w:t>
            </w:r>
            <w:r w:rsidR="0050191A">
              <w:rPr>
                <w:rFonts w:ascii="Times New Roman" w:hAnsi="Times New Roman" w:cs="Times New Roman"/>
                <w:b/>
              </w:rPr>
              <w:t>subject to the obligation to include competitors’ listings in their directories</w:t>
            </w:r>
            <w:r w:rsidR="00E13032">
              <w:rPr>
                <w:rFonts w:ascii="Times New Roman" w:hAnsi="Times New Roman" w:cs="Times New Roman"/>
                <w:b/>
              </w:rPr>
              <w:t xml:space="preserve"> under</w:t>
            </w:r>
            <w:r w:rsidR="0050191A">
              <w:rPr>
                <w:rFonts w:ascii="Times New Roman" w:hAnsi="Times New Roman" w:cs="Times New Roman"/>
                <w:b/>
              </w:rPr>
              <w:t xml:space="preserve"> federal law and interconnection agreements.</w:t>
            </w:r>
            <w:r w:rsidR="00956EE6">
              <w:rPr>
                <w:rFonts w:ascii="Times New Roman" w:hAnsi="Times New Roman" w:cs="Times New Roman"/>
                <w:b/>
              </w:rPr>
              <w:t xml:space="preserve"> “Exchange area” has no meaning for customers, and customers should have access to the listings within their local calling area.</w:t>
            </w:r>
          </w:p>
        </w:tc>
      </w:tr>
      <w:tr w:rsidR="00D62071" w:rsidRPr="008F6AC7" w:rsidTr="007C5B4F">
        <w:tc>
          <w:tcPr>
            <w:tcW w:w="2790" w:type="dxa"/>
          </w:tcPr>
          <w:p w:rsidR="006D0950" w:rsidRPr="008F6AC7" w:rsidRDefault="006D0950" w:rsidP="006D0950">
            <w:pPr>
              <w:rPr>
                <w:rFonts w:ascii="Times New Roman" w:hAnsi="Times New Roman" w:cs="Times New Roman"/>
              </w:rPr>
            </w:pPr>
            <w:r w:rsidRPr="008F6AC7">
              <w:rPr>
                <w:rFonts w:ascii="Times New Roman" w:hAnsi="Times New Roman" w:cs="Times New Roman"/>
              </w:rPr>
              <w:lastRenderedPageBreak/>
              <w:t>Dex One</w:t>
            </w:r>
          </w:p>
          <w:p w:rsidR="006D0950" w:rsidRPr="008F6AC7" w:rsidRDefault="006D0950" w:rsidP="006D0950">
            <w:pPr>
              <w:rPr>
                <w:rFonts w:ascii="Times New Roman" w:hAnsi="Times New Roman" w:cs="Times New Roman"/>
              </w:rPr>
            </w:pPr>
            <w:r w:rsidRPr="008F6AC7">
              <w:rPr>
                <w:rFonts w:ascii="Times New Roman" w:hAnsi="Times New Roman" w:cs="Times New Roman"/>
              </w:rPr>
              <w:t xml:space="preserve">Represented by </w:t>
            </w:r>
          </w:p>
          <w:p w:rsidR="00D62071" w:rsidRPr="008F6AC7" w:rsidRDefault="006D0950" w:rsidP="006D0950">
            <w:pPr>
              <w:rPr>
                <w:rFonts w:ascii="Times New Roman" w:hAnsi="Times New Roman" w:cs="Times New Roman"/>
              </w:rPr>
            </w:pPr>
            <w:r w:rsidRPr="008F6AC7">
              <w:rPr>
                <w:rFonts w:ascii="Times New Roman" w:hAnsi="Times New Roman" w:cs="Times New Roman"/>
              </w:rPr>
              <w:t>Brooks Harlow</w:t>
            </w:r>
          </w:p>
        </w:tc>
        <w:tc>
          <w:tcPr>
            <w:tcW w:w="7380" w:type="dxa"/>
          </w:tcPr>
          <w:p w:rsidR="00D62071" w:rsidRPr="008F6AC7" w:rsidRDefault="006D0950">
            <w:pPr>
              <w:rPr>
                <w:rFonts w:ascii="Times New Roman" w:hAnsi="Times New Roman" w:cs="Times New Roman"/>
              </w:rPr>
            </w:pPr>
            <w:r w:rsidRPr="008F6AC7">
              <w:rPr>
                <w:rFonts w:ascii="Times New Roman" w:hAnsi="Times New Roman" w:cs="Times New Roman"/>
              </w:rPr>
              <w:t>Supports the rule as drafted and urges prompt approval.</w:t>
            </w:r>
          </w:p>
        </w:tc>
        <w:tc>
          <w:tcPr>
            <w:tcW w:w="4140" w:type="dxa"/>
          </w:tcPr>
          <w:p w:rsidR="00D62071" w:rsidRPr="008F6AC7" w:rsidRDefault="00D62071">
            <w:pPr>
              <w:rPr>
                <w:rFonts w:ascii="Times New Roman" w:hAnsi="Times New Roman" w:cs="Times New Roman"/>
                <w:b/>
              </w:rPr>
            </w:pPr>
          </w:p>
        </w:tc>
      </w:tr>
      <w:tr w:rsidR="00D62071" w:rsidRPr="008F6AC7" w:rsidTr="007C5B4F">
        <w:tc>
          <w:tcPr>
            <w:tcW w:w="2790" w:type="dxa"/>
          </w:tcPr>
          <w:p w:rsidR="006D0950" w:rsidRPr="008F6AC7" w:rsidRDefault="006D0950" w:rsidP="006D0950">
            <w:pPr>
              <w:rPr>
                <w:rFonts w:ascii="Times New Roman" w:hAnsi="Times New Roman" w:cs="Times New Roman"/>
              </w:rPr>
            </w:pPr>
            <w:r w:rsidRPr="008F6AC7">
              <w:rPr>
                <w:rFonts w:ascii="Times New Roman" w:hAnsi="Times New Roman" w:cs="Times New Roman"/>
              </w:rPr>
              <w:t xml:space="preserve">Frontier Communications </w:t>
            </w:r>
          </w:p>
          <w:p w:rsidR="00D62071" w:rsidRPr="008F6AC7" w:rsidRDefault="006D0950" w:rsidP="006D0950">
            <w:pPr>
              <w:rPr>
                <w:rFonts w:ascii="Times New Roman" w:hAnsi="Times New Roman" w:cs="Times New Roman"/>
              </w:rPr>
            </w:pPr>
            <w:r w:rsidRPr="008F6AC7">
              <w:rPr>
                <w:rFonts w:ascii="Times New Roman" w:hAnsi="Times New Roman" w:cs="Times New Roman"/>
              </w:rPr>
              <w:t>Represented by Carl Gipson</w:t>
            </w:r>
          </w:p>
        </w:tc>
        <w:tc>
          <w:tcPr>
            <w:tcW w:w="7380" w:type="dxa"/>
          </w:tcPr>
          <w:p w:rsidR="00D62071" w:rsidRPr="008F6AC7" w:rsidRDefault="006D0950">
            <w:pPr>
              <w:rPr>
                <w:rFonts w:ascii="Times New Roman" w:hAnsi="Times New Roman" w:cs="Times New Roman"/>
              </w:rPr>
            </w:pPr>
            <w:r w:rsidRPr="008F6AC7">
              <w:rPr>
                <w:rFonts w:ascii="Times New Roman" w:hAnsi="Times New Roman" w:cs="Times New Roman"/>
              </w:rPr>
              <w:t>Recommends eliminating the rule altogether, or as an alternative, an opt-in rule.</w:t>
            </w:r>
          </w:p>
          <w:p w:rsidR="006D0950" w:rsidRPr="008F6AC7" w:rsidRDefault="006D0950">
            <w:pPr>
              <w:rPr>
                <w:rFonts w:ascii="Times New Roman" w:hAnsi="Times New Roman" w:cs="Times New Roman"/>
              </w:rPr>
            </w:pPr>
          </w:p>
          <w:p w:rsidR="006D0950" w:rsidRPr="008F6AC7" w:rsidRDefault="006D0950">
            <w:pPr>
              <w:rPr>
                <w:rFonts w:ascii="Times New Roman" w:hAnsi="Times New Roman" w:cs="Times New Roman"/>
              </w:rPr>
            </w:pPr>
            <w:r w:rsidRPr="008F6AC7">
              <w:rPr>
                <w:rFonts w:ascii="Times New Roman" w:hAnsi="Times New Roman" w:cs="Times New Roman"/>
              </w:rPr>
              <w:t>To eliminate the problem of a LEC being required to provide information that is unavailable, Frontier recommends the following language amendment:</w:t>
            </w:r>
          </w:p>
          <w:p w:rsidR="006D0950" w:rsidRPr="008F6AC7" w:rsidRDefault="006D0950">
            <w:pPr>
              <w:rPr>
                <w:rFonts w:ascii="Times New Roman" w:hAnsi="Times New Roman" w:cs="Times New Roman"/>
              </w:rPr>
            </w:pPr>
          </w:p>
          <w:p w:rsidR="006D0950" w:rsidRPr="008F6AC7" w:rsidRDefault="006D0950" w:rsidP="006D0950">
            <w:pPr>
              <w:rPr>
                <w:rFonts w:ascii="Times New Roman" w:hAnsi="Times New Roman" w:cs="Times New Roman"/>
              </w:rPr>
            </w:pPr>
            <w:r w:rsidRPr="008F6AC7">
              <w:rPr>
                <w:rFonts w:ascii="Times New Roman" w:hAnsi="Times New Roman" w:cs="Times New Roman"/>
              </w:rPr>
              <w:t xml:space="preserve">(2) A LEC must ensure that its basic local exchange service customers have access to directory listings </w:t>
            </w:r>
            <w:r w:rsidRPr="008F6AC7">
              <w:rPr>
                <w:rFonts w:ascii="Times New Roman" w:hAnsi="Times New Roman" w:cs="Times New Roman"/>
                <w:strike/>
              </w:rPr>
              <w:t>for the</w:t>
            </w:r>
            <w:r w:rsidRPr="008F6AC7">
              <w:rPr>
                <w:rFonts w:ascii="Times New Roman" w:hAnsi="Times New Roman" w:cs="Times New Roman"/>
              </w:rPr>
              <w:t xml:space="preserve"> </w:t>
            </w:r>
            <w:r w:rsidRPr="008F6AC7">
              <w:rPr>
                <w:rFonts w:ascii="Times New Roman" w:hAnsi="Times New Roman" w:cs="Times New Roman"/>
                <w:u w:val="single"/>
              </w:rPr>
              <w:t>of its</w:t>
            </w:r>
            <w:r w:rsidRPr="008F6AC7">
              <w:rPr>
                <w:rFonts w:ascii="Times New Roman" w:hAnsi="Times New Roman" w:cs="Times New Roman"/>
              </w:rPr>
              <w:t xml:space="preserve"> customers’ local calling area by making those listings available electronically via a document, data base, or link on the LEC’s web site. The LEC also must distribute or arrange to distribute printed directory listings to all of the LEC’s customers who request a printed directory. A LEC is not otherwise required to distribute a printed directory.</w:t>
            </w:r>
          </w:p>
        </w:tc>
        <w:tc>
          <w:tcPr>
            <w:tcW w:w="4140" w:type="dxa"/>
          </w:tcPr>
          <w:p w:rsidR="00D62071" w:rsidRPr="008F6AC7" w:rsidRDefault="00626F1D" w:rsidP="00956EE6">
            <w:pPr>
              <w:rPr>
                <w:rFonts w:ascii="Times New Roman" w:hAnsi="Times New Roman" w:cs="Times New Roman"/>
                <w:b/>
              </w:rPr>
            </w:pPr>
            <w:r w:rsidRPr="00455A4E">
              <w:rPr>
                <w:rFonts w:ascii="Times New Roman" w:hAnsi="Times New Roman" w:cs="Times New Roman"/>
                <w:i/>
              </w:rPr>
              <w:t>See</w:t>
            </w:r>
            <w:r>
              <w:rPr>
                <w:rFonts w:ascii="Times New Roman" w:hAnsi="Times New Roman" w:cs="Times New Roman"/>
              </w:rPr>
              <w:t xml:space="preserve"> Staff position statement</w:t>
            </w:r>
            <w:r w:rsidR="00956EE6">
              <w:rPr>
                <w:rFonts w:ascii="Times New Roman" w:hAnsi="Times New Roman" w:cs="Times New Roman"/>
              </w:rPr>
              <w:t>s</w:t>
            </w:r>
            <w:r>
              <w:rPr>
                <w:rFonts w:ascii="Times New Roman" w:hAnsi="Times New Roman" w:cs="Times New Roman"/>
              </w:rPr>
              <w:t xml:space="preserve"> above.</w:t>
            </w:r>
          </w:p>
        </w:tc>
      </w:tr>
    </w:tbl>
    <w:p w:rsidR="00F0364E" w:rsidRDefault="00F0364E"/>
    <w:p w:rsidR="00BB5E26" w:rsidRDefault="00BB5E26"/>
    <w:sectPr w:rsidR="00BB5E26" w:rsidSect="007C5B4F">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EC8" w:rsidRDefault="00AC7EC8" w:rsidP="00830A1F">
      <w:pPr>
        <w:spacing w:after="0" w:line="240" w:lineRule="auto"/>
      </w:pPr>
      <w:r>
        <w:separator/>
      </w:r>
    </w:p>
  </w:endnote>
  <w:endnote w:type="continuationSeparator" w:id="0">
    <w:p w:rsidR="00AC7EC8" w:rsidRDefault="00AC7EC8" w:rsidP="0083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776748"/>
      <w:docPartObj>
        <w:docPartGallery w:val="Page Numbers (Bottom of Page)"/>
        <w:docPartUnique/>
      </w:docPartObj>
    </w:sdtPr>
    <w:sdtEndPr>
      <w:rPr>
        <w:noProof/>
      </w:rPr>
    </w:sdtEndPr>
    <w:sdtContent>
      <w:p w:rsidR="00A87B69" w:rsidRDefault="006800AF">
        <w:pPr>
          <w:pStyle w:val="Footer"/>
          <w:jc w:val="center"/>
        </w:pPr>
        <w:r>
          <w:fldChar w:fldCharType="begin"/>
        </w:r>
        <w:r>
          <w:instrText xml:space="preserve"> PAGE   \* MERGEFORMAT </w:instrText>
        </w:r>
        <w:r>
          <w:fldChar w:fldCharType="separate"/>
        </w:r>
        <w:r w:rsidR="008B6D99">
          <w:rPr>
            <w:noProof/>
          </w:rPr>
          <w:t>2</w:t>
        </w:r>
        <w:r>
          <w:rPr>
            <w:noProof/>
          </w:rPr>
          <w:fldChar w:fldCharType="end"/>
        </w:r>
      </w:p>
    </w:sdtContent>
  </w:sdt>
  <w:p w:rsidR="00A87B69" w:rsidRDefault="00A87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EC8" w:rsidRDefault="00AC7EC8" w:rsidP="00830A1F">
      <w:pPr>
        <w:spacing w:after="0" w:line="240" w:lineRule="auto"/>
      </w:pPr>
      <w:r>
        <w:separator/>
      </w:r>
    </w:p>
  </w:footnote>
  <w:footnote w:type="continuationSeparator" w:id="0">
    <w:p w:rsidR="00AC7EC8" w:rsidRDefault="00AC7EC8" w:rsidP="00830A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E74"/>
    <w:multiLevelType w:val="hybridMultilevel"/>
    <w:tmpl w:val="B394B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8614F"/>
    <w:multiLevelType w:val="hybridMultilevel"/>
    <w:tmpl w:val="D486A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810E3"/>
    <w:multiLevelType w:val="hybridMultilevel"/>
    <w:tmpl w:val="0400D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E5519"/>
    <w:multiLevelType w:val="hybridMultilevel"/>
    <w:tmpl w:val="B7663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E2AA2"/>
    <w:multiLevelType w:val="hybridMultilevel"/>
    <w:tmpl w:val="A4528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9C2930"/>
    <w:multiLevelType w:val="hybridMultilevel"/>
    <w:tmpl w:val="A0B6F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0B39E3"/>
    <w:multiLevelType w:val="hybridMultilevel"/>
    <w:tmpl w:val="F06E6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FB227F"/>
    <w:multiLevelType w:val="hybridMultilevel"/>
    <w:tmpl w:val="10781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7C6C22"/>
    <w:multiLevelType w:val="hybridMultilevel"/>
    <w:tmpl w:val="3AF675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8331ADA"/>
    <w:multiLevelType w:val="hybridMultilevel"/>
    <w:tmpl w:val="A4B43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1"/>
  </w:num>
  <w:num w:numId="5">
    <w:abstractNumId w:val="0"/>
  </w:num>
  <w:num w:numId="6">
    <w:abstractNumId w:val="6"/>
  </w:num>
  <w:num w:numId="7">
    <w:abstractNumId w:val="9"/>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4F"/>
    <w:rsid w:val="000D2052"/>
    <w:rsid w:val="00101962"/>
    <w:rsid w:val="001026B1"/>
    <w:rsid w:val="00142DAE"/>
    <w:rsid w:val="001E2097"/>
    <w:rsid w:val="003028E5"/>
    <w:rsid w:val="00302AD3"/>
    <w:rsid w:val="003309B0"/>
    <w:rsid w:val="00367CF7"/>
    <w:rsid w:val="003D546E"/>
    <w:rsid w:val="00433AF0"/>
    <w:rsid w:val="00450187"/>
    <w:rsid w:val="004828E7"/>
    <w:rsid w:val="0050191A"/>
    <w:rsid w:val="00552772"/>
    <w:rsid w:val="00563B58"/>
    <w:rsid w:val="00573AC6"/>
    <w:rsid w:val="00626F1D"/>
    <w:rsid w:val="006442C7"/>
    <w:rsid w:val="006635B7"/>
    <w:rsid w:val="00664864"/>
    <w:rsid w:val="006800AF"/>
    <w:rsid w:val="006D0950"/>
    <w:rsid w:val="00722DB7"/>
    <w:rsid w:val="00786313"/>
    <w:rsid w:val="00790DDC"/>
    <w:rsid w:val="007913F0"/>
    <w:rsid w:val="007C5B4F"/>
    <w:rsid w:val="007C7030"/>
    <w:rsid w:val="00830A1F"/>
    <w:rsid w:val="008B6D99"/>
    <w:rsid w:val="008F6AC7"/>
    <w:rsid w:val="00956EE6"/>
    <w:rsid w:val="00966DA4"/>
    <w:rsid w:val="00983D00"/>
    <w:rsid w:val="009A659F"/>
    <w:rsid w:val="009E6EF0"/>
    <w:rsid w:val="00A00132"/>
    <w:rsid w:val="00A422B0"/>
    <w:rsid w:val="00A87B69"/>
    <w:rsid w:val="00AB263F"/>
    <w:rsid w:val="00AC7EC8"/>
    <w:rsid w:val="00AD3143"/>
    <w:rsid w:val="00B31D14"/>
    <w:rsid w:val="00B86016"/>
    <w:rsid w:val="00BB5E26"/>
    <w:rsid w:val="00BD2D34"/>
    <w:rsid w:val="00D62071"/>
    <w:rsid w:val="00DC0F96"/>
    <w:rsid w:val="00E13032"/>
    <w:rsid w:val="00ED0099"/>
    <w:rsid w:val="00EE3CF7"/>
    <w:rsid w:val="00F0364E"/>
    <w:rsid w:val="00F22341"/>
    <w:rsid w:val="00F455BE"/>
    <w:rsid w:val="00F77E3F"/>
    <w:rsid w:val="00FE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7CF7"/>
    <w:pPr>
      <w:ind w:left="720"/>
      <w:contextualSpacing/>
    </w:pPr>
  </w:style>
  <w:style w:type="paragraph" w:styleId="Header">
    <w:name w:val="header"/>
    <w:basedOn w:val="Normal"/>
    <w:link w:val="HeaderChar"/>
    <w:uiPriority w:val="99"/>
    <w:unhideWhenUsed/>
    <w:rsid w:val="00830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A1F"/>
  </w:style>
  <w:style w:type="paragraph" w:styleId="Footer">
    <w:name w:val="footer"/>
    <w:basedOn w:val="Normal"/>
    <w:link w:val="FooterChar"/>
    <w:uiPriority w:val="99"/>
    <w:unhideWhenUsed/>
    <w:rsid w:val="00830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A1F"/>
  </w:style>
  <w:style w:type="character" w:styleId="CommentReference">
    <w:name w:val="annotation reference"/>
    <w:basedOn w:val="DefaultParagraphFont"/>
    <w:uiPriority w:val="99"/>
    <w:semiHidden/>
    <w:unhideWhenUsed/>
    <w:rsid w:val="00B86016"/>
    <w:rPr>
      <w:sz w:val="16"/>
      <w:szCs w:val="16"/>
    </w:rPr>
  </w:style>
  <w:style w:type="paragraph" w:styleId="CommentText">
    <w:name w:val="annotation text"/>
    <w:basedOn w:val="Normal"/>
    <w:link w:val="CommentTextChar"/>
    <w:uiPriority w:val="99"/>
    <w:semiHidden/>
    <w:unhideWhenUsed/>
    <w:rsid w:val="00B86016"/>
    <w:pPr>
      <w:spacing w:line="240" w:lineRule="auto"/>
    </w:pPr>
    <w:rPr>
      <w:sz w:val="20"/>
      <w:szCs w:val="20"/>
    </w:rPr>
  </w:style>
  <w:style w:type="character" w:customStyle="1" w:styleId="CommentTextChar">
    <w:name w:val="Comment Text Char"/>
    <w:basedOn w:val="DefaultParagraphFont"/>
    <w:link w:val="CommentText"/>
    <w:uiPriority w:val="99"/>
    <w:semiHidden/>
    <w:rsid w:val="00B86016"/>
    <w:rPr>
      <w:sz w:val="20"/>
      <w:szCs w:val="20"/>
    </w:rPr>
  </w:style>
  <w:style w:type="paragraph" w:styleId="CommentSubject">
    <w:name w:val="annotation subject"/>
    <w:basedOn w:val="CommentText"/>
    <w:next w:val="CommentText"/>
    <w:link w:val="CommentSubjectChar"/>
    <w:uiPriority w:val="99"/>
    <w:semiHidden/>
    <w:unhideWhenUsed/>
    <w:rsid w:val="00B86016"/>
    <w:rPr>
      <w:b/>
      <w:bCs/>
    </w:rPr>
  </w:style>
  <w:style w:type="character" w:customStyle="1" w:styleId="CommentSubjectChar">
    <w:name w:val="Comment Subject Char"/>
    <w:basedOn w:val="CommentTextChar"/>
    <w:link w:val="CommentSubject"/>
    <w:uiPriority w:val="99"/>
    <w:semiHidden/>
    <w:rsid w:val="00B86016"/>
    <w:rPr>
      <w:b/>
      <w:bCs/>
      <w:sz w:val="20"/>
      <w:szCs w:val="20"/>
    </w:rPr>
  </w:style>
  <w:style w:type="paragraph" w:styleId="BalloonText">
    <w:name w:val="Balloon Text"/>
    <w:basedOn w:val="Normal"/>
    <w:link w:val="BalloonTextChar"/>
    <w:uiPriority w:val="99"/>
    <w:semiHidden/>
    <w:unhideWhenUsed/>
    <w:rsid w:val="00B86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0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7CF7"/>
    <w:pPr>
      <w:ind w:left="720"/>
      <w:contextualSpacing/>
    </w:pPr>
  </w:style>
  <w:style w:type="paragraph" w:styleId="Header">
    <w:name w:val="header"/>
    <w:basedOn w:val="Normal"/>
    <w:link w:val="HeaderChar"/>
    <w:uiPriority w:val="99"/>
    <w:unhideWhenUsed/>
    <w:rsid w:val="00830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A1F"/>
  </w:style>
  <w:style w:type="paragraph" w:styleId="Footer">
    <w:name w:val="footer"/>
    <w:basedOn w:val="Normal"/>
    <w:link w:val="FooterChar"/>
    <w:uiPriority w:val="99"/>
    <w:unhideWhenUsed/>
    <w:rsid w:val="00830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A1F"/>
  </w:style>
  <w:style w:type="character" w:styleId="CommentReference">
    <w:name w:val="annotation reference"/>
    <w:basedOn w:val="DefaultParagraphFont"/>
    <w:uiPriority w:val="99"/>
    <w:semiHidden/>
    <w:unhideWhenUsed/>
    <w:rsid w:val="00B86016"/>
    <w:rPr>
      <w:sz w:val="16"/>
      <w:szCs w:val="16"/>
    </w:rPr>
  </w:style>
  <w:style w:type="paragraph" w:styleId="CommentText">
    <w:name w:val="annotation text"/>
    <w:basedOn w:val="Normal"/>
    <w:link w:val="CommentTextChar"/>
    <w:uiPriority w:val="99"/>
    <w:semiHidden/>
    <w:unhideWhenUsed/>
    <w:rsid w:val="00B86016"/>
    <w:pPr>
      <w:spacing w:line="240" w:lineRule="auto"/>
    </w:pPr>
    <w:rPr>
      <w:sz w:val="20"/>
      <w:szCs w:val="20"/>
    </w:rPr>
  </w:style>
  <w:style w:type="character" w:customStyle="1" w:styleId="CommentTextChar">
    <w:name w:val="Comment Text Char"/>
    <w:basedOn w:val="DefaultParagraphFont"/>
    <w:link w:val="CommentText"/>
    <w:uiPriority w:val="99"/>
    <w:semiHidden/>
    <w:rsid w:val="00B86016"/>
    <w:rPr>
      <w:sz w:val="20"/>
      <w:szCs w:val="20"/>
    </w:rPr>
  </w:style>
  <w:style w:type="paragraph" w:styleId="CommentSubject">
    <w:name w:val="annotation subject"/>
    <w:basedOn w:val="CommentText"/>
    <w:next w:val="CommentText"/>
    <w:link w:val="CommentSubjectChar"/>
    <w:uiPriority w:val="99"/>
    <w:semiHidden/>
    <w:unhideWhenUsed/>
    <w:rsid w:val="00B86016"/>
    <w:rPr>
      <w:b/>
      <w:bCs/>
    </w:rPr>
  </w:style>
  <w:style w:type="character" w:customStyle="1" w:styleId="CommentSubjectChar">
    <w:name w:val="Comment Subject Char"/>
    <w:basedOn w:val="CommentTextChar"/>
    <w:link w:val="CommentSubject"/>
    <w:uiPriority w:val="99"/>
    <w:semiHidden/>
    <w:rsid w:val="00B86016"/>
    <w:rPr>
      <w:b/>
      <w:bCs/>
      <w:sz w:val="20"/>
      <w:szCs w:val="20"/>
    </w:rPr>
  </w:style>
  <w:style w:type="paragraph" w:styleId="BalloonText">
    <w:name w:val="Balloon Text"/>
    <w:basedOn w:val="Normal"/>
    <w:link w:val="BalloonTextChar"/>
    <w:uiPriority w:val="99"/>
    <w:semiHidden/>
    <w:unhideWhenUsed/>
    <w:rsid w:val="00B86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0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Memorandum</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2012-04-04T07:00:00+00:00</OpenedDate>
    <Date1 xmlns="dc463f71-b30c-4ab2-9473-d307f9d35888">2013-04-11T07:00:00+00:00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4A096B9B710745BC8C1C9B41F0D584" ma:contentTypeVersion="139" ma:contentTypeDescription="" ma:contentTypeScope="" ma:versionID="aaa8c34c527217b3c7814a05848f0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21A4A-441C-49E2-B760-BCF0623283C3}"/>
</file>

<file path=customXml/itemProps2.xml><?xml version="1.0" encoding="utf-8"?>
<ds:datastoreItem xmlns:ds="http://schemas.openxmlformats.org/officeDocument/2006/customXml" ds:itemID="{A75AE7BD-401D-4EA2-B101-9C0F37B63B14}"/>
</file>

<file path=customXml/itemProps3.xml><?xml version="1.0" encoding="utf-8"?>
<ds:datastoreItem xmlns:ds="http://schemas.openxmlformats.org/officeDocument/2006/customXml" ds:itemID="{FB7C3213-A8F8-46B8-89F2-C4E92C3B65EC}"/>
</file>

<file path=customXml/itemProps4.xml><?xml version="1.0" encoding="utf-8"?>
<ds:datastoreItem xmlns:ds="http://schemas.openxmlformats.org/officeDocument/2006/customXml" ds:itemID="{5E31E254-3F3B-4CE7-B884-FABB68BF1325}"/>
</file>

<file path=customXml/itemProps5.xml><?xml version="1.0" encoding="utf-8"?>
<ds:datastoreItem xmlns:ds="http://schemas.openxmlformats.org/officeDocument/2006/customXml" ds:itemID="{C46B2867-13D5-4FB3-84A5-161F4A4E0948}"/>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Cupp, John (UTC)</dc:creator>
  <cp:lastModifiedBy>Cupp, John (UTC)</cp:lastModifiedBy>
  <cp:revision>2</cp:revision>
  <cp:lastPrinted>2013-04-08T14:56:00Z</cp:lastPrinted>
  <dcterms:created xsi:type="dcterms:W3CDTF">2013-04-08T17:10:00Z</dcterms:created>
  <dcterms:modified xsi:type="dcterms:W3CDTF">2013-04-08T17:10:00Z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0x0101006E56B4D1795A2E4DB2F0B01679ED314A008C4A096B9B710745BC8C1C9B41F0D584</vt:lpwstr>
  </property>
  <property fmtid="{D5CDD505-2E9C-101B-9397-08002B2CF9AE}" pid="3" name="_docset_NoMedatataSyncRequired">
    <vt:lpwstr>False</vt:lpwstr>
  </property>
</Properties>
</file>