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475" w:rsidRDefault="005A3475" w:rsidP="005A3475">
      <w:pPr>
        <w:tabs>
          <w:tab w:val="center" w:pos="4680"/>
        </w:tabs>
        <w:ind w:right="-108" w:hanging="180"/>
        <w:jc w:val="both"/>
        <w:rPr>
          <w:sz w:val="24"/>
        </w:rPr>
      </w:pPr>
      <w:bookmarkStart w:id="0" w:name="_GoBack"/>
      <w:bookmarkEnd w:id="0"/>
    </w:p>
    <w:p w:rsidR="005A3475" w:rsidRDefault="005A3475" w:rsidP="005A3475">
      <w:pPr>
        <w:tabs>
          <w:tab w:val="center" w:pos="4680"/>
        </w:tabs>
        <w:ind w:right="-108" w:hanging="180"/>
        <w:jc w:val="both"/>
        <w:rPr>
          <w:sz w:val="24"/>
        </w:rPr>
      </w:pPr>
    </w:p>
    <w:p w:rsidR="005A3475" w:rsidRDefault="005A3475" w:rsidP="005A3475">
      <w:pPr>
        <w:tabs>
          <w:tab w:val="center" w:pos="4680"/>
        </w:tabs>
        <w:ind w:right="-108" w:hanging="180"/>
        <w:jc w:val="both"/>
        <w:rPr>
          <w:sz w:val="24"/>
        </w:rPr>
      </w:pPr>
    </w:p>
    <w:p w:rsidR="005A3475" w:rsidRDefault="005A3475" w:rsidP="005A3475">
      <w:pPr>
        <w:tabs>
          <w:tab w:val="center" w:pos="4680"/>
        </w:tabs>
        <w:ind w:right="-108" w:hanging="180"/>
        <w:jc w:val="both"/>
        <w:rPr>
          <w:sz w:val="24"/>
        </w:rPr>
      </w:pPr>
    </w:p>
    <w:p w:rsidR="005A3475" w:rsidRPr="004A2910" w:rsidRDefault="005A3475" w:rsidP="005A3475">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rsidR="005A3475" w:rsidRPr="004A2910" w:rsidRDefault="005A3475" w:rsidP="005A3475">
      <w:pPr>
        <w:jc w:val="both"/>
        <w:rPr>
          <w:sz w:val="24"/>
        </w:rPr>
      </w:pPr>
    </w:p>
    <w:p w:rsidR="005A3475" w:rsidRPr="004A2910" w:rsidRDefault="005A3475" w:rsidP="005A3475">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5A3475" w:rsidRPr="004A2910" w:rsidTr="00E91740">
        <w:tc>
          <w:tcPr>
            <w:tcW w:w="4590" w:type="dxa"/>
            <w:tcBorders>
              <w:top w:val="single" w:sz="6" w:space="0" w:color="FFFFFF"/>
              <w:left w:val="single" w:sz="6" w:space="0" w:color="FFFFFF"/>
              <w:bottom w:val="single" w:sz="7" w:space="0" w:color="000000"/>
              <w:right w:val="single" w:sz="6" w:space="0" w:color="FFFFFF"/>
            </w:tcBorders>
          </w:tcPr>
          <w:p w:rsidR="005A3475" w:rsidRPr="00FD7BD5" w:rsidRDefault="005A3475" w:rsidP="00E91740">
            <w:pPr>
              <w:tabs>
                <w:tab w:val="left" w:pos="2160"/>
              </w:tabs>
              <w:spacing w:line="264" w:lineRule="auto"/>
              <w:rPr>
                <w:bCs/>
                <w:sz w:val="24"/>
              </w:rPr>
            </w:pPr>
            <w:r w:rsidRPr="00FD7BD5">
              <w:rPr>
                <w:bCs/>
                <w:sz w:val="24"/>
              </w:rPr>
              <w:t>In the Matter of the Joint Application of</w:t>
            </w:r>
          </w:p>
          <w:p w:rsidR="005A3475" w:rsidRPr="00FD7BD5" w:rsidRDefault="005A3475" w:rsidP="00E91740">
            <w:pPr>
              <w:tabs>
                <w:tab w:val="left" w:pos="2160"/>
              </w:tabs>
              <w:spacing w:line="264" w:lineRule="auto"/>
              <w:rPr>
                <w:bCs/>
                <w:sz w:val="24"/>
              </w:rPr>
            </w:pPr>
          </w:p>
          <w:p w:rsidR="005A3475" w:rsidRPr="00FD7BD5" w:rsidRDefault="005A3475" w:rsidP="00E91740">
            <w:pPr>
              <w:tabs>
                <w:tab w:val="left" w:pos="2160"/>
              </w:tabs>
              <w:spacing w:line="264" w:lineRule="auto"/>
              <w:rPr>
                <w:bCs/>
                <w:sz w:val="24"/>
              </w:rPr>
            </w:pPr>
            <w:r w:rsidRPr="00FD7BD5">
              <w:rPr>
                <w:bCs/>
                <w:sz w:val="24"/>
              </w:rPr>
              <w:t>QWEST COMMUNICATIONS INTERNATIONAL INC. AND CENTURYTEL, INC.</w:t>
            </w:r>
          </w:p>
          <w:p w:rsidR="005A3475" w:rsidRPr="00FD7BD5" w:rsidRDefault="005A3475" w:rsidP="00E91740">
            <w:pPr>
              <w:tabs>
                <w:tab w:val="left" w:pos="2160"/>
              </w:tabs>
              <w:spacing w:line="264" w:lineRule="auto"/>
              <w:rPr>
                <w:bCs/>
                <w:sz w:val="24"/>
              </w:rPr>
            </w:pPr>
          </w:p>
          <w:p w:rsidR="005A3475" w:rsidRDefault="005A3475" w:rsidP="00E91740">
            <w:pPr>
              <w:spacing w:after="19"/>
              <w:rPr>
                <w:bCs/>
                <w:sz w:val="24"/>
              </w:rPr>
            </w:pPr>
            <w:r w:rsidRPr="00FD7BD5">
              <w:rPr>
                <w:bCs/>
                <w:sz w:val="24"/>
              </w:rPr>
              <w:t>For Approval of Indirect Transfer of Control of Qwest Corporation, Qwest Communications Company LLC, and Qwest LD Corp.</w:t>
            </w:r>
          </w:p>
          <w:p w:rsidR="005A3475" w:rsidRPr="004A2910" w:rsidRDefault="005A3475" w:rsidP="00E91740">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rsidR="005A3475" w:rsidRPr="004A2910" w:rsidRDefault="005A3475" w:rsidP="00E91740">
            <w:pPr>
              <w:ind w:firstLine="720"/>
              <w:rPr>
                <w:sz w:val="24"/>
              </w:rPr>
            </w:pPr>
            <w:r>
              <w:rPr>
                <w:sz w:val="24"/>
              </w:rPr>
              <w:t>DOCKET UT-100820</w:t>
            </w:r>
          </w:p>
          <w:p w:rsidR="005A3475" w:rsidRPr="004A2910" w:rsidRDefault="005A3475" w:rsidP="00E91740">
            <w:pPr>
              <w:rPr>
                <w:sz w:val="24"/>
              </w:rPr>
            </w:pPr>
          </w:p>
          <w:p w:rsidR="007A5BD3" w:rsidRPr="007A5BD3" w:rsidRDefault="005A3475" w:rsidP="007A5BD3">
            <w:pPr>
              <w:spacing w:after="19"/>
              <w:ind w:left="720"/>
              <w:rPr>
                <w:sz w:val="24"/>
              </w:rPr>
            </w:pPr>
            <w:r>
              <w:rPr>
                <w:sz w:val="24"/>
              </w:rPr>
              <w:t xml:space="preserve">COMMISSION STAFF’S RESPONSE TO CENTURYLINK’S </w:t>
            </w:r>
            <w:r w:rsidR="007A5BD3" w:rsidRPr="007A5BD3">
              <w:rPr>
                <w:sz w:val="24"/>
              </w:rPr>
              <w:t xml:space="preserve">PETITION FOR WAIVER AND/OR MODIFICATION OF MERGER-RELATED CONDITIONS REGARDING AFOR FILINGS </w:t>
            </w:r>
          </w:p>
          <w:p w:rsidR="005A3475" w:rsidRDefault="005A3475" w:rsidP="00E91740">
            <w:pPr>
              <w:spacing w:after="19"/>
              <w:ind w:left="720"/>
              <w:rPr>
                <w:sz w:val="24"/>
              </w:rPr>
            </w:pPr>
          </w:p>
          <w:p w:rsidR="005A3475" w:rsidRDefault="005A3475" w:rsidP="00E91740">
            <w:pPr>
              <w:spacing w:after="19"/>
              <w:ind w:left="720"/>
              <w:rPr>
                <w:sz w:val="24"/>
              </w:rPr>
            </w:pPr>
          </w:p>
          <w:p w:rsidR="005A3475" w:rsidRPr="00FD7BD5" w:rsidRDefault="005A3475" w:rsidP="00E91740">
            <w:pPr>
              <w:spacing w:after="19"/>
              <w:rPr>
                <w:sz w:val="24"/>
              </w:rPr>
            </w:pPr>
          </w:p>
        </w:tc>
      </w:tr>
    </w:tbl>
    <w:p w:rsidR="005A3475" w:rsidRDefault="005A3475" w:rsidP="005A3475">
      <w:pPr>
        <w:jc w:val="both"/>
        <w:rPr>
          <w:sz w:val="24"/>
        </w:rPr>
      </w:pPr>
    </w:p>
    <w:p w:rsidR="007A5BD3" w:rsidRDefault="007A5BD3" w:rsidP="005A3475">
      <w:pPr>
        <w:jc w:val="both"/>
        <w:rPr>
          <w:sz w:val="24"/>
        </w:rPr>
      </w:pPr>
    </w:p>
    <w:p w:rsidR="007A5BD3" w:rsidRPr="007A5BD3" w:rsidRDefault="007A5BD3" w:rsidP="007A5BD3">
      <w:pPr>
        <w:jc w:val="center"/>
        <w:rPr>
          <w:b/>
          <w:sz w:val="24"/>
        </w:rPr>
      </w:pPr>
      <w:r>
        <w:rPr>
          <w:b/>
          <w:sz w:val="24"/>
        </w:rPr>
        <w:t>I.</w:t>
      </w:r>
      <w:r>
        <w:rPr>
          <w:b/>
          <w:sz w:val="24"/>
        </w:rPr>
        <w:tab/>
        <w:t xml:space="preserve">INTRODUCTION </w:t>
      </w:r>
    </w:p>
    <w:p w:rsidR="005A3475" w:rsidRDefault="005A3475" w:rsidP="005A3475">
      <w:pPr>
        <w:jc w:val="both"/>
        <w:rPr>
          <w:sz w:val="24"/>
        </w:rPr>
      </w:pPr>
    </w:p>
    <w:p w:rsidR="007A5BD3" w:rsidRDefault="002503A4" w:rsidP="007A5BD3">
      <w:pPr>
        <w:numPr>
          <w:ilvl w:val="0"/>
          <w:numId w:val="2"/>
        </w:numPr>
        <w:spacing w:line="480" w:lineRule="auto"/>
        <w:rPr>
          <w:sz w:val="24"/>
        </w:rPr>
      </w:pPr>
      <w:r>
        <w:rPr>
          <w:sz w:val="24"/>
        </w:rPr>
        <w:tab/>
      </w:r>
      <w:r w:rsidR="005A3475" w:rsidRPr="007A5BD3">
        <w:rPr>
          <w:sz w:val="24"/>
        </w:rPr>
        <w:t>Staff of the Washington Utilities and Transportation Commission (Staff) submi</w:t>
      </w:r>
      <w:r w:rsidR="00A32D3F">
        <w:rPr>
          <w:sz w:val="24"/>
        </w:rPr>
        <w:t>ts this response to CenturyLink, Inc.’</w:t>
      </w:r>
      <w:r w:rsidR="005A3475" w:rsidRPr="007A5BD3">
        <w:rPr>
          <w:sz w:val="24"/>
        </w:rPr>
        <w:t xml:space="preserve">s </w:t>
      </w:r>
      <w:r w:rsidR="007A5BD3" w:rsidRPr="007A5BD3">
        <w:rPr>
          <w:sz w:val="24"/>
        </w:rPr>
        <w:t xml:space="preserve">Petition </w:t>
      </w:r>
      <w:r w:rsidR="00D01CD4">
        <w:rPr>
          <w:sz w:val="24"/>
        </w:rPr>
        <w:t>f</w:t>
      </w:r>
      <w:r w:rsidR="007A5BD3">
        <w:rPr>
          <w:sz w:val="24"/>
        </w:rPr>
        <w:t>or Waiver a</w:t>
      </w:r>
      <w:r w:rsidR="007A5BD3" w:rsidRPr="007A5BD3">
        <w:rPr>
          <w:sz w:val="24"/>
        </w:rPr>
        <w:t>nd/</w:t>
      </w:r>
      <w:r w:rsidR="007A5BD3">
        <w:rPr>
          <w:sz w:val="24"/>
        </w:rPr>
        <w:t>o</w:t>
      </w:r>
      <w:r w:rsidR="007A5BD3" w:rsidRPr="007A5BD3">
        <w:rPr>
          <w:sz w:val="24"/>
        </w:rPr>
        <w:t xml:space="preserve">r Modification </w:t>
      </w:r>
      <w:r w:rsidR="007A5BD3">
        <w:rPr>
          <w:sz w:val="24"/>
        </w:rPr>
        <w:t>o</w:t>
      </w:r>
      <w:r w:rsidR="007A5BD3" w:rsidRPr="007A5BD3">
        <w:rPr>
          <w:sz w:val="24"/>
        </w:rPr>
        <w:t>f Merger-Related Conditions Regarding AFOR F</w:t>
      </w:r>
      <w:r w:rsidR="007A5BD3">
        <w:rPr>
          <w:sz w:val="24"/>
        </w:rPr>
        <w:t>ilings</w:t>
      </w:r>
      <w:r w:rsidR="007A5BD3" w:rsidRPr="007A5BD3">
        <w:rPr>
          <w:sz w:val="24"/>
        </w:rPr>
        <w:t xml:space="preserve"> </w:t>
      </w:r>
      <w:r w:rsidR="005A3475" w:rsidRPr="007A5BD3">
        <w:rPr>
          <w:sz w:val="24"/>
        </w:rPr>
        <w:t xml:space="preserve">(Petition).  Staff </w:t>
      </w:r>
      <w:r w:rsidR="00A32D3F">
        <w:rPr>
          <w:sz w:val="24"/>
        </w:rPr>
        <w:t>does not object to modifying its settlement and the Commission’s Order 14 to allow CenturyLink, Inc. (CenturyLink) to petition for Alternative Form of Regulation (AFOR) sooner than the three-year stay out period</w:t>
      </w:r>
      <w:r w:rsidR="007A5BD3">
        <w:rPr>
          <w:sz w:val="24"/>
        </w:rPr>
        <w:t xml:space="preserve">.  </w:t>
      </w:r>
    </w:p>
    <w:p w:rsidR="007A5BD3" w:rsidRPr="007A5BD3" w:rsidRDefault="007A5BD3" w:rsidP="007A5BD3">
      <w:pPr>
        <w:spacing w:line="480" w:lineRule="auto"/>
        <w:jc w:val="center"/>
        <w:rPr>
          <w:b/>
          <w:sz w:val="24"/>
        </w:rPr>
      </w:pPr>
      <w:r>
        <w:rPr>
          <w:b/>
          <w:sz w:val="24"/>
        </w:rPr>
        <w:t>II.</w:t>
      </w:r>
      <w:r>
        <w:rPr>
          <w:b/>
          <w:sz w:val="24"/>
        </w:rPr>
        <w:tab/>
        <w:t>STATEMENT OF FACTS</w:t>
      </w:r>
    </w:p>
    <w:p w:rsidR="005E3CB8" w:rsidRDefault="002503A4" w:rsidP="007A5BD3">
      <w:pPr>
        <w:numPr>
          <w:ilvl w:val="0"/>
          <w:numId w:val="2"/>
        </w:numPr>
        <w:spacing w:line="480" w:lineRule="auto"/>
        <w:rPr>
          <w:sz w:val="24"/>
        </w:rPr>
      </w:pPr>
      <w:r>
        <w:rPr>
          <w:sz w:val="24"/>
        </w:rPr>
        <w:tab/>
      </w:r>
      <w:r w:rsidR="005623B5">
        <w:rPr>
          <w:sz w:val="24"/>
        </w:rPr>
        <w:t>On December 23, 2010, Staff</w:t>
      </w:r>
      <w:r w:rsidR="00E6637C">
        <w:rPr>
          <w:sz w:val="24"/>
        </w:rPr>
        <w:t>,</w:t>
      </w:r>
      <w:r w:rsidR="005623B5">
        <w:rPr>
          <w:sz w:val="24"/>
        </w:rPr>
        <w:t xml:space="preserve"> the Public Counsel Division of the Washington State Attorney General’s Office (Public Counsel) and the two merging companies, CenturyLink, Inc.</w:t>
      </w:r>
      <w:r w:rsidR="005478AD">
        <w:rPr>
          <w:sz w:val="24"/>
        </w:rPr>
        <w:t xml:space="preserve"> (CenturyLink)</w:t>
      </w:r>
      <w:r w:rsidR="005623B5">
        <w:rPr>
          <w:sz w:val="24"/>
        </w:rPr>
        <w:t xml:space="preserve"> and Qwest Communications International Inc.</w:t>
      </w:r>
      <w:r w:rsidR="009A15CC">
        <w:rPr>
          <w:sz w:val="24"/>
        </w:rPr>
        <w:t xml:space="preserve"> (QCII)</w:t>
      </w:r>
      <w:r w:rsidR="005623B5">
        <w:rPr>
          <w:sz w:val="24"/>
        </w:rPr>
        <w:t xml:space="preserve">, filed a settlement agreement with the Washington Utilities and Transportation Commission (Commission) regarding the merger.  </w:t>
      </w:r>
      <w:r w:rsidR="00E6637C">
        <w:rPr>
          <w:sz w:val="24"/>
        </w:rPr>
        <w:t xml:space="preserve">The </w:t>
      </w:r>
      <w:r w:rsidR="009A6318">
        <w:rPr>
          <w:sz w:val="24"/>
        </w:rPr>
        <w:t>settlement a</w:t>
      </w:r>
      <w:r w:rsidR="00E6637C">
        <w:rPr>
          <w:sz w:val="24"/>
        </w:rPr>
        <w:t xml:space="preserve">greement incorporates a list of conditions, </w:t>
      </w:r>
      <w:r w:rsidR="00AB3647">
        <w:rPr>
          <w:sz w:val="24"/>
        </w:rPr>
        <w:t>some</w:t>
      </w:r>
      <w:r w:rsidR="00E6637C">
        <w:rPr>
          <w:sz w:val="24"/>
        </w:rPr>
        <w:t xml:space="preserve"> of </w:t>
      </w:r>
      <w:r w:rsidR="00E6637C">
        <w:rPr>
          <w:sz w:val="24"/>
        </w:rPr>
        <w:lastRenderedPageBreak/>
        <w:t xml:space="preserve">which </w:t>
      </w:r>
      <w:r w:rsidR="005478AD">
        <w:rPr>
          <w:sz w:val="24"/>
        </w:rPr>
        <w:t xml:space="preserve">reference </w:t>
      </w:r>
      <w:r w:rsidR="006152DE">
        <w:rPr>
          <w:sz w:val="24"/>
        </w:rPr>
        <w:t>the AFOR</w:t>
      </w:r>
      <w:r w:rsidR="006152DE">
        <w:rPr>
          <w:rStyle w:val="FootnoteReference"/>
          <w:sz w:val="24"/>
        </w:rPr>
        <w:footnoteReference w:id="1"/>
      </w:r>
      <w:r w:rsidR="006152DE">
        <w:rPr>
          <w:sz w:val="24"/>
        </w:rPr>
        <w:t xml:space="preserve"> </w:t>
      </w:r>
      <w:r w:rsidR="00E54982">
        <w:rPr>
          <w:sz w:val="24"/>
        </w:rPr>
        <w:t>plan</w:t>
      </w:r>
      <w:r w:rsidR="006152DE">
        <w:rPr>
          <w:sz w:val="24"/>
        </w:rPr>
        <w:t xml:space="preserve"> </w:t>
      </w:r>
      <w:r w:rsidR="005478AD">
        <w:rPr>
          <w:sz w:val="24"/>
        </w:rPr>
        <w:t xml:space="preserve">CenturyLink </w:t>
      </w:r>
      <w:r w:rsidR="006152DE">
        <w:rPr>
          <w:sz w:val="24"/>
        </w:rPr>
        <w:t>committed to file with</w:t>
      </w:r>
      <w:r w:rsidR="00396DE5">
        <w:rPr>
          <w:sz w:val="24"/>
        </w:rPr>
        <w:t xml:space="preserve"> the Commission</w:t>
      </w:r>
      <w:r w:rsidR="007A5BD3">
        <w:rPr>
          <w:sz w:val="24"/>
        </w:rPr>
        <w:t xml:space="preserve">. </w:t>
      </w:r>
      <w:r w:rsidR="00E6637C">
        <w:rPr>
          <w:sz w:val="24"/>
        </w:rPr>
        <w:t xml:space="preserve"> </w:t>
      </w:r>
      <w:r w:rsidR="00FD4777">
        <w:rPr>
          <w:sz w:val="24"/>
        </w:rPr>
        <w:t xml:space="preserve">Condition 3 </w:t>
      </w:r>
      <w:r w:rsidR="00DD0CE2">
        <w:rPr>
          <w:sz w:val="24"/>
        </w:rPr>
        <w:t xml:space="preserve">obligates CenturyLink, no sooner than three years and no later than </w:t>
      </w:r>
      <w:r w:rsidR="00C73781">
        <w:rPr>
          <w:sz w:val="24"/>
        </w:rPr>
        <w:t>four years after the transaction closing date</w:t>
      </w:r>
      <w:r w:rsidR="00DD0CE2">
        <w:rPr>
          <w:sz w:val="24"/>
        </w:rPr>
        <w:t>, to file pro forma results of operations and an AFOR plan (or plans).</w:t>
      </w:r>
      <w:r w:rsidR="00176C40">
        <w:rPr>
          <w:rStyle w:val="FootnoteReference"/>
          <w:sz w:val="24"/>
        </w:rPr>
        <w:footnoteReference w:id="2"/>
      </w:r>
      <w:r w:rsidR="00176C40">
        <w:rPr>
          <w:sz w:val="24"/>
        </w:rPr>
        <w:t xml:space="preserve">  </w:t>
      </w:r>
      <w:r w:rsidR="00AB3647">
        <w:rPr>
          <w:sz w:val="24"/>
        </w:rPr>
        <w:t xml:space="preserve">Condition 3 also sets forth issues to be included in the AFOR proceeding: analysis and disposition of merger synergies, rate rebalancing, rate design for residential and business services, and intrastate access charges.  </w:t>
      </w:r>
      <w:r w:rsidR="005E3CB8">
        <w:rPr>
          <w:sz w:val="24"/>
        </w:rPr>
        <w:t xml:space="preserve">The logic behind the condition requiring CenturyLink to file an AFOR plan between three and five years after the merger rested on the timeline </w:t>
      </w:r>
      <w:r w:rsidR="00EE41CC">
        <w:rPr>
          <w:sz w:val="24"/>
        </w:rPr>
        <w:t xml:space="preserve">projected </w:t>
      </w:r>
      <w:r w:rsidR="005E3CB8">
        <w:rPr>
          <w:sz w:val="24"/>
        </w:rPr>
        <w:t>for synergy savings.</w:t>
      </w:r>
      <w:r w:rsidR="00D42B52">
        <w:rPr>
          <w:rStyle w:val="FootnoteReference"/>
          <w:sz w:val="24"/>
        </w:rPr>
        <w:footnoteReference w:id="3"/>
      </w:r>
      <w:r w:rsidR="005E3CB8">
        <w:rPr>
          <w:sz w:val="24"/>
        </w:rPr>
        <w:t xml:space="preserve">  The expectation was that synergy savings would </w:t>
      </w:r>
      <w:r w:rsidR="00D42B52">
        <w:rPr>
          <w:sz w:val="24"/>
        </w:rPr>
        <w:t xml:space="preserve">take some time to develop and would continue to develop over the first five years following the merger. </w:t>
      </w:r>
      <w:r w:rsidR="005E3CB8">
        <w:rPr>
          <w:sz w:val="24"/>
        </w:rPr>
        <w:t xml:space="preserve"> </w:t>
      </w:r>
      <w:r w:rsidR="003B5533">
        <w:rPr>
          <w:sz w:val="24"/>
        </w:rPr>
        <w:t>Over a half dozen other conditions use the conclusion of the AFOR proceeding as a termination date.</w:t>
      </w:r>
      <w:r w:rsidR="00860CFF">
        <w:rPr>
          <w:rStyle w:val="FootnoteReference"/>
          <w:sz w:val="24"/>
        </w:rPr>
        <w:footnoteReference w:id="4"/>
      </w:r>
    </w:p>
    <w:p w:rsidR="00FD4777" w:rsidRDefault="002503A4" w:rsidP="007A5BD3">
      <w:pPr>
        <w:numPr>
          <w:ilvl w:val="0"/>
          <w:numId w:val="2"/>
        </w:numPr>
        <w:spacing w:line="480" w:lineRule="auto"/>
        <w:rPr>
          <w:sz w:val="24"/>
        </w:rPr>
      </w:pPr>
      <w:r>
        <w:rPr>
          <w:sz w:val="24"/>
        </w:rPr>
        <w:tab/>
      </w:r>
      <w:r w:rsidR="00266C0E">
        <w:rPr>
          <w:sz w:val="24"/>
        </w:rPr>
        <w:t xml:space="preserve">The Commission approved and adopted the settlement agreement in Order 14, served March 14, 2011.  In Order 14, the Commission </w:t>
      </w:r>
      <w:r w:rsidR="005B0DF4">
        <w:rPr>
          <w:sz w:val="24"/>
        </w:rPr>
        <w:t>modified Condition 3 by</w:t>
      </w:r>
      <w:r w:rsidR="00266C0E">
        <w:rPr>
          <w:sz w:val="24"/>
        </w:rPr>
        <w:t xml:space="preserve"> </w:t>
      </w:r>
      <w:r w:rsidR="005B0DF4">
        <w:rPr>
          <w:sz w:val="24"/>
        </w:rPr>
        <w:t>ordering</w:t>
      </w:r>
      <w:r w:rsidR="00266C0E">
        <w:rPr>
          <w:sz w:val="24"/>
        </w:rPr>
        <w:t xml:space="preserve"> an “additional review of the combined company’s </w:t>
      </w:r>
      <w:r w:rsidR="00266C0E" w:rsidRPr="00266C0E">
        <w:rPr>
          <w:i/>
          <w:sz w:val="24"/>
        </w:rPr>
        <w:t>pro forma</w:t>
      </w:r>
      <w:r w:rsidR="00266C0E">
        <w:rPr>
          <w:sz w:val="24"/>
        </w:rPr>
        <w:t xml:space="preserve"> results-of-operations according to a filing to be submitted no later than two years from the date of closing or by June 30, 2013, </w:t>
      </w:r>
      <w:r w:rsidR="00266C0E">
        <w:rPr>
          <w:sz w:val="24"/>
        </w:rPr>
        <w:lastRenderedPageBreak/>
        <w:t>whichever comes later.”</w:t>
      </w:r>
      <w:r w:rsidR="00290991">
        <w:rPr>
          <w:rStyle w:val="FootnoteReference"/>
          <w:sz w:val="24"/>
        </w:rPr>
        <w:footnoteReference w:id="5"/>
      </w:r>
      <w:r w:rsidR="006B0FDF">
        <w:rPr>
          <w:sz w:val="24"/>
        </w:rPr>
        <w:t xml:space="preserve">  With this added condition, the Commission </w:t>
      </w:r>
      <w:r w:rsidR="005C32DF">
        <w:rPr>
          <w:sz w:val="24"/>
        </w:rPr>
        <w:t xml:space="preserve">hoped to capture the synergies realized </w:t>
      </w:r>
      <w:r w:rsidR="00190255">
        <w:rPr>
          <w:sz w:val="24"/>
        </w:rPr>
        <w:t xml:space="preserve">not only from the CenturyLink merger </w:t>
      </w:r>
      <w:r w:rsidR="009A15CC">
        <w:rPr>
          <w:sz w:val="24"/>
        </w:rPr>
        <w:t xml:space="preserve">with QCII </w:t>
      </w:r>
      <w:r w:rsidR="00190255">
        <w:rPr>
          <w:sz w:val="24"/>
        </w:rPr>
        <w:t>b</w:t>
      </w:r>
      <w:r w:rsidR="002A203D">
        <w:rPr>
          <w:sz w:val="24"/>
        </w:rPr>
        <w:t>ut also from CenturyLink’s 2009</w:t>
      </w:r>
      <w:r w:rsidR="00190255">
        <w:rPr>
          <w:sz w:val="24"/>
        </w:rPr>
        <w:t xml:space="preserve"> </w:t>
      </w:r>
      <w:r w:rsidR="009A15CC">
        <w:rPr>
          <w:sz w:val="24"/>
        </w:rPr>
        <w:t>acquisition of telecommunications subsidiaries from Embarq Corporation</w:t>
      </w:r>
      <w:r w:rsidR="002A203D">
        <w:rPr>
          <w:sz w:val="24"/>
        </w:rPr>
        <w:t xml:space="preserve"> </w:t>
      </w:r>
      <w:r w:rsidR="00801978">
        <w:rPr>
          <w:sz w:val="24"/>
        </w:rPr>
        <w:t xml:space="preserve">(the “Embarq merger”) </w:t>
      </w:r>
      <w:r w:rsidR="00190255">
        <w:rPr>
          <w:sz w:val="24"/>
        </w:rPr>
        <w:t>“</w:t>
      </w:r>
      <w:r w:rsidR="005C32DF">
        <w:rPr>
          <w:sz w:val="24"/>
        </w:rPr>
        <w:t>to share these benefits with customers sooner than the timeline proffered by Staff and Public Counsel.</w:t>
      </w:r>
      <w:r w:rsidR="00190255">
        <w:rPr>
          <w:sz w:val="24"/>
        </w:rPr>
        <w:t>”</w:t>
      </w:r>
      <w:r w:rsidR="00190255">
        <w:rPr>
          <w:rStyle w:val="FootnoteReference"/>
          <w:sz w:val="24"/>
        </w:rPr>
        <w:footnoteReference w:id="6"/>
      </w:r>
    </w:p>
    <w:p w:rsidR="00091BF8" w:rsidRDefault="002503A4" w:rsidP="007A5BD3">
      <w:pPr>
        <w:numPr>
          <w:ilvl w:val="0"/>
          <w:numId w:val="2"/>
        </w:numPr>
        <w:spacing w:line="480" w:lineRule="auto"/>
        <w:rPr>
          <w:sz w:val="24"/>
        </w:rPr>
      </w:pPr>
      <w:r>
        <w:rPr>
          <w:sz w:val="24"/>
        </w:rPr>
        <w:tab/>
      </w:r>
      <w:r w:rsidR="005C32DF">
        <w:rPr>
          <w:sz w:val="24"/>
        </w:rPr>
        <w:t xml:space="preserve">In Order 14, the Commission added various </w:t>
      </w:r>
      <w:r w:rsidR="00972E68">
        <w:rPr>
          <w:sz w:val="24"/>
        </w:rPr>
        <w:t xml:space="preserve">other </w:t>
      </w:r>
      <w:r w:rsidR="005C32DF">
        <w:rPr>
          <w:sz w:val="24"/>
        </w:rPr>
        <w:t>conditions</w:t>
      </w:r>
      <w:r w:rsidR="00705798">
        <w:rPr>
          <w:sz w:val="24"/>
        </w:rPr>
        <w:t xml:space="preserve"> over and above the conditions in settlement agreements filed by the parties</w:t>
      </w:r>
      <w:r w:rsidR="005C32DF">
        <w:rPr>
          <w:sz w:val="24"/>
        </w:rPr>
        <w:t>.  On</w:t>
      </w:r>
      <w:r w:rsidR="00F44F7D">
        <w:rPr>
          <w:sz w:val="24"/>
        </w:rPr>
        <w:t>e</w:t>
      </w:r>
      <w:r w:rsidR="005C32DF">
        <w:rPr>
          <w:sz w:val="24"/>
        </w:rPr>
        <w:t xml:space="preserve"> of the conditions required CenturyLink to reduce the intrastate access charges of all of its local operating companies to the rate</w:t>
      </w:r>
      <w:r w:rsidR="00705798">
        <w:rPr>
          <w:sz w:val="24"/>
        </w:rPr>
        <w:t xml:space="preserve">s </w:t>
      </w:r>
      <w:r w:rsidR="005C32DF">
        <w:rPr>
          <w:sz w:val="24"/>
        </w:rPr>
        <w:t>charged by Qwest Corporation</w:t>
      </w:r>
      <w:r w:rsidR="00967F2B">
        <w:rPr>
          <w:sz w:val="24"/>
        </w:rPr>
        <w:t xml:space="preserve"> (Qwest)</w:t>
      </w:r>
      <w:r w:rsidR="005C32DF">
        <w:rPr>
          <w:sz w:val="24"/>
        </w:rPr>
        <w:t>.</w:t>
      </w:r>
      <w:r w:rsidR="002B62A4">
        <w:rPr>
          <w:rStyle w:val="FootnoteReference"/>
          <w:sz w:val="24"/>
        </w:rPr>
        <w:footnoteReference w:id="7"/>
      </w:r>
      <w:r w:rsidR="005C32DF">
        <w:rPr>
          <w:sz w:val="24"/>
        </w:rPr>
        <w:t xml:space="preserve"> </w:t>
      </w:r>
      <w:r w:rsidR="00F44F7D">
        <w:rPr>
          <w:sz w:val="24"/>
        </w:rPr>
        <w:t xml:space="preserve"> </w:t>
      </w:r>
      <w:r w:rsidR="00705798">
        <w:rPr>
          <w:sz w:val="24"/>
        </w:rPr>
        <w:t>This resulted in significant reductions</w:t>
      </w:r>
      <w:r w:rsidR="000926C0">
        <w:rPr>
          <w:sz w:val="24"/>
        </w:rPr>
        <w:t>.</w:t>
      </w:r>
      <w:r w:rsidR="00A042D5">
        <w:rPr>
          <w:sz w:val="24"/>
        </w:rPr>
        <w:t xml:space="preserve"> </w:t>
      </w:r>
      <w:r w:rsidR="000926C0">
        <w:rPr>
          <w:sz w:val="24"/>
        </w:rPr>
        <w:t xml:space="preserve"> Sprint </w:t>
      </w:r>
      <w:r w:rsidR="00E7055C">
        <w:rPr>
          <w:sz w:val="24"/>
        </w:rPr>
        <w:t xml:space="preserve">Nextel Corporation </w:t>
      </w:r>
      <w:r w:rsidR="000926C0">
        <w:rPr>
          <w:sz w:val="24"/>
        </w:rPr>
        <w:t>had projected a revenue decrease of $12 million,</w:t>
      </w:r>
      <w:r w:rsidR="00226895">
        <w:rPr>
          <w:rStyle w:val="FootnoteReference"/>
          <w:sz w:val="24"/>
        </w:rPr>
        <w:footnoteReference w:id="8"/>
      </w:r>
      <w:r w:rsidR="000926C0">
        <w:rPr>
          <w:sz w:val="24"/>
        </w:rPr>
        <w:t xml:space="preserve"> and Centur</w:t>
      </w:r>
      <w:r w:rsidR="00E7055C">
        <w:rPr>
          <w:sz w:val="24"/>
        </w:rPr>
        <w:t>yLink adopted this number in</w:t>
      </w:r>
      <w:r w:rsidR="00CD68AA">
        <w:rPr>
          <w:sz w:val="24"/>
        </w:rPr>
        <w:t xml:space="preserve"> n</w:t>
      </w:r>
      <w:r w:rsidR="00334EF6">
        <w:rPr>
          <w:sz w:val="24"/>
        </w:rPr>
        <w:t>onconfidential</w:t>
      </w:r>
      <w:r w:rsidR="000926C0">
        <w:rPr>
          <w:sz w:val="24"/>
        </w:rPr>
        <w:t xml:space="preserve"> briefing </w:t>
      </w:r>
      <w:r w:rsidR="009C3A20">
        <w:rPr>
          <w:sz w:val="24"/>
        </w:rPr>
        <w:t>in support of its appeal of</w:t>
      </w:r>
      <w:r w:rsidR="006730D5">
        <w:rPr>
          <w:sz w:val="24"/>
        </w:rPr>
        <w:t xml:space="preserve"> Order 14.</w:t>
      </w:r>
      <w:r w:rsidR="00A86115">
        <w:rPr>
          <w:rStyle w:val="FootnoteReference"/>
          <w:sz w:val="24"/>
        </w:rPr>
        <w:footnoteReference w:id="9"/>
      </w:r>
      <w:r w:rsidR="004B3A57">
        <w:rPr>
          <w:sz w:val="24"/>
        </w:rPr>
        <w:t xml:space="preserve">  </w:t>
      </w:r>
      <w:r w:rsidR="00770F4C">
        <w:rPr>
          <w:sz w:val="24"/>
        </w:rPr>
        <w:t>The CenturyLin</w:t>
      </w:r>
      <w:r w:rsidR="00091BF8">
        <w:rPr>
          <w:sz w:val="24"/>
        </w:rPr>
        <w:t>k merger closed April 1, 2011.</w:t>
      </w:r>
      <w:r w:rsidR="00050EAE">
        <w:rPr>
          <w:sz w:val="24"/>
        </w:rPr>
        <w:t xml:space="preserve">  </w:t>
      </w:r>
      <w:r w:rsidR="00FF4A6E">
        <w:rPr>
          <w:sz w:val="24"/>
        </w:rPr>
        <w:t xml:space="preserve">The </w:t>
      </w:r>
      <w:r w:rsidR="00FF4A6E" w:rsidRPr="00FF4A6E">
        <w:rPr>
          <w:sz w:val="24"/>
        </w:rPr>
        <w:t>access reductions took effect on May 29, 2011</w:t>
      </w:r>
      <w:r w:rsidR="00FF4A6E">
        <w:rPr>
          <w:sz w:val="28"/>
          <w:szCs w:val="28"/>
        </w:rPr>
        <w:t>.</w:t>
      </w:r>
      <w:r w:rsidR="00FF4A6E">
        <w:rPr>
          <w:rStyle w:val="FootnoteReference"/>
          <w:sz w:val="24"/>
        </w:rPr>
        <w:t xml:space="preserve"> </w:t>
      </w:r>
      <w:r w:rsidR="00050EAE">
        <w:rPr>
          <w:rStyle w:val="FootnoteReference"/>
          <w:sz w:val="24"/>
        </w:rPr>
        <w:footnoteReference w:id="10"/>
      </w:r>
    </w:p>
    <w:p w:rsidR="009278D7" w:rsidRDefault="002503A4" w:rsidP="00CF1245">
      <w:pPr>
        <w:numPr>
          <w:ilvl w:val="0"/>
          <w:numId w:val="2"/>
        </w:numPr>
        <w:spacing w:line="480" w:lineRule="auto"/>
        <w:rPr>
          <w:sz w:val="24"/>
        </w:rPr>
      </w:pPr>
      <w:r>
        <w:rPr>
          <w:sz w:val="24"/>
        </w:rPr>
        <w:tab/>
      </w:r>
      <w:r w:rsidR="00770F4C">
        <w:rPr>
          <w:sz w:val="24"/>
        </w:rPr>
        <w:t xml:space="preserve">In the fall of 2011, the Federal Communications Commission (FCC) issued </w:t>
      </w:r>
      <w:r w:rsidR="005C73D5">
        <w:rPr>
          <w:sz w:val="24"/>
        </w:rPr>
        <w:t xml:space="preserve">its </w:t>
      </w:r>
      <w:r w:rsidR="00B1201C">
        <w:rPr>
          <w:sz w:val="24"/>
        </w:rPr>
        <w:t xml:space="preserve">landmark </w:t>
      </w:r>
      <w:r w:rsidR="005C73D5" w:rsidRPr="005C73D5">
        <w:rPr>
          <w:sz w:val="24"/>
        </w:rPr>
        <w:t xml:space="preserve">universal service </w:t>
      </w:r>
      <w:r w:rsidR="00B1201C">
        <w:rPr>
          <w:sz w:val="24"/>
        </w:rPr>
        <w:t xml:space="preserve">fund (USF) </w:t>
      </w:r>
      <w:r w:rsidR="005C73D5" w:rsidRPr="005C73D5">
        <w:rPr>
          <w:sz w:val="24"/>
        </w:rPr>
        <w:t>and intercarrier compensation</w:t>
      </w:r>
      <w:r w:rsidR="00B1201C">
        <w:rPr>
          <w:sz w:val="24"/>
        </w:rPr>
        <w:t xml:space="preserve"> (ICC)</w:t>
      </w:r>
      <w:r w:rsidR="005C73D5">
        <w:rPr>
          <w:sz w:val="24"/>
        </w:rPr>
        <w:t xml:space="preserve"> reform </w:t>
      </w:r>
      <w:r w:rsidR="00770F4C">
        <w:rPr>
          <w:sz w:val="24"/>
        </w:rPr>
        <w:t>order</w:t>
      </w:r>
      <w:r w:rsidR="005C73D5">
        <w:rPr>
          <w:sz w:val="24"/>
        </w:rPr>
        <w:t>.</w:t>
      </w:r>
      <w:r w:rsidR="00CF1245">
        <w:rPr>
          <w:rStyle w:val="FootnoteReference"/>
          <w:sz w:val="24"/>
        </w:rPr>
        <w:footnoteReference w:id="11"/>
      </w:r>
      <w:r w:rsidR="00ED2F67">
        <w:rPr>
          <w:sz w:val="24"/>
        </w:rPr>
        <w:t xml:space="preserve">  The </w:t>
      </w:r>
      <w:r w:rsidR="00DC2317">
        <w:rPr>
          <w:sz w:val="24"/>
        </w:rPr>
        <w:t>USF-</w:t>
      </w:r>
      <w:r w:rsidR="00EE7885">
        <w:rPr>
          <w:sz w:val="24"/>
        </w:rPr>
        <w:t>ICC Reform O</w:t>
      </w:r>
      <w:r w:rsidR="00ED2F67">
        <w:rPr>
          <w:sz w:val="24"/>
        </w:rPr>
        <w:t>rder require</w:t>
      </w:r>
      <w:r w:rsidR="00D32C81">
        <w:rPr>
          <w:sz w:val="24"/>
        </w:rPr>
        <w:t>s carriers to reduce</w:t>
      </w:r>
      <w:r w:rsidR="00103111">
        <w:rPr>
          <w:sz w:val="24"/>
        </w:rPr>
        <w:t xml:space="preserve"> </w:t>
      </w:r>
      <w:r w:rsidR="00D32C81">
        <w:rPr>
          <w:sz w:val="24"/>
        </w:rPr>
        <w:t xml:space="preserve">access </w:t>
      </w:r>
      <w:r w:rsidR="006A01DA">
        <w:rPr>
          <w:sz w:val="24"/>
        </w:rPr>
        <w:t xml:space="preserve">charge </w:t>
      </w:r>
      <w:r w:rsidR="00D32C81">
        <w:rPr>
          <w:sz w:val="24"/>
        </w:rPr>
        <w:t>rates in steps.  The first two steps involve bringing intrastate terminating access rates to parity</w:t>
      </w:r>
      <w:r w:rsidR="00DE567E">
        <w:rPr>
          <w:sz w:val="24"/>
        </w:rPr>
        <w:t xml:space="preserve"> </w:t>
      </w:r>
      <w:r w:rsidR="000F5997">
        <w:rPr>
          <w:sz w:val="24"/>
        </w:rPr>
        <w:t xml:space="preserve">with interstate </w:t>
      </w:r>
      <w:r w:rsidR="000F5997">
        <w:rPr>
          <w:sz w:val="24"/>
        </w:rPr>
        <w:lastRenderedPageBreak/>
        <w:t xml:space="preserve">access rates </w:t>
      </w:r>
      <w:r w:rsidR="00DE567E">
        <w:rPr>
          <w:sz w:val="24"/>
        </w:rPr>
        <w:t xml:space="preserve">by July </w:t>
      </w:r>
      <w:r w:rsidR="00DE567E" w:rsidRPr="0016418C">
        <w:rPr>
          <w:sz w:val="24"/>
        </w:rPr>
        <w:t>1</w:t>
      </w:r>
      <w:r w:rsidR="00DE567E">
        <w:rPr>
          <w:sz w:val="24"/>
        </w:rPr>
        <w:t>, 2013</w:t>
      </w:r>
      <w:r w:rsidR="00D32C81">
        <w:rPr>
          <w:sz w:val="24"/>
        </w:rPr>
        <w:t>.</w:t>
      </w:r>
      <w:r w:rsidR="00D32C81">
        <w:rPr>
          <w:rStyle w:val="FootnoteReference"/>
          <w:sz w:val="24"/>
        </w:rPr>
        <w:footnoteReference w:id="12"/>
      </w:r>
      <w:r w:rsidR="00D32C81">
        <w:rPr>
          <w:sz w:val="24"/>
        </w:rPr>
        <w:t xml:space="preserve">  As of July</w:t>
      </w:r>
      <w:r w:rsidR="00CD6CC5">
        <w:rPr>
          <w:sz w:val="24"/>
        </w:rPr>
        <w:t xml:space="preserve"> 2012, carriers were required to have adjusted their access rates so that intrastate access </w:t>
      </w:r>
      <w:r w:rsidR="000B1CB3">
        <w:rPr>
          <w:sz w:val="24"/>
        </w:rPr>
        <w:t>rates</w:t>
      </w:r>
      <w:r w:rsidR="00CD6CC5">
        <w:rPr>
          <w:sz w:val="24"/>
        </w:rPr>
        <w:t xml:space="preserve"> were halfway to parity with interstate </w:t>
      </w:r>
      <w:r w:rsidR="00103111">
        <w:rPr>
          <w:sz w:val="24"/>
        </w:rPr>
        <w:t>revenues</w:t>
      </w:r>
      <w:r w:rsidR="000B1CB3">
        <w:rPr>
          <w:sz w:val="24"/>
        </w:rPr>
        <w:t>.</w:t>
      </w:r>
      <w:r w:rsidR="00ED0AED">
        <w:rPr>
          <w:rStyle w:val="FootnoteReference"/>
          <w:sz w:val="24"/>
        </w:rPr>
        <w:footnoteReference w:id="13"/>
      </w:r>
      <w:r w:rsidR="00D32C81">
        <w:rPr>
          <w:sz w:val="24"/>
        </w:rPr>
        <w:t xml:space="preserve"> </w:t>
      </w:r>
      <w:r w:rsidR="00ED2F67">
        <w:rPr>
          <w:sz w:val="24"/>
        </w:rPr>
        <w:t xml:space="preserve"> </w:t>
      </w:r>
      <w:r w:rsidR="008D28D0">
        <w:rPr>
          <w:sz w:val="24"/>
        </w:rPr>
        <w:t xml:space="preserve">CenturyLink </w:t>
      </w:r>
      <w:r w:rsidR="00D15B31">
        <w:rPr>
          <w:sz w:val="24"/>
        </w:rPr>
        <w:t xml:space="preserve">filed </w:t>
      </w:r>
      <w:r w:rsidR="00A92C00">
        <w:rPr>
          <w:sz w:val="24"/>
        </w:rPr>
        <w:t xml:space="preserve">these further </w:t>
      </w:r>
      <w:r w:rsidR="00D15B31">
        <w:rPr>
          <w:sz w:val="24"/>
        </w:rPr>
        <w:t>revised access rates</w:t>
      </w:r>
      <w:r w:rsidR="00171223">
        <w:rPr>
          <w:sz w:val="24"/>
        </w:rPr>
        <w:t xml:space="preserve"> (the first step of the FCC’s transition)</w:t>
      </w:r>
      <w:r w:rsidR="00D15B31">
        <w:rPr>
          <w:sz w:val="24"/>
        </w:rPr>
        <w:t xml:space="preserve"> </w:t>
      </w:r>
      <w:r w:rsidR="0062591A">
        <w:rPr>
          <w:sz w:val="24"/>
        </w:rPr>
        <w:t>with the Commission on May 24, 2</w:t>
      </w:r>
      <w:r w:rsidR="00D819D9">
        <w:rPr>
          <w:sz w:val="24"/>
        </w:rPr>
        <w:t>012.</w:t>
      </w:r>
      <w:r w:rsidR="00D819D9">
        <w:rPr>
          <w:rStyle w:val="FootnoteReference"/>
          <w:sz w:val="24"/>
        </w:rPr>
        <w:footnoteReference w:id="14"/>
      </w:r>
      <w:r w:rsidR="00D15B31">
        <w:rPr>
          <w:sz w:val="24"/>
        </w:rPr>
        <w:t xml:space="preserve"> </w:t>
      </w:r>
      <w:r w:rsidR="00D819D9">
        <w:rPr>
          <w:sz w:val="24"/>
        </w:rPr>
        <w:t xml:space="preserve"> </w:t>
      </w:r>
      <w:r w:rsidR="00F17AF4">
        <w:rPr>
          <w:sz w:val="24"/>
        </w:rPr>
        <w:t xml:space="preserve">Its filings include </w:t>
      </w:r>
      <w:r w:rsidR="00A92C00">
        <w:rPr>
          <w:sz w:val="24"/>
        </w:rPr>
        <w:t xml:space="preserve">the required calculations to achieve access charge revenue reductions </w:t>
      </w:r>
      <w:r w:rsidR="003E161E">
        <w:rPr>
          <w:sz w:val="24"/>
        </w:rPr>
        <w:t>associated with adjusting intrastate</w:t>
      </w:r>
      <w:r w:rsidR="00103111">
        <w:rPr>
          <w:sz w:val="24"/>
        </w:rPr>
        <w:t xml:space="preserve"> terminating</w:t>
      </w:r>
      <w:r w:rsidR="003E161E">
        <w:rPr>
          <w:sz w:val="24"/>
        </w:rPr>
        <w:t xml:space="preserve"> access rates toward parity with interstate access rates.</w:t>
      </w:r>
      <w:r w:rsidR="003E161E">
        <w:rPr>
          <w:rStyle w:val="FootnoteReference"/>
          <w:sz w:val="24"/>
        </w:rPr>
        <w:footnoteReference w:id="15"/>
      </w:r>
    </w:p>
    <w:p w:rsidR="005C32DF" w:rsidRPr="005C73D5" w:rsidRDefault="002503A4" w:rsidP="00CF1245">
      <w:pPr>
        <w:numPr>
          <w:ilvl w:val="0"/>
          <w:numId w:val="2"/>
        </w:numPr>
        <w:spacing w:line="480" w:lineRule="auto"/>
        <w:rPr>
          <w:sz w:val="24"/>
        </w:rPr>
      </w:pPr>
      <w:r>
        <w:rPr>
          <w:sz w:val="24"/>
        </w:rPr>
        <w:tab/>
      </w:r>
      <w:r w:rsidR="00D105EA">
        <w:rPr>
          <w:sz w:val="24"/>
        </w:rPr>
        <w:t>CenturyLink also has experienced access line loss.  Over the four-year period from 2008 to 2011, CenturyLink operating companies appear to have lost approximately 28% of Washington access lines.</w:t>
      </w:r>
      <w:r w:rsidR="00D105EA">
        <w:rPr>
          <w:rStyle w:val="FootnoteReference"/>
          <w:sz w:val="24"/>
        </w:rPr>
        <w:footnoteReference w:id="16"/>
      </w:r>
      <w:r w:rsidR="00D105EA">
        <w:rPr>
          <w:sz w:val="24"/>
        </w:rPr>
        <w:t xml:space="preserve">  CenturyLink, in its Petition, further asserts that it has suffered retail access line loss of 56% over the last 10 years.</w:t>
      </w:r>
      <w:r w:rsidR="00D105EA">
        <w:rPr>
          <w:rStyle w:val="FootnoteReference"/>
          <w:sz w:val="24"/>
        </w:rPr>
        <w:footnoteReference w:id="17"/>
      </w:r>
      <w:r w:rsidR="00D105EA">
        <w:rPr>
          <w:sz w:val="24"/>
        </w:rPr>
        <w:t xml:space="preserve">  </w:t>
      </w:r>
      <w:r w:rsidR="00C82D67">
        <w:rPr>
          <w:sz w:val="24"/>
        </w:rPr>
        <w:t>In addition</w:t>
      </w:r>
      <w:r w:rsidR="00D105EA">
        <w:rPr>
          <w:sz w:val="24"/>
        </w:rPr>
        <w:t xml:space="preserve">, CenturyLink, along with local exchange carriers (LECs) throughout the state, </w:t>
      </w:r>
      <w:r w:rsidR="00C82D67">
        <w:rPr>
          <w:sz w:val="24"/>
        </w:rPr>
        <w:t>has</w:t>
      </w:r>
      <w:r w:rsidR="00D105EA">
        <w:rPr>
          <w:sz w:val="24"/>
        </w:rPr>
        <w:t xml:space="preserve"> been subject to declining minutes of use.</w:t>
      </w:r>
      <w:r w:rsidR="00D105EA">
        <w:rPr>
          <w:rStyle w:val="FootnoteReference"/>
          <w:sz w:val="24"/>
        </w:rPr>
        <w:footnoteReference w:id="18"/>
      </w:r>
      <w:r w:rsidR="00D105EA">
        <w:rPr>
          <w:sz w:val="24"/>
        </w:rPr>
        <w:t xml:space="preserve">  Over the period from 2008 to 2011, intrastate switched access (that is, instate long distance) minutes of use declined by approximately 20% statewide.</w:t>
      </w:r>
      <w:r w:rsidR="0003265F">
        <w:rPr>
          <w:rStyle w:val="FootnoteReference"/>
          <w:sz w:val="24"/>
        </w:rPr>
        <w:footnoteReference w:id="19"/>
      </w:r>
      <w:r w:rsidR="00AD0A57">
        <w:rPr>
          <w:sz w:val="24"/>
        </w:rPr>
        <w:t xml:space="preserve"> </w:t>
      </w:r>
      <w:r w:rsidR="0042216F">
        <w:rPr>
          <w:sz w:val="24"/>
        </w:rPr>
        <w:t xml:space="preserve"> </w:t>
      </w:r>
      <w:r w:rsidR="00D105EA">
        <w:rPr>
          <w:sz w:val="24"/>
        </w:rPr>
        <w:t>CenturyLink’s rate of decline has exceeded this statewide trend considerably.</w:t>
      </w:r>
      <w:r w:rsidR="00257DCB">
        <w:rPr>
          <w:rStyle w:val="FootnoteReference"/>
          <w:sz w:val="24"/>
        </w:rPr>
        <w:footnoteReference w:id="20"/>
      </w:r>
      <w:r w:rsidR="00D105EA">
        <w:rPr>
          <w:sz w:val="24"/>
        </w:rPr>
        <w:t xml:space="preserve"> </w:t>
      </w:r>
    </w:p>
    <w:p w:rsidR="00923752" w:rsidRDefault="002503A4" w:rsidP="007A5BD3">
      <w:pPr>
        <w:numPr>
          <w:ilvl w:val="0"/>
          <w:numId w:val="2"/>
        </w:numPr>
        <w:spacing w:line="480" w:lineRule="auto"/>
        <w:rPr>
          <w:sz w:val="24"/>
        </w:rPr>
      </w:pPr>
      <w:r>
        <w:rPr>
          <w:sz w:val="24"/>
        </w:rPr>
        <w:lastRenderedPageBreak/>
        <w:tab/>
      </w:r>
      <w:r w:rsidR="001700D2">
        <w:rPr>
          <w:sz w:val="24"/>
        </w:rPr>
        <w:t xml:space="preserve">In the initial merger filing, CenturyLink estimated that </w:t>
      </w:r>
      <w:r w:rsidR="009D7B7D">
        <w:rPr>
          <w:sz w:val="24"/>
        </w:rPr>
        <w:t xml:space="preserve">synergies from the </w:t>
      </w:r>
      <w:r w:rsidR="001700D2">
        <w:rPr>
          <w:sz w:val="24"/>
        </w:rPr>
        <w:t xml:space="preserve">merger would yield $575 million in </w:t>
      </w:r>
      <w:r w:rsidR="009D7B7D">
        <w:rPr>
          <w:sz w:val="24"/>
        </w:rPr>
        <w:t>operating expense</w:t>
      </w:r>
      <w:r w:rsidR="001700D2">
        <w:rPr>
          <w:sz w:val="24"/>
        </w:rPr>
        <w:t xml:space="preserve"> savings.</w:t>
      </w:r>
      <w:r w:rsidR="00784959">
        <w:rPr>
          <w:sz w:val="24"/>
        </w:rPr>
        <w:t xml:space="preserve">  Washington’s share of these savings was calculated to </w:t>
      </w:r>
      <w:r w:rsidR="002C0EDB">
        <w:rPr>
          <w:sz w:val="24"/>
        </w:rPr>
        <w:t xml:space="preserve">equal </w:t>
      </w:r>
      <w:r w:rsidR="00784959">
        <w:rPr>
          <w:sz w:val="24"/>
        </w:rPr>
        <w:t>approximate</w:t>
      </w:r>
      <w:r w:rsidR="002C0EDB">
        <w:rPr>
          <w:sz w:val="24"/>
        </w:rPr>
        <w:t>ly</w:t>
      </w:r>
      <w:r w:rsidR="00784959">
        <w:rPr>
          <w:sz w:val="24"/>
        </w:rPr>
        <w:t xml:space="preserve"> $57.5 million.</w:t>
      </w:r>
      <w:r w:rsidR="002C0EDB">
        <w:rPr>
          <w:rStyle w:val="FootnoteReference"/>
          <w:sz w:val="24"/>
        </w:rPr>
        <w:footnoteReference w:id="21"/>
      </w:r>
      <w:r w:rsidR="001700D2">
        <w:rPr>
          <w:sz w:val="24"/>
        </w:rPr>
        <w:t xml:space="preserve">  Condition 4 of the Staff-Public Counsel-CenturyLink settlement agreement provides for annual reporting of synergy savings.  On </w:t>
      </w:r>
      <w:r w:rsidR="005232B1">
        <w:rPr>
          <w:sz w:val="24"/>
        </w:rPr>
        <w:t>August 24</w:t>
      </w:r>
      <w:r w:rsidR="001700D2">
        <w:rPr>
          <w:sz w:val="24"/>
        </w:rPr>
        <w:t>, 2012,</w:t>
      </w:r>
      <w:r w:rsidR="00C54FB7">
        <w:rPr>
          <w:sz w:val="24"/>
        </w:rPr>
        <w:t xml:space="preserve"> consistent with Condition 4,</w:t>
      </w:r>
      <w:r w:rsidR="001700D2">
        <w:rPr>
          <w:sz w:val="24"/>
        </w:rPr>
        <w:t xml:space="preserve"> CenturyLink filed the first synergy report.</w:t>
      </w:r>
      <w:r w:rsidR="005A5F3C">
        <w:rPr>
          <w:sz w:val="24"/>
        </w:rPr>
        <w:t xml:space="preserve">  According to the report, </w:t>
      </w:r>
      <w:r w:rsidR="002A56AA">
        <w:rPr>
          <w:sz w:val="24"/>
        </w:rPr>
        <w:t xml:space="preserve">it appears that </w:t>
      </w:r>
      <w:r w:rsidR="005A5F3C">
        <w:rPr>
          <w:sz w:val="24"/>
        </w:rPr>
        <w:t xml:space="preserve">CenturyLink </w:t>
      </w:r>
      <w:r w:rsidR="009A7C2B">
        <w:rPr>
          <w:sz w:val="24"/>
        </w:rPr>
        <w:t>is on schedule to realize</w:t>
      </w:r>
      <w:r w:rsidR="005A5F3C">
        <w:rPr>
          <w:sz w:val="24"/>
        </w:rPr>
        <w:t xml:space="preserve"> </w:t>
      </w:r>
      <w:r w:rsidR="009A7C2B">
        <w:rPr>
          <w:sz w:val="24"/>
        </w:rPr>
        <w:t>the</w:t>
      </w:r>
      <w:r w:rsidR="005A5F3C">
        <w:rPr>
          <w:sz w:val="24"/>
        </w:rPr>
        <w:t xml:space="preserve"> operating expense</w:t>
      </w:r>
      <w:r w:rsidR="00103111">
        <w:rPr>
          <w:sz w:val="24"/>
        </w:rPr>
        <w:t xml:space="preserve"> synergy</w:t>
      </w:r>
      <w:r w:rsidR="005A5F3C">
        <w:rPr>
          <w:sz w:val="24"/>
        </w:rPr>
        <w:t xml:space="preserve"> savings</w:t>
      </w:r>
      <w:r w:rsidR="009A7C2B">
        <w:rPr>
          <w:sz w:val="24"/>
        </w:rPr>
        <w:t xml:space="preserve"> it projected.</w:t>
      </w:r>
    </w:p>
    <w:p w:rsidR="007A5BD3" w:rsidRPr="00D156C6" w:rsidRDefault="002503A4" w:rsidP="00D156C6">
      <w:pPr>
        <w:numPr>
          <w:ilvl w:val="0"/>
          <w:numId w:val="2"/>
        </w:numPr>
        <w:spacing w:line="480" w:lineRule="auto"/>
        <w:rPr>
          <w:sz w:val="24"/>
        </w:rPr>
      </w:pPr>
      <w:r>
        <w:rPr>
          <w:sz w:val="24"/>
        </w:rPr>
        <w:tab/>
      </w:r>
      <w:r w:rsidR="00E00982">
        <w:rPr>
          <w:sz w:val="24"/>
        </w:rPr>
        <w:t xml:space="preserve">On November </w:t>
      </w:r>
      <w:r w:rsidR="00F4455E">
        <w:rPr>
          <w:sz w:val="24"/>
        </w:rPr>
        <w:t xml:space="preserve">8, 2012, CenturyLink filed the </w:t>
      </w:r>
      <w:r w:rsidR="00FD67A8">
        <w:rPr>
          <w:sz w:val="24"/>
        </w:rPr>
        <w:t>Petition</w:t>
      </w:r>
      <w:r w:rsidR="00F4455E">
        <w:rPr>
          <w:sz w:val="24"/>
        </w:rPr>
        <w:t xml:space="preserve"> that is the subject of this response.  The petition seeks a waiver and/or mod</w:t>
      </w:r>
      <w:r w:rsidR="0016418C">
        <w:rPr>
          <w:sz w:val="24"/>
        </w:rPr>
        <w:t>ification of Condition 3 to all</w:t>
      </w:r>
      <w:r w:rsidR="0022235B">
        <w:rPr>
          <w:sz w:val="24"/>
        </w:rPr>
        <w:t>o</w:t>
      </w:r>
      <w:r w:rsidR="00F4455E">
        <w:rPr>
          <w:sz w:val="24"/>
        </w:rPr>
        <w:t>w CenturyLink to commence an AFOR proceeding immediately.</w:t>
      </w:r>
      <w:r w:rsidR="00D156C6">
        <w:rPr>
          <w:sz w:val="24"/>
        </w:rPr>
        <w:t xml:space="preserve">  </w:t>
      </w:r>
      <w:r w:rsidR="005C32DF" w:rsidRPr="00D156C6">
        <w:rPr>
          <w:sz w:val="24"/>
        </w:rPr>
        <w:t xml:space="preserve">Staff understands the petition to address only </w:t>
      </w:r>
      <w:r w:rsidR="00D156C6">
        <w:rPr>
          <w:sz w:val="24"/>
        </w:rPr>
        <w:t xml:space="preserve">the first paragraph of Condition 3.b.; that is, </w:t>
      </w:r>
      <w:r w:rsidR="005C32DF" w:rsidRPr="00D156C6">
        <w:rPr>
          <w:sz w:val="24"/>
        </w:rPr>
        <w:t>the timing of filing the AFOR plan</w:t>
      </w:r>
      <w:r w:rsidR="00D156C6">
        <w:rPr>
          <w:sz w:val="24"/>
        </w:rPr>
        <w:t xml:space="preserve"> and </w:t>
      </w:r>
      <w:r w:rsidR="00152B0A">
        <w:rPr>
          <w:sz w:val="24"/>
        </w:rPr>
        <w:t xml:space="preserve">the requirement </w:t>
      </w:r>
      <w:r w:rsidR="00A76ADB">
        <w:rPr>
          <w:sz w:val="24"/>
        </w:rPr>
        <w:t>obligating CenturyLink to concurrently file</w:t>
      </w:r>
      <w:r w:rsidR="00152B0A">
        <w:rPr>
          <w:sz w:val="24"/>
        </w:rPr>
        <w:t xml:space="preserve"> results of operations </w:t>
      </w:r>
      <w:r w:rsidR="00131BBC">
        <w:rPr>
          <w:sz w:val="24"/>
        </w:rPr>
        <w:t>with the AFOR plan</w:t>
      </w:r>
      <w:r w:rsidR="005C32DF" w:rsidRPr="00D156C6">
        <w:rPr>
          <w:sz w:val="24"/>
        </w:rPr>
        <w:t>.</w:t>
      </w:r>
    </w:p>
    <w:p w:rsidR="007A5BD3" w:rsidRPr="007A5BD3" w:rsidRDefault="007A5BD3" w:rsidP="007A5BD3">
      <w:pPr>
        <w:spacing w:line="480" w:lineRule="auto"/>
        <w:jc w:val="center"/>
        <w:rPr>
          <w:b/>
          <w:sz w:val="24"/>
        </w:rPr>
      </w:pPr>
      <w:r>
        <w:rPr>
          <w:b/>
          <w:sz w:val="24"/>
        </w:rPr>
        <w:t>III.</w:t>
      </w:r>
      <w:r>
        <w:rPr>
          <w:b/>
          <w:sz w:val="24"/>
        </w:rPr>
        <w:tab/>
        <w:t>DISCUSSION</w:t>
      </w:r>
    </w:p>
    <w:p w:rsidR="00F01B15" w:rsidRDefault="002503A4" w:rsidP="007A5BD3">
      <w:pPr>
        <w:numPr>
          <w:ilvl w:val="0"/>
          <w:numId w:val="2"/>
        </w:numPr>
        <w:spacing w:line="480" w:lineRule="auto"/>
        <w:rPr>
          <w:sz w:val="24"/>
        </w:rPr>
      </w:pPr>
      <w:r>
        <w:rPr>
          <w:sz w:val="24"/>
        </w:rPr>
        <w:tab/>
      </w:r>
      <w:r w:rsidR="00C226E1">
        <w:rPr>
          <w:sz w:val="24"/>
        </w:rPr>
        <w:t xml:space="preserve">When Staff negotiated the settlement agreement providing for an AFOR in three to five years, Staff anticipated addressing access charges in that future AFOR.  Little did Staff know that the Commission would order access charge reductions, let alone that the FCC would issue major access charge reform </w:t>
      </w:r>
      <w:r w:rsidR="00736349">
        <w:rPr>
          <w:sz w:val="24"/>
        </w:rPr>
        <w:t xml:space="preserve">requiring further access charge reductions </w:t>
      </w:r>
      <w:r w:rsidR="00C226E1">
        <w:rPr>
          <w:sz w:val="24"/>
        </w:rPr>
        <w:t xml:space="preserve">so soon after the conclusion of the merger proceeding.  </w:t>
      </w:r>
      <w:r w:rsidR="00373FA6">
        <w:rPr>
          <w:sz w:val="24"/>
        </w:rPr>
        <w:t xml:space="preserve">Staff recognizes </w:t>
      </w:r>
      <w:r w:rsidR="004E0F37">
        <w:rPr>
          <w:sz w:val="24"/>
        </w:rPr>
        <w:t xml:space="preserve">that the CenturyLink operating companies have experienced </w:t>
      </w:r>
      <w:r w:rsidR="00373FA6">
        <w:rPr>
          <w:sz w:val="24"/>
        </w:rPr>
        <w:t xml:space="preserve">significant revenue reductions </w:t>
      </w:r>
      <w:r w:rsidR="004E0F37">
        <w:rPr>
          <w:sz w:val="24"/>
        </w:rPr>
        <w:t>in Washington.</w:t>
      </w:r>
      <w:r w:rsidR="00373FA6">
        <w:rPr>
          <w:sz w:val="24"/>
        </w:rPr>
        <w:t xml:space="preserve">  </w:t>
      </w:r>
      <w:r w:rsidR="00BB2AAB">
        <w:rPr>
          <w:sz w:val="24"/>
        </w:rPr>
        <w:t>Line loss as well as reductions in access charge rates coupled with declining minutes of use</w:t>
      </w:r>
      <w:r w:rsidR="00FF7515">
        <w:rPr>
          <w:sz w:val="24"/>
        </w:rPr>
        <w:t>,</w:t>
      </w:r>
      <w:r w:rsidR="00BB2AAB">
        <w:rPr>
          <w:sz w:val="24"/>
        </w:rPr>
        <w:t xml:space="preserve"> have the potential to eviscerate synergy savings.</w:t>
      </w:r>
      <w:r w:rsidR="007A5BD3">
        <w:rPr>
          <w:sz w:val="24"/>
        </w:rPr>
        <w:t xml:space="preserve">  </w:t>
      </w:r>
      <w:r w:rsidR="00AA20E2">
        <w:rPr>
          <w:sz w:val="24"/>
        </w:rPr>
        <w:t xml:space="preserve">Given CenturyLink’s track record in the </w:t>
      </w:r>
      <w:r w:rsidR="00724BE9">
        <w:rPr>
          <w:sz w:val="24"/>
        </w:rPr>
        <w:t>CenturyTel-</w:t>
      </w:r>
      <w:r w:rsidR="00AA20E2">
        <w:rPr>
          <w:sz w:val="24"/>
        </w:rPr>
        <w:t xml:space="preserve">Embarq merger, Staff expects synergy savings to remain on track with respect to </w:t>
      </w:r>
      <w:r w:rsidR="00AA20E2">
        <w:rPr>
          <w:sz w:val="24"/>
        </w:rPr>
        <w:lastRenderedPageBreak/>
        <w:t xml:space="preserve">projections.  </w:t>
      </w:r>
      <w:r w:rsidR="00E01FEE">
        <w:rPr>
          <w:sz w:val="24"/>
        </w:rPr>
        <w:t>T</w:t>
      </w:r>
      <w:r w:rsidR="00B7270C">
        <w:rPr>
          <w:sz w:val="24"/>
        </w:rPr>
        <w:t>he access charge revenue decline</w:t>
      </w:r>
      <w:r w:rsidR="00E01FEE">
        <w:rPr>
          <w:sz w:val="24"/>
        </w:rPr>
        <w:t xml:space="preserve">, however, is significant </w:t>
      </w:r>
      <w:r w:rsidR="00903746">
        <w:rPr>
          <w:sz w:val="24"/>
        </w:rPr>
        <w:t xml:space="preserve">to the point </w:t>
      </w:r>
      <w:r w:rsidR="00E01FEE">
        <w:rPr>
          <w:sz w:val="24"/>
        </w:rPr>
        <w:t>that it</w:t>
      </w:r>
      <w:r w:rsidR="00B7270C">
        <w:rPr>
          <w:sz w:val="24"/>
        </w:rPr>
        <w:t xml:space="preserve"> </w:t>
      </w:r>
      <w:r w:rsidR="00903746">
        <w:rPr>
          <w:sz w:val="24"/>
        </w:rPr>
        <w:t>calls into question whether</w:t>
      </w:r>
      <w:r w:rsidR="00B7270C">
        <w:rPr>
          <w:sz w:val="24"/>
        </w:rPr>
        <w:t xml:space="preserve"> synergy savings</w:t>
      </w:r>
      <w:r w:rsidR="00903746">
        <w:rPr>
          <w:sz w:val="24"/>
        </w:rPr>
        <w:t xml:space="preserve"> </w:t>
      </w:r>
      <w:r w:rsidR="00283996">
        <w:rPr>
          <w:sz w:val="24"/>
        </w:rPr>
        <w:t>actually will be available for other uses</w:t>
      </w:r>
      <w:r w:rsidR="00B7270C">
        <w:rPr>
          <w:sz w:val="24"/>
        </w:rPr>
        <w:t>.</w:t>
      </w:r>
    </w:p>
    <w:p w:rsidR="007A5BD3" w:rsidRDefault="002503A4" w:rsidP="007A5BD3">
      <w:pPr>
        <w:numPr>
          <w:ilvl w:val="0"/>
          <w:numId w:val="2"/>
        </w:numPr>
        <w:spacing w:line="480" w:lineRule="auto"/>
        <w:rPr>
          <w:sz w:val="24"/>
        </w:rPr>
      </w:pPr>
      <w:r>
        <w:rPr>
          <w:sz w:val="24"/>
        </w:rPr>
        <w:tab/>
      </w:r>
      <w:r w:rsidR="00B77E66">
        <w:rPr>
          <w:sz w:val="24"/>
        </w:rPr>
        <w:t>It appears that, following Step 2 of the FCC’s intercarrier compensation reform, intrastate a</w:t>
      </w:r>
      <w:r w:rsidR="00FF7515">
        <w:rPr>
          <w:sz w:val="24"/>
        </w:rPr>
        <w:t xml:space="preserve">ccess charge reductions </w:t>
      </w:r>
      <w:r w:rsidR="00B77E66">
        <w:rPr>
          <w:sz w:val="24"/>
        </w:rPr>
        <w:t xml:space="preserve">will be costing </w:t>
      </w:r>
      <w:r w:rsidR="00FF7515">
        <w:rPr>
          <w:sz w:val="24"/>
        </w:rPr>
        <w:t>the company approximately $</w:t>
      </w:r>
      <w:r w:rsidR="00B77E66">
        <w:rPr>
          <w:sz w:val="24"/>
        </w:rPr>
        <w:t xml:space="preserve">20 million annually in lost intrastate access revenue. </w:t>
      </w:r>
      <w:r w:rsidR="006B290A">
        <w:rPr>
          <w:sz w:val="24"/>
        </w:rPr>
        <w:t xml:space="preserve"> This number is close to half of the operating expense synergies projected for Washington.  </w:t>
      </w:r>
      <w:r w:rsidR="00CE2C07">
        <w:rPr>
          <w:sz w:val="24"/>
        </w:rPr>
        <w:t>Given that these circumstances were unforeseen at the time Staff negotiated Condition 3</w:t>
      </w:r>
      <w:r w:rsidR="00F01B15">
        <w:rPr>
          <w:sz w:val="24"/>
        </w:rPr>
        <w:t xml:space="preserve"> and that they are financially significant, </w:t>
      </w:r>
      <w:r w:rsidR="0047133A">
        <w:rPr>
          <w:sz w:val="24"/>
        </w:rPr>
        <w:t>Staff believes it is reasonable to proceed with the AFOR process with an earlier starting date than the settlement agreement provides</w:t>
      </w:r>
      <w:r w:rsidR="00736349">
        <w:rPr>
          <w:sz w:val="24"/>
        </w:rPr>
        <w:t>.</w:t>
      </w:r>
    </w:p>
    <w:p w:rsidR="00E6087B" w:rsidRDefault="002503A4" w:rsidP="007A5BD3">
      <w:pPr>
        <w:numPr>
          <w:ilvl w:val="0"/>
          <w:numId w:val="2"/>
        </w:numPr>
        <w:spacing w:line="480" w:lineRule="auto"/>
        <w:rPr>
          <w:sz w:val="24"/>
        </w:rPr>
      </w:pPr>
      <w:r>
        <w:rPr>
          <w:sz w:val="24"/>
        </w:rPr>
        <w:tab/>
      </w:r>
      <w:r w:rsidR="00A0057B">
        <w:rPr>
          <w:sz w:val="24"/>
        </w:rPr>
        <w:t>With regard to the results of operations filing described in subsection b.ii. of Condition 3, Staff does not object to removing the requirement that it be filed concurrently with the AFOR proposal.  With the decline in revenue due to the access charge reductions and competitive environment, and the resulting reduction in value of the synergy savings, CenturyLink’s intrastate results of operations may no longer prove as important an element in evaluating CenturyLink’s forthcoming AFOR proposal</w:t>
      </w:r>
      <w:r w:rsidR="009A3D00">
        <w:rPr>
          <w:sz w:val="24"/>
        </w:rPr>
        <w:t xml:space="preserve">.  </w:t>
      </w:r>
      <w:r w:rsidR="00AA7ADE">
        <w:rPr>
          <w:sz w:val="24"/>
        </w:rPr>
        <w:t>Staff does not</w:t>
      </w:r>
      <w:r w:rsidR="00B6776C">
        <w:rPr>
          <w:sz w:val="24"/>
        </w:rPr>
        <w:t>, however,</w:t>
      </w:r>
      <w:r w:rsidR="00AA7ADE">
        <w:rPr>
          <w:sz w:val="24"/>
        </w:rPr>
        <w:t xml:space="preserve"> support relieving CenturyLink of the obligation </w:t>
      </w:r>
      <w:r w:rsidR="00AB1E13">
        <w:rPr>
          <w:sz w:val="24"/>
        </w:rPr>
        <w:t xml:space="preserve">at this point </w:t>
      </w:r>
      <w:r w:rsidR="00AA7ADE">
        <w:rPr>
          <w:sz w:val="24"/>
        </w:rPr>
        <w:t xml:space="preserve">to </w:t>
      </w:r>
      <w:r w:rsidR="009A3D00">
        <w:rPr>
          <w:sz w:val="24"/>
        </w:rPr>
        <w:t xml:space="preserve">file results of operations </w:t>
      </w:r>
      <w:r w:rsidR="00E64EDF">
        <w:rPr>
          <w:sz w:val="24"/>
        </w:rPr>
        <w:t>by June 30</w:t>
      </w:r>
      <w:r w:rsidR="00AA7ADE">
        <w:rPr>
          <w:sz w:val="24"/>
        </w:rPr>
        <w:t>, 2013.</w:t>
      </w:r>
      <w:r w:rsidR="00D3187B">
        <w:rPr>
          <w:sz w:val="24"/>
        </w:rPr>
        <w:t xml:space="preserve">  Similarly, Staff does not waive its right to request that CenturyLink file resul</w:t>
      </w:r>
      <w:r w:rsidR="00E3240C">
        <w:rPr>
          <w:sz w:val="24"/>
        </w:rPr>
        <w:t xml:space="preserve">ts of operations, as contemplated in Condition 3.b.i., </w:t>
      </w:r>
      <w:r w:rsidR="00D3187B">
        <w:rPr>
          <w:sz w:val="24"/>
        </w:rPr>
        <w:t>earlier than June 30, 2013, if the company files an AFOR plan before that date.</w:t>
      </w:r>
    </w:p>
    <w:p w:rsidR="007A5BD3" w:rsidRPr="007A5BD3" w:rsidRDefault="007A5BD3" w:rsidP="007A5BD3">
      <w:pPr>
        <w:spacing w:line="480" w:lineRule="auto"/>
        <w:jc w:val="center"/>
        <w:rPr>
          <w:b/>
          <w:sz w:val="24"/>
        </w:rPr>
      </w:pPr>
      <w:r>
        <w:rPr>
          <w:b/>
          <w:sz w:val="24"/>
        </w:rPr>
        <w:t>IV.</w:t>
      </w:r>
      <w:r>
        <w:rPr>
          <w:b/>
          <w:sz w:val="24"/>
        </w:rPr>
        <w:tab/>
        <w:t>CONCLUSION</w:t>
      </w:r>
    </w:p>
    <w:p w:rsidR="005A3475" w:rsidRDefault="002503A4" w:rsidP="002503A4">
      <w:pPr>
        <w:widowControl/>
        <w:numPr>
          <w:ilvl w:val="0"/>
          <w:numId w:val="2"/>
        </w:numPr>
        <w:spacing w:line="480" w:lineRule="auto"/>
        <w:rPr>
          <w:sz w:val="24"/>
        </w:rPr>
      </w:pPr>
      <w:r>
        <w:rPr>
          <w:sz w:val="24"/>
        </w:rPr>
        <w:tab/>
      </w:r>
      <w:r w:rsidR="00852F27">
        <w:rPr>
          <w:sz w:val="24"/>
        </w:rPr>
        <w:t>Staff does not object to modifying Condition 3</w:t>
      </w:r>
      <w:r w:rsidR="00DB4934">
        <w:rPr>
          <w:sz w:val="24"/>
        </w:rPr>
        <w:t xml:space="preserve"> to </w:t>
      </w:r>
      <w:r w:rsidR="00E67571">
        <w:rPr>
          <w:sz w:val="24"/>
        </w:rPr>
        <w:t>allow</w:t>
      </w:r>
      <w:r w:rsidR="00DB4934">
        <w:rPr>
          <w:sz w:val="24"/>
        </w:rPr>
        <w:t xml:space="preserve"> CenturyLink </w:t>
      </w:r>
      <w:r w:rsidR="00E67571">
        <w:rPr>
          <w:sz w:val="24"/>
        </w:rPr>
        <w:t>to</w:t>
      </w:r>
      <w:r w:rsidR="00DB4934">
        <w:rPr>
          <w:sz w:val="24"/>
        </w:rPr>
        <w:t xml:space="preserve"> file an AFOR plan as set forth in Condition 3.b.ii. </w:t>
      </w:r>
      <w:r w:rsidR="00EA1B74">
        <w:rPr>
          <w:sz w:val="24"/>
        </w:rPr>
        <w:t xml:space="preserve">as soon as </w:t>
      </w:r>
      <w:r w:rsidR="00844D03">
        <w:rPr>
          <w:sz w:val="24"/>
        </w:rPr>
        <w:t>is practical</w:t>
      </w:r>
      <w:r w:rsidR="00E67571">
        <w:rPr>
          <w:sz w:val="24"/>
        </w:rPr>
        <w:t xml:space="preserve"> </w:t>
      </w:r>
      <w:r w:rsidR="00EA1B74">
        <w:rPr>
          <w:sz w:val="24"/>
        </w:rPr>
        <w:t>but</w:t>
      </w:r>
      <w:r w:rsidR="00E67571">
        <w:rPr>
          <w:sz w:val="24"/>
        </w:rPr>
        <w:t xml:space="preserve"> </w:t>
      </w:r>
      <w:r w:rsidR="00DB4934">
        <w:rPr>
          <w:sz w:val="24"/>
        </w:rPr>
        <w:t xml:space="preserve">no later than April 1, </w:t>
      </w:r>
      <w:r w:rsidR="00DB4934">
        <w:rPr>
          <w:sz w:val="24"/>
        </w:rPr>
        <w:lastRenderedPageBreak/>
        <w:t>2015</w:t>
      </w:r>
      <w:r w:rsidR="007A5BD3">
        <w:rPr>
          <w:sz w:val="24"/>
        </w:rPr>
        <w:t xml:space="preserve">.  </w:t>
      </w:r>
      <w:r w:rsidR="007E4DA4">
        <w:rPr>
          <w:sz w:val="24"/>
        </w:rPr>
        <w:t xml:space="preserve">In addition, Staff does not object </w:t>
      </w:r>
      <w:r w:rsidR="00A10204">
        <w:rPr>
          <w:sz w:val="24"/>
        </w:rPr>
        <w:t xml:space="preserve">to relieving CenturyLink of the obligation to file results of operations </w:t>
      </w:r>
      <w:r w:rsidR="00A10204" w:rsidRPr="00A10204">
        <w:rPr>
          <w:i/>
          <w:sz w:val="24"/>
        </w:rPr>
        <w:t>concurrently</w:t>
      </w:r>
      <w:r w:rsidR="00A10204">
        <w:rPr>
          <w:sz w:val="24"/>
        </w:rPr>
        <w:t xml:space="preserve"> with the AFOR plan.</w:t>
      </w:r>
    </w:p>
    <w:p w:rsidR="005A3475" w:rsidRDefault="005A3475" w:rsidP="005A3475">
      <w:pPr>
        <w:ind w:left="720"/>
        <w:rPr>
          <w:sz w:val="24"/>
        </w:rPr>
      </w:pPr>
      <w:r>
        <w:rPr>
          <w:sz w:val="24"/>
        </w:rPr>
        <w:t>DATED this 1</w:t>
      </w:r>
      <w:r w:rsidR="007A5BD3">
        <w:rPr>
          <w:sz w:val="24"/>
        </w:rPr>
        <w:t>6</w:t>
      </w:r>
      <w:r w:rsidR="007A5BD3" w:rsidRPr="007A5BD3">
        <w:rPr>
          <w:sz w:val="24"/>
          <w:vertAlign w:val="superscript"/>
        </w:rPr>
        <w:t>th</w:t>
      </w:r>
      <w:r w:rsidR="007A5BD3">
        <w:rPr>
          <w:sz w:val="24"/>
        </w:rPr>
        <w:t xml:space="preserve"> </w:t>
      </w:r>
      <w:r w:rsidRPr="004A2910">
        <w:rPr>
          <w:sz w:val="24"/>
        </w:rPr>
        <w:t xml:space="preserve">day of </w:t>
      </w:r>
      <w:r w:rsidR="007A5BD3">
        <w:rPr>
          <w:sz w:val="24"/>
        </w:rPr>
        <w:t>November</w:t>
      </w:r>
      <w:r w:rsidRPr="004A2910">
        <w:rPr>
          <w:sz w:val="24"/>
        </w:rPr>
        <w:t xml:space="preserve"> 20</w:t>
      </w:r>
      <w:r>
        <w:rPr>
          <w:sz w:val="24"/>
        </w:rPr>
        <w:t>12</w:t>
      </w:r>
      <w:r w:rsidRPr="004A2910">
        <w:rPr>
          <w:sz w:val="24"/>
        </w:rPr>
        <w:t>.</w:t>
      </w:r>
    </w:p>
    <w:p w:rsidR="005A3475" w:rsidRDefault="005A3475" w:rsidP="005A3475">
      <w:pPr>
        <w:ind w:left="720"/>
        <w:rPr>
          <w:sz w:val="24"/>
        </w:rPr>
      </w:pPr>
    </w:p>
    <w:p w:rsidR="005A3475" w:rsidRPr="004A2910" w:rsidRDefault="005A3475" w:rsidP="005A3475">
      <w:pPr>
        <w:ind w:left="4320"/>
        <w:rPr>
          <w:sz w:val="24"/>
        </w:rPr>
      </w:pPr>
      <w:r>
        <w:rPr>
          <w:sz w:val="24"/>
        </w:rPr>
        <w:t xml:space="preserve">Respectfully submitted, </w:t>
      </w:r>
    </w:p>
    <w:p w:rsidR="005A3475" w:rsidRPr="004A2910" w:rsidRDefault="005A3475" w:rsidP="00DD5F39">
      <w:pPr>
        <w:pStyle w:val="BodyTextIndent2"/>
        <w:rPr>
          <w:rFonts w:ascii="Times New Roman" w:hAnsi="Times New Roman"/>
        </w:rPr>
      </w:pPr>
    </w:p>
    <w:p w:rsidR="005A3475" w:rsidRPr="004A2910" w:rsidRDefault="005A3475" w:rsidP="005A3475">
      <w:pPr>
        <w:tabs>
          <w:tab w:val="left" w:pos="4590"/>
        </w:tabs>
        <w:ind w:left="4320"/>
        <w:jc w:val="both"/>
        <w:rPr>
          <w:sz w:val="24"/>
        </w:rPr>
      </w:pPr>
      <w:r w:rsidRPr="004A2910">
        <w:rPr>
          <w:sz w:val="24"/>
        </w:rPr>
        <w:t>ROB</w:t>
      </w:r>
      <w:r>
        <w:rPr>
          <w:sz w:val="24"/>
        </w:rPr>
        <w:t>ERT M.</w:t>
      </w:r>
      <w:r w:rsidRPr="004A2910">
        <w:rPr>
          <w:sz w:val="24"/>
        </w:rPr>
        <w:t xml:space="preserve"> MCKENNA</w:t>
      </w:r>
    </w:p>
    <w:p w:rsidR="005A3475" w:rsidRDefault="005A3475" w:rsidP="005A3475">
      <w:pPr>
        <w:ind w:left="4320"/>
        <w:jc w:val="both"/>
        <w:rPr>
          <w:sz w:val="24"/>
        </w:rPr>
      </w:pPr>
      <w:r w:rsidRPr="004A2910">
        <w:rPr>
          <w:sz w:val="24"/>
        </w:rPr>
        <w:t>Attorney General</w:t>
      </w:r>
    </w:p>
    <w:p w:rsidR="005A3475" w:rsidRDefault="005A3475" w:rsidP="005A3475">
      <w:pPr>
        <w:tabs>
          <w:tab w:val="left" w:pos="4590"/>
        </w:tabs>
        <w:ind w:left="4320"/>
        <w:jc w:val="both"/>
        <w:rPr>
          <w:sz w:val="24"/>
        </w:rPr>
      </w:pPr>
    </w:p>
    <w:p w:rsidR="005A3475" w:rsidRDefault="005A3475" w:rsidP="005A3475">
      <w:pPr>
        <w:tabs>
          <w:tab w:val="left" w:pos="4590"/>
        </w:tabs>
        <w:ind w:left="4320"/>
        <w:jc w:val="both"/>
        <w:rPr>
          <w:sz w:val="24"/>
        </w:rPr>
      </w:pPr>
    </w:p>
    <w:p w:rsidR="005A3475" w:rsidRPr="0079242C" w:rsidRDefault="005A3475" w:rsidP="005A3475">
      <w:pPr>
        <w:ind w:left="4320"/>
        <w:jc w:val="both"/>
        <w:rPr>
          <w:sz w:val="24"/>
        </w:rPr>
      </w:pPr>
      <w:r w:rsidRPr="0079242C">
        <w:rPr>
          <w:sz w:val="24"/>
        </w:rPr>
        <w:t>________________________________</w:t>
      </w:r>
    </w:p>
    <w:p w:rsidR="005A3475" w:rsidRPr="0079242C" w:rsidRDefault="005A3475" w:rsidP="005A3475">
      <w:pPr>
        <w:ind w:left="4320"/>
        <w:jc w:val="both"/>
        <w:rPr>
          <w:sz w:val="24"/>
        </w:rPr>
      </w:pPr>
      <w:r w:rsidRPr="0079242C">
        <w:rPr>
          <w:sz w:val="24"/>
        </w:rPr>
        <w:t>JENNIFER CAMERON-RULKOWSKI</w:t>
      </w:r>
    </w:p>
    <w:p w:rsidR="005A3475" w:rsidRPr="0079242C" w:rsidRDefault="005A3475" w:rsidP="005A3475">
      <w:pPr>
        <w:ind w:left="4320"/>
        <w:jc w:val="both"/>
        <w:rPr>
          <w:sz w:val="24"/>
        </w:rPr>
      </w:pPr>
      <w:r w:rsidRPr="0079242C">
        <w:rPr>
          <w:sz w:val="24"/>
        </w:rPr>
        <w:t>Assistant Attorney General</w:t>
      </w:r>
    </w:p>
    <w:p w:rsidR="005A3475" w:rsidRPr="0079242C" w:rsidRDefault="005A3475" w:rsidP="005A3475">
      <w:pPr>
        <w:ind w:left="4320"/>
        <w:jc w:val="both"/>
        <w:rPr>
          <w:sz w:val="24"/>
        </w:rPr>
      </w:pPr>
      <w:r w:rsidRPr="0079242C">
        <w:rPr>
          <w:sz w:val="24"/>
        </w:rPr>
        <w:t xml:space="preserve">Counsel for </w:t>
      </w:r>
      <w:smartTag w:uri="urn:schemas-microsoft-com:office:smarttags" w:element="place">
        <w:smartTag w:uri="urn:schemas-microsoft-com:office:smarttags" w:element="PostalCode">
          <w:r w:rsidRPr="0079242C">
            <w:rPr>
              <w:sz w:val="24"/>
            </w:rPr>
            <w:t>Washington</w:t>
          </w:r>
        </w:smartTag>
      </w:smartTag>
      <w:r w:rsidRPr="0079242C">
        <w:rPr>
          <w:sz w:val="24"/>
        </w:rPr>
        <w:t xml:space="preserve"> Utilities and</w:t>
      </w:r>
    </w:p>
    <w:p w:rsidR="005A3475" w:rsidRPr="004A2910" w:rsidRDefault="005A3475" w:rsidP="005A3475">
      <w:pPr>
        <w:tabs>
          <w:tab w:val="left" w:pos="4590"/>
        </w:tabs>
        <w:ind w:left="4320"/>
        <w:jc w:val="both"/>
        <w:rPr>
          <w:sz w:val="24"/>
        </w:rPr>
      </w:pPr>
      <w:r w:rsidRPr="0079242C">
        <w:rPr>
          <w:sz w:val="24"/>
        </w:rPr>
        <w:t>Transportation Commission Staff</w:t>
      </w:r>
    </w:p>
    <w:sectPr w:rsidR="005A3475" w:rsidRPr="004A2910" w:rsidSect="00F748D8">
      <w:footerReference w:type="default" r:id="rId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6A4" w:rsidRDefault="005736A4">
      <w:r>
        <w:separator/>
      </w:r>
    </w:p>
  </w:endnote>
  <w:endnote w:type="continuationSeparator" w:id="0">
    <w:p w:rsidR="005736A4" w:rsidRDefault="0057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3A4" w:rsidRDefault="002503A4" w:rsidP="000C6FF7">
    <w:pPr>
      <w:pStyle w:val="Footer"/>
    </w:pPr>
  </w:p>
  <w:p w:rsidR="005736A4" w:rsidRDefault="005736A4" w:rsidP="000C6FF7">
    <w:pPr>
      <w:pStyle w:val="Footer"/>
    </w:pPr>
    <w:r>
      <w:t xml:space="preserve">STAFF’S RESPONSE TO CENTURYLINK’S </w:t>
    </w:r>
  </w:p>
  <w:p w:rsidR="005736A4" w:rsidRPr="00737B08" w:rsidRDefault="005736A4" w:rsidP="000C6FF7">
    <w:pPr>
      <w:pStyle w:val="Footer"/>
    </w:pPr>
    <w:r>
      <w:t xml:space="preserve">PETITION REGARDING AFOR CONDITIONS </w:t>
    </w:r>
    <w:r w:rsidRPr="00737B08">
      <w:t xml:space="preserve">-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7748FE">
      <w:rPr>
        <w:rStyle w:val="PageNumber"/>
        <w:noProof/>
      </w:rPr>
      <w:t>1</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6A4" w:rsidRDefault="005736A4">
      <w:r>
        <w:separator/>
      </w:r>
    </w:p>
  </w:footnote>
  <w:footnote w:type="continuationSeparator" w:id="0">
    <w:p w:rsidR="005736A4" w:rsidRDefault="005736A4">
      <w:r>
        <w:continuationSeparator/>
      </w:r>
    </w:p>
  </w:footnote>
  <w:footnote w:id="1">
    <w:p w:rsidR="005736A4" w:rsidRDefault="005736A4" w:rsidP="006152DE">
      <w:pPr>
        <w:pStyle w:val="FootnoteText"/>
      </w:pPr>
      <w:r>
        <w:rPr>
          <w:rStyle w:val="FootnoteReference"/>
        </w:rPr>
        <w:footnoteRef/>
      </w:r>
      <w:r>
        <w:t xml:space="preserve"> See RCW 80.36.135.</w:t>
      </w:r>
    </w:p>
  </w:footnote>
  <w:footnote w:id="2">
    <w:p w:rsidR="005736A4" w:rsidRDefault="005736A4">
      <w:pPr>
        <w:pStyle w:val="FootnoteText"/>
      </w:pPr>
      <w:r>
        <w:rPr>
          <w:rStyle w:val="FootnoteReference"/>
        </w:rPr>
        <w:footnoteRef/>
      </w:r>
      <w:r>
        <w:t xml:space="preserve"> Condition 3.b.</w:t>
      </w:r>
    </w:p>
  </w:footnote>
  <w:footnote w:id="3">
    <w:p w:rsidR="005736A4" w:rsidRDefault="005736A4" w:rsidP="00D42B52">
      <w:pPr>
        <w:pStyle w:val="Header"/>
        <w:tabs>
          <w:tab w:val="clear" w:pos="4320"/>
          <w:tab w:val="clear" w:pos="8640"/>
        </w:tabs>
      </w:pPr>
      <w:r>
        <w:rPr>
          <w:rStyle w:val="FootnoteReference"/>
        </w:rPr>
        <w:footnoteRef/>
      </w:r>
      <w:r>
        <w:t xml:space="preserve"> </w:t>
      </w:r>
      <w:r w:rsidRPr="00D42B52">
        <w:rPr>
          <w:szCs w:val="20"/>
        </w:rPr>
        <w:t>Joint Testimony of CenturyLink, Inc., Qwest Corporation, Commission Staff and Public Counsel</w:t>
      </w:r>
      <w:r>
        <w:t xml:space="preserve"> 10:17-20 (</w:t>
      </w:r>
      <w:r>
        <w:rPr>
          <w:szCs w:val="20"/>
        </w:rPr>
        <w:t>f</w:t>
      </w:r>
      <w:r>
        <w:t xml:space="preserve">iled Dec. 29, 2010). </w:t>
      </w:r>
    </w:p>
  </w:footnote>
  <w:footnote w:id="4">
    <w:p w:rsidR="005736A4" w:rsidRDefault="005736A4" w:rsidP="00860CFF">
      <w:pPr>
        <w:pStyle w:val="FootnoteText"/>
      </w:pPr>
      <w:r>
        <w:rPr>
          <w:rStyle w:val="FootnoteReference"/>
        </w:rPr>
        <w:footnoteRef/>
      </w:r>
      <w:r>
        <w:t xml:space="preserve"> Other AFOR-related conditions of the Staff-Public Counsel-CenturyLink settlement:</w:t>
      </w:r>
    </w:p>
    <w:p w:rsidR="005736A4" w:rsidRDefault="005736A4" w:rsidP="00860CFF">
      <w:pPr>
        <w:pStyle w:val="FootnoteText"/>
        <w:numPr>
          <w:ilvl w:val="0"/>
          <w:numId w:val="7"/>
        </w:numPr>
      </w:pPr>
      <w:r w:rsidRPr="00860CFF">
        <w:t xml:space="preserve">Condition 1 provides for semi-annual financial reporting until such time as the </w:t>
      </w:r>
      <w:r>
        <w:t>AFOR proceeding has concluded.</w:t>
      </w:r>
    </w:p>
    <w:p w:rsidR="005736A4" w:rsidRDefault="005736A4" w:rsidP="00860CFF">
      <w:pPr>
        <w:pStyle w:val="FootnoteText"/>
        <w:numPr>
          <w:ilvl w:val="0"/>
          <w:numId w:val="7"/>
        </w:numPr>
      </w:pPr>
      <w:r w:rsidRPr="00860CFF">
        <w:t xml:space="preserve">Condition 13 obligates CenturyLink to annually report certain capital expenditures as well as projections for such expenditures until the AFOR proceeding </w:t>
      </w:r>
      <w:r>
        <w:t>has concluded.</w:t>
      </w:r>
    </w:p>
    <w:p w:rsidR="005736A4" w:rsidRDefault="005736A4" w:rsidP="00860CFF">
      <w:pPr>
        <w:pStyle w:val="FootnoteText"/>
        <w:numPr>
          <w:ilvl w:val="0"/>
          <w:numId w:val="7"/>
        </w:numPr>
      </w:pPr>
      <w:r w:rsidRPr="00860CFF">
        <w:t xml:space="preserve">Condition 15 requires CenturyLink to continue offering </w:t>
      </w:r>
      <w:r w:rsidR="007748FE" w:rsidRPr="00860CFF">
        <w:t>stand-alone</w:t>
      </w:r>
      <w:r w:rsidRPr="00860CFF">
        <w:t xml:space="preserve"> (or nearly </w:t>
      </w:r>
      <w:r w:rsidR="007748FE" w:rsidRPr="00860CFF">
        <w:t>stand-alone</w:t>
      </w:r>
      <w:r w:rsidRPr="00860CFF">
        <w:t>) DSL until an</w:t>
      </w:r>
      <w:r>
        <w:t xml:space="preserve"> AFOR proceeding has concluded.</w:t>
      </w:r>
    </w:p>
    <w:p w:rsidR="005736A4" w:rsidRDefault="005736A4" w:rsidP="00860CFF">
      <w:pPr>
        <w:pStyle w:val="FootnoteText"/>
        <w:numPr>
          <w:ilvl w:val="0"/>
          <w:numId w:val="7"/>
        </w:numPr>
      </w:pPr>
      <w:r w:rsidRPr="00860CFF">
        <w:t>Condition 16 provides for an out of service credit and certain modifications to the service guarantee program adopted in the CenturyTel/Embarq merger, which are to remain in effect until the AFOR proceeding concludes</w:t>
      </w:r>
      <w:r>
        <w:t>.</w:t>
      </w:r>
    </w:p>
    <w:p w:rsidR="005736A4" w:rsidRDefault="005736A4" w:rsidP="00860CFF">
      <w:pPr>
        <w:pStyle w:val="FootnoteText"/>
        <w:numPr>
          <w:ilvl w:val="0"/>
          <w:numId w:val="7"/>
        </w:numPr>
      </w:pPr>
      <w:r w:rsidRPr="00860CFF">
        <w:t>Condition 17 obligates CenturyLink to continue certain monthly service quality reporting until the conclusion of the AFOR proceedings.</w:t>
      </w:r>
    </w:p>
    <w:p w:rsidR="005736A4" w:rsidRDefault="005736A4" w:rsidP="00860CFF">
      <w:pPr>
        <w:pStyle w:val="FootnoteText"/>
        <w:numPr>
          <w:ilvl w:val="0"/>
          <w:numId w:val="7"/>
        </w:numPr>
      </w:pPr>
      <w:r w:rsidRPr="00860CFF">
        <w:t>Condition 20 prohibits CenturyLink from filing tariff revisions increasing the stand alone flat rated residential or business line rates until an AFOR has been approved.</w:t>
      </w:r>
    </w:p>
    <w:p w:rsidR="005736A4" w:rsidRDefault="005736A4" w:rsidP="00860CFF">
      <w:pPr>
        <w:pStyle w:val="FootnoteText"/>
        <w:numPr>
          <w:ilvl w:val="0"/>
          <w:numId w:val="7"/>
        </w:numPr>
      </w:pPr>
      <w:r w:rsidRPr="00860CFF">
        <w:t>Condition 24 requires CenturyLink to provide Staff and Public Counsel advanced notice of the rearrangement of major network components up until the AFOR proceeding has concluded.</w:t>
      </w:r>
    </w:p>
  </w:footnote>
  <w:footnote w:id="5">
    <w:p w:rsidR="005736A4" w:rsidRDefault="005736A4">
      <w:pPr>
        <w:pStyle w:val="FootnoteText"/>
      </w:pPr>
      <w:r>
        <w:rPr>
          <w:rStyle w:val="FootnoteReference"/>
        </w:rPr>
        <w:footnoteRef/>
      </w:r>
      <w:r>
        <w:t xml:space="preserve"> Order 14 at ¶ 266, p. 132.</w:t>
      </w:r>
    </w:p>
  </w:footnote>
  <w:footnote w:id="6">
    <w:p w:rsidR="005736A4" w:rsidRDefault="005736A4">
      <w:pPr>
        <w:pStyle w:val="FootnoteText"/>
      </w:pPr>
      <w:r>
        <w:rPr>
          <w:rStyle w:val="FootnoteReference"/>
        </w:rPr>
        <w:footnoteRef/>
      </w:r>
      <w:r>
        <w:t xml:space="preserve"> Order 14 at ¶ 218, p. 110.  Note that, by letter of October 19, 2012, CenturyLink reported to the Commission that it had realized all of the projected synergies and completed all substantive integration activities associated with the CenturyTel/Embarq merger and does not anticipate having further synergy information to report.</w:t>
      </w:r>
    </w:p>
  </w:footnote>
  <w:footnote w:id="7">
    <w:p w:rsidR="005736A4" w:rsidRDefault="005736A4">
      <w:pPr>
        <w:pStyle w:val="FootnoteText"/>
      </w:pPr>
      <w:r>
        <w:rPr>
          <w:rStyle w:val="FootnoteReference"/>
        </w:rPr>
        <w:footnoteRef/>
      </w:r>
      <w:r>
        <w:t xml:space="preserve"> Order 14 at ¶ 266, p. 132.</w:t>
      </w:r>
    </w:p>
  </w:footnote>
  <w:footnote w:id="8">
    <w:p w:rsidR="005736A4" w:rsidRDefault="005736A4">
      <w:pPr>
        <w:pStyle w:val="FootnoteText"/>
      </w:pPr>
      <w:r>
        <w:rPr>
          <w:rStyle w:val="FootnoteReference"/>
        </w:rPr>
        <w:footnoteRef/>
      </w:r>
      <w:r>
        <w:t xml:space="preserve"> Appleby, Exh. No. JAA-1CT 32:10-14; Exh. No. JAA-3C; Order 14 at Note 475, p. 116.</w:t>
      </w:r>
    </w:p>
  </w:footnote>
  <w:footnote w:id="9">
    <w:p w:rsidR="005736A4" w:rsidRDefault="005736A4">
      <w:pPr>
        <w:pStyle w:val="FootnoteText"/>
      </w:pPr>
      <w:r>
        <w:rPr>
          <w:rStyle w:val="FootnoteReference"/>
        </w:rPr>
        <w:footnoteRef/>
      </w:r>
      <w:r>
        <w:t xml:space="preserve"> </w:t>
      </w:r>
      <w:r w:rsidRPr="008B35B6">
        <w:rPr>
          <w:i/>
        </w:rPr>
        <w:t>CenturyLink v. WUTC</w:t>
      </w:r>
      <w:r w:rsidRPr="008B35B6">
        <w:t xml:space="preserve">, </w:t>
      </w:r>
      <w:r>
        <w:t xml:space="preserve">U.S. District Court for the Western District of Washington </w:t>
      </w:r>
      <w:r w:rsidRPr="008B35B6">
        <w:t>No. 2:11-cv-00633, Plaintiff’s Opening Brief on the Merits</w:t>
      </w:r>
      <w:r>
        <w:t xml:space="preserve"> 11:35-37 (“The effect of this ruling [in Order 14] is to eliminate revenues estimated at $12 million annually”) (filed July 14, 2011)</w:t>
      </w:r>
      <w:r w:rsidRPr="003B7963">
        <w:t>.</w:t>
      </w:r>
    </w:p>
  </w:footnote>
  <w:footnote w:id="10">
    <w:p w:rsidR="005736A4" w:rsidRDefault="005736A4">
      <w:pPr>
        <w:pStyle w:val="FootnoteText"/>
      </w:pPr>
      <w:r>
        <w:rPr>
          <w:rStyle w:val="FootnoteReference"/>
        </w:rPr>
        <w:footnoteRef/>
      </w:r>
      <w:r>
        <w:t xml:space="preserve"> </w:t>
      </w:r>
      <w:r w:rsidRPr="00050EAE">
        <w:t>The tariff sheets filed on April 29, 2011, in Advice Nos. 11-12A and 11-13A, were permitted to become effective as filed with an effective date of May 29, 2011, per the Commission’s May 26, 2011, open meeting and compliance letter.</w:t>
      </w:r>
    </w:p>
  </w:footnote>
  <w:footnote w:id="11">
    <w:p w:rsidR="005736A4" w:rsidRDefault="005736A4" w:rsidP="00CF1245">
      <w:pPr>
        <w:pStyle w:val="FootnoteText"/>
      </w:pPr>
      <w:r>
        <w:rPr>
          <w:rStyle w:val="FootnoteReference"/>
        </w:rPr>
        <w:footnoteRef/>
      </w:r>
      <w:r>
        <w:t xml:space="preserve"> </w:t>
      </w:r>
      <w:r w:rsidRPr="00CF1245">
        <w:rPr>
          <w:i/>
        </w:rPr>
        <w:t>In the Matter of Connect America Fund, et al,</w:t>
      </w:r>
      <w:r>
        <w:t xml:space="preserve"> FCC 11-161, </w:t>
      </w:r>
      <w:r w:rsidRPr="005C73D5">
        <w:t>R</w:t>
      </w:r>
      <w:r>
        <w:t>eport and Order and Further Notice of Proposed Rulemaking (adopted Oct. 27, 2011, and released Nov. 18, 2011) (“USF and ICC Reform Order”).</w:t>
      </w:r>
    </w:p>
  </w:footnote>
  <w:footnote w:id="12">
    <w:p w:rsidR="005736A4" w:rsidRPr="00D32C81" w:rsidRDefault="005736A4">
      <w:pPr>
        <w:pStyle w:val="FootnoteText"/>
      </w:pPr>
      <w:r>
        <w:rPr>
          <w:rStyle w:val="FootnoteReference"/>
        </w:rPr>
        <w:footnoteRef/>
      </w:r>
      <w:r>
        <w:t xml:space="preserve"> </w:t>
      </w:r>
      <w:r>
        <w:rPr>
          <w:i/>
        </w:rPr>
        <w:t>Id.</w:t>
      </w:r>
      <w:r>
        <w:t xml:space="preserve"> at ¶ 35, p. 15; at ¶ 801, Figure 9, p. 271 (ICC Reform Timeline).  Note that the companies are regulated as “price cap” companies at the federal level.</w:t>
      </w:r>
    </w:p>
  </w:footnote>
  <w:footnote w:id="13">
    <w:p w:rsidR="005736A4" w:rsidRPr="00ED0AED" w:rsidRDefault="005736A4">
      <w:pPr>
        <w:pStyle w:val="FootnoteText"/>
      </w:pPr>
      <w:r>
        <w:rPr>
          <w:rStyle w:val="FootnoteReference"/>
        </w:rPr>
        <w:footnoteRef/>
      </w:r>
      <w:r>
        <w:t xml:space="preserve"> </w:t>
      </w:r>
      <w:r>
        <w:rPr>
          <w:i/>
        </w:rPr>
        <w:t>Id.</w:t>
      </w:r>
      <w:r>
        <w:t xml:space="preserve"> at ¶ 801, Figure 9, p. 272.</w:t>
      </w:r>
    </w:p>
  </w:footnote>
  <w:footnote w:id="14">
    <w:p w:rsidR="005736A4" w:rsidRDefault="005736A4">
      <w:pPr>
        <w:pStyle w:val="FootnoteText"/>
      </w:pPr>
      <w:r>
        <w:rPr>
          <w:rStyle w:val="FootnoteReference"/>
        </w:rPr>
        <w:footnoteRef/>
      </w:r>
      <w:r>
        <w:t xml:space="preserve"> Docket UT-120753 (Qwest), UT-120754 (United Telephone), and UT-120755 (CenturyTel of Washington</w:t>
      </w:r>
      <w:r w:rsidR="007748FE">
        <w:t>, CenturyTel</w:t>
      </w:r>
      <w:r>
        <w:t xml:space="preserve"> of Inter Island, and CenturyTel of Cowiche).</w:t>
      </w:r>
    </w:p>
  </w:footnote>
  <w:footnote w:id="15">
    <w:p w:rsidR="005736A4" w:rsidRDefault="005736A4">
      <w:pPr>
        <w:pStyle w:val="FootnoteText"/>
      </w:pPr>
      <w:r>
        <w:rPr>
          <w:rStyle w:val="FootnoteReference"/>
        </w:rPr>
        <w:footnoteRef/>
      </w:r>
      <w:r>
        <w:t xml:space="preserve"> See redacted confidential worksheets (filed with the Records Center but not posted to the Records Management System online ) reflecting access revenue decline over a one-year period as a result of step one access charge adjustments, as follows: Qwest: ($3,856, 526); United Telephone: ($219, 634); CTL of Washington: ($298,081); CTL of Inter Island: ($30,416); and CTL of Cowiche: ($3,676).</w:t>
      </w:r>
    </w:p>
  </w:footnote>
  <w:footnote w:id="16">
    <w:p w:rsidR="005736A4" w:rsidRPr="00E80452" w:rsidRDefault="005736A4" w:rsidP="00D105EA">
      <w:pPr>
        <w:pStyle w:val="FootnoteText"/>
      </w:pPr>
      <w:r>
        <w:rPr>
          <w:rStyle w:val="FootnoteReference"/>
        </w:rPr>
        <w:footnoteRef/>
      </w:r>
      <w:r>
        <w:t xml:space="preserve"> </w:t>
      </w:r>
      <w:r>
        <w:rPr>
          <w:i/>
        </w:rPr>
        <w:t>See</w:t>
      </w:r>
      <w:r>
        <w:t xml:space="preserve"> ETC Certification Reports, due annually by July 31, for 2009 through 2012 (e.g., United Telephone: UT-121268), using working loops from the relevant NECA-1 forms as a surrogate for access lines.</w:t>
      </w:r>
    </w:p>
  </w:footnote>
  <w:footnote w:id="17">
    <w:p w:rsidR="005736A4" w:rsidRDefault="005736A4" w:rsidP="00D105EA">
      <w:pPr>
        <w:pStyle w:val="FootnoteText"/>
      </w:pPr>
      <w:r>
        <w:rPr>
          <w:rStyle w:val="FootnoteReference"/>
        </w:rPr>
        <w:footnoteRef/>
      </w:r>
      <w:r>
        <w:t xml:space="preserve"> Petition at ¶ 11, p. 4 (Between December 2001 and December 2011, CenturyLink retail access lines in Washington declined 56%).</w:t>
      </w:r>
    </w:p>
  </w:footnote>
  <w:footnote w:id="18">
    <w:p w:rsidR="005736A4" w:rsidRDefault="005736A4" w:rsidP="00D105EA">
      <w:pPr>
        <w:pStyle w:val="FootnoteText"/>
      </w:pPr>
      <w:r>
        <w:rPr>
          <w:rStyle w:val="FootnoteReference"/>
        </w:rPr>
        <w:footnoteRef/>
      </w:r>
      <w:r>
        <w:t xml:space="preserve"> </w:t>
      </w:r>
      <w:r w:rsidRPr="00AB7140">
        <w:rPr>
          <w:i/>
        </w:rPr>
        <w:t>See</w:t>
      </w:r>
      <w:r>
        <w:t xml:space="preserve"> </w:t>
      </w:r>
      <w:hyperlink r:id="rId1" w:history="1">
        <w:r w:rsidRPr="007E49DA">
          <w:t>WECA 2010 annual report</w:t>
        </w:r>
      </w:hyperlink>
      <w:r>
        <w:t xml:space="preserve"> at </w:t>
      </w:r>
      <w:r w:rsidRPr="005736A4">
        <w:t>p. 8, filed August 6, 2012, in Docket UT-121117</w:t>
      </w:r>
      <w:r>
        <w:t xml:space="preserve"> (table showing statewide intrastate long distance minutes of use declined from 2001 to 2010 by 56.75%).</w:t>
      </w:r>
    </w:p>
  </w:footnote>
  <w:footnote w:id="19">
    <w:p w:rsidR="0003265F" w:rsidRDefault="0003265F">
      <w:pPr>
        <w:pStyle w:val="FootnoteText"/>
      </w:pPr>
      <w:r>
        <w:rPr>
          <w:rStyle w:val="FootnoteReference"/>
        </w:rPr>
        <w:footnoteRef/>
      </w:r>
      <w:r>
        <w:t xml:space="preserve"> Comparison of</w:t>
      </w:r>
      <w:r w:rsidRPr="0003265F">
        <w:t xml:space="preserve"> 2008 USF (statewide) minutes of use </w:t>
      </w:r>
      <w:r>
        <w:t>from WECA 2010 annual report (</w:t>
      </w:r>
      <w:r>
        <w:rPr>
          <w:i/>
        </w:rPr>
        <w:t>id.</w:t>
      </w:r>
      <w:r w:rsidRPr="0003265F">
        <w:t>)with the 2011 minutes of use from the July 2, 2012, redacted submission in the same docket (UT-121117), Attachment 4, at page 5, line 9.</w:t>
      </w:r>
    </w:p>
  </w:footnote>
  <w:footnote w:id="20">
    <w:p w:rsidR="005736A4" w:rsidRDefault="005736A4">
      <w:pPr>
        <w:pStyle w:val="FootnoteText"/>
      </w:pPr>
      <w:r>
        <w:rPr>
          <w:rStyle w:val="FootnoteReference"/>
        </w:rPr>
        <w:footnoteRef/>
      </w:r>
      <w:r>
        <w:t xml:space="preserve"> See annual Washington intrastate access charge reports (e.g., United Telephone: UT-121167), filed pursuant to WAC 480-120-399 (each Class A company must provide annually the actual demand units for the previous calendar year for each switched access tariff rate element it has on file with the commission).</w:t>
      </w:r>
    </w:p>
  </w:footnote>
  <w:footnote w:id="21">
    <w:p w:rsidR="005736A4" w:rsidRDefault="005736A4">
      <w:pPr>
        <w:pStyle w:val="FootnoteText"/>
      </w:pPr>
      <w:r>
        <w:rPr>
          <w:rStyle w:val="FootnoteReference"/>
        </w:rPr>
        <w:footnoteRef/>
      </w:r>
      <w:r>
        <w:t xml:space="preserve"> Order 14 at note 476, pp. 116-17.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42FE"/>
    <w:multiLevelType w:val="hybridMultilevel"/>
    <w:tmpl w:val="AA8C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47D15"/>
    <w:multiLevelType w:val="hybridMultilevel"/>
    <w:tmpl w:val="8BCEE7FC"/>
    <w:lvl w:ilvl="0" w:tplc="1350667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444567"/>
    <w:multiLevelType w:val="hybridMultilevel"/>
    <w:tmpl w:val="987AFF14"/>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9D55D3"/>
    <w:multiLevelType w:val="hybridMultilevel"/>
    <w:tmpl w:val="7ACA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44167"/>
    <w:multiLevelType w:val="hybridMultilevel"/>
    <w:tmpl w:val="C9F0A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48D8"/>
    <w:rsid w:val="00002CF7"/>
    <w:rsid w:val="0000417E"/>
    <w:rsid w:val="00005514"/>
    <w:rsid w:val="00025DB8"/>
    <w:rsid w:val="000323D8"/>
    <w:rsid w:val="00032488"/>
    <w:rsid w:val="0003265F"/>
    <w:rsid w:val="00033339"/>
    <w:rsid w:val="00033665"/>
    <w:rsid w:val="00033C1E"/>
    <w:rsid w:val="000403E2"/>
    <w:rsid w:val="00040922"/>
    <w:rsid w:val="0004450D"/>
    <w:rsid w:val="000453F6"/>
    <w:rsid w:val="000455B1"/>
    <w:rsid w:val="00046468"/>
    <w:rsid w:val="00046C30"/>
    <w:rsid w:val="000476D8"/>
    <w:rsid w:val="0005068B"/>
    <w:rsid w:val="00050EAE"/>
    <w:rsid w:val="0005263F"/>
    <w:rsid w:val="000570C6"/>
    <w:rsid w:val="00064E2C"/>
    <w:rsid w:val="000665B6"/>
    <w:rsid w:val="00067322"/>
    <w:rsid w:val="0007215D"/>
    <w:rsid w:val="00072910"/>
    <w:rsid w:val="00076FAE"/>
    <w:rsid w:val="00080B78"/>
    <w:rsid w:val="00082F59"/>
    <w:rsid w:val="0008447B"/>
    <w:rsid w:val="0009192E"/>
    <w:rsid w:val="00091BF8"/>
    <w:rsid w:val="000926C0"/>
    <w:rsid w:val="00093C80"/>
    <w:rsid w:val="00097FAA"/>
    <w:rsid w:val="000A160B"/>
    <w:rsid w:val="000A17BA"/>
    <w:rsid w:val="000A1A3E"/>
    <w:rsid w:val="000A1C9D"/>
    <w:rsid w:val="000A20EF"/>
    <w:rsid w:val="000A559A"/>
    <w:rsid w:val="000B1CB3"/>
    <w:rsid w:val="000B258B"/>
    <w:rsid w:val="000B5B4A"/>
    <w:rsid w:val="000C29C2"/>
    <w:rsid w:val="000C6FF7"/>
    <w:rsid w:val="000D0E39"/>
    <w:rsid w:val="000D292A"/>
    <w:rsid w:val="000E0876"/>
    <w:rsid w:val="000E1517"/>
    <w:rsid w:val="000E1A2D"/>
    <w:rsid w:val="000E2EB9"/>
    <w:rsid w:val="000E5E27"/>
    <w:rsid w:val="000E64FA"/>
    <w:rsid w:val="000F1D07"/>
    <w:rsid w:val="000F2058"/>
    <w:rsid w:val="000F5997"/>
    <w:rsid w:val="000F6975"/>
    <w:rsid w:val="00103111"/>
    <w:rsid w:val="00105B8D"/>
    <w:rsid w:val="00111890"/>
    <w:rsid w:val="00116545"/>
    <w:rsid w:val="00116C6A"/>
    <w:rsid w:val="00117A54"/>
    <w:rsid w:val="00117D50"/>
    <w:rsid w:val="00122712"/>
    <w:rsid w:val="00126884"/>
    <w:rsid w:val="00131BBC"/>
    <w:rsid w:val="0013523C"/>
    <w:rsid w:val="00135377"/>
    <w:rsid w:val="00136389"/>
    <w:rsid w:val="00140D67"/>
    <w:rsid w:val="00142E7F"/>
    <w:rsid w:val="00143B7D"/>
    <w:rsid w:val="00144EA9"/>
    <w:rsid w:val="0015253E"/>
    <w:rsid w:val="00152B0A"/>
    <w:rsid w:val="001536FE"/>
    <w:rsid w:val="001631B7"/>
    <w:rsid w:val="00163AF3"/>
    <w:rsid w:val="0016418C"/>
    <w:rsid w:val="00165DA2"/>
    <w:rsid w:val="001700D2"/>
    <w:rsid w:val="00171223"/>
    <w:rsid w:val="0017175F"/>
    <w:rsid w:val="00175B70"/>
    <w:rsid w:val="00176C40"/>
    <w:rsid w:val="00183C6E"/>
    <w:rsid w:val="00186A1F"/>
    <w:rsid w:val="00190255"/>
    <w:rsid w:val="00190C02"/>
    <w:rsid w:val="0019173E"/>
    <w:rsid w:val="0019482F"/>
    <w:rsid w:val="00196B16"/>
    <w:rsid w:val="00197569"/>
    <w:rsid w:val="001A2B00"/>
    <w:rsid w:val="001A37A4"/>
    <w:rsid w:val="001A3E51"/>
    <w:rsid w:val="001A5318"/>
    <w:rsid w:val="001B1A46"/>
    <w:rsid w:val="001B1ED8"/>
    <w:rsid w:val="001B37AE"/>
    <w:rsid w:val="001B6706"/>
    <w:rsid w:val="001B6E63"/>
    <w:rsid w:val="001C273C"/>
    <w:rsid w:val="001C3DA5"/>
    <w:rsid w:val="001C4BDA"/>
    <w:rsid w:val="001D01BF"/>
    <w:rsid w:val="001D1B74"/>
    <w:rsid w:val="001D2A16"/>
    <w:rsid w:val="001D758E"/>
    <w:rsid w:val="001D7BAC"/>
    <w:rsid w:val="001E374E"/>
    <w:rsid w:val="001E406A"/>
    <w:rsid w:val="001E60F0"/>
    <w:rsid w:val="001E7618"/>
    <w:rsid w:val="001F0CF5"/>
    <w:rsid w:val="001F514F"/>
    <w:rsid w:val="001F5295"/>
    <w:rsid w:val="00204608"/>
    <w:rsid w:val="00207430"/>
    <w:rsid w:val="00211A16"/>
    <w:rsid w:val="002149C7"/>
    <w:rsid w:val="00220069"/>
    <w:rsid w:val="00220BCD"/>
    <w:rsid w:val="0022235B"/>
    <w:rsid w:val="00226895"/>
    <w:rsid w:val="0023683B"/>
    <w:rsid w:val="002411DD"/>
    <w:rsid w:val="00242A2D"/>
    <w:rsid w:val="002440DF"/>
    <w:rsid w:val="00244B62"/>
    <w:rsid w:val="002503A4"/>
    <w:rsid w:val="00253701"/>
    <w:rsid w:val="00255923"/>
    <w:rsid w:val="00257DCB"/>
    <w:rsid w:val="00266C0E"/>
    <w:rsid w:val="002806EA"/>
    <w:rsid w:val="00283996"/>
    <w:rsid w:val="00284ADB"/>
    <w:rsid w:val="002874C5"/>
    <w:rsid w:val="00290991"/>
    <w:rsid w:val="00295292"/>
    <w:rsid w:val="002977E5"/>
    <w:rsid w:val="002A0D52"/>
    <w:rsid w:val="002A203D"/>
    <w:rsid w:val="002A56AA"/>
    <w:rsid w:val="002A6EE8"/>
    <w:rsid w:val="002B10D3"/>
    <w:rsid w:val="002B3278"/>
    <w:rsid w:val="002B62A4"/>
    <w:rsid w:val="002C0EDB"/>
    <w:rsid w:val="002C1AB0"/>
    <w:rsid w:val="002D0B9F"/>
    <w:rsid w:val="002D3E2A"/>
    <w:rsid w:val="002D42F9"/>
    <w:rsid w:val="002D705D"/>
    <w:rsid w:val="002E0A2C"/>
    <w:rsid w:val="002E2281"/>
    <w:rsid w:val="002E5A86"/>
    <w:rsid w:val="002E69F1"/>
    <w:rsid w:val="002F076C"/>
    <w:rsid w:val="002F5E74"/>
    <w:rsid w:val="00301085"/>
    <w:rsid w:val="003021EB"/>
    <w:rsid w:val="00305867"/>
    <w:rsid w:val="00312E42"/>
    <w:rsid w:val="00313A1B"/>
    <w:rsid w:val="00321655"/>
    <w:rsid w:val="003218EC"/>
    <w:rsid w:val="00321904"/>
    <w:rsid w:val="00322060"/>
    <w:rsid w:val="00334EF6"/>
    <w:rsid w:val="00335A86"/>
    <w:rsid w:val="003403A2"/>
    <w:rsid w:val="003426C5"/>
    <w:rsid w:val="00343BDB"/>
    <w:rsid w:val="00343FDF"/>
    <w:rsid w:val="00344B4C"/>
    <w:rsid w:val="00350756"/>
    <w:rsid w:val="003549CB"/>
    <w:rsid w:val="00356374"/>
    <w:rsid w:val="00357B5E"/>
    <w:rsid w:val="00364CF2"/>
    <w:rsid w:val="00365010"/>
    <w:rsid w:val="0037081A"/>
    <w:rsid w:val="00373F97"/>
    <w:rsid w:val="00373FA6"/>
    <w:rsid w:val="00375EA5"/>
    <w:rsid w:val="00380B46"/>
    <w:rsid w:val="003817EE"/>
    <w:rsid w:val="003818BB"/>
    <w:rsid w:val="003837CB"/>
    <w:rsid w:val="00383A72"/>
    <w:rsid w:val="00386FE9"/>
    <w:rsid w:val="003872AB"/>
    <w:rsid w:val="003918E5"/>
    <w:rsid w:val="00396DE5"/>
    <w:rsid w:val="003A4FF1"/>
    <w:rsid w:val="003A5F91"/>
    <w:rsid w:val="003A69E1"/>
    <w:rsid w:val="003A7970"/>
    <w:rsid w:val="003B1598"/>
    <w:rsid w:val="003B5533"/>
    <w:rsid w:val="003B7963"/>
    <w:rsid w:val="003C37A0"/>
    <w:rsid w:val="003C473B"/>
    <w:rsid w:val="003C5390"/>
    <w:rsid w:val="003C5AE4"/>
    <w:rsid w:val="003C6676"/>
    <w:rsid w:val="003C6A82"/>
    <w:rsid w:val="003D33C8"/>
    <w:rsid w:val="003E1424"/>
    <w:rsid w:val="003E161E"/>
    <w:rsid w:val="003E23B6"/>
    <w:rsid w:val="003E3B7E"/>
    <w:rsid w:val="003E6AA5"/>
    <w:rsid w:val="003F1945"/>
    <w:rsid w:val="003F453F"/>
    <w:rsid w:val="003F704F"/>
    <w:rsid w:val="00405476"/>
    <w:rsid w:val="00412D5E"/>
    <w:rsid w:val="004174CE"/>
    <w:rsid w:val="00420F5F"/>
    <w:rsid w:val="00421227"/>
    <w:rsid w:val="0042216F"/>
    <w:rsid w:val="0042581D"/>
    <w:rsid w:val="004271F6"/>
    <w:rsid w:val="00430A9A"/>
    <w:rsid w:val="00432AD1"/>
    <w:rsid w:val="00433261"/>
    <w:rsid w:val="0045057E"/>
    <w:rsid w:val="0045170B"/>
    <w:rsid w:val="0045323D"/>
    <w:rsid w:val="004568F8"/>
    <w:rsid w:val="00464F6B"/>
    <w:rsid w:val="00470A3A"/>
    <w:rsid w:val="0047133A"/>
    <w:rsid w:val="004726E5"/>
    <w:rsid w:val="004728A8"/>
    <w:rsid w:val="004748D6"/>
    <w:rsid w:val="00474DDC"/>
    <w:rsid w:val="00486219"/>
    <w:rsid w:val="00487D58"/>
    <w:rsid w:val="00492B02"/>
    <w:rsid w:val="00495187"/>
    <w:rsid w:val="00497322"/>
    <w:rsid w:val="004A4F64"/>
    <w:rsid w:val="004A6C8C"/>
    <w:rsid w:val="004B0C9C"/>
    <w:rsid w:val="004B1070"/>
    <w:rsid w:val="004B3A57"/>
    <w:rsid w:val="004B429F"/>
    <w:rsid w:val="004B791A"/>
    <w:rsid w:val="004C2425"/>
    <w:rsid w:val="004C2E0C"/>
    <w:rsid w:val="004C3D65"/>
    <w:rsid w:val="004C3EA6"/>
    <w:rsid w:val="004D05A6"/>
    <w:rsid w:val="004D101D"/>
    <w:rsid w:val="004D19F8"/>
    <w:rsid w:val="004E0F37"/>
    <w:rsid w:val="004E1FD2"/>
    <w:rsid w:val="004E332B"/>
    <w:rsid w:val="004E5AC7"/>
    <w:rsid w:val="004F028E"/>
    <w:rsid w:val="004F1CB7"/>
    <w:rsid w:val="004F4DB8"/>
    <w:rsid w:val="004F69A5"/>
    <w:rsid w:val="00501FFC"/>
    <w:rsid w:val="00505D37"/>
    <w:rsid w:val="0050660B"/>
    <w:rsid w:val="00506A34"/>
    <w:rsid w:val="00506BEF"/>
    <w:rsid w:val="005114B0"/>
    <w:rsid w:val="00515F19"/>
    <w:rsid w:val="00521176"/>
    <w:rsid w:val="00522054"/>
    <w:rsid w:val="00522435"/>
    <w:rsid w:val="005232B1"/>
    <w:rsid w:val="00524066"/>
    <w:rsid w:val="00531192"/>
    <w:rsid w:val="00532A6F"/>
    <w:rsid w:val="00533D28"/>
    <w:rsid w:val="005370D7"/>
    <w:rsid w:val="005478AD"/>
    <w:rsid w:val="005510F8"/>
    <w:rsid w:val="00554DEA"/>
    <w:rsid w:val="00557EE8"/>
    <w:rsid w:val="00560B07"/>
    <w:rsid w:val="00561BD9"/>
    <w:rsid w:val="005623B5"/>
    <w:rsid w:val="00562CD8"/>
    <w:rsid w:val="0056712A"/>
    <w:rsid w:val="005736A4"/>
    <w:rsid w:val="005740C1"/>
    <w:rsid w:val="005743C1"/>
    <w:rsid w:val="00576ED7"/>
    <w:rsid w:val="005849B7"/>
    <w:rsid w:val="00587D33"/>
    <w:rsid w:val="00587F99"/>
    <w:rsid w:val="00595C2B"/>
    <w:rsid w:val="00595D41"/>
    <w:rsid w:val="005A030B"/>
    <w:rsid w:val="005A0778"/>
    <w:rsid w:val="005A3475"/>
    <w:rsid w:val="005A5F3C"/>
    <w:rsid w:val="005A73E8"/>
    <w:rsid w:val="005B0924"/>
    <w:rsid w:val="005B0DF4"/>
    <w:rsid w:val="005B2671"/>
    <w:rsid w:val="005B3160"/>
    <w:rsid w:val="005B4C37"/>
    <w:rsid w:val="005B5073"/>
    <w:rsid w:val="005C32DF"/>
    <w:rsid w:val="005C3C3C"/>
    <w:rsid w:val="005C73D5"/>
    <w:rsid w:val="005D2C4F"/>
    <w:rsid w:val="005E07C2"/>
    <w:rsid w:val="005E13F5"/>
    <w:rsid w:val="005E1FD6"/>
    <w:rsid w:val="005E3CB8"/>
    <w:rsid w:val="005E6FE3"/>
    <w:rsid w:val="005E714E"/>
    <w:rsid w:val="005F5528"/>
    <w:rsid w:val="006030F8"/>
    <w:rsid w:val="0060395C"/>
    <w:rsid w:val="0060675D"/>
    <w:rsid w:val="006106BF"/>
    <w:rsid w:val="00613B54"/>
    <w:rsid w:val="006152DE"/>
    <w:rsid w:val="00622E1C"/>
    <w:rsid w:val="0062591A"/>
    <w:rsid w:val="0063008D"/>
    <w:rsid w:val="006313B3"/>
    <w:rsid w:val="00637DF8"/>
    <w:rsid w:val="00641F98"/>
    <w:rsid w:val="00644A63"/>
    <w:rsid w:val="0064783C"/>
    <w:rsid w:val="0065561B"/>
    <w:rsid w:val="006730D5"/>
    <w:rsid w:val="006755C2"/>
    <w:rsid w:val="00675E2A"/>
    <w:rsid w:val="006805F7"/>
    <w:rsid w:val="00681549"/>
    <w:rsid w:val="00685B87"/>
    <w:rsid w:val="0068619F"/>
    <w:rsid w:val="00686882"/>
    <w:rsid w:val="00687809"/>
    <w:rsid w:val="006A01DA"/>
    <w:rsid w:val="006A721B"/>
    <w:rsid w:val="006B0FDF"/>
    <w:rsid w:val="006B2669"/>
    <w:rsid w:val="006B290A"/>
    <w:rsid w:val="006B508D"/>
    <w:rsid w:val="006C286A"/>
    <w:rsid w:val="006D18ED"/>
    <w:rsid w:val="006D70EF"/>
    <w:rsid w:val="006E719E"/>
    <w:rsid w:val="006F349F"/>
    <w:rsid w:val="00700B32"/>
    <w:rsid w:val="00705489"/>
    <w:rsid w:val="0070578A"/>
    <w:rsid w:val="00705798"/>
    <w:rsid w:val="00707002"/>
    <w:rsid w:val="00707B40"/>
    <w:rsid w:val="00712987"/>
    <w:rsid w:val="007178DA"/>
    <w:rsid w:val="00717F74"/>
    <w:rsid w:val="00721D55"/>
    <w:rsid w:val="00724BE9"/>
    <w:rsid w:val="007267A9"/>
    <w:rsid w:val="00730518"/>
    <w:rsid w:val="0073235E"/>
    <w:rsid w:val="007325D3"/>
    <w:rsid w:val="00733258"/>
    <w:rsid w:val="00734084"/>
    <w:rsid w:val="00736349"/>
    <w:rsid w:val="00737B08"/>
    <w:rsid w:val="007408A4"/>
    <w:rsid w:val="00743007"/>
    <w:rsid w:val="007464F1"/>
    <w:rsid w:val="0074686C"/>
    <w:rsid w:val="00750A95"/>
    <w:rsid w:val="00751768"/>
    <w:rsid w:val="00754B48"/>
    <w:rsid w:val="00755B99"/>
    <w:rsid w:val="00761A2A"/>
    <w:rsid w:val="0076528E"/>
    <w:rsid w:val="00766984"/>
    <w:rsid w:val="0076699B"/>
    <w:rsid w:val="00770F4C"/>
    <w:rsid w:val="007715DA"/>
    <w:rsid w:val="007748FE"/>
    <w:rsid w:val="00775015"/>
    <w:rsid w:val="0077631B"/>
    <w:rsid w:val="00784959"/>
    <w:rsid w:val="0078726F"/>
    <w:rsid w:val="007912D7"/>
    <w:rsid w:val="0079242C"/>
    <w:rsid w:val="0079279B"/>
    <w:rsid w:val="0079327B"/>
    <w:rsid w:val="00794F54"/>
    <w:rsid w:val="007A5BD3"/>
    <w:rsid w:val="007A5C3F"/>
    <w:rsid w:val="007A7759"/>
    <w:rsid w:val="007B14B7"/>
    <w:rsid w:val="007B7429"/>
    <w:rsid w:val="007C1BA6"/>
    <w:rsid w:val="007C1E35"/>
    <w:rsid w:val="007D486B"/>
    <w:rsid w:val="007D6271"/>
    <w:rsid w:val="007E49DA"/>
    <w:rsid w:val="007E4DA4"/>
    <w:rsid w:val="007F064B"/>
    <w:rsid w:val="007F088B"/>
    <w:rsid w:val="007F0EDA"/>
    <w:rsid w:val="007F279C"/>
    <w:rsid w:val="007F5472"/>
    <w:rsid w:val="007F6EEA"/>
    <w:rsid w:val="00801978"/>
    <w:rsid w:val="008079E9"/>
    <w:rsid w:val="00814682"/>
    <w:rsid w:val="00820A6E"/>
    <w:rsid w:val="00821D82"/>
    <w:rsid w:val="00822214"/>
    <w:rsid w:val="0082712D"/>
    <w:rsid w:val="0082793F"/>
    <w:rsid w:val="008306C1"/>
    <w:rsid w:val="00833B10"/>
    <w:rsid w:val="008429F1"/>
    <w:rsid w:val="008442DC"/>
    <w:rsid w:val="008448EB"/>
    <w:rsid w:val="00844D03"/>
    <w:rsid w:val="00852F27"/>
    <w:rsid w:val="00853A21"/>
    <w:rsid w:val="00860580"/>
    <w:rsid w:val="00860CFF"/>
    <w:rsid w:val="00864973"/>
    <w:rsid w:val="00864A39"/>
    <w:rsid w:val="0087225C"/>
    <w:rsid w:val="00876F97"/>
    <w:rsid w:val="00884319"/>
    <w:rsid w:val="00884595"/>
    <w:rsid w:val="008848E3"/>
    <w:rsid w:val="0089062F"/>
    <w:rsid w:val="0089128A"/>
    <w:rsid w:val="00896A62"/>
    <w:rsid w:val="008A0031"/>
    <w:rsid w:val="008A257C"/>
    <w:rsid w:val="008A495C"/>
    <w:rsid w:val="008A7488"/>
    <w:rsid w:val="008B1E5E"/>
    <w:rsid w:val="008B35B6"/>
    <w:rsid w:val="008B5E20"/>
    <w:rsid w:val="008C3ACC"/>
    <w:rsid w:val="008C7A45"/>
    <w:rsid w:val="008D28D0"/>
    <w:rsid w:val="008D345A"/>
    <w:rsid w:val="008D4C4A"/>
    <w:rsid w:val="008D7835"/>
    <w:rsid w:val="008D7A01"/>
    <w:rsid w:val="008E4C87"/>
    <w:rsid w:val="008E78AB"/>
    <w:rsid w:val="008F01EC"/>
    <w:rsid w:val="008F09E5"/>
    <w:rsid w:val="008F15C1"/>
    <w:rsid w:val="008F26CA"/>
    <w:rsid w:val="008F6B16"/>
    <w:rsid w:val="008F6E39"/>
    <w:rsid w:val="008F73B8"/>
    <w:rsid w:val="009009DB"/>
    <w:rsid w:val="00902388"/>
    <w:rsid w:val="00903746"/>
    <w:rsid w:val="00910532"/>
    <w:rsid w:val="009115F3"/>
    <w:rsid w:val="00913468"/>
    <w:rsid w:val="00920F85"/>
    <w:rsid w:val="00922D5A"/>
    <w:rsid w:val="009235FF"/>
    <w:rsid w:val="00923752"/>
    <w:rsid w:val="009239AE"/>
    <w:rsid w:val="00926B05"/>
    <w:rsid w:val="009278D7"/>
    <w:rsid w:val="00930B3A"/>
    <w:rsid w:val="009334BC"/>
    <w:rsid w:val="00934764"/>
    <w:rsid w:val="00940406"/>
    <w:rsid w:val="009405A0"/>
    <w:rsid w:val="00941EDA"/>
    <w:rsid w:val="00945288"/>
    <w:rsid w:val="00951944"/>
    <w:rsid w:val="00951DE5"/>
    <w:rsid w:val="0095218F"/>
    <w:rsid w:val="00952C2E"/>
    <w:rsid w:val="0095333D"/>
    <w:rsid w:val="00955030"/>
    <w:rsid w:val="009551E9"/>
    <w:rsid w:val="009633BC"/>
    <w:rsid w:val="00967F2B"/>
    <w:rsid w:val="00972AAF"/>
    <w:rsid w:val="00972E68"/>
    <w:rsid w:val="00973E22"/>
    <w:rsid w:val="00975FEB"/>
    <w:rsid w:val="00976CDD"/>
    <w:rsid w:val="009770CD"/>
    <w:rsid w:val="00980949"/>
    <w:rsid w:val="00981CB9"/>
    <w:rsid w:val="00981F95"/>
    <w:rsid w:val="00983972"/>
    <w:rsid w:val="00991CE6"/>
    <w:rsid w:val="00992B0F"/>
    <w:rsid w:val="00992C91"/>
    <w:rsid w:val="009952CE"/>
    <w:rsid w:val="009A15CC"/>
    <w:rsid w:val="009A3D00"/>
    <w:rsid w:val="009A4E98"/>
    <w:rsid w:val="009A6318"/>
    <w:rsid w:val="009A65CD"/>
    <w:rsid w:val="009A7C2B"/>
    <w:rsid w:val="009B11CD"/>
    <w:rsid w:val="009B338C"/>
    <w:rsid w:val="009C2DB0"/>
    <w:rsid w:val="009C3A20"/>
    <w:rsid w:val="009C6AD9"/>
    <w:rsid w:val="009C7324"/>
    <w:rsid w:val="009D1E72"/>
    <w:rsid w:val="009D52DC"/>
    <w:rsid w:val="009D6057"/>
    <w:rsid w:val="009D7B7D"/>
    <w:rsid w:val="009E1B6F"/>
    <w:rsid w:val="009E4102"/>
    <w:rsid w:val="009F0DDF"/>
    <w:rsid w:val="009F4B2D"/>
    <w:rsid w:val="009F58E3"/>
    <w:rsid w:val="009F6583"/>
    <w:rsid w:val="00A0057B"/>
    <w:rsid w:val="00A008DF"/>
    <w:rsid w:val="00A00CC9"/>
    <w:rsid w:val="00A042D5"/>
    <w:rsid w:val="00A10204"/>
    <w:rsid w:val="00A12E26"/>
    <w:rsid w:val="00A15170"/>
    <w:rsid w:val="00A201EB"/>
    <w:rsid w:val="00A203F7"/>
    <w:rsid w:val="00A21960"/>
    <w:rsid w:val="00A2577D"/>
    <w:rsid w:val="00A26E55"/>
    <w:rsid w:val="00A27ED6"/>
    <w:rsid w:val="00A3166B"/>
    <w:rsid w:val="00A32D3F"/>
    <w:rsid w:val="00A34030"/>
    <w:rsid w:val="00A369EE"/>
    <w:rsid w:val="00A42BCD"/>
    <w:rsid w:val="00A45A68"/>
    <w:rsid w:val="00A51032"/>
    <w:rsid w:val="00A51E88"/>
    <w:rsid w:val="00A52EF4"/>
    <w:rsid w:val="00A531E6"/>
    <w:rsid w:val="00A54D42"/>
    <w:rsid w:val="00A5634C"/>
    <w:rsid w:val="00A56D01"/>
    <w:rsid w:val="00A62AAE"/>
    <w:rsid w:val="00A66B69"/>
    <w:rsid w:val="00A71FBC"/>
    <w:rsid w:val="00A7227C"/>
    <w:rsid w:val="00A73C74"/>
    <w:rsid w:val="00A769BE"/>
    <w:rsid w:val="00A76ADB"/>
    <w:rsid w:val="00A80028"/>
    <w:rsid w:val="00A840E7"/>
    <w:rsid w:val="00A84BF5"/>
    <w:rsid w:val="00A85078"/>
    <w:rsid w:val="00A86115"/>
    <w:rsid w:val="00A918DE"/>
    <w:rsid w:val="00A92C00"/>
    <w:rsid w:val="00A9766B"/>
    <w:rsid w:val="00AA1F8A"/>
    <w:rsid w:val="00AA2056"/>
    <w:rsid w:val="00AA20E2"/>
    <w:rsid w:val="00AA2F39"/>
    <w:rsid w:val="00AA4538"/>
    <w:rsid w:val="00AA4564"/>
    <w:rsid w:val="00AA6A48"/>
    <w:rsid w:val="00AA7ADE"/>
    <w:rsid w:val="00AB05AE"/>
    <w:rsid w:val="00AB1E13"/>
    <w:rsid w:val="00AB3647"/>
    <w:rsid w:val="00AB43F2"/>
    <w:rsid w:val="00AB7140"/>
    <w:rsid w:val="00AC376E"/>
    <w:rsid w:val="00AC3B53"/>
    <w:rsid w:val="00AC7C62"/>
    <w:rsid w:val="00AD0A57"/>
    <w:rsid w:val="00AD56D8"/>
    <w:rsid w:val="00AD57B6"/>
    <w:rsid w:val="00AD63D5"/>
    <w:rsid w:val="00AE1D1F"/>
    <w:rsid w:val="00AE3E25"/>
    <w:rsid w:val="00AE6C4C"/>
    <w:rsid w:val="00AE753F"/>
    <w:rsid w:val="00AF27A2"/>
    <w:rsid w:val="00B01726"/>
    <w:rsid w:val="00B04B58"/>
    <w:rsid w:val="00B1201C"/>
    <w:rsid w:val="00B211D5"/>
    <w:rsid w:val="00B22720"/>
    <w:rsid w:val="00B23C75"/>
    <w:rsid w:val="00B3143A"/>
    <w:rsid w:val="00B35CA9"/>
    <w:rsid w:val="00B43065"/>
    <w:rsid w:val="00B46F82"/>
    <w:rsid w:val="00B51A52"/>
    <w:rsid w:val="00B55505"/>
    <w:rsid w:val="00B63975"/>
    <w:rsid w:val="00B6446C"/>
    <w:rsid w:val="00B654C7"/>
    <w:rsid w:val="00B6776C"/>
    <w:rsid w:val="00B67D2C"/>
    <w:rsid w:val="00B720C6"/>
    <w:rsid w:val="00B7270C"/>
    <w:rsid w:val="00B73973"/>
    <w:rsid w:val="00B73BF3"/>
    <w:rsid w:val="00B77E66"/>
    <w:rsid w:val="00B82AFA"/>
    <w:rsid w:val="00B8422A"/>
    <w:rsid w:val="00B9157B"/>
    <w:rsid w:val="00B93B8F"/>
    <w:rsid w:val="00BA421A"/>
    <w:rsid w:val="00BA55AB"/>
    <w:rsid w:val="00BB1014"/>
    <w:rsid w:val="00BB1178"/>
    <w:rsid w:val="00BB2AAB"/>
    <w:rsid w:val="00BB3BA0"/>
    <w:rsid w:val="00BB538E"/>
    <w:rsid w:val="00BC25D0"/>
    <w:rsid w:val="00BC7078"/>
    <w:rsid w:val="00BC7CC8"/>
    <w:rsid w:val="00BD237A"/>
    <w:rsid w:val="00BD69C6"/>
    <w:rsid w:val="00BE24BA"/>
    <w:rsid w:val="00BE4EF6"/>
    <w:rsid w:val="00BE554D"/>
    <w:rsid w:val="00BF1C08"/>
    <w:rsid w:val="00BF1C20"/>
    <w:rsid w:val="00BF3CD1"/>
    <w:rsid w:val="00C03C06"/>
    <w:rsid w:val="00C10FCF"/>
    <w:rsid w:val="00C21D5E"/>
    <w:rsid w:val="00C226E1"/>
    <w:rsid w:val="00C246A8"/>
    <w:rsid w:val="00C27A38"/>
    <w:rsid w:val="00C27B96"/>
    <w:rsid w:val="00C30C63"/>
    <w:rsid w:val="00C3205A"/>
    <w:rsid w:val="00C32B8D"/>
    <w:rsid w:val="00C32DE2"/>
    <w:rsid w:val="00C346DD"/>
    <w:rsid w:val="00C360A4"/>
    <w:rsid w:val="00C42B65"/>
    <w:rsid w:val="00C42D4C"/>
    <w:rsid w:val="00C516DA"/>
    <w:rsid w:val="00C5399F"/>
    <w:rsid w:val="00C5478B"/>
    <w:rsid w:val="00C54AA2"/>
    <w:rsid w:val="00C54FB7"/>
    <w:rsid w:val="00C73781"/>
    <w:rsid w:val="00C74059"/>
    <w:rsid w:val="00C7648B"/>
    <w:rsid w:val="00C82D67"/>
    <w:rsid w:val="00C84F73"/>
    <w:rsid w:val="00C877B8"/>
    <w:rsid w:val="00C904FF"/>
    <w:rsid w:val="00C94A32"/>
    <w:rsid w:val="00CA09A3"/>
    <w:rsid w:val="00CA3B60"/>
    <w:rsid w:val="00CA53CA"/>
    <w:rsid w:val="00CA5C09"/>
    <w:rsid w:val="00CA5C36"/>
    <w:rsid w:val="00CA6286"/>
    <w:rsid w:val="00CA636D"/>
    <w:rsid w:val="00CB20C4"/>
    <w:rsid w:val="00CB7424"/>
    <w:rsid w:val="00CB791C"/>
    <w:rsid w:val="00CD16D9"/>
    <w:rsid w:val="00CD494F"/>
    <w:rsid w:val="00CD5C12"/>
    <w:rsid w:val="00CD68AA"/>
    <w:rsid w:val="00CD6CC5"/>
    <w:rsid w:val="00CD6DC3"/>
    <w:rsid w:val="00CE2C07"/>
    <w:rsid w:val="00CF1245"/>
    <w:rsid w:val="00D01CD4"/>
    <w:rsid w:val="00D02B70"/>
    <w:rsid w:val="00D105EA"/>
    <w:rsid w:val="00D156C6"/>
    <w:rsid w:val="00D15B31"/>
    <w:rsid w:val="00D22816"/>
    <w:rsid w:val="00D239D4"/>
    <w:rsid w:val="00D258D1"/>
    <w:rsid w:val="00D3187B"/>
    <w:rsid w:val="00D32C81"/>
    <w:rsid w:val="00D33BC7"/>
    <w:rsid w:val="00D340CA"/>
    <w:rsid w:val="00D34EE0"/>
    <w:rsid w:val="00D37EFC"/>
    <w:rsid w:val="00D42B52"/>
    <w:rsid w:val="00D563A8"/>
    <w:rsid w:val="00D653E0"/>
    <w:rsid w:val="00D66414"/>
    <w:rsid w:val="00D71EFD"/>
    <w:rsid w:val="00D77E8E"/>
    <w:rsid w:val="00D819D9"/>
    <w:rsid w:val="00D9298B"/>
    <w:rsid w:val="00DA0B1B"/>
    <w:rsid w:val="00DA492F"/>
    <w:rsid w:val="00DB0538"/>
    <w:rsid w:val="00DB12C4"/>
    <w:rsid w:val="00DB14ED"/>
    <w:rsid w:val="00DB1802"/>
    <w:rsid w:val="00DB36BB"/>
    <w:rsid w:val="00DB44D4"/>
    <w:rsid w:val="00DB4934"/>
    <w:rsid w:val="00DB6FB4"/>
    <w:rsid w:val="00DB7F09"/>
    <w:rsid w:val="00DC0E28"/>
    <w:rsid w:val="00DC1E35"/>
    <w:rsid w:val="00DC2317"/>
    <w:rsid w:val="00DC32F5"/>
    <w:rsid w:val="00DC3CB2"/>
    <w:rsid w:val="00DC6E20"/>
    <w:rsid w:val="00DD0CE2"/>
    <w:rsid w:val="00DD1AB3"/>
    <w:rsid w:val="00DD2C88"/>
    <w:rsid w:val="00DD330E"/>
    <w:rsid w:val="00DD5F39"/>
    <w:rsid w:val="00DD75AA"/>
    <w:rsid w:val="00DE2201"/>
    <w:rsid w:val="00DE3D51"/>
    <w:rsid w:val="00DE567E"/>
    <w:rsid w:val="00DF1FE1"/>
    <w:rsid w:val="00DF226E"/>
    <w:rsid w:val="00DF3335"/>
    <w:rsid w:val="00E00982"/>
    <w:rsid w:val="00E0154C"/>
    <w:rsid w:val="00E01FEE"/>
    <w:rsid w:val="00E04FBA"/>
    <w:rsid w:val="00E10873"/>
    <w:rsid w:val="00E1299C"/>
    <w:rsid w:val="00E14F07"/>
    <w:rsid w:val="00E245AE"/>
    <w:rsid w:val="00E25A86"/>
    <w:rsid w:val="00E276DA"/>
    <w:rsid w:val="00E3240C"/>
    <w:rsid w:val="00E3311B"/>
    <w:rsid w:val="00E54982"/>
    <w:rsid w:val="00E54BE1"/>
    <w:rsid w:val="00E6087B"/>
    <w:rsid w:val="00E60BB1"/>
    <w:rsid w:val="00E64D59"/>
    <w:rsid w:val="00E64EDF"/>
    <w:rsid w:val="00E6637C"/>
    <w:rsid w:val="00E6667D"/>
    <w:rsid w:val="00E670A3"/>
    <w:rsid w:val="00E67571"/>
    <w:rsid w:val="00E7055C"/>
    <w:rsid w:val="00E80452"/>
    <w:rsid w:val="00E8082C"/>
    <w:rsid w:val="00E81E21"/>
    <w:rsid w:val="00E8633F"/>
    <w:rsid w:val="00E86552"/>
    <w:rsid w:val="00E90A5E"/>
    <w:rsid w:val="00E90D7F"/>
    <w:rsid w:val="00E91740"/>
    <w:rsid w:val="00E96962"/>
    <w:rsid w:val="00E97A2B"/>
    <w:rsid w:val="00EA1B74"/>
    <w:rsid w:val="00EA4D6F"/>
    <w:rsid w:val="00EA72FB"/>
    <w:rsid w:val="00EB3841"/>
    <w:rsid w:val="00EB6011"/>
    <w:rsid w:val="00EC1A6A"/>
    <w:rsid w:val="00EC754C"/>
    <w:rsid w:val="00ED0AED"/>
    <w:rsid w:val="00ED2E54"/>
    <w:rsid w:val="00ED2F67"/>
    <w:rsid w:val="00ED5CF4"/>
    <w:rsid w:val="00EE265C"/>
    <w:rsid w:val="00EE41CC"/>
    <w:rsid w:val="00EE4489"/>
    <w:rsid w:val="00EE4757"/>
    <w:rsid w:val="00EE4D5B"/>
    <w:rsid w:val="00EE5D6E"/>
    <w:rsid w:val="00EE7885"/>
    <w:rsid w:val="00EF12E3"/>
    <w:rsid w:val="00EF4771"/>
    <w:rsid w:val="00EF50C5"/>
    <w:rsid w:val="00F01B15"/>
    <w:rsid w:val="00F053D0"/>
    <w:rsid w:val="00F06110"/>
    <w:rsid w:val="00F11500"/>
    <w:rsid w:val="00F12927"/>
    <w:rsid w:val="00F16AF4"/>
    <w:rsid w:val="00F17AF4"/>
    <w:rsid w:val="00F25657"/>
    <w:rsid w:val="00F26275"/>
    <w:rsid w:val="00F26A94"/>
    <w:rsid w:val="00F32711"/>
    <w:rsid w:val="00F3501F"/>
    <w:rsid w:val="00F4455E"/>
    <w:rsid w:val="00F44F7D"/>
    <w:rsid w:val="00F4696B"/>
    <w:rsid w:val="00F521E6"/>
    <w:rsid w:val="00F5255D"/>
    <w:rsid w:val="00F57EB2"/>
    <w:rsid w:val="00F70010"/>
    <w:rsid w:val="00F717DF"/>
    <w:rsid w:val="00F73D74"/>
    <w:rsid w:val="00F741F8"/>
    <w:rsid w:val="00F7431C"/>
    <w:rsid w:val="00F748D8"/>
    <w:rsid w:val="00F77C60"/>
    <w:rsid w:val="00F90DDB"/>
    <w:rsid w:val="00F9108D"/>
    <w:rsid w:val="00F92419"/>
    <w:rsid w:val="00FA032B"/>
    <w:rsid w:val="00FA210C"/>
    <w:rsid w:val="00FB019E"/>
    <w:rsid w:val="00FB12BA"/>
    <w:rsid w:val="00FB38E5"/>
    <w:rsid w:val="00FD4777"/>
    <w:rsid w:val="00FD52BD"/>
    <w:rsid w:val="00FD60B1"/>
    <w:rsid w:val="00FD6159"/>
    <w:rsid w:val="00FD67A8"/>
    <w:rsid w:val="00FD7BD5"/>
    <w:rsid w:val="00FE097F"/>
    <w:rsid w:val="00FE215A"/>
    <w:rsid w:val="00FE2BD2"/>
    <w:rsid w:val="00FE5615"/>
    <w:rsid w:val="00FF3389"/>
    <w:rsid w:val="00FF421E"/>
    <w:rsid w:val="00FF4A6E"/>
    <w:rsid w:val="00FF550D"/>
    <w:rsid w:val="00FF74AE"/>
    <w:rsid w:val="00FF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semiHidden/>
    <w:rsid w:val="00F748D8"/>
    <w:rPr>
      <w:vertAlign w:val="superscript"/>
    </w:rPr>
  </w:style>
  <w:style w:type="paragraph" w:styleId="Header">
    <w:name w:val="header"/>
    <w:basedOn w:val="Normal"/>
    <w:link w:val="HeaderChar"/>
    <w:uiPriority w:val="99"/>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customStyle="1" w:styleId="FootnoteTextChar">
    <w:name w:val="Footnote Text Char"/>
    <w:basedOn w:val="DefaultParagraphFont"/>
    <w:link w:val="FootnoteText"/>
    <w:uiPriority w:val="99"/>
    <w:semiHidden/>
    <w:rsid w:val="00EE4489"/>
  </w:style>
  <w:style w:type="table" w:styleId="TableGrid">
    <w:name w:val="Table Grid"/>
    <w:basedOn w:val="TableNormal"/>
    <w:rsid w:val="00933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0E28"/>
    <w:rPr>
      <w:color w:val="0000FF"/>
      <w:u w:val="single"/>
    </w:rPr>
  </w:style>
  <w:style w:type="paragraph" w:styleId="ListParagraph">
    <w:name w:val="List Paragraph"/>
    <w:basedOn w:val="Normal"/>
    <w:uiPriority w:val="34"/>
    <w:qFormat/>
    <w:rsid w:val="00E25A86"/>
    <w:pPr>
      <w:widowControl/>
      <w:autoSpaceDE/>
      <w:autoSpaceDN/>
      <w:adjustRightInd/>
      <w:ind w:left="720"/>
      <w:contextualSpacing/>
    </w:pPr>
    <w:rPr>
      <w:rFonts w:eastAsia="Calibri"/>
      <w:sz w:val="24"/>
      <w:szCs w:val="22"/>
    </w:rPr>
  </w:style>
  <w:style w:type="character" w:styleId="CommentReference">
    <w:name w:val="annotation reference"/>
    <w:rsid w:val="00F57EB2"/>
    <w:rPr>
      <w:sz w:val="16"/>
      <w:szCs w:val="16"/>
    </w:rPr>
  </w:style>
  <w:style w:type="paragraph" w:styleId="CommentText">
    <w:name w:val="annotation text"/>
    <w:basedOn w:val="Normal"/>
    <w:link w:val="CommentTextChar"/>
    <w:rsid w:val="00F57EB2"/>
    <w:rPr>
      <w:szCs w:val="20"/>
    </w:rPr>
  </w:style>
  <w:style w:type="character" w:customStyle="1" w:styleId="CommentTextChar">
    <w:name w:val="Comment Text Char"/>
    <w:basedOn w:val="DefaultParagraphFont"/>
    <w:link w:val="CommentText"/>
    <w:rsid w:val="00F57EB2"/>
  </w:style>
  <w:style w:type="paragraph" w:styleId="CommentSubject">
    <w:name w:val="annotation subject"/>
    <w:basedOn w:val="CommentText"/>
    <w:next w:val="CommentText"/>
    <w:link w:val="CommentSubjectChar"/>
    <w:rsid w:val="00F57EB2"/>
    <w:rPr>
      <w:b/>
      <w:bCs/>
    </w:rPr>
  </w:style>
  <w:style w:type="character" w:customStyle="1" w:styleId="CommentSubjectChar">
    <w:name w:val="Comment Subject Char"/>
    <w:link w:val="CommentSubject"/>
    <w:rsid w:val="00F57EB2"/>
    <w:rPr>
      <w:b/>
      <w:bCs/>
    </w:rPr>
  </w:style>
  <w:style w:type="paragraph" w:styleId="BalloonText">
    <w:name w:val="Balloon Text"/>
    <w:basedOn w:val="Normal"/>
    <w:link w:val="BalloonTextChar"/>
    <w:rsid w:val="00F57EB2"/>
    <w:rPr>
      <w:rFonts w:ascii="Tahoma" w:hAnsi="Tahoma"/>
      <w:sz w:val="16"/>
      <w:szCs w:val="16"/>
    </w:rPr>
  </w:style>
  <w:style w:type="character" w:customStyle="1" w:styleId="BalloonTextChar">
    <w:name w:val="Balloon Text Char"/>
    <w:link w:val="BalloonText"/>
    <w:rsid w:val="00F57EB2"/>
    <w:rPr>
      <w:rFonts w:ascii="Tahoma" w:hAnsi="Tahoma" w:cs="Tahoma"/>
      <w:sz w:val="16"/>
      <w:szCs w:val="16"/>
    </w:rPr>
  </w:style>
  <w:style w:type="character" w:customStyle="1" w:styleId="HeaderChar">
    <w:name w:val="Header Char"/>
    <w:link w:val="Header"/>
    <w:uiPriority w:val="99"/>
    <w:rsid w:val="00926B05"/>
    <w:rPr>
      <w:szCs w:val="24"/>
    </w:rPr>
  </w:style>
  <w:style w:type="paragraph" w:styleId="EndnoteText">
    <w:name w:val="endnote text"/>
    <w:basedOn w:val="Normal"/>
    <w:link w:val="EndnoteTextChar"/>
    <w:rsid w:val="00356374"/>
    <w:rPr>
      <w:szCs w:val="20"/>
    </w:rPr>
  </w:style>
  <w:style w:type="character" w:customStyle="1" w:styleId="EndnoteTextChar">
    <w:name w:val="Endnote Text Char"/>
    <w:basedOn w:val="DefaultParagraphFont"/>
    <w:link w:val="EndnoteText"/>
    <w:rsid w:val="00356374"/>
  </w:style>
  <w:style w:type="character" w:styleId="EndnoteReference">
    <w:name w:val="endnote reference"/>
    <w:rsid w:val="003563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semiHidden/>
    <w:rsid w:val="00F748D8"/>
    <w:rPr>
      <w:vertAlign w:val="superscript"/>
    </w:rPr>
  </w:style>
  <w:style w:type="paragraph" w:styleId="Header">
    <w:name w:val="header"/>
    <w:basedOn w:val="Normal"/>
    <w:link w:val="HeaderChar"/>
    <w:uiPriority w:val="99"/>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customStyle="1" w:styleId="FootnoteTextChar">
    <w:name w:val="Footnote Text Char"/>
    <w:basedOn w:val="DefaultParagraphFont"/>
    <w:link w:val="FootnoteText"/>
    <w:uiPriority w:val="99"/>
    <w:semiHidden/>
    <w:rsid w:val="00EE4489"/>
  </w:style>
  <w:style w:type="table" w:styleId="TableGrid">
    <w:name w:val="Table Grid"/>
    <w:basedOn w:val="TableNormal"/>
    <w:rsid w:val="00933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0E28"/>
    <w:rPr>
      <w:color w:val="0000FF"/>
      <w:u w:val="single"/>
    </w:rPr>
  </w:style>
  <w:style w:type="paragraph" w:styleId="ListParagraph">
    <w:name w:val="List Paragraph"/>
    <w:basedOn w:val="Normal"/>
    <w:uiPriority w:val="34"/>
    <w:qFormat/>
    <w:rsid w:val="00E25A86"/>
    <w:pPr>
      <w:widowControl/>
      <w:autoSpaceDE/>
      <w:autoSpaceDN/>
      <w:adjustRightInd/>
      <w:ind w:left="720"/>
      <w:contextualSpacing/>
    </w:pPr>
    <w:rPr>
      <w:rFonts w:eastAsia="Calibri"/>
      <w:sz w:val="24"/>
      <w:szCs w:val="22"/>
    </w:rPr>
  </w:style>
  <w:style w:type="character" w:styleId="CommentReference">
    <w:name w:val="annotation reference"/>
    <w:rsid w:val="00F57EB2"/>
    <w:rPr>
      <w:sz w:val="16"/>
      <w:szCs w:val="16"/>
    </w:rPr>
  </w:style>
  <w:style w:type="paragraph" w:styleId="CommentText">
    <w:name w:val="annotation text"/>
    <w:basedOn w:val="Normal"/>
    <w:link w:val="CommentTextChar"/>
    <w:rsid w:val="00F57EB2"/>
    <w:rPr>
      <w:szCs w:val="20"/>
    </w:rPr>
  </w:style>
  <w:style w:type="character" w:customStyle="1" w:styleId="CommentTextChar">
    <w:name w:val="Comment Text Char"/>
    <w:basedOn w:val="DefaultParagraphFont"/>
    <w:link w:val="CommentText"/>
    <w:rsid w:val="00F57EB2"/>
  </w:style>
  <w:style w:type="paragraph" w:styleId="CommentSubject">
    <w:name w:val="annotation subject"/>
    <w:basedOn w:val="CommentText"/>
    <w:next w:val="CommentText"/>
    <w:link w:val="CommentSubjectChar"/>
    <w:rsid w:val="00F57EB2"/>
    <w:rPr>
      <w:b/>
      <w:bCs/>
    </w:rPr>
  </w:style>
  <w:style w:type="character" w:customStyle="1" w:styleId="CommentSubjectChar">
    <w:name w:val="Comment Subject Char"/>
    <w:link w:val="CommentSubject"/>
    <w:rsid w:val="00F57EB2"/>
    <w:rPr>
      <w:b/>
      <w:bCs/>
    </w:rPr>
  </w:style>
  <w:style w:type="paragraph" w:styleId="BalloonText">
    <w:name w:val="Balloon Text"/>
    <w:basedOn w:val="Normal"/>
    <w:link w:val="BalloonTextChar"/>
    <w:rsid w:val="00F57EB2"/>
    <w:rPr>
      <w:rFonts w:ascii="Tahoma" w:hAnsi="Tahoma"/>
      <w:sz w:val="16"/>
      <w:szCs w:val="16"/>
    </w:rPr>
  </w:style>
  <w:style w:type="character" w:customStyle="1" w:styleId="BalloonTextChar">
    <w:name w:val="Balloon Text Char"/>
    <w:link w:val="BalloonText"/>
    <w:rsid w:val="00F57EB2"/>
    <w:rPr>
      <w:rFonts w:ascii="Tahoma" w:hAnsi="Tahoma" w:cs="Tahoma"/>
      <w:sz w:val="16"/>
      <w:szCs w:val="16"/>
    </w:rPr>
  </w:style>
  <w:style w:type="character" w:customStyle="1" w:styleId="HeaderChar">
    <w:name w:val="Header Char"/>
    <w:link w:val="Header"/>
    <w:uiPriority w:val="99"/>
    <w:rsid w:val="00926B05"/>
    <w:rPr>
      <w:szCs w:val="24"/>
    </w:rPr>
  </w:style>
  <w:style w:type="paragraph" w:styleId="EndnoteText">
    <w:name w:val="endnote text"/>
    <w:basedOn w:val="Normal"/>
    <w:link w:val="EndnoteTextChar"/>
    <w:rsid w:val="00356374"/>
    <w:rPr>
      <w:szCs w:val="20"/>
    </w:rPr>
  </w:style>
  <w:style w:type="character" w:customStyle="1" w:styleId="EndnoteTextChar">
    <w:name w:val="Endnote Text Char"/>
    <w:basedOn w:val="DefaultParagraphFont"/>
    <w:link w:val="EndnoteText"/>
    <w:rsid w:val="00356374"/>
  </w:style>
  <w:style w:type="character" w:styleId="EndnoteReference">
    <w:name w:val="endnote reference"/>
    <w:rsid w:val="003563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16346">
      <w:bodyDiv w:val="1"/>
      <w:marLeft w:val="0"/>
      <w:marRight w:val="0"/>
      <w:marTop w:val="0"/>
      <w:marBottom w:val="0"/>
      <w:divBdr>
        <w:top w:val="none" w:sz="0" w:space="0" w:color="auto"/>
        <w:left w:val="none" w:sz="0" w:space="0" w:color="auto"/>
        <w:bottom w:val="none" w:sz="0" w:space="0" w:color="auto"/>
        <w:right w:val="none" w:sz="0" w:space="0" w:color="auto"/>
      </w:divBdr>
    </w:div>
    <w:div w:id="184327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wutc.wa.gov/rms2.nsf/177d98baa5918c7388256a550064a61e/c506de253a56b18c88257a53007aefa3!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2012-11-16T08:00:00+00:00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A0C1B-C9C4-4A4D-B7CC-2166CCE5AF7B}"/>
</file>

<file path=customXml/itemProps2.xml><?xml version="1.0" encoding="utf-8"?>
<ds:datastoreItem xmlns:ds="http://schemas.openxmlformats.org/officeDocument/2006/customXml" ds:itemID="{0003C9D8-10DB-48AC-B7B9-0DBAADCCADB3}"/>
</file>

<file path=customXml/itemProps3.xml><?xml version="1.0" encoding="utf-8"?>
<ds:datastoreItem xmlns:ds="http://schemas.openxmlformats.org/officeDocument/2006/customXml" ds:itemID="{B6B6F23E-D624-464E-BF42-773D14271C1D}"/>
</file>

<file path=customXml/itemProps4.xml><?xml version="1.0" encoding="utf-8"?>
<ds:datastoreItem xmlns:ds="http://schemas.openxmlformats.org/officeDocument/2006/customXml" ds:itemID="{F55D158F-BD10-46F8-8E68-1B2962AEA91A}"/>
</file>

<file path=customXml/itemProps5.xml><?xml version="1.0" encoding="utf-8"?>
<ds:datastoreItem xmlns:ds="http://schemas.openxmlformats.org/officeDocument/2006/customXml" ds:itemID="{03383C03-D356-46ED-B975-743BB0A383AC}"/>
</file>

<file path=docProps/app.xml><?xml version="1.0" encoding="utf-8"?>
<Properties xmlns="http://schemas.openxmlformats.org/officeDocument/2006/extended-properties" xmlns:vt="http://schemas.openxmlformats.org/officeDocument/2006/docPropsVTypes">
  <Template>Normal.dotm</Template>
  <TotalTime>66</TotalTime>
  <Pages>7</Pages>
  <Words>1376</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Krista Linley</dc:creator>
  <cp:lastModifiedBy>Krista Gross</cp:lastModifiedBy>
  <cp:revision>14</cp:revision>
  <cp:lastPrinted>2012-07-10T17:15:00Z</cp:lastPrinted>
  <dcterms:created xsi:type="dcterms:W3CDTF">2012-11-16T21:36:00Z</dcterms:created>
  <dcterms:modified xsi:type="dcterms:W3CDTF">2012-11-16T22:48:00Z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