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36F75" w14:textId="74AB9F68" w:rsidR="008A4054" w:rsidRPr="005440CF" w:rsidRDefault="00657DEE" w:rsidP="00DC3FB8">
      <w:pPr>
        <w:spacing w:before="0" w:after="0"/>
      </w:pPr>
      <w:bookmarkStart w:id="0" w:name="_GoBack"/>
      <w:bookmarkEnd w:id="0"/>
      <w:r w:rsidRPr="005440CF">
        <w:t>Agenda Date:</w:t>
      </w:r>
      <w:r w:rsidRPr="005440CF">
        <w:tab/>
      </w:r>
      <w:r w:rsidR="00744C90" w:rsidRPr="005440CF">
        <w:tab/>
      </w:r>
      <w:r w:rsidR="0023550C">
        <w:t>July 13</w:t>
      </w:r>
      <w:r w:rsidR="008A4054" w:rsidRPr="005440CF">
        <w:t>, 201</w:t>
      </w:r>
      <w:r w:rsidR="00817E0F">
        <w:t>7</w:t>
      </w:r>
    </w:p>
    <w:p w14:paraId="26D36F77" w14:textId="2B6E138F" w:rsidR="00657DEE" w:rsidRDefault="00657DEE" w:rsidP="00DC3FB8">
      <w:pPr>
        <w:spacing w:before="0" w:after="0"/>
      </w:pPr>
      <w:r w:rsidRPr="005440CF">
        <w:t>Item Number:</w:t>
      </w:r>
      <w:r w:rsidRPr="005440CF">
        <w:tab/>
      </w:r>
      <w:r w:rsidR="006A481F">
        <w:tab/>
      </w:r>
      <w:r w:rsidR="001824C7">
        <w:t>A1</w:t>
      </w:r>
    </w:p>
    <w:p w14:paraId="26D36F79" w14:textId="656DBEF5" w:rsidR="00040CE3" w:rsidRPr="00BD70A7" w:rsidRDefault="00657DEE" w:rsidP="00DC3FB8">
      <w:pPr>
        <w:rPr>
          <w:b/>
        </w:rPr>
      </w:pPr>
      <w:r w:rsidRPr="00204A52">
        <w:rPr>
          <w:b/>
        </w:rPr>
        <w:t>Docket</w:t>
      </w:r>
      <w:r w:rsidR="002C648F">
        <w:rPr>
          <w:b/>
        </w:rPr>
        <w:t>:</w:t>
      </w:r>
      <w:r w:rsidR="002C648F">
        <w:rPr>
          <w:b/>
        </w:rPr>
        <w:tab/>
      </w:r>
      <w:r w:rsidR="002C648F">
        <w:rPr>
          <w:b/>
        </w:rPr>
        <w:tab/>
      </w:r>
      <w:r w:rsidR="005A7B7E" w:rsidRPr="00204A52">
        <w:rPr>
          <w:b/>
        </w:rPr>
        <w:t>U</w:t>
      </w:r>
      <w:r w:rsidR="006D3D6D">
        <w:rPr>
          <w:b/>
        </w:rPr>
        <w:t>G-</w:t>
      </w:r>
      <w:r w:rsidR="00985471">
        <w:rPr>
          <w:b/>
        </w:rPr>
        <w:t>170700</w:t>
      </w:r>
    </w:p>
    <w:p w14:paraId="26D36F7A" w14:textId="77777777" w:rsidR="00657DEE" w:rsidRPr="005440CF" w:rsidRDefault="00657DEE" w:rsidP="00DC3FB8">
      <w:pPr>
        <w:spacing w:before="0" w:after="0"/>
      </w:pPr>
      <w:r w:rsidRPr="005440CF">
        <w:t>Company:</w:t>
      </w:r>
      <w:r w:rsidRPr="005440CF">
        <w:tab/>
      </w:r>
      <w:r w:rsidRPr="005440CF">
        <w:tab/>
      </w:r>
      <w:r w:rsidR="006D3D6D">
        <w:t>Cascade Natural Gas Corporation</w:t>
      </w:r>
    </w:p>
    <w:p w14:paraId="26D36F7C" w14:textId="10E83C1C" w:rsidR="001923BA" w:rsidRPr="005440CF" w:rsidRDefault="00657DEE" w:rsidP="00DC3FB8">
      <w:pPr>
        <w:spacing w:before="0" w:after="0"/>
      </w:pPr>
      <w:r w:rsidRPr="005440CF">
        <w:t>Staff:</w:t>
      </w:r>
      <w:r w:rsidRPr="005440CF">
        <w:tab/>
      </w:r>
      <w:r w:rsidRPr="005440CF">
        <w:tab/>
      </w:r>
      <w:r w:rsidRPr="005440CF">
        <w:tab/>
      </w:r>
      <w:r w:rsidR="008D01EF">
        <w:t>E. Cooper Wright</w:t>
      </w:r>
      <w:r w:rsidR="003329DB" w:rsidRPr="005440CF">
        <w:t>, Regulatory Analyst</w:t>
      </w:r>
    </w:p>
    <w:p w14:paraId="26D36F7D" w14:textId="2C1B2C85" w:rsidR="009363BA" w:rsidRPr="007F682C" w:rsidRDefault="00BF3D13" w:rsidP="00204A52">
      <w:pPr>
        <w:pStyle w:val="Heading1"/>
      </w:pPr>
      <w:r w:rsidRPr="007F682C">
        <w:t>Recommendation</w:t>
      </w:r>
    </w:p>
    <w:p w14:paraId="26D36F7E" w14:textId="31620F6C" w:rsidR="009652E7" w:rsidRPr="008E5730" w:rsidRDefault="000D7132" w:rsidP="009652E7">
      <w:r>
        <w:t>Acknowledge</w:t>
      </w:r>
      <w:r w:rsidR="0023550C">
        <w:t xml:space="preserve"> Cascade Natural Gas Corporation’s </w:t>
      </w:r>
      <w:r>
        <w:t xml:space="preserve">2016 </w:t>
      </w:r>
      <w:r w:rsidR="0023550C">
        <w:t>Annual Conservation Achievement Report.</w:t>
      </w:r>
    </w:p>
    <w:p w14:paraId="26D36F7F" w14:textId="77777777" w:rsidR="00CA45F4" w:rsidRPr="007F682C" w:rsidRDefault="00092E6A" w:rsidP="00204A52">
      <w:pPr>
        <w:pStyle w:val="Heading1"/>
      </w:pPr>
      <w:r w:rsidRPr="007F682C">
        <w:t>Background</w:t>
      </w:r>
    </w:p>
    <w:p w14:paraId="26D36F82" w14:textId="268420A0" w:rsidR="00EE1D3C" w:rsidRDefault="00F25CDA" w:rsidP="001467BA">
      <w:r>
        <w:t>Cascade Natural Gas Co</w:t>
      </w:r>
      <w:r w:rsidR="00BE0004">
        <w:t xml:space="preserve">rporation (Cascade or </w:t>
      </w:r>
      <w:r w:rsidR="00B03801">
        <w:t>company</w:t>
      </w:r>
      <w:r w:rsidR="00BE0004">
        <w:t>)</w:t>
      </w:r>
      <w:r w:rsidR="0048470B">
        <w:t xml:space="preserve"> </w:t>
      </w:r>
      <w:r w:rsidR="008C0B62">
        <w:t>operate</w:t>
      </w:r>
      <w:r w:rsidR="00E35B23">
        <w:t>s</w:t>
      </w:r>
      <w:r>
        <w:t xml:space="preserve"> its natural gas conservation program</w:t>
      </w:r>
      <w:r w:rsidR="009022EA">
        <w:t xml:space="preserve"> </w:t>
      </w:r>
      <w:r>
        <w:t xml:space="preserve">under the </w:t>
      </w:r>
      <w:r w:rsidR="0065717F">
        <w:t>requirem</w:t>
      </w:r>
      <w:r w:rsidR="008C0B62">
        <w:t>ent</w:t>
      </w:r>
      <w:r w:rsidR="0065717F">
        <w:t>s</w:t>
      </w:r>
      <w:r w:rsidR="008C0B62">
        <w:t xml:space="preserve"> </w:t>
      </w:r>
      <w:r w:rsidR="0022286D">
        <w:t>of a</w:t>
      </w:r>
      <w:r w:rsidR="008C0B62">
        <w:t xml:space="preserve"> </w:t>
      </w:r>
      <w:r w:rsidR="0022286D">
        <w:t xml:space="preserve">joint settlement agreement approved in </w:t>
      </w:r>
      <w:r w:rsidR="001824C7">
        <w:t>D</w:t>
      </w:r>
      <w:r w:rsidR="008C0B62">
        <w:t>ocket UG-152286</w:t>
      </w:r>
      <w:r w:rsidR="005C09BA">
        <w:t>.</w:t>
      </w:r>
      <w:r w:rsidR="0022286D">
        <w:rPr>
          <w:rStyle w:val="FootnoteReference"/>
        </w:rPr>
        <w:footnoteReference w:id="1"/>
      </w:r>
      <w:r w:rsidR="000C4823">
        <w:rPr>
          <w:vertAlign w:val="superscript"/>
        </w:rPr>
        <w:t xml:space="preserve"> </w:t>
      </w:r>
      <w:r w:rsidR="00EE1D3C">
        <w:t xml:space="preserve">On </w:t>
      </w:r>
      <w:r w:rsidR="00A85D53">
        <w:t>May 31, 2017</w:t>
      </w:r>
      <w:r w:rsidR="00EE1D3C">
        <w:t xml:space="preserve">, Cascade </w:t>
      </w:r>
      <w:r w:rsidR="0030205A">
        <w:t>timely</w:t>
      </w:r>
      <w:r w:rsidR="00EE1D3C">
        <w:t xml:space="preserve"> filed its 201</w:t>
      </w:r>
      <w:r w:rsidR="00190E65">
        <w:t>6</w:t>
      </w:r>
      <w:r w:rsidR="00EE1D3C">
        <w:t xml:space="preserve"> </w:t>
      </w:r>
      <w:r w:rsidR="00190E65">
        <w:t>Annual Conservation Achievement Report</w:t>
      </w:r>
      <w:r w:rsidR="00EE1D3C">
        <w:t xml:space="preserve"> </w:t>
      </w:r>
      <w:r w:rsidR="000C4823">
        <w:t xml:space="preserve">with the Washington Utilities and Transportation Commission (commission) </w:t>
      </w:r>
      <w:r w:rsidR="00EE1D3C">
        <w:t xml:space="preserve">in </w:t>
      </w:r>
      <w:r w:rsidR="001824C7">
        <w:t>D</w:t>
      </w:r>
      <w:r w:rsidR="000C4823">
        <w:t xml:space="preserve">ocket </w:t>
      </w:r>
      <w:r w:rsidR="00EE1D3C">
        <w:t>UG-</w:t>
      </w:r>
      <w:r w:rsidR="006603D1">
        <w:t>170700.</w:t>
      </w:r>
      <w:r w:rsidR="003E1FE0">
        <w:rPr>
          <w:rStyle w:val="FootnoteReference"/>
        </w:rPr>
        <w:footnoteReference w:id="2"/>
      </w:r>
      <w:r w:rsidR="00FD3D3D">
        <w:t xml:space="preserve"> </w:t>
      </w:r>
      <w:r w:rsidR="005C3979">
        <w:t>While</w:t>
      </w:r>
      <w:r w:rsidR="00DC700D">
        <w:t xml:space="preserve"> reviewing </w:t>
      </w:r>
      <w:r w:rsidR="009A50C1">
        <w:t>Cascade’s</w:t>
      </w:r>
      <w:r w:rsidR="00DC700D">
        <w:t xml:space="preserve"> 2017 conservation plan,</w:t>
      </w:r>
      <w:r w:rsidR="00D21FB4">
        <w:rPr>
          <w:rStyle w:val="FootnoteReference"/>
        </w:rPr>
        <w:footnoteReference w:id="3"/>
      </w:r>
      <w:r w:rsidR="00DC700D">
        <w:t xml:space="preserve"> </w:t>
      </w:r>
      <w:r w:rsidR="005515A5">
        <w:t xml:space="preserve">staff </w:t>
      </w:r>
      <w:r w:rsidR="00DC700D">
        <w:t xml:space="preserve">collaborated with the company to develop a course of action </w:t>
      </w:r>
      <w:r w:rsidR="009A50C1">
        <w:t>for</w:t>
      </w:r>
      <w:r w:rsidR="00DC700D">
        <w:t xml:space="preserve"> imp</w:t>
      </w:r>
      <w:r w:rsidR="009A50C1">
        <w:t>roving</w:t>
      </w:r>
      <w:r w:rsidR="00DC700D">
        <w:t xml:space="preserve"> the company’s conservation results.</w:t>
      </w:r>
      <w:r w:rsidR="005C3979">
        <w:t xml:space="preserve"> The principle elements of that collaboration are included in this discussion.</w:t>
      </w:r>
    </w:p>
    <w:p w14:paraId="1FCAA28D" w14:textId="0D653236" w:rsidR="00506E5D" w:rsidRDefault="006530F7" w:rsidP="00FF75F4">
      <w:r>
        <w:t>In 201</w:t>
      </w:r>
      <w:r w:rsidR="006E7EC0">
        <w:t>6</w:t>
      </w:r>
      <w:r>
        <w:t xml:space="preserve">, Cascade served </w:t>
      </w:r>
      <w:r w:rsidR="006E7EC0">
        <w:t>183,815</w:t>
      </w:r>
      <w:r>
        <w:t xml:space="preserve"> customers in </w:t>
      </w:r>
      <w:r w:rsidR="008B0DD2">
        <w:t>Benton, Chelan, Cowlitz, Grant, Grays Harbor, Kitsap, Skagit, Walla Walla, Whatcom, and Yakima counties.</w:t>
      </w:r>
    </w:p>
    <w:p w14:paraId="39B6A619" w14:textId="47602638" w:rsidR="00570691" w:rsidRPr="00570691" w:rsidRDefault="00570691" w:rsidP="00570691">
      <w:pPr>
        <w:pStyle w:val="Heading1"/>
      </w:pPr>
      <w:r>
        <w:t>Discussion</w:t>
      </w:r>
    </w:p>
    <w:p w14:paraId="2DBFF6F1" w14:textId="509ABFB3" w:rsidR="0049785C" w:rsidRPr="00570691" w:rsidRDefault="0052532C" w:rsidP="0049785C">
      <w:pPr>
        <w:rPr>
          <w:b/>
          <w:u w:val="single"/>
        </w:rPr>
      </w:pPr>
      <w:r w:rsidRPr="00570691">
        <w:rPr>
          <w:i/>
        </w:rPr>
        <w:t xml:space="preserve">2016 Conservation </w:t>
      </w:r>
      <w:r w:rsidR="00671F13" w:rsidRPr="00570691">
        <w:rPr>
          <w:i/>
        </w:rPr>
        <w:t>Plan</w:t>
      </w:r>
      <w:r w:rsidR="00570691" w:rsidRPr="00570691">
        <w:t xml:space="preserve">: </w:t>
      </w:r>
      <w:r w:rsidR="00564A0E">
        <w:t>Typically</w:t>
      </w:r>
      <w:r w:rsidR="00704296">
        <w:t>,</w:t>
      </w:r>
      <w:r w:rsidR="007A7AF3">
        <w:t xml:space="preserve"> when a company submits</w:t>
      </w:r>
      <w:r w:rsidR="00074BF9">
        <w:t xml:space="preserve"> a conservation report</w:t>
      </w:r>
      <w:r w:rsidR="007A7AF3">
        <w:t xml:space="preserve"> they will measure their achievement against the corresponding conservation plan acknowledged by the </w:t>
      </w:r>
      <w:r w:rsidR="005515A5">
        <w:t xml:space="preserve">commission </w:t>
      </w:r>
      <w:r w:rsidR="007A7AF3">
        <w:t>sometime the year before.</w:t>
      </w:r>
      <w:r w:rsidR="00DB297B">
        <w:t xml:space="preserve"> Cascade’s 2016 </w:t>
      </w:r>
      <w:r w:rsidR="00D21FB4">
        <w:t xml:space="preserve">conservation achievement </w:t>
      </w:r>
      <w:r w:rsidR="00DB297B">
        <w:t xml:space="preserve">report differs from this process because </w:t>
      </w:r>
      <w:r w:rsidR="00C15850">
        <w:t xml:space="preserve">the company submitted </w:t>
      </w:r>
      <w:r w:rsidR="00487520">
        <w:t>its 2016</w:t>
      </w:r>
      <w:r w:rsidR="00D21FB4">
        <w:t xml:space="preserve"> </w:t>
      </w:r>
      <w:r w:rsidR="00C15850">
        <w:t>conservation plan as “informational only”</w:t>
      </w:r>
      <w:r w:rsidR="00685705">
        <w:t xml:space="preserve"> and conducted their conservation efforts for 2016</w:t>
      </w:r>
      <w:r w:rsidR="00AE2E76">
        <w:t xml:space="preserve"> based upon this unacknowledged plan</w:t>
      </w:r>
      <w:r w:rsidR="00C15850">
        <w:t>.</w:t>
      </w:r>
      <w:r w:rsidR="00C15850">
        <w:rPr>
          <w:rStyle w:val="FootnoteReference"/>
        </w:rPr>
        <w:footnoteReference w:id="4"/>
      </w:r>
      <w:r w:rsidR="00AE2E76">
        <w:t xml:space="preserve"> </w:t>
      </w:r>
    </w:p>
    <w:p w14:paraId="0822A145" w14:textId="3EF636C7" w:rsidR="00570691" w:rsidRPr="003B41A2" w:rsidRDefault="00671F13" w:rsidP="00FF75F4">
      <w:r w:rsidRPr="00570691">
        <w:rPr>
          <w:i/>
        </w:rPr>
        <w:t>2016 Conservation Achievement</w:t>
      </w:r>
      <w:r w:rsidR="00570691" w:rsidRPr="00570691">
        <w:t xml:space="preserve">: </w:t>
      </w:r>
      <w:r w:rsidR="0056306F">
        <w:t xml:space="preserve">For 2016, Cascade’s conservation </w:t>
      </w:r>
      <w:r w:rsidR="00A43B09">
        <w:t>portfolio</w:t>
      </w:r>
      <w:r w:rsidR="0056306F">
        <w:t xml:space="preserve"> </w:t>
      </w:r>
      <w:r w:rsidR="00A43B09">
        <w:t>achieved 405,557 therms in conservation</w:t>
      </w:r>
      <w:r w:rsidR="00BC1234">
        <w:t xml:space="preserve"> costing</w:t>
      </w:r>
      <w:r w:rsidR="008B484A">
        <w:t xml:space="preserve"> $</w:t>
      </w:r>
      <w:r w:rsidR="003B41A2">
        <w:t>2</w:t>
      </w:r>
      <w:r w:rsidR="00091C94">
        <w:t>.4</w:t>
      </w:r>
      <w:r w:rsidR="008B484A">
        <w:t xml:space="preserve"> million</w:t>
      </w:r>
      <w:r w:rsidR="00A43B09">
        <w:t xml:space="preserve">. </w:t>
      </w:r>
      <w:r w:rsidR="00BC1234">
        <w:t>This is</w:t>
      </w:r>
      <w:r w:rsidR="008C5651">
        <w:t xml:space="preserve"> just 4</w:t>
      </w:r>
      <w:r w:rsidR="00091C94">
        <w:t>1</w:t>
      </w:r>
      <w:r w:rsidR="008C5651">
        <w:t xml:space="preserve"> percent of their 20</w:t>
      </w:r>
      <w:r w:rsidR="00CB1833">
        <w:t>16</w:t>
      </w:r>
      <w:r w:rsidR="00BC1234">
        <w:t xml:space="preserve"> savings</w:t>
      </w:r>
      <w:r w:rsidR="00CB1833">
        <w:t xml:space="preserve"> goal </w:t>
      </w:r>
      <w:r w:rsidR="00BC1234">
        <w:t>and</w:t>
      </w:r>
      <w:r w:rsidR="00CB1833">
        <w:t xml:space="preserve"> 73</w:t>
      </w:r>
      <w:r w:rsidR="00A41AE6">
        <w:t xml:space="preserve"> percent</w:t>
      </w:r>
      <w:r w:rsidR="00CB1833">
        <w:t xml:space="preserve"> of their 2016 budget</w:t>
      </w:r>
      <w:r w:rsidR="00BA5937">
        <w:t>.</w:t>
      </w:r>
      <w:r w:rsidR="00AC0B48">
        <w:t xml:space="preserve"> </w:t>
      </w:r>
      <w:r w:rsidR="00BC1234">
        <w:t xml:space="preserve">The program remained cost effective with a ratio of </w:t>
      </w:r>
      <w:r w:rsidR="00AC0B48">
        <w:t xml:space="preserve">1.02 </w:t>
      </w:r>
      <w:r w:rsidR="00BC1234">
        <w:t xml:space="preserve">for the </w:t>
      </w:r>
      <w:r w:rsidR="00AC0B48">
        <w:t>Utility Cost</w:t>
      </w:r>
      <w:r w:rsidR="006009D2">
        <w:t xml:space="preserve"> </w:t>
      </w:r>
      <w:r w:rsidR="00AC0B48">
        <w:t>Test</w:t>
      </w:r>
      <w:r w:rsidR="00BC1234">
        <w:t>.</w:t>
      </w:r>
      <w:r w:rsidR="00BD70A7">
        <w:rPr>
          <w:rStyle w:val="FootnoteReference"/>
        </w:rPr>
        <w:footnoteReference w:id="5"/>
      </w:r>
      <w:r w:rsidR="003B41A2">
        <w:t xml:space="preserve"> </w:t>
      </w:r>
      <w:r w:rsidR="003B41A2" w:rsidRPr="003B41A2">
        <w:fldChar w:fldCharType="begin"/>
      </w:r>
      <w:r w:rsidR="003B41A2" w:rsidRPr="003B41A2">
        <w:instrText xml:space="preserve"> REF _Ref486601522 \h  \* MERGEFORMAT </w:instrText>
      </w:r>
      <w:r w:rsidR="003B41A2" w:rsidRPr="003B41A2">
        <w:fldChar w:fldCharType="separate"/>
      </w:r>
      <w:r w:rsidR="00BD70A7" w:rsidRPr="00BD70A7">
        <w:t xml:space="preserve">Table </w:t>
      </w:r>
      <w:r w:rsidR="00BD70A7" w:rsidRPr="00BD70A7">
        <w:rPr>
          <w:noProof/>
        </w:rPr>
        <w:t>1</w:t>
      </w:r>
      <w:r w:rsidR="003B41A2" w:rsidRPr="003B41A2">
        <w:fldChar w:fldCharType="end"/>
      </w:r>
      <w:r w:rsidR="003B41A2">
        <w:t xml:space="preserve"> below offers more </w:t>
      </w:r>
      <w:r w:rsidR="008C1F88">
        <w:t>detail</w:t>
      </w:r>
      <w:r w:rsidR="00742A34">
        <w:t xml:space="preserve"> </w:t>
      </w:r>
      <w:r w:rsidR="00BC1234">
        <w:t xml:space="preserve">about </w:t>
      </w:r>
      <w:r w:rsidR="00742A34">
        <w:t>the results at the program level.</w:t>
      </w:r>
    </w:p>
    <w:p w14:paraId="3E409FB7" w14:textId="6F83F696" w:rsidR="00FC2A49" w:rsidRPr="00FC2A49" w:rsidRDefault="00FC2A49" w:rsidP="00FC2A49">
      <w:pPr>
        <w:pStyle w:val="Caption"/>
        <w:keepNext/>
        <w:spacing w:after="0"/>
        <w:jc w:val="center"/>
        <w:rPr>
          <w:b/>
          <w:i w:val="0"/>
          <w:color w:val="auto"/>
          <w:sz w:val="24"/>
        </w:rPr>
      </w:pPr>
      <w:bookmarkStart w:id="1" w:name="_Ref486601522"/>
      <w:r w:rsidRPr="00FC2A49">
        <w:rPr>
          <w:b/>
          <w:i w:val="0"/>
          <w:color w:val="auto"/>
          <w:sz w:val="24"/>
        </w:rPr>
        <w:lastRenderedPageBreak/>
        <w:t xml:space="preserve">Table </w:t>
      </w:r>
      <w:r w:rsidRPr="00FC2A49">
        <w:rPr>
          <w:b/>
          <w:i w:val="0"/>
          <w:color w:val="auto"/>
          <w:sz w:val="24"/>
        </w:rPr>
        <w:fldChar w:fldCharType="begin"/>
      </w:r>
      <w:r w:rsidRPr="00FC2A49">
        <w:rPr>
          <w:b/>
          <w:i w:val="0"/>
          <w:color w:val="auto"/>
          <w:sz w:val="24"/>
        </w:rPr>
        <w:instrText xml:space="preserve"> SEQ Table \* ARABIC </w:instrText>
      </w:r>
      <w:r w:rsidRPr="00FC2A49">
        <w:rPr>
          <w:b/>
          <w:i w:val="0"/>
          <w:color w:val="auto"/>
          <w:sz w:val="24"/>
        </w:rPr>
        <w:fldChar w:fldCharType="separate"/>
      </w:r>
      <w:r w:rsidR="00BD70A7">
        <w:rPr>
          <w:b/>
          <w:i w:val="0"/>
          <w:noProof/>
          <w:color w:val="auto"/>
          <w:sz w:val="24"/>
        </w:rPr>
        <w:t>1</w:t>
      </w:r>
      <w:r w:rsidRPr="00FC2A49">
        <w:rPr>
          <w:b/>
          <w:i w:val="0"/>
          <w:color w:val="auto"/>
          <w:sz w:val="24"/>
        </w:rPr>
        <w:fldChar w:fldCharType="end"/>
      </w:r>
      <w:bookmarkEnd w:id="1"/>
      <w:r w:rsidRPr="00FC2A49">
        <w:rPr>
          <w:b/>
          <w:i w:val="0"/>
          <w:color w:val="auto"/>
          <w:sz w:val="24"/>
        </w:rPr>
        <w:t xml:space="preserve"> Cascade </w:t>
      </w:r>
      <w:r>
        <w:rPr>
          <w:b/>
          <w:i w:val="0"/>
          <w:color w:val="auto"/>
          <w:sz w:val="24"/>
        </w:rPr>
        <w:t>s</w:t>
      </w:r>
      <w:r w:rsidRPr="00FC2A49">
        <w:rPr>
          <w:b/>
          <w:i w:val="0"/>
          <w:color w:val="auto"/>
          <w:sz w:val="24"/>
        </w:rPr>
        <w:t xml:space="preserve">pending and </w:t>
      </w:r>
      <w:r>
        <w:rPr>
          <w:b/>
          <w:i w:val="0"/>
          <w:color w:val="auto"/>
          <w:sz w:val="24"/>
        </w:rPr>
        <w:t>c</w:t>
      </w:r>
      <w:r w:rsidRPr="00FC2A49">
        <w:rPr>
          <w:b/>
          <w:i w:val="0"/>
          <w:color w:val="auto"/>
          <w:sz w:val="24"/>
        </w:rPr>
        <w:t>onservation breakdown by program.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1350"/>
        <w:gridCol w:w="1350"/>
        <w:gridCol w:w="1350"/>
        <w:gridCol w:w="1080"/>
        <w:gridCol w:w="999"/>
        <w:gridCol w:w="1336"/>
      </w:tblGrid>
      <w:tr w:rsidR="00EA46A5" w14:paraId="7EDDF30F" w14:textId="77777777" w:rsidTr="00337203">
        <w:tc>
          <w:tcPr>
            <w:tcW w:w="1885" w:type="dxa"/>
            <w:shd w:val="clear" w:color="auto" w:fill="D9D9D9" w:themeFill="background1" w:themeFillShade="D9"/>
            <w:vAlign w:val="center"/>
          </w:tcPr>
          <w:p w14:paraId="63B59208" w14:textId="427CA515" w:rsidR="005E7C55" w:rsidRDefault="00742A34" w:rsidP="00742A34">
            <w:pPr>
              <w:keepNext/>
              <w:keepLines/>
              <w:jc w:val="center"/>
            </w:pPr>
            <w:r>
              <w:t>Program</w:t>
            </w:r>
            <w:r w:rsidR="007B53E3">
              <w:rPr>
                <w:rStyle w:val="FootnoteReference"/>
              </w:rPr>
              <w:footnoteReference w:id="6"/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7B017CB" w14:textId="02796899" w:rsidR="005E7C55" w:rsidRDefault="005E7C55" w:rsidP="005E7C55">
            <w:pPr>
              <w:keepNext/>
              <w:keepLines/>
              <w:jc w:val="center"/>
            </w:pPr>
            <w:r>
              <w:t>2016 Budget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98DAD3F" w14:textId="4A62590F" w:rsidR="005E7C55" w:rsidRDefault="005E7C55" w:rsidP="005E7C55">
            <w:pPr>
              <w:keepNext/>
              <w:keepLines/>
              <w:jc w:val="center"/>
            </w:pPr>
            <w:r>
              <w:t>2016 Expend.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B3C364E" w14:textId="4320E339" w:rsidR="005E7C55" w:rsidRDefault="005E7C55" w:rsidP="005E7C55">
            <w:pPr>
              <w:keepNext/>
              <w:keepLines/>
              <w:jc w:val="center"/>
            </w:pPr>
            <w:r>
              <w:t>Percentage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FFC482C" w14:textId="3CB354A6" w:rsidR="005E7C55" w:rsidRDefault="005E7C55" w:rsidP="005E7C55">
            <w:pPr>
              <w:keepNext/>
              <w:keepLines/>
              <w:jc w:val="center"/>
            </w:pPr>
            <w:r>
              <w:t>2016 Goal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7C6980CB" w14:textId="132D2B04" w:rsidR="005E7C55" w:rsidRDefault="005E7C55" w:rsidP="005E7C55">
            <w:pPr>
              <w:keepNext/>
              <w:keepLines/>
              <w:jc w:val="center"/>
            </w:pPr>
            <w:r>
              <w:t>2016 Actual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14:paraId="767EF084" w14:textId="47301A8F" w:rsidR="005E7C55" w:rsidRDefault="005E7C55" w:rsidP="005E7C55">
            <w:pPr>
              <w:keepNext/>
              <w:keepLines/>
              <w:jc w:val="center"/>
            </w:pPr>
            <w:r>
              <w:t>Percentage</w:t>
            </w:r>
          </w:p>
        </w:tc>
      </w:tr>
      <w:tr w:rsidR="00EA46A5" w14:paraId="79A98703" w14:textId="77777777" w:rsidTr="005515A5">
        <w:tc>
          <w:tcPr>
            <w:tcW w:w="1885" w:type="dxa"/>
          </w:tcPr>
          <w:p w14:paraId="23C27113" w14:textId="54F12769" w:rsidR="005E7C55" w:rsidRDefault="005E7C55" w:rsidP="00337203">
            <w:pPr>
              <w:keepNext/>
              <w:keepLines/>
              <w:spacing w:before="0" w:after="0"/>
            </w:pPr>
            <w:r>
              <w:t>Residential</w:t>
            </w:r>
          </w:p>
        </w:tc>
        <w:tc>
          <w:tcPr>
            <w:tcW w:w="1350" w:type="dxa"/>
            <w:vAlign w:val="center"/>
          </w:tcPr>
          <w:p w14:paraId="7578ABA8" w14:textId="22D7CA04" w:rsidR="005E7C55" w:rsidRDefault="00325ED2" w:rsidP="005515A5">
            <w:pPr>
              <w:keepNext/>
              <w:keepLines/>
              <w:tabs>
                <w:tab w:val="decimal" w:pos="1062"/>
              </w:tabs>
              <w:spacing w:before="0" w:after="0"/>
              <w:jc w:val="center"/>
            </w:pPr>
            <w:r>
              <w:t>$1,635,897</w:t>
            </w:r>
          </w:p>
        </w:tc>
        <w:tc>
          <w:tcPr>
            <w:tcW w:w="1350" w:type="dxa"/>
            <w:vAlign w:val="center"/>
          </w:tcPr>
          <w:p w14:paraId="315E505B" w14:textId="3379C744" w:rsidR="005E7C55" w:rsidRDefault="006B7605" w:rsidP="005515A5">
            <w:pPr>
              <w:keepNext/>
              <w:keepLines/>
              <w:tabs>
                <w:tab w:val="decimal" w:pos="1062"/>
              </w:tabs>
              <w:spacing w:before="0" w:after="0"/>
              <w:jc w:val="center"/>
            </w:pPr>
            <w:r>
              <w:t>$</w:t>
            </w:r>
            <w:r w:rsidR="009D7403">
              <w:t>977,921</w:t>
            </w:r>
          </w:p>
        </w:tc>
        <w:tc>
          <w:tcPr>
            <w:tcW w:w="1350" w:type="dxa"/>
            <w:vAlign w:val="center"/>
          </w:tcPr>
          <w:p w14:paraId="0A3D8482" w14:textId="5F701A2D" w:rsidR="005E7C55" w:rsidRDefault="009D7403" w:rsidP="00337203">
            <w:pPr>
              <w:keepNext/>
              <w:keepLines/>
              <w:spacing w:before="0" w:after="0"/>
              <w:jc w:val="center"/>
            </w:pPr>
            <w:r>
              <w:t>60</w:t>
            </w:r>
            <w:r w:rsidR="00D013D2">
              <w:t>%</w:t>
            </w:r>
          </w:p>
        </w:tc>
        <w:tc>
          <w:tcPr>
            <w:tcW w:w="1080" w:type="dxa"/>
            <w:vAlign w:val="center"/>
          </w:tcPr>
          <w:p w14:paraId="751133B5" w14:textId="012FF862" w:rsidR="005E7C55" w:rsidRDefault="006C1477" w:rsidP="005515A5">
            <w:pPr>
              <w:keepNext/>
              <w:keepLines/>
              <w:tabs>
                <w:tab w:val="decimal" w:pos="792"/>
              </w:tabs>
              <w:spacing w:before="0" w:after="0"/>
              <w:jc w:val="center"/>
            </w:pPr>
            <w:r>
              <w:t>409,975</w:t>
            </w:r>
          </w:p>
        </w:tc>
        <w:tc>
          <w:tcPr>
            <w:tcW w:w="999" w:type="dxa"/>
            <w:vAlign w:val="center"/>
          </w:tcPr>
          <w:p w14:paraId="2FF9A7B5" w14:textId="732515C7" w:rsidR="005E7C55" w:rsidRDefault="009806A5" w:rsidP="005515A5">
            <w:pPr>
              <w:keepNext/>
              <w:keepLines/>
              <w:tabs>
                <w:tab w:val="decimal" w:pos="783"/>
              </w:tabs>
              <w:spacing w:before="0" w:after="0"/>
              <w:jc w:val="center"/>
            </w:pPr>
            <w:r>
              <w:t>171,620</w:t>
            </w:r>
          </w:p>
        </w:tc>
        <w:tc>
          <w:tcPr>
            <w:tcW w:w="1336" w:type="dxa"/>
            <w:vAlign w:val="bottom"/>
          </w:tcPr>
          <w:p w14:paraId="17A39576" w14:textId="48EE3DAD" w:rsidR="005E7C55" w:rsidRDefault="00EA46A5" w:rsidP="005515A5">
            <w:pPr>
              <w:keepNext/>
              <w:keepLines/>
              <w:tabs>
                <w:tab w:val="decimal" w:pos="513"/>
              </w:tabs>
              <w:spacing w:before="0" w:after="0"/>
              <w:jc w:val="center"/>
            </w:pPr>
            <w:r>
              <w:t>42%</w:t>
            </w:r>
          </w:p>
        </w:tc>
      </w:tr>
      <w:tr w:rsidR="00EA46A5" w14:paraId="37539DEC" w14:textId="77777777" w:rsidTr="005515A5">
        <w:tc>
          <w:tcPr>
            <w:tcW w:w="1885" w:type="dxa"/>
          </w:tcPr>
          <w:p w14:paraId="77AD724D" w14:textId="78D10C6D" w:rsidR="005E7C55" w:rsidRDefault="005E7C55" w:rsidP="00337203">
            <w:pPr>
              <w:keepNext/>
              <w:keepLines/>
              <w:spacing w:before="0" w:after="0"/>
            </w:pPr>
            <w:r>
              <w:t>Commercial</w:t>
            </w:r>
          </w:p>
        </w:tc>
        <w:tc>
          <w:tcPr>
            <w:tcW w:w="1350" w:type="dxa"/>
            <w:vAlign w:val="center"/>
          </w:tcPr>
          <w:p w14:paraId="5406E9AF" w14:textId="77156905" w:rsidR="005E7C55" w:rsidRDefault="00325ED2" w:rsidP="005515A5">
            <w:pPr>
              <w:keepNext/>
              <w:keepLines/>
              <w:tabs>
                <w:tab w:val="decimal" w:pos="1062"/>
              </w:tabs>
              <w:spacing w:before="0" w:after="0"/>
              <w:jc w:val="center"/>
            </w:pPr>
            <w:r>
              <w:t>$1,621,795</w:t>
            </w:r>
          </w:p>
        </w:tc>
        <w:tc>
          <w:tcPr>
            <w:tcW w:w="1350" w:type="dxa"/>
            <w:vAlign w:val="center"/>
          </w:tcPr>
          <w:p w14:paraId="283FC634" w14:textId="34B60493" w:rsidR="005E7C55" w:rsidRDefault="006B7605" w:rsidP="005515A5">
            <w:pPr>
              <w:keepNext/>
              <w:keepLines/>
              <w:tabs>
                <w:tab w:val="decimal" w:pos="1062"/>
              </w:tabs>
              <w:spacing w:before="0" w:after="0"/>
              <w:jc w:val="center"/>
            </w:pPr>
            <w:r>
              <w:t>$</w:t>
            </w:r>
            <w:r w:rsidR="009D7403">
              <w:t>1,369,017</w:t>
            </w:r>
          </w:p>
        </w:tc>
        <w:tc>
          <w:tcPr>
            <w:tcW w:w="1350" w:type="dxa"/>
            <w:vAlign w:val="center"/>
          </w:tcPr>
          <w:p w14:paraId="31A37463" w14:textId="7D2D7BA0" w:rsidR="005E7C55" w:rsidRDefault="009D7403" w:rsidP="00337203">
            <w:pPr>
              <w:keepNext/>
              <w:keepLines/>
              <w:spacing w:before="0" w:after="0"/>
              <w:jc w:val="center"/>
            </w:pPr>
            <w:r>
              <w:t>84</w:t>
            </w:r>
            <w:r w:rsidR="00D013D2">
              <w:t>%</w:t>
            </w:r>
          </w:p>
        </w:tc>
        <w:tc>
          <w:tcPr>
            <w:tcW w:w="1080" w:type="dxa"/>
            <w:vAlign w:val="center"/>
          </w:tcPr>
          <w:p w14:paraId="66B4B5FB" w14:textId="7F1C8D51" w:rsidR="005E7C55" w:rsidRDefault="006C1477" w:rsidP="005515A5">
            <w:pPr>
              <w:keepNext/>
              <w:keepLines/>
              <w:tabs>
                <w:tab w:val="decimal" w:pos="792"/>
              </w:tabs>
              <w:spacing w:before="0" w:after="0"/>
              <w:jc w:val="center"/>
            </w:pPr>
            <w:r>
              <w:t>565,940</w:t>
            </w:r>
          </w:p>
        </w:tc>
        <w:tc>
          <w:tcPr>
            <w:tcW w:w="999" w:type="dxa"/>
            <w:vAlign w:val="center"/>
          </w:tcPr>
          <w:p w14:paraId="3DB64AFB" w14:textId="7455E3E4" w:rsidR="005E7C55" w:rsidRDefault="009806A5" w:rsidP="005515A5">
            <w:pPr>
              <w:keepNext/>
              <w:keepLines/>
              <w:tabs>
                <w:tab w:val="decimal" w:pos="783"/>
              </w:tabs>
              <w:spacing w:before="0" w:after="0"/>
              <w:jc w:val="center"/>
            </w:pPr>
            <w:r>
              <w:t>222,194</w:t>
            </w:r>
          </w:p>
        </w:tc>
        <w:tc>
          <w:tcPr>
            <w:tcW w:w="1336" w:type="dxa"/>
            <w:vAlign w:val="bottom"/>
          </w:tcPr>
          <w:p w14:paraId="15674F23" w14:textId="3E396E12" w:rsidR="005E7C55" w:rsidRDefault="00EA46A5" w:rsidP="005515A5">
            <w:pPr>
              <w:keepNext/>
              <w:keepLines/>
              <w:tabs>
                <w:tab w:val="decimal" w:pos="513"/>
              </w:tabs>
              <w:spacing w:before="0" w:after="0"/>
              <w:jc w:val="center"/>
            </w:pPr>
            <w:r>
              <w:t>39%</w:t>
            </w:r>
          </w:p>
        </w:tc>
      </w:tr>
      <w:tr w:rsidR="00EA46A5" w14:paraId="78CA156C" w14:textId="77777777" w:rsidTr="005515A5">
        <w:tc>
          <w:tcPr>
            <w:tcW w:w="1885" w:type="dxa"/>
          </w:tcPr>
          <w:p w14:paraId="1DDE4705" w14:textId="02B18572" w:rsidR="005E7C55" w:rsidRDefault="005E7C55" w:rsidP="00337203">
            <w:pPr>
              <w:keepNext/>
              <w:keepLines/>
              <w:spacing w:before="0" w:after="0"/>
            </w:pPr>
            <w:r>
              <w:t>Low Income</w:t>
            </w:r>
          </w:p>
        </w:tc>
        <w:tc>
          <w:tcPr>
            <w:tcW w:w="1350" w:type="dxa"/>
            <w:vAlign w:val="center"/>
          </w:tcPr>
          <w:p w14:paraId="73574DF3" w14:textId="28A3E85F" w:rsidR="005E7C55" w:rsidRDefault="00325ED2" w:rsidP="005515A5">
            <w:pPr>
              <w:keepNext/>
              <w:keepLines/>
              <w:tabs>
                <w:tab w:val="decimal" w:pos="1062"/>
              </w:tabs>
              <w:spacing w:before="0" w:after="0"/>
              <w:jc w:val="center"/>
            </w:pPr>
            <w:r>
              <w:t>$105,002</w:t>
            </w:r>
          </w:p>
        </w:tc>
        <w:tc>
          <w:tcPr>
            <w:tcW w:w="1350" w:type="dxa"/>
            <w:vAlign w:val="center"/>
          </w:tcPr>
          <w:p w14:paraId="775659E3" w14:textId="426C4634" w:rsidR="005E7C55" w:rsidRDefault="006B7605" w:rsidP="005515A5">
            <w:pPr>
              <w:keepNext/>
              <w:keepLines/>
              <w:tabs>
                <w:tab w:val="decimal" w:pos="1062"/>
              </w:tabs>
              <w:spacing w:before="0" w:after="0"/>
              <w:jc w:val="center"/>
            </w:pPr>
            <w:r>
              <w:t>$93,377</w:t>
            </w:r>
          </w:p>
        </w:tc>
        <w:tc>
          <w:tcPr>
            <w:tcW w:w="1350" w:type="dxa"/>
            <w:vAlign w:val="center"/>
          </w:tcPr>
          <w:p w14:paraId="46C347FC" w14:textId="6FA8B68A" w:rsidR="005E7C55" w:rsidRDefault="00D013D2" w:rsidP="00337203">
            <w:pPr>
              <w:keepNext/>
              <w:keepLines/>
              <w:spacing w:before="0" w:after="0"/>
              <w:jc w:val="center"/>
            </w:pPr>
            <w:r>
              <w:t>89%</w:t>
            </w:r>
          </w:p>
        </w:tc>
        <w:tc>
          <w:tcPr>
            <w:tcW w:w="1080" w:type="dxa"/>
            <w:vAlign w:val="center"/>
          </w:tcPr>
          <w:p w14:paraId="4CAD6563" w14:textId="0F9706BA" w:rsidR="005E7C55" w:rsidRDefault="006C1477" w:rsidP="005515A5">
            <w:pPr>
              <w:keepNext/>
              <w:keepLines/>
              <w:tabs>
                <w:tab w:val="decimal" w:pos="792"/>
              </w:tabs>
              <w:spacing w:before="0" w:after="0"/>
              <w:jc w:val="center"/>
            </w:pPr>
            <w:r>
              <w:t>7,000</w:t>
            </w:r>
          </w:p>
        </w:tc>
        <w:tc>
          <w:tcPr>
            <w:tcW w:w="999" w:type="dxa"/>
            <w:vAlign w:val="center"/>
          </w:tcPr>
          <w:p w14:paraId="331774D0" w14:textId="742051B4" w:rsidR="005E7C55" w:rsidRDefault="009806A5" w:rsidP="005515A5">
            <w:pPr>
              <w:keepNext/>
              <w:keepLines/>
              <w:tabs>
                <w:tab w:val="decimal" w:pos="783"/>
              </w:tabs>
              <w:spacing w:before="0" w:after="0"/>
              <w:jc w:val="center"/>
            </w:pPr>
            <w:r>
              <w:t>11,743</w:t>
            </w:r>
          </w:p>
        </w:tc>
        <w:tc>
          <w:tcPr>
            <w:tcW w:w="1336" w:type="dxa"/>
            <w:vAlign w:val="bottom"/>
          </w:tcPr>
          <w:p w14:paraId="25E90DFB" w14:textId="0BC4B248" w:rsidR="005E7C55" w:rsidRDefault="00EA46A5" w:rsidP="005515A5">
            <w:pPr>
              <w:keepNext/>
              <w:keepLines/>
              <w:tabs>
                <w:tab w:val="decimal" w:pos="513"/>
              </w:tabs>
              <w:spacing w:before="0" w:after="0"/>
              <w:jc w:val="center"/>
            </w:pPr>
            <w:r>
              <w:t>168%</w:t>
            </w:r>
          </w:p>
        </w:tc>
      </w:tr>
      <w:tr w:rsidR="000301D9" w14:paraId="7FB89006" w14:textId="77777777" w:rsidTr="005515A5">
        <w:tc>
          <w:tcPr>
            <w:tcW w:w="1885" w:type="dxa"/>
            <w:shd w:val="clear" w:color="auto" w:fill="D9D9D9" w:themeFill="background1" w:themeFillShade="D9"/>
          </w:tcPr>
          <w:p w14:paraId="5AB1E67E" w14:textId="20BFF6C8" w:rsidR="000301D9" w:rsidRDefault="00742A34" w:rsidP="00337203">
            <w:pPr>
              <w:keepNext/>
              <w:keepLines/>
              <w:spacing w:before="0" w:after="0"/>
            </w:pPr>
            <w:r>
              <w:t>Portfolio</w:t>
            </w:r>
            <w:r w:rsidR="00303271">
              <w:t xml:space="preserve"> </w:t>
            </w:r>
            <w:r w:rsidR="000301D9">
              <w:t>Total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5E45599" w14:textId="1DBA537B" w:rsidR="000301D9" w:rsidRDefault="000301D9" w:rsidP="005515A5">
            <w:pPr>
              <w:keepNext/>
              <w:keepLines/>
              <w:tabs>
                <w:tab w:val="decimal" w:pos="1062"/>
              </w:tabs>
              <w:spacing w:before="0" w:after="0"/>
              <w:jc w:val="center"/>
            </w:pPr>
            <w:r>
              <w:t>$3,362,694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3B4C904" w14:textId="67AD1F51" w:rsidR="000301D9" w:rsidRDefault="000301D9" w:rsidP="005515A5">
            <w:pPr>
              <w:keepNext/>
              <w:keepLines/>
              <w:tabs>
                <w:tab w:val="decimal" w:pos="1062"/>
              </w:tabs>
              <w:spacing w:before="0" w:after="0"/>
              <w:jc w:val="center"/>
            </w:pPr>
            <w:r>
              <w:t>$2,440,315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99070CC" w14:textId="01219B86" w:rsidR="000301D9" w:rsidRDefault="000301D9" w:rsidP="00337203">
            <w:pPr>
              <w:keepNext/>
              <w:keepLines/>
              <w:spacing w:before="0" w:after="0"/>
              <w:jc w:val="center"/>
            </w:pPr>
            <w:r>
              <w:t>73%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54433DA" w14:textId="2D32178C" w:rsidR="000301D9" w:rsidRDefault="000301D9" w:rsidP="005515A5">
            <w:pPr>
              <w:keepNext/>
              <w:keepLines/>
              <w:tabs>
                <w:tab w:val="decimal" w:pos="792"/>
              </w:tabs>
              <w:spacing w:before="0" w:after="0"/>
              <w:jc w:val="center"/>
            </w:pPr>
            <w:r>
              <w:t>982,915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748601B1" w14:textId="1BFDB35A" w:rsidR="000301D9" w:rsidRDefault="000301D9" w:rsidP="00337203">
            <w:pPr>
              <w:keepNext/>
              <w:keepLines/>
              <w:spacing w:before="0" w:after="0"/>
              <w:jc w:val="center"/>
            </w:pPr>
            <w:r>
              <w:t>405,557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bottom"/>
          </w:tcPr>
          <w:p w14:paraId="53FBD8CA" w14:textId="2AA7E950" w:rsidR="000301D9" w:rsidRDefault="000301D9" w:rsidP="005515A5">
            <w:pPr>
              <w:keepNext/>
              <w:keepLines/>
              <w:tabs>
                <w:tab w:val="decimal" w:pos="513"/>
              </w:tabs>
              <w:spacing w:before="0" w:after="0"/>
              <w:jc w:val="center"/>
            </w:pPr>
            <w:r>
              <w:t>41%</w:t>
            </w:r>
          </w:p>
        </w:tc>
      </w:tr>
    </w:tbl>
    <w:p w14:paraId="49B9C48B" w14:textId="25C276AB" w:rsidR="00570691" w:rsidRDefault="00570691" w:rsidP="00FF75F4">
      <w:r w:rsidRPr="00810EBE">
        <w:rPr>
          <w:i/>
        </w:rPr>
        <w:t xml:space="preserve">Conservation </w:t>
      </w:r>
      <w:r w:rsidR="00810EBE" w:rsidRPr="00810EBE">
        <w:rPr>
          <w:i/>
        </w:rPr>
        <w:t>Guidelines</w:t>
      </w:r>
      <w:r w:rsidR="00810EBE">
        <w:t xml:space="preserve">: </w:t>
      </w:r>
      <w:r w:rsidR="00594D00">
        <w:t xml:space="preserve">The American Council for an Energy-Efficient Economy </w:t>
      </w:r>
      <w:r w:rsidR="00252BED">
        <w:t xml:space="preserve">(ACEEE) </w:t>
      </w:r>
      <w:r w:rsidR="00594D00">
        <w:t>use</w:t>
      </w:r>
      <w:r w:rsidR="00BC1234">
        <w:t>s</w:t>
      </w:r>
      <w:r w:rsidR="00594D00">
        <w:t xml:space="preserve"> </w:t>
      </w:r>
      <w:r w:rsidR="000C4823">
        <w:t xml:space="preserve">the proportion of conservation achieved as a percentage of </w:t>
      </w:r>
      <w:r w:rsidR="006C114C">
        <w:t xml:space="preserve">retail </w:t>
      </w:r>
      <w:r w:rsidR="000C4823">
        <w:t xml:space="preserve">sales and how much </w:t>
      </w:r>
      <w:r w:rsidR="006C114C">
        <w:t xml:space="preserve">is spent on </w:t>
      </w:r>
      <w:r w:rsidR="000C4823">
        <w:t xml:space="preserve">conservation </w:t>
      </w:r>
      <w:r w:rsidR="006C114C">
        <w:t xml:space="preserve">by </w:t>
      </w:r>
      <w:r w:rsidR="000C4823">
        <w:t xml:space="preserve">residential customer </w:t>
      </w:r>
      <w:r w:rsidR="00594D00">
        <w:t xml:space="preserve">to </w:t>
      </w:r>
      <w:r w:rsidR="007C0E49">
        <w:t xml:space="preserve">compare </w:t>
      </w:r>
      <w:r w:rsidR="00993DDD">
        <w:t>statewide</w:t>
      </w:r>
      <w:r w:rsidR="00704296">
        <w:t xml:space="preserve"> natural gas</w:t>
      </w:r>
      <w:r w:rsidR="00993DDD">
        <w:t xml:space="preserve"> conservation </w:t>
      </w:r>
      <w:r w:rsidR="00252BED">
        <w:t>efforts</w:t>
      </w:r>
      <w:r w:rsidR="007C0E49">
        <w:t xml:space="preserve"> across the nation</w:t>
      </w:r>
      <w:r w:rsidR="00993DDD">
        <w:t>.</w:t>
      </w:r>
      <w:r w:rsidR="00742A34">
        <w:rPr>
          <w:rStyle w:val="FootnoteReference"/>
        </w:rPr>
        <w:footnoteReference w:id="7"/>
      </w:r>
      <w:r w:rsidR="00594D00">
        <w:t xml:space="preserve"> </w:t>
      </w:r>
      <w:r w:rsidR="00237F2C">
        <w:t>In general,</w:t>
      </w:r>
      <w:r w:rsidR="002E1BBE">
        <w:t xml:space="preserve"> healthy programs</w:t>
      </w:r>
      <w:r w:rsidR="00237F2C">
        <w:t xml:space="preserve"> </w:t>
      </w:r>
      <w:r w:rsidR="00DC3FB8">
        <w:t xml:space="preserve">on a national level </w:t>
      </w:r>
      <w:r w:rsidR="00732B66">
        <w:t>conserve 1</w:t>
      </w:r>
      <w:r w:rsidR="001F2FA1">
        <w:t>.0 percent</w:t>
      </w:r>
      <w:r w:rsidR="00732B66">
        <w:t xml:space="preserve"> of total sales in therms and spend </w:t>
      </w:r>
      <w:r w:rsidR="00252BED">
        <w:t xml:space="preserve">$35 per residential customer. </w:t>
      </w:r>
      <w:r w:rsidR="00B54B63">
        <w:t>In 2016, Cascade conserved</w:t>
      </w:r>
      <w:r w:rsidR="006E7EC0">
        <w:t xml:space="preserve"> just</w:t>
      </w:r>
      <w:r w:rsidR="00B54B63">
        <w:t xml:space="preserve"> </w:t>
      </w:r>
      <w:r w:rsidR="00BC1234">
        <w:t>0</w:t>
      </w:r>
      <w:r w:rsidR="00B54B63">
        <w:t xml:space="preserve">.2 percent of </w:t>
      </w:r>
      <w:r w:rsidR="006E7EC0">
        <w:t xml:space="preserve">sales in therms and spent a little over </w:t>
      </w:r>
      <w:r w:rsidR="00B54B63">
        <w:t>$</w:t>
      </w:r>
      <w:r w:rsidR="006E7EC0">
        <w:t>13</w:t>
      </w:r>
      <w:r w:rsidR="00B54B63">
        <w:t xml:space="preserve"> per residential customer.</w:t>
      </w:r>
    </w:p>
    <w:p w14:paraId="1555A8D3" w14:textId="4A558F79" w:rsidR="000A2807" w:rsidRDefault="00272D9B" w:rsidP="00FF75F4">
      <w:r w:rsidRPr="00272D9B">
        <w:rPr>
          <w:i/>
        </w:rPr>
        <w:t>Cascade</w:t>
      </w:r>
      <w:r w:rsidR="00BC1234">
        <w:rPr>
          <w:i/>
        </w:rPr>
        <w:t>’</w:t>
      </w:r>
      <w:r w:rsidRPr="00272D9B">
        <w:rPr>
          <w:i/>
        </w:rPr>
        <w:t>s Actions for Correction</w:t>
      </w:r>
      <w:r>
        <w:t>:</w:t>
      </w:r>
      <w:r w:rsidR="00F9146F">
        <w:t xml:space="preserve"> </w:t>
      </w:r>
      <w:r w:rsidR="00BA5937">
        <w:t>Cascade</w:t>
      </w:r>
      <w:r w:rsidR="00207D65">
        <w:t xml:space="preserve"> report</w:t>
      </w:r>
      <w:r w:rsidR="004C1332">
        <w:t>s</w:t>
      </w:r>
      <w:r w:rsidR="001F2FA1">
        <w:t xml:space="preserve"> </w:t>
      </w:r>
      <w:r w:rsidR="009B12FE">
        <w:t>that conservation incentive levels</w:t>
      </w:r>
      <w:r w:rsidR="007C0E49">
        <w:t xml:space="preserve"> in 2016</w:t>
      </w:r>
      <w:r w:rsidR="009B12FE">
        <w:t xml:space="preserve"> </w:t>
      </w:r>
      <w:r w:rsidR="001F2FA1">
        <w:t xml:space="preserve">were </w:t>
      </w:r>
      <w:r w:rsidR="009B12FE">
        <w:t xml:space="preserve">not </w:t>
      </w:r>
      <w:r w:rsidR="00BC1234">
        <w:t>high enough</w:t>
      </w:r>
      <w:r w:rsidR="009B12FE">
        <w:t xml:space="preserve"> to drive additional efficiency </w:t>
      </w:r>
      <w:r w:rsidR="00BC1234">
        <w:t>achievement</w:t>
      </w:r>
      <w:r w:rsidR="009B12FE">
        <w:t xml:space="preserve">. Staff agrees with this assessment. </w:t>
      </w:r>
      <w:r w:rsidR="00B6589B">
        <w:t>Encouragingly</w:t>
      </w:r>
      <w:r w:rsidR="001F2FA1">
        <w:t>,</w:t>
      </w:r>
      <w:r w:rsidR="00B6589B">
        <w:t xml:space="preserve"> the</w:t>
      </w:r>
      <w:r w:rsidR="009B12FE">
        <w:t xml:space="preserve"> company has </w:t>
      </w:r>
      <w:r w:rsidR="00B6589B">
        <w:t xml:space="preserve">already </w:t>
      </w:r>
      <w:r w:rsidR="001F2FA1">
        <w:t>implemented the new</w:t>
      </w:r>
      <w:r w:rsidR="00B6589B">
        <w:t xml:space="preserve"> measures and higher conservation incentives</w:t>
      </w:r>
      <w:r w:rsidR="001F2FA1">
        <w:t xml:space="preserve"> to address this problem</w:t>
      </w:r>
      <w:r w:rsidR="00B6589B">
        <w:t>.</w:t>
      </w:r>
      <w:r w:rsidR="007C0E49">
        <w:rPr>
          <w:rStyle w:val="FootnoteReference"/>
        </w:rPr>
        <w:footnoteReference w:id="8"/>
      </w:r>
    </w:p>
    <w:p w14:paraId="107B5DED" w14:textId="04D02EE1" w:rsidR="002A798D" w:rsidRDefault="009D6B4F" w:rsidP="00FF75F4">
      <w:r>
        <w:t xml:space="preserve">Additionally, in the process of acknowledging Cascade’s 2017 Conservation Plan, the company agreed to issue </w:t>
      </w:r>
      <w:r w:rsidR="00284F14">
        <w:t>a request for proposal to procure</w:t>
      </w:r>
      <w:r w:rsidR="00063C7F">
        <w:t xml:space="preserve"> </w:t>
      </w:r>
      <w:r w:rsidR="007C0E49">
        <w:t xml:space="preserve">a </w:t>
      </w:r>
      <w:r w:rsidR="00704296">
        <w:t>m</w:t>
      </w:r>
      <w:r w:rsidR="00063C7F">
        <w:t xml:space="preserve">ore </w:t>
      </w:r>
      <w:r w:rsidR="007C0E49">
        <w:t xml:space="preserve">accurate </w:t>
      </w:r>
      <w:r w:rsidR="00284F14">
        <w:t>energy-</w:t>
      </w:r>
      <w:r w:rsidR="00063C7F">
        <w:t>efficiency</w:t>
      </w:r>
      <w:r w:rsidR="00284F14">
        <w:t xml:space="preserve"> po</w:t>
      </w:r>
      <w:r w:rsidR="00063C7F">
        <w:t xml:space="preserve">tential assessment and </w:t>
      </w:r>
      <w:r w:rsidR="007C0E49">
        <w:t xml:space="preserve">associated </w:t>
      </w:r>
      <w:r w:rsidR="00063C7F">
        <w:t xml:space="preserve">modeling software. </w:t>
      </w:r>
      <w:r w:rsidR="007C0E49">
        <w:t>Staff believes t</w:t>
      </w:r>
      <w:r w:rsidR="00063C7F">
        <w:t xml:space="preserve">his new tool will </w:t>
      </w:r>
      <w:r w:rsidR="007C0E49">
        <w:t>enable better planning</w:t>
      </w:r>
      <w:r w:rsidR="000C4823">
        <w:t>, target-setting,</w:t>
      </w:r>
      <w:r w:rsidR="007C0E49">
        <w:t xml:space="preserve"> and better</w:t>
      </w:r>
      <w:r w:rsidR="0043409D">
        <w:t xml:space="preserve"> conservation </w:t>
      </w:r>
      <w:r w:rsidR="007C0E49">
        <w:t>implementation</w:t>
      </w:r>
      <w:r w:rsidR="0043409D">
        <w:t>.</w:t>
      </w:r>
      <w:r w:rsidR="000A2807">
        <w:t xml:space="preserve"> </w:t>
      </w:r>
    </w:p>
    <w:p w14:paraId="64E82BF4" w14:textId="77777777" w:rsidR="00307757" w:rsidRPr="0056306F" w:rsidRDefault="00307757" w:rsidP="00307757">
      <w:pPr>
        <w:pStyle w:val="Heading1"/>
      </w:pPr>
      <w:r>
        <w:t>Conclusion</w:t>
      </w:r>
    </w:p>
    <w:p w14:paraId="39EB26DA" w14:textId="3AA44035" w:rsidR="00307757" w:rsidRDefault="00307757" w:rsidP="00307757">
      <w:r>
        <w:t xml:space="preserve">The results of Cascade’s 2016 Conservation Program </w:t>
      </w:r>
      <w:r w:rsidR="00225462">
        <w:t xml:space="preserve">are not </w:t>
      </w:r>
      <w:r>
        <w:t>acceptable</w:t>
      </w:r>
      <w:r w:rsidR="007C0E49">
        <w:t>. However, the</w:t>
      </w:r>
      <w:r>
        <w:t xml:space="preserve"> significant changes required to place the program more in-line with other natural gas conservation programs, with counsel from </w:t>
      </w:r>
      <w:r w:rsidR="005515A5">
        <w:t>s</w:t>
      </w:r>
      <w:r>
        <w:t>taff and the Advisory Group,</w:t>
      </w:r>
      <w:r w:rsidR="00621B12">
        <w:t xml:space="preserve"> </w:t>
      </w:r>
      <w:r w:rsidR="007C0E49">
        <w:t>are already underway</w:t>
      </w:r>
      <w:r w:rsidR="00621B12">
        <w:t>.</w:t>
      </w:r>
    </w:p>
    <w:p w14:paraId="38EE980C" w14:textId="0DD8EEB8" w:rsidR="00DC3FB8" w:rsidRDefault="00DC3FB8" w:rsidP="00DC3FB8">
      <w:pPr>
        <w:pStyle w:val="Heading1"/>
      </w:pPr>
      <w:r>
        <w:t>Recommendation</w:t>
      </w:r>
    </w:p>
    <w:p w14:paraId="0595C4BA" w14:textId="5B848CDB" w:rsidR="009D2468" w:rsidRPr="008E5730" w:rsidRDefault="009D2468" w:rsidP="009D2468">
      <w:r>
        <w:t xml:space="preserve">Staff recommends the </w:t>
      </w:r>
      <w:r w:rsidR="005515A5">
        <w:t>c</w:t>
      </w:r>
      <w:r>
        <w:t>ommission acknowledge the Cascade Natural Gas Corporation’s 2016 Annual Conservation Achievement Report.</w:t>
      </w:r>
    </w:p>
    <w:sectPr w:rsidR="009D2468" w:rsidRPr="008E5730" w:rsidSect="004D4B84">
      <w:headerReference w:type="default" r:id="rId12"/>
      <w:pgSz w:w="12240" w:h="15840"/>
      <w:pgMar w:top="1080" w:right="1440" w:bottom="1440" w:left="1440" w:header="9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74F1E" w14:textId="77777777" w:rsidR="00DD792B" w:rsidRDefault="00DD792B" w:rsidP="00FF75F4">
      <w:r>
        <w:separator/>
      </w:r>
    </w:p>
  </w:endnote>
  <w:endnote w:type="continuationSeparator" w:id="0">
    <w:p w14:paraId="5D6488D6" w14:textId="77777777" w:rsidR="00DD792B" w:rsidRDefault="00DD792B" w:rsidP="00FF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0C154" w14:textId="77777777" w:rsidR="00DD792B" w:rsidRDefault="00DD792B" w:rsidP="00FF75F4">
      <w:r>
        <w:separator/>
      </w:r>
    </w:p>
  </w:footnote>
  <w:footnote w:type="continuationSeparator" w:id="0">
    <w:p w14:paraId="10EB5DF5" w14:textId="77777777" w:rsidR="00DD792B" w:rsidRDefault="00DD792B" w:rsidP="00FF75F4">
      <w:r>
        <w:continuationSeparator/>
      </w:r>
    </w:p>
  </w:footnote>
  <w:footnote w:id="1">
    <w:p w14:paraId="22112FFC" w14:textId="271B8298" w:rsidR="00284F14" w:rsidRDefault="00284F14" w:rsidP="003E1FE0">
      <w:pPr>
        <w:pStyle w:val="FootnoteText"/>
        <w:spacing w:before="0" w:after="0"/>
      </w:pPr>
      <w:r>
        <w:rPr>
          <w:rStyle w:val="FootnoteReference"/>
        </w:rPr>
        <w:footnoteRef/>
      </w:r>
      <w:r>
        <w:t xml:space="preserve"> </w:t>
      </w:r>
      <w:r w:rsidRPr="0022286D">
        <w:rPr>
          <w:i/>
        </w:rPr>
        <w:t>WUTC v. Cascade Natural Gas Corporation</w:t>
      </w:r>
      <w:r>
        <w:t xml:space="preserve">, </w:t>
      </w:r>
      <w:r w:rsidR="001824C7">
        <w:t>D</w:t>
      </w:r>
      <w:r>
        <w:t>ocket UG-152286, Order 04, ¶10 (July 7, 2016).</w:t>
      </w:r>
    </w:p>
  </w:footnote>
  <w:footnote w:id="2">
    <w:p w14:paraId="27272063" w14:textId="7B9EFDC4" w:rsidR="003E1FE0" w:rsidRDefault="003E1FE0" w:rsidP="003E1FE0">
      <w:pPr>
        <w:pStyle w:val="FootnoteText"/>
        <w:spacing w:before="0" w:after="0"/>
      </w:pPr>
      <w:r>
        <w:rPr>
          <w:rStyle w:val="FootnoteReference"/>
        </w:rPr>
        <w:footnoteRef/>
      </w:r>
      <w:r>
        <w:t xml:space="preserve"> The company submits an advanced version of the report to their conservation Advisory Group for comment at least 30 days prior to submitting a final revision to the Commission.</w:t>
      </w:r>
    </w:p>
  </w:footnote>
  <w:footnote w:id="3">
    <w:p w14:paraId="1A9ECBB0" w14:textId="471D82EB" w:rsidR="00D21FB4" w:rsidRDefault="00D21FB4" w:rsidP="003E1FE0">
      <w:pPr>
        <w:pStyle w:val="FootnoteText"/>
        <w:spacing w:before="0" w:after="0"/>
      </w:pPr>
      <w:r>
        <w:rPr>
          <w:rStyle w:val="FootnoteReference"/>
        </w:rPr>
        <w:footnoteRef/>
      </w:r>
      <w:r>
        <w:t xml:space="preserve"> Docket UG-1</w:t>
      </w:r>
      <w:r w:rsidR="004E5EFC">
        <w:t>161253</w:t>
      </w:r>
      <w:r>
        <w:t>, Staff Open Meeting Memo (</w:t>
      </w:r>
      <w:r w:rsidR="004E5EFC">
        <w:t>March 16</w:t>
      </w:r>
      <w:r>
        <w:t>, 2017).</w:t>
      </w:r>
    </w:p>
  </w:footnote>
  <w:footnote w:id="4">
    <w:p w14:paraId="007D455C" w14:textId="33B1558E" w:rsidR="00284F14" w:rsidRDefault="00284F14" w:rsidP="003E1FE0">
      <w:pPr>
        <w:pStyle w:val="FootnoteText"/>
        <w:spacing w:before="0" w:after="0"/>
      </w:pPr>
      <w:r>
        <w:rPr>
          <w:rStyle w:val="FootnoteReference"/>
        </w:rPr>
        <w:footnoteRef/>
      </w:r>
      <w:r>
        <w:t xml:space="preserve"> 2016 Washington Conservation Plan, UG-152354 (</w:t>
      </w:r>
      <w:r w:rsidR="00BC1234">
        <w:t xml:space="preserve">Dec. 5, </w:t>
      </w:r>
      <w:r>
        <w:t>2015).</w:t>
      </w:r>
    </w:p>
  </w:footnote>
  <w:footnote w:id="5">
    <w:p w14:paraId="11D3542F" w14:textId="04495C43" w:rsidR="00BD70A7" w:rsidRDefault="00BD70A7" w:rsidP="00AF4742">
      <w:pPr>
        <w:pStyle w:val="FootnoteText"/>
        <w:spacing w:before="0" w:after="0"/>
      </w:pPr>
      <w:r>
        <w:rPr>
          <w:rStyle w:val="FootnoteReference"/>
        </w:rPr>
        <w:footnoteRef/>
      </w:r>
      <w:r>
        <w:t xml:space="preserve"> Combined </w:t>
      </w:r>
      <w:r w:rsidR="00BC1234">
        <w:t>r</w:t>
      </w:r>
      <w:r>
        <w:t xml:space="preserve">esidential and </w:t>
      </w:r>
      <w:r w:rsidR="00BC1234">
        <w:t>c</w:t>
      </w:r>
      <w:r>
        <w:t>ommercial</w:t>
      </w:r>
      <w:r w:rsidR="00BC1234">
        <w:t>, excluded low-income residential</w:t>
      </w:r>
      <w:r>
        <w:t>.</w:t>
      </w:r>
    </w:p>
  </w:footnote>
  <w:footnote w:id="6">
    <w:p w14:paraId="42D5E441" w14:textId="65AAEFF0" w:rsidR="007B53E3" w:rsidRDefault="007B53E3" w:rsidP="007B53E3">
      <w:pPr>
        <w:pStyle w:val="FootnoteText"/>
        <w:spacing w:before="0" w:after="0"/>
      </w:pPr>
      <w:r>
        <w:rPr>
          <w:rStyle w:val="FootnoteReference"/>
        </w:rPr>
        <w:footnoteRef/>
      </w:r>
      <w:r>
        <w:t xml:space="preserve"> Northwest Energy Efficiency Alliance 2016 budget was 244,996.</w:t>
      </w:r>
    </w:p>
  </w:footnote>
  <w:footnote w:id="7">
    <w:p w14:paraId="1A9E4843" w14:textId="7B70345E" w:rsidR="00284F14" w:rsidRDefault="00284F14" w:rsidP="00FC633C">
      <w:pPr>
        <w:pStyle w:val="FootnoteText"/>
        <w:tabs>
          <w:tab w:val="left" w:pos="5400"/>
        </w:tabs>
        <w:spacing w:before="0" w:after="0"/>
      </w:pPr>
      <w:r>
        <w:rPr>
          <w:rStyle w:val="FootnoteReference"/>
        </w:rPr>
        <w:footnoteRef/>
      </w:r>
      <w:r>
        <w:t xml:space="preserve"> 2016 State Energy Efficiency Scorecard</w:t>
      </w:r>
      <w:r w:rsidR="0042268B">
        <w:t xml:space="preserve">, </w:t>
      </w:r>
      <w:r w:rsidR="00FC633C">
        <w:t xml:space="preserve">pages 33 and </w:t>
      </w:r>
      <w:r w:rsidR="0042268B">
        <w:t>35, Table</w:t>
      </w:r>
      <w:r w:rsidR="002E1BBE">
        <w:t>s 12</w:t>
      </w:r>
      <w:r w:rsidR="00FC633C">
        <w:t xml:space="preserve"> and</w:t>
      </w:r>
      <w:r w:rsidR="0042268B">
        <w:t xml:space="preserve"> 14 at </w:t>
      </w:r>
      <w:r w:rsidR="0042268B" w:rsidRPr="0042268B">
        <w:t>http://aceee.org/sites/default/files/publications/researchreports/u1606.pdf</w:t>
      </w:r>
      <w:r w:rsidR="002F5783">
        <w:t>.</w:t>
      </w:r>
    </w:p>
  </w:footnote>
  <w:footnote w:id="8">
    <w:p w14:paraId="6CC3718E" w14:textId="60F95613" w:rsidR="007C0E49" w:rsidRDefault="007C0E49" w:rsidP="0006278B">
      <w:pPr>
        <w:pStyle w:val="FootnoteText"/>
        <w:spacing w:before="0" w:after="0"/>
      </w:pPr>
      <w:r>
        <w:rPr>
          <w:rStyle w:val="FootnoteReference"/>
        </w:rPr>
        <w:footnoteRef/>
      </w:r>
      <w:r>
        <w:t xml:space="preserve"> Docket UG-170670, Staff Open Meeting Memo (June 29, 2017).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6B5AF" w14:textId="3D4FA825" w:rsidR="004E40B7" w:rsidRPr="004E40B7" w:rsidRDefault="004E40B7" w:rsidP="004E40B7">
    <w:pPr>
      <w:pStyle w:val="Header"/>
      <w:spacing w:before="0" w:after="0"/>
      <w:rPr>
        <w:sz w:val="20"/>
        <w:szCs w:val="20"/>
      </w:rPr>
    </w:pPr>
    <w:r w:rsidRPr="004E40B7">
      <w:rPr>
        <w:sz w:val="20"/>
        <w:szCs w:val="20"/>
      </w:rPr>
      <w:t>Docket UG-170700</w:t>
    </w:r>
  </w:p>
  <w:p w14:paraId="6F8430C3" w14:textId="72921C8C" w:rsidR="004E40B7" w:rsidRPr="004E40B7" w:rsidRDefault="004E40B7" w:rsidP="004E40B7">
    <w:pPr>
      <w:pStyle w:val="Header"/>
      <w:spacing w:before="0" w:after="0"/>
      <w:rPr>
        <w:sz w:val="20"/>
        <w:szCs w:val="20"/>
      </w:rPr>
    </w:pPr>
    <w:r w:rsidRPr="004E40B7">
      <w:rPr>
        <w:sz w:val="20"/>
        <w:szCs w:val="20"/>
      </w:rPr>
      <w:t>July 13, 2017</w:t>
    </w:r>
  </w:p>
  <w:p w14:paraId="28BFCE14" w14:textId="08F73A4F" w:rsidR="004E40B7" w:rsidRDefault="004E40B7" w:rsidP="004E40B7">
    <w:pPr>
      <w:pStyle w:val="Header"/>
      <w:spacing w:before="0" w:after="0"/>
      <w:rPr>
        <w:sz w:val="20"/>
        <w:szCs w:val="20"/>
      </w:rPr>
    </w:pPr>
    <w:r w:rsidRPr="004E40B7">
      <w:rPr>
        <w:sz w:val="20"/>
        <w:szCs w:val="20"/>
      </w:rPr>
      <w:t xml:space="preserve">Page </w:t>
    </w:r>
    <w:r w:rsidRPr="004E40B7">
      <w:rPr>
        <w:sz w:val="20"/>
        <w:szCs w:val="20"/>
      </w:rPr>
      <w:fldChar w:fldCharType="begin"/>
    </w:r>
    <w:r w:rsidRPr="004E40B7">
      <w:rPr>
        <w:sz w:val="20"/>
        <w:szCs w:val="20"/>
      </w:rPr>
      <w:instrText xml:space="preserve"> PAGE   \* MERGEFORMAT </w:instrText>
    </w:r>
    <w:r w:rsidRPr="004E40B7">
      <w:rPr>
        <w:sz w:val="20"/>
        <w:szCs w:val="20"/>
      </w:rPr>
      <w:fldChar w:fldCharType="separate"/>
    </w:r>
    <w:r w:rsidR="00F2536D">
      <w:rPr>
        <w:noProof/>
        <w:sz w:val="20"/>
        <w:szCs w:val="20"/>
      </w:rPr>
      <w:t>2</w:t>
    </w:r>
    <w:r w:rsidRPr="004E40B7">
      <w:rPr>
        <w:noProof/>
        <w:sz w:val="20"/>
        <w:szCs w:val="20"/>
      </w:rPr>
      <w:fldChar w:fldCharType="end"/>
    </w:r>
  </w:p>
  <w:p w14:paraId="0F84AA0A" w14:textId="77777777" w:rsidR="004E40B7" w:rsidRDefault="004E40B7" w:rsidP="004E40B7">
    <w:pPr>
      <w:pStyle w:val="Header"/>
      <w:spacing w:before="0" w:after="0"/>
      <w:rPr>
        <w:sz w:val="20"/>
        <w:szCs w:val="20"/>
      </w:rPr>
    </w:pPr>
  </w:p>
  <w:p w14:paraId="6F7C0417" w14:textId="77777777" w:rsidR="004E40B7" w:rsidRPr="004E40B7" w:rsidRDefault="004E40B7" w:rsidP="004E40B7">
    <w:pPr>
      <w:pStyle w:val="Header"/>
      <w:spacing w:before="0" w:after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151DB"/>
    <w:multiLevelType w:val="hybridMultilevel"/>
    <w:tmpl w:val="09E4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36C12"/>
    <w:multiLevelType w:val="hybridMultilevel"/>
    <w:tmpl w:val="89DA0C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32C44"/>
    <w:multiLevelType w:val="multilevel"/>
    <w:tmpl w:val="826874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B93792C"/>
    <w:multiLevelType w:val="hybridMultilevel"/>
    <w:tmpl w:val="A0649F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70922"/>
    <w:multiLevelType w:val="hybridMultilevel"/>
    <w:tmpl w:val="AC861986"/>
    <w:lvl w:ilvl="0" w:tplc="0409000F">
      <w:start w:val="1"/>
      <w:numFmt w:val="decimal"/>
      <w:lvlText w:val="%1."/>
      <w:lvlJc w:val="left"/>
      <w:pPr>
        <w:ind w:left="816" w:hanging="360"/>
      </w:pPr>
    </w:lvl>
    <w:lvl w:ilvl="1" w:tplc="0409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765B416B"/>
    <w:multiLevelType w:val="hybridMultilevel"/>
    <w:tmpl w:val="E128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F5"/>
    <w:rsid w:val="0000078C"/>
    <w:rsid w:val="00001805"/>
    <w:rsid w:val="000126E3"/>
    <w:rsid w:val="00013E26"/>
    <w:rsid w:val="000163EC"/>
    <w:rsid w:val="00022E7D"/>
    <w:rsid w:val="00024A67"/>
    <w:rsid w:val="00025FA6"/>
    <w:rsid w:val="000301D9"/>
    <w:rsid w:val="0003560A"/>
    <w:rsid w:val="00037C78"/>
    <w:rsid w:val="00040CE3"/>
    <w:rsid w:val="000410E1"/>
    <w:rsid w:val="00041921"/>
    <w:rsid w:val="00041D97"/>
    <w:rsid w:val="00042271"/>
    <w:rsid w:val="00043283"/>
    <w:rsid w:val="000435DB"/>
    <w:rsid w:val="00045625"/>
    <w:rsid w:val="00045810"/>
    <w:rsid w:val="00046219"/>
    <w:rsid w:val="00047427"/>
    <w:rsid w:val="00052CF6"/>
    <w:rsid w:val="00054659"/>
    <w:rsid w:val="00057A1C"/>
    <w:rsid w:val="0006278B"/>
    <w:rsid w:val="00063C7F"/>
    <w:rsid w:val="00064791"/>
    <w:rsid w:val="00067825"/>
    <w:rsid w:val="0007005F"/>
    <w:rsid w:val="0007172B"/>
    <w:rsid w:val="0007323E"/>
    <w:rsid w:val="00074BF9"/>
    <w:rsid w:val="00081B83"/>
    <w:rsid w:val="00082655"/>
    <w:rsid w:val="00085613"/>
    <w:rsid w:val="00085778"/>
    <w:rsid w:val="00086F2E"/>
    <w:rsid w:val="000878B9"/>
    <w:rsid w:val="00091C94"/>
    <w:rsid w:val="00092CAE"/>
    <w:rsid w:val="00092E6A"/>
    <w:rsid w:val="00093653"/>
    <w:rsid w:val="00093F47"/>
    <w:rsid w:val="00096BD6"/>
    <w:rsid w:val="0009761D"/>
    <w:rsid w:val="00097757"/>
    <w:rsid w:val="000A125E"/>
    <w:rsid w:val="000A1774"/>
    <w:rsid w:val="000A2807"/>
    <w:rsid w:val="000A302B"/>
    <w:rsid w:val="000A36EF"/>
    <w:rsid w:val="000A4EDF"/>
    <w:rsid w:val="000A6695"/>
    <w:rsid w:val="000B2C0B"/>
    <w:rsid w:val="000C2B79"/>
    <w:rsid w:val="000C3464"/>
    <w:rsid w:val="000C4823"/>
    <w:rsid w:val="000C4AA0"/>
    <w:rsid w:val="000C561A"/>
    <w:rsid w:val="000C641A"/>
    <w:rsid w:val="000C6F30"/>
    <w:rsid w:val="000C7279"/>
    <w:rsid w:val="000D0DA1"/>
    <w:rsid w:val="000D120B"/>
    <w:rsid w:val="000D16AB"/>
    <w:rsid w:val="000D2AAE"/>
    <w:rsid w:val="000D335F"/>
    <w:rsid w:val="000D3B2E"/>
    <w:rsid w:val="000D7132"/>
    <w:rsid w:val="000E2D0C"/>
    <w:rsid w:val="000E4D9A"/>
    <w:rsid w:val="000E5A4A"/>
    <w:rsid w:val="000F018D"/>
    <w:rsid w:val="000F41CD"/>
    <w:rsid w:val="000F50B9"/>
    <w:rsid w:val="000F71E4"/>
    <w:rsid w:val="00100426"/>
    <w:rsid w:val="00100726"/>
    <w:rsid w:val="00103395"/>
    <w:rsid w:val="0010495C"/>
    <w:rsid w:val="00104E99"/>
    <w:rsid w:val="00106E5E"/>
    <w:rsid w:val="0011107B"/>
    <w:rsid w:val="001116D1"/>
    <w:rsid w:val="001131F0"/>
    <w:rsid w:val="00115F20"/>
    <w:rsid w:val="001162AB"/>
    <w:rsid w:val="0011768B"/>
    <w:rsid w:val="001233FA"/>
    <w:rsid w:val="00123BCE"/>
    <w:rsid w:val="00124A6F"/>
    <w:rsid w:val="001261D0"/>
    <w:rsid w:val="00131B57"/>
    <w:rsid w:val="00133AB9"/>
    <w:rsid w:val="00134FC4"/>
    <w:rsid w:val="00136969"/>
    <w:rsid w:val="00144549"/>
    <w:rsid w:val="00146617"/>
    <w:rsid w:val="001467BA"/>
    <w:rsid w:val="00147639"/>
    <w:rsid w:val="001508F0"/>
    <w:rsid w:val="00152793"/>
    <w:rsid w:val="001611D4"/>
    <w:rsid w:val="001621A5"/>
    <w:rsid w:val="00162E85"/>
    <w:rsid w:val="0016576F"/>
    <w:rsid w:val="00165F2A"/>
    <w:rsid w:val="00170495"/>
    <w:rsid w:val="00170726"/>
    <w:rsid w:val="00170970"/>
    <w:rsid w:val="0017204A"/>
    <w:rsid w:val="0017233C"/>
    <w:rsid w:val="00177433"/>
    <w:rsid w:val="00177783"/>
    <w:rsid w:val="00180D93"/>
    <w:rsid w:val="001824C7"/>
    <w:rsid w:val="00183031"/>
    <w:rsid w:val="001867BE"/>
    <w:rsid w:val="00186DE5"/>
    <w:rsid w:val="0018768C"/>
    <w:rsid w:val="00190E65"/>
    <w:rsid w:val="001916C0"/>
    <w:rsid w:val="001923BA"/>
    <w:rsid w:val="00192AD1"/>
    <w:rsid w:val="00194217"/>
    <w:rsid w:val="00194C72"/>
    <w:rsid w:val="001955BA"/>
    <w:rsid w:val="00196880"/>
    <w:rsid w:val="0019746B"/>
    <w:rsid w:val="00197804"/>
    <w:rsid w:val="001A408A"/>
    <w:rsid w:val="001A7006"/>
    <w:rsid w:val="001B4AC2"/>
    <w:rsid w:val="001C41E2"/>
    <w:rsid w:val="001C424C"/>
    <w:rsid w:val="001C5930"/>
    <w:rsid w:val="001C76BA"/>
    <w:rsid w:val="001C78C3"/>
    <w:rsid w:val="001D0D50"/>
    <w:rsid w:val="001E02AA"/>
    <w:rsid w:val="001F1DEC"/>
    <w:rsid w:val="001F2FA1"/>
    <w:rsid w:val="001F4797"/>
    <w:rsid w:val="001F4BAA"/>
    <w:rsid w:val="001F5226"/>
    <w:rsid w:val="002039BF"/>
    <w:rsid w:val="00204A52"/>
    <w:rsid w:val="0020635F"/>
    <w:rsid w:val="00207D65"/>
    <w:rsid w:val="0021347D"/>
    <w:rsid w:val="00216506"/>
    <w:rsid w:val="00216DC2"/>
    <w:rsid w:val="00220A9A"/>
    <w:rsid w:val="002215D4"/>
    <w:rsid w:val="0022286D"/>
    <w:rsid w:val="002245E8"/>
    <w:rsid w:val="00225462"/>
    <w:rsid w:val="00225BAA"/>
    <w:rsid w:val="0022715D"/>
    <w:rsid w:val="00227F90"/>
    <w:rsid w:val="00230536"/>
    <w:rsid w:val="00233031"/>
    <w:rsid w:val="002339A7"/>
    <w:rsid w:val="00234D0C"/>
    <w:rsid w:val="0023550C"/>
    <w:rsid w:val="00236145"/>
    <w:rsid w:val="00236427"/>
    <w:rsid w:val="00237F2C"/>
    <w:rsid w:val="00240863"/>
    <w:rsid w:val="00240D31"/>
    <w:rsid w:val="00241B8C"/>
    <w:rsid w:val="00242044"/>
    <w:rsid w:val="00243747"/>
    <w:rsid w:val="00246541"/>
    <w:rsid w:val="00252BED"/>
    <w:rsid w:val="00252D7E"/>
    <w:rsid w:val="002545E2"/>
    <w:rsid w:val="00255F98"/>
    <w:rsid w:val="0025719E"/>
    <w:rsid w:val="00257374"/>
    <w:rsid w:val="0026091E"/>
    <w:rsid w:val="00262872"/>
    <w:rsid w:val="00266A9D"/>
    <w:rsid w:val="00266F1F"/>
    <w:rsid w:val="00267400"/>
    <w:rsid w:val="00270333"/>
    <w:rsid w:val="00270C65"/>
    <w:rsid w:val="00270C9C"/>
    <w:rsid w:val="00271B9B"/>
    <w:rsid w:val="00271BAD"/>
    <w:rsid w:val="00271DF6"/>
    <w:rsid w:val="00272D9B"/>
    <w:rsid w:val="00272EAF"/>
    <w:rsid w:val="00273AAA"/>
    <w:rsid w:val="00277399"/>
    <w:rsid w:val="0027795B"/>
    <w:rsid w:val="002803F5"/>
    <w:rsid w:val="00280F8A"/>
    <w:rsid w:val="00281461"/>
    <w:rsid w:val="0028215A"/>
    <w:rsid w:val="00284E91"/>
    <w:rsid w:val="00284F14"/>
    <w:rsid w:val="002970C4"/>
    <w:rsid w:val="00297C4B"/>
    <w:rsid w:val="002A17DE"/>
    <w:rsid w:val="002A36C0"/>
    <w:rsid w:val="002A3F3D"/>
    <w:rsid w:val="002A4C5E"/>
    <w:rsid w:val="002A5E87"/>
    <w:rsid w:val="002A66FE"/>
    <w:rsid w:val="002A67A9"/>
    <w:rsid w:val="002A798D"/>
    <w:rsid w:val="002A7D14"/>
    <w:rsid w:val="002B0496"/>
    <w:rsid w:val="002B2F63"/>
    <w:rsid w:val="002B4228"/>
    <w:rsid w:val="002B4FD8"/>
    <w:rsid w:val="002B5D6D"/>
    <w:rsid w:val="002C0730"/>
    <w:rsid w:val="002C40C5"/>
    <w:rsid w:val="002C5999"/>
    <w:rsid w:val="002C648F"/>
    <w:rsid w:val="002C74B0"/>
    <w:rsid w:val="002D3A0F"/>
    <w:rsid w:val="002D3D8B"/>
    <w:rsid w:val="002D4A71"/>
    <w:rsid w:val="002D53EB"/>
    <w:rsid w:val="002D5D50"/>
    <w:rsid w:val="002D7FAC"/>
    <w:rsid w:val="002E066C"/>
    <w:rsid w:val="002E1BBE"/>
    <w:rsid w:val="002E69E9"/>
    <w:rsid w:val="002E7662"/>
    <w:rsid w:val="002E7CC5"/>
    <w:rsid w:val="002F156B"/>
    <w:rsid w:val="002F303C"/>
    <w:rsid w:val="002F5783"/>
    <w:rsid w:val="002F5A33"/>
    <w:rsid w:val="002F5CCA"/>
    <w:rsid w:val="002F7C4E"/>
    <w:rsid w:val="002F7D05"/>
    <w:rsid w:val="002F7FCC"/>
    <w:rsid w:val="0030205A"/>
    <w:rsid w:val="00303271"/>
    <w:rsid w:val="00304156"/>
    <w:rsid w:val="00304D53"/>
    <w:rsid w:val="00304FF8"/>
    <w:rsid w:val="00307757"/>
    <w:rsid w:val="003109C9"/>
    <w:rsid w:val="003139AE"/>
    <w:rsid w:val="00314086"/>
    <w:rsid w:val="00316A9D"/>
    <w:rsid w:val="003174F8"/>
    <w:rsid w:val="003204F8"/>
    <w:rsid w:val="00322A9D"/>
    <w:rsid w:val="0032544B"/>
    <w:rsid w:val="00325B24"/>
    <w:rsid w:val="00325ED2"/>
    <w:rsid w:val="003326BC"/>
    <w:rsid w:val="003329DB"/>
    <w:rsid w:val="00332D84"/>
    <w:rsid w:val="00332F2F"/>
    <w:rsid w:val="00336728"/>
    <w:rsid w:val="00337203"/>
    <w:rsid w:val="0033757E"/>
    <w:rsid w:val="00340117"/>
    <w:rsid w:val="00343083"/>
    <w:rsid w:val="003432D1"/>
    <w:rsid w:val="00343B9D"/>
    <w:rsid w:val="003604AA"/>
    <w:rsid w:val="003607EF"/>
    <w:rsid w:val="003614F9"/>
    <w:rsid w:val="00364846"/>
    <w:rsid w:val="003702DA"/>
    <w:rsid w:val="0037080B"/>
    <w:rsid w:val="00372101"/>
    <w:rsid w:val="003776C2"/>
    <w:rsid w:val="0038660C"/>
    <w:rsid w:val="003915F4"/>
    <w:rsid w:val="00391AB8"/>
    <w:rsid w:val="003927A9"/>
    <w:rsid w:val="00394387"/>
    <w:rsid w:val="00397BD7"/>
    <w:rsid w:val="003A683D"/>
    <w:rsid w:val="003B0E6C"/>
    <w:rsid w:val="003B1607"/>
    <w:rsid w:val="003B2018"/>
    <w:rsid w:val="003B2045"/>
    <w:rsid w:val="003B41A2"/>
    <w:rsid w:val="003B741B"/>
    <w:rsid w:val="003C1BA1"/>
    <w:rsid w:val="003C7708"/>
    <w:rsid w:val="003D21C9"/>
    <w:rsid w:val="003D38E4"/>
    <w:rsid w:val="003D3A3A"/>
    <w:rsid w:val="003E1FE0"/>
    <w:rsid w:val="003E7551"/>
    <w:rsid w:val="003F05EC"/>
    <w:rsid w:val="003F1BDE"/>
    <w:rsid w:val="003F2771"/>
    <w:rsid w:val="003F4544"/>
    <w:rsid w:val="003F6B30"/>
    <w:rsid w:val="004005BD"/>
    <w:rsid w:val="00401F99"/>
    <w:rsid w:val="00403448"/>
    <w:rsid w:val="00405CC4"/>
    <w:rsid w:val="004077E1"/>
    <w:rsid w:val="0041286A"/>
    <w:rsid w:val="0041394A"/>
    <w:rsid w:val="004148E7"/>
    <w:rsid w:val="0042088D"/>
    <w:rsid w:val="0042262E"/>
    <w:rsid w:val="0042268B"/>
    <w:rsid w:val="004242A1"/>
    <w:rsid w:val="00432586"/>
    <w:rsid w:val="00432A5F"/>
    <w:rsid w:val="0043409D"/>
    <w:rsid w:val="004342D7"/>
    <w:rsid w:val="004357E3"/>
    <w:rsid w:val="004358D6"/>
    <w:rsid w:val="0043708B"/>
    <w:rsid w:val="00440C43"/>
    <w:rsid w:val="004429B7"/>
    <w:rsid w:val="00442B4A"/>
    <w:rsid w:val="004448DE"/>
    <w:rsid w:val="00446867"/>
    <w:rsid w:val="004469CE"/>
    <w:rsid w:val="004511F7"/>
    <w:rsid w:val="004551A5"/>
    <w:rsid w:val="004563C6"/>
    <w:rsid w:val="00456917"/>
    <w:rsid w:val="0045798A"/>
    <w:rsid w:val="004600EE"/>
    <w:rsid w:val="00461891"/>
    <w:rsid w:val="00463EE4"/>
    <w:rsid w:val="00464D10"/>
    <w:rsid w:val="00465007"/>
    <w:rsid w:val="00465904"/>
    <w:rsid w:val="004718D0"/>
    <w:rsid w:val="00471B11"/>
    <w:rsid w:val="00473E34"/>
    <w:rsid w:val="004746F2"/>
    <w:rsid w:val="00482FF7"/>
    <w:rsid w:val="00483226"/>
    <w:rsid w:val="0048470B"/>
    <w:rsid w:val="00487520"/>
    <w:rsid w:val="00487BAE"/>
    <w:rsid w:val="004900D9"/>
    <w:rsid w:val="00491392"/>
    <w:rsid w:val="00491D88"/>
    <w:rsid w:val="00493DC1"/>
    <w:rsid w:val="00494637"/>
    <w:rsid w:val="00494B89"/>
    <w:rsid w:val="00495697"/>
    <w:rsid w:val="0049785C"/>
    <w:rsid w:val="004A2726"/>
    <w:rsid w:val="004A3142"/>
    <w:rsid w:val="004B0DE5"/>
    <w:rsid w:val="004B2C53"/>
    <w:rsid w:val="004B4336"/>
    <w:rsid w:val="004B4DA1"/>
    <w:rsid w:val="004B5A43"/>
    <w:rsid w:val="004C1078"/>
    <w:rsid w:val="004C1332"/>
    <w:rsid w:val="004C1F12"/>
    <w:rsid w:val="004C207B"/>
    <w:rsid w:val="004C23F1"/>
    <w:rsid w:val="004C2614"/>
    <w:rsid w:val="004C3E8A"/>
    <w:rsid w:val="004C42BE"/>
    <w:rsid w:val="004C56A3"/>
    <w:rsid w:val="004D2FEB"/>
    <w:rsid w:val="004D3DB5"/>
    <w:rsid w:val="004D4B4E"/>
    <w:rsid w:val="004D4B84"/>
    <w:rsid w:val="004D54EF"/>
    <w:rsid w:val="004D7FAC"/>
    <w:rsid w:val="004E1AB3"/>
    <w:rsid w:val="004E40B7"/>
    <w:rsid w:val="004E42C7"/>
    <w:rsid w:val="004E5555"/>
    <w:rsid w:val="004E5EFC"/>
    <w:rsid w:val="004E6070"/>
    <w:rsid w:val="004F21C8"/>
    <w:rsid w:val="004F2D21"/>
    <w:rsid w:val="004F36CA"/>
    <w:rsid w:val="004F5242"/>
    <w:rsid w:val="004F6F4A"/>
    <w:rsid w:val="004F77EA"/>
    <w:rsid w:val="00501FDA"/>
    <w:rsid w:val="005024F9"/>
    <w:rsid w:val="00505AB1"/>
    <w:rsid w:val="00506E5D"/>
    <w:rsid w:val="00511608"/>
    <w:rsid w:val="0051363C"/>
    <w:rsid w:val="00514B14"/>
    <w:rsid w:val="00514DF5"/>
    <w:rsid w:val="00514E29"/>
    <w:rsid w:val="00520170"/>
    <w:rsid w:val="00520CC1"/>
    <w:rsid w:val="00520D0B"/>
    <w:rsid w:val="00521024"/>
    <w:rsid w:val="00521DDB"/>
    <w:rsid w:val="00522C40"/>
    <w:rsid w:val="00524B4F"/>
    <w:rsid w:val="0052532C"/>
    <w:rsid w:val="00531701"/>
    <w:rsid w:val="005335AD"/>
    <w:rsid w:val="00533AF3"/>
    <w:rsid w:val="00537C9E"/>
    <w:rsid w:val="005426DF"/>
    <w:rsid w:val="005440CF"/>
    <w:rsid w:val="00544D1E"/>
    <w:rsid w:val="00544FA1"/>
    <w:rsid w:val="00545A58"/>
    <w:rsid w:val="00550629"/>
    <w:rsid w:val="005515A5"/>
    <w:rsid w:val="00554DCB"/>
    <w:rsid w:val="0055621D"/>
    <w:rsid w:val="0056306F"/>
    <w:rsid w:val="00564A0E"/>
    <w:rsid w:val="00566C61"/>
    <w:rsid w:val="00567141"/>
    <w:rsid w:val="00570691"/>
    <w:rsid w:val="00576A54"/>
    <w:rsid w:val="00576D55"/>
    <w:rsid w:val="0058116D"/>
    <w:rsid w:val="00582BBA"/>
    <w:rsid w:val="00582C07"/>
    <w:rsid w:val="005852C8"/>
    <w:rsid w:val="0058597F"/>
    <w:rsid w:val="0059285C"/>
    <w:rsid w:val="005931A0"/>
    <w:rsid w:val="00593784"/>
    <w:rsid w:val="00594D00"/>
    <w:rsid w:val="00595D22"/>
    <w:rsid w:val="005A0A09"/>
    <w:rsid w:val="005A2073"/>
    <w:rsid w:val="005A496B"/>
    <w:rsid w:val="005A4A28"/>
    <w:rsid w:val="005A566B"/>
    <w:rsid w:val="005A7B7E"/>
    <w:rsid w:val="005B05C8"/>
    <w:rsid w:val="005B4935"/>
    <w:rsid w:val="005B75FE"/>
    <w:rsid w:val="005C09BA"/>
    <w:rsid w:val="005C3300"/>
    <w:rsid w:val="005C36BA"/>
    <w:rsid w:val="005C3979"/>
    <w:rsid w:val="005C4D51"/>
    <w:rsid w:val="005C4DD5"/>
    <w:rsid w:val="005D247C"/>
    <w:rsid w:val="005D2A45"/>
    <w:rsid w:val="005D3070"/>
    <w:rsid w:val="005D3A54"/>
    <w:rsid w:val="005D4DC5"/>
    <w:rsid w:val="005D5411"/>
    <w:rsid w:val="005D7576"/>
    <w:rsid w:val="005E21C2"/>
    <w:rsid w:val="005E3549"/>
    <w:rsid w:val="005E4477"/>
    <w:rsid w:val="005E4F1A"/>
    <w:rsid w:val="005E7C55"/>
    <w:rsid w:val="005F0695"/>
    <w:rsid w:val="005F0821"/>
    <w:rsid w:val="005F2202"/>
    <w:rsid w:val="005F2807"/>
    <w:rsid w:val="005F47B0"/>
    <w:rsid w:val="005F7C69"/>
    <w:rsid w:val="005F7EC0"/>
    <w:rsid w:val="006009D2"/>
    <w:rsid w:val="006017F3"/>
    <w:rsid w:val="0060445E"/>
    <w:rsid w:val="00605644"/>
    <w:rsid w:val="00607D15"/>
    <w:rsid w:val="006104C9"/>
    <w:rsid w:val="006135B4"/>
    <w:rsid w:val="00617887"/>
    <w:rsid w:val="00617A87"/>
    <w:rsid w:val="00620D46"/>
    <w:rsid w:val="00621B12"/>
    <w:rsid w:val="00623EA1"/>
    <w:rsid w:val="00624FC0"/>
    <w:rsid w:val="00625424"/>
    <w:rsid w:val="00626FC3"/>
    <w:rsid w:val="00627018"/>
    <w:rsid w:val="00630E56"/>
    <w:rsid w:val="00632EAB"/>
    <w:rsid w:val="006334C8"/>
    <w:rsid w:val="00633A8B"/>
    <w:rsid w:val="006348A7"/>
    <w:rsid w:val="00643083"/>
    <w:rsid w:val="006438F1"/>
    <w:rsid w:val="006458CD"/>
    <w:rsid w:val="00645F4C"/>
    <w:rsid w:val="00647176"/>
    <w:rsid w:val="00651161"/>
    <w:rsid w:val="00651D48"/>
    <w:rsid w:val="006530F7"/>
    <w:rsid w:val="0065373E"/>
    <w:rsid w:val="006546F8"/>
    <w:rsid w:val="0065717F"/>
    <w:rsid w:val="00657DEE"/>
    <w:rsid w:val="006603D1"/>
    <w:rsid w:val="006605D9"/>
    <w:rsid w:val="00664129"/>
    <w:rsid w:val="00666B06"/>
    <w:rsid w:val="006670A6"/>
    <w:rsid w:val="00667FB8"/>
    <w:rsid w:val="00670791"/>
    <w:rsid w:val="00671F13"/>
    <w:rsid w:val="006733D9"/>
    <w:rsid w:val="00673770"/>
    <w:rsid w:val="0067390C"/>
    <w:rsid w:val="00677C0A"/>
    <w:rsid w:val="006824F6"/>
    <w:rsid w:val="00684911"/>
    <w:rsid w:val="0068531E"/>
    <w:rsid w:val="00685705"/>
    <w:rsid w:val="00685BB0"/>
    <w:rsid w:val="0069325E"/>
    <w:rsid w:val="00697EBD"/>
    <w:rsid w:val="006A28C2"/>
    <w:rsid w:val="006A481F"/>
    <w:rsid w:val="006A53CF"/>
    <w:rsid w:val="006A5F45"/>
    <w:rsid w:val="006A69D3"/>
    <w:rsid w:val="006A6A1D"/>
    <w:rsid w:val="006B020B"/>
    <w:rsid w:val="006B0A35"/>
    <w:rsid w:val="006B2981"/>
    <w:rsid w:val="006B44A2"/>
    <w:rsid w:val="006B5368"/>
    <w:rsid w:val="006B7605"/>
    <w:rsid w:val="006C06ED"/>
    <w:rsid w:val="006C09F3"/>
    <w:rsid w:val="006C114C"/>
    <w:rsid w:val="006C1477"/>
    <w:rsid w:val="006C19C3"/>
    <w:rsid w:val="006C1A2B"/>
    <w:rsid w:val="006D0D70"/>
    <w:rsid w:val="006D2279"/>
    <w:rsid w:val="006D3D6D"/>
    <w:rsid w:val="006D4BCC"/>
    <w:rsid w:val="006E0ACD"/>
    <w:rsid w:val="006E1216"/>
    <w:rsid w:val="006E29B5"/>
    <w:rsid w:val="006E2FCC"/>
    <w:rsid w:val="006E356D"/>
    <w:rsid w:val="006E3A25"/>
    <w:rsid w:val="006E4394"/>
    <w:rsid w:val="006E79D6"/>
    <w:rsid w:val="006E7EC0"/>
    <w:rsid w:val="006F1159"/>
    <w:rsid w:val="006F7657"/>
    <w:rsid w:val="006F767C"/>
    <w:rsid w:val="006F7BF2"/>
    <w:rsid w:val="00701CC9"/>
    <w:rsid w:val="00701D51"/>
    <w:rsid w:val="007033BA"/>
    <w:rsid w:val="00704296"/>
    <w:rsid w:val="007043A0"/>
    <w:rsid w:val="0070663C"/>
    <w:rsid w:val="0071102C"/>
    <w:rsid w:val="007110E6"/>
    <w:rsid w:val="00713D2E"/>
    <w:rsid w:val="00717B1E"/>
    <w:rsid w:val="007206E8"/>
    <w:rsid w:val="00721BDD"/>
    <w:rsid w:val="007221E3"/>
    <w:rsid w:val="007228CB"/>
    <w:rsid w:val="0072754F"/>
    <w:rsid w:val="007303FB"/>
    <w:rsid w:val="0073236F"/>
    <w:rsid w:val="00732B66"/>
    <w:rsid w:val="007338D7"/>
    <w:rsid w:val="00735874"/>
    <w:rsid w:val="007364B4"/>
    <w:rsid w:val="00740EB1"/>
    <w:rsid w:val="007422D9"/>
    <w:rsid w:val="0074247D"/>
    <w:rsid w:val="00742A34"/>
    <w:rsid w:val="00744C90"/>
    <w:rsid w:val="007453CD"/>
    <w:rsid w:val="007507D2"/>
    <w:rsid w:val="0075162A"/>
    <w:rsid w:val="00752C89"/>
    <w:rsid w:val="00752CE3"/>
    <w:rsid w:val="00752E32"/>
    <w:rsid w:val="00754E12"/>
    <w:rsid w:val="00756FD9"/>
    <w:rsid w:val="00757194"/>
    <w:rsid w:val="00764E50"/>
    <w:rsid w:val="00765FD9"/>
    <w:rsid w:val="0076670E"/>
    <w:rsid w:val="0076772E"/>
    <w:rsid w:val="00767FFB"/>
    <w:rsid w:val="007711F0"/>
    <w:rsid w:val="00774C1D"/>
    <w:rsid w:val="00776B7B"/>
    <w:rsid w:val="00777EFE"/>
    <w:rsid w:val="00784F57"/>
    <w:rsid w:val="0078584E"/>
    <w:rsid w:val="00786806"/>
    <w:rsid w:val="00787019"/>
    <w:rsid w:val="00790F7E"/>
    <w:rsid w:val="007920B3"/>
    <w:rsid w:val="00792708"/>
    <w:rsid w:val="00797A54"/>
    <w:rsid w:val="007A26B1"/>
    <w:rsid w:val="007A2B2C"/>
    <w:rsid w:val="007A3FFE"/>
    <w:rsid w:val="007A6C79"/>
    <w:rsid w:val="007A7AF3"/>
    <w:rsid w:val="007B0D24"/>
    <w:rsid w:val="007B3A29"/>
    <w:rsid w:val="007B42DC"/>
    <w:rsid w:val="007B53E3"/>
    <w:rsid w:val="007B7BB4"/>
    <w:rsid w:val="007C0E49"/>
    <w:rsid w:val="007C22D5"/>
    <w:rsid w:val="007C4407"/>
    <w:rsid w:val="007C66EB"/>
    <w:rsid w:val="007C7855"/>
    <w:rsid w:val="007D0C27"/>
    <w:rsid w:val="007D1FCB"/>
    <w:rsid w:val="007D3533"/>
    <w:rsid w:val="007D3D1A"/>
    <w:rsid w:val="007D409B"/>
    <w:rsid w:val="007D50DE"/>
    <w:rsid w:val="007D674F"/>
    <w:rsid w:val="007D6A75"/>
    <w:rsid w:val="007D7154"/>
    <w:rsid w:val="007E0EB5"/>
    <w:rsid w:val="007E55FF"/>
    <w:rsid w:val="007E5710"/>
    <w:rsid w:val="007E6E0C"/>
    <w:rsid w:val="007F0775"/>
    <w:rsid w:val="007F0A61"/>
    <w:rsid w:val="007F5144"/>
    <w:rsid w:val="007F682C"/>
    <w:rsid w:val="008006AA"/>
    <w:rsid w:val="00800F62"/>
    <w:rsid w:val="008010CE"/>
    <w:rsid w:val="00803182"/>
    <w:rsid w:val="00803942"/>
    <w:rsid w:val="00804BD8"/>
    <w:rsid w:val="00806804"/>
    <w:rsid w:val="00810A83"/>
    <w:rsid w:val="00810EBE"/>
    <w:rsid w:val="00811054"/>
    <w:rsid w:val="008152F2"/>
    <w:rsid w:val="0081564A"/>
    <w:rsid w:val="0081662B"/>
    <w:rsid w:val="00817E0F"/>
    <w:rsid w:val="00820A0A"/>
    <w:rsid w:val="00820CA8"/>
    <w:rsid w:val="0082172B"/>
    <w:rsid w:val="008230A3"/>
    <w:rsid w:val="008248B1"/>
    <w:rsid w:val="008256DC"/>
    <w:rsid w:val="00832613"/>
    <w:rsid w:val="00832824"/>
    <w:rsid w:val="00832C63"/>
    <w:rsid w:val="00836A76"/>
    <w:rsid w:val="00837009"/>
    <w:rsid w:val="00842F1A"/>
    <w:rsid w:val="00845AFC"/>
    <w:rsid w:val="00845BDF"/>
    <w:rsid w:val="00846CE4"/>
    <w:rsid w:val="00851EFB"/>
    <w:rsid w:val="00852607"/>
    <w:rsid w:val="008550A0"/>
    <w:rsid w:val="0086196B"/>
    <w:rsid w:val="00862939"/>
    <w:rsid w:val="00862FFC"/>
    <w:rsid w:val="0086357B"/>
    <w:rsid w:val="0086422D"/>
    <w:rsid w:val="00867374"/>
    <w:rsid w:val="008745FE"/>
    <w:rsid w:val="0087605D"/>
    <w:rsid w:val="00876F19"/>
    <w:rsid w:val="008771C3"/>
    <w:rsid w:val="00880D77"/>
    <w:rsid w:val="008830A2"/>
    <w:rsid w:val="008900C9"/>
    <w:rsid w:val="00897738"/>
    <w:rsid w:val="008A1263"/>
    <w:rsid w:val="008A1EBC"/>
    <w:rsid w:val="008A2CAB"/>
    <w:rsid w:val="008A4054"/>
    <w:rsid w:val="008A4EE5"/>
    <w:rsid w:val="008A7221"/>
    <w:rsid w:val="008A7964"/>
    <w:rsid w:val="008B0DD2"/>
    <w:rsid w:val="008B484A"/>
    <w:rsid w:val="008B4959"/>
    <w:rsid w:val="008B5111"/>
    <w:rsid w:val="008B570A"/>
    <w:rsid w:val="008C08ED"/>
    <w:rsid w:val="008C0B62"/>
    <w:rsid w:val="008C1F88"/>
    <w:rsid w:val="008C5651"/>
    <w:rsid w:val="008C77B1"/>
    <w:rsid w:val="008D01EF"/>
    <w:rsid w:val="008D2A6D"/>
    <w:rsid w:val="008D2D64"/>
    <w:rsid w:val="008E45F2"/>
    <w:rsid w:val="008E517E"/>
    <w:rsid w:val="008E5730"/>
    <w:rsid w:val="008E75AD"/>
    <w:rsid w:val="008E7E17"/>
    <w:rsid w:val="008F50EB"/>
    <w:rsid w:val="008F651A"/>
    <w:rsid w:val="009003B9"/>
    <w:rsid w:val="009022EA"/>
    <w:rsid w:val="009041C3"/>
    <w:rsid w:val="00904645"/>
    <w:rsid w:val="009060CE"/>
    <w:rsid w:val="009066F6"/>
    <w:rsid w:val="00906BDD"/>
    <w:rsid w:val="00907168"/>
    <w:rsid w:val="0091069F"/>
    <w:rsid w:val="00911AC6"/>
    <w:rsid w:val="00913DE5"/>
    <w:rsid w:val="00914B38"/>
    <w:rsid w:val="00915206"/>
    <w:rsid w:val="00915E2B"/>
    <w:rsid w:val="009217B7"/>
    <w:rsid w:val="009249F0"/>
    <w:rsid w:val="0092524C"/>
    <w:rsid w:val="00931127"/>
    <w:rsid w:val="0093145C"/>
    <w:rsid w:val="009314F7"/>
    <w:rsid w:val="009315EB"/>
    <w:rsid w:val="009324D8"/>
    <w:rsid w:val="009363BA"/>
    <w:rsid w:val="00937A7E"/>
    <w:rsid w:val="00943714"/>
    <w:rsid w:val="00944C0E"/>
    <w:rsid w:val="00947A1D"/>
    <w:rsid w:val="00947AAF"/>
    <w:rsid w:val="00956BA6"/>
    <w:rsid w:val="00962788"/>
    <w:rsid w:val="00963D1F"/>
    <w:rsid w:val="009652E7"/>
    <w:rsid w:val="00965841"/>
    <w:rsid w:val="009666EB"/>
    <w:rsid w:val="009702DA"/>
    <w:rsid w:val="009703DE"/>
    <w:rsid w:val="009708FA"/>
    <w:rsid w:val="009712CC"/>
    <w:rsid w:val="009721A5"/>
    <w:rsid w:val="009742A7"/>
    <w:rsid w:val="0097653A"/>
    <w:rsid w:val="00980023"/>
    <w:rsid w:val="00980095"/>
    <w:rsid w:val="009806A5"/>
    <w:rsid w:val="00980EE3"/>
    <w:rsid w:val="009828A2"/>
    <w:rsid w:val="00982BDF"/>
    <w:rsid w:val="00983772"/>
    <w:rsid w:val="00983DF7"/>
    <w:rsid w:val="0098532A"/>
    <w:rsid w:val="00985471"/>
    <w:rsid w:val="00985D0D"/>
    <w:rsid w:val="00992B48"/>
    <w:rsid w:val="00993829"/>
    <w:rsid w:val="00993D47"/>
    <w:rsid w:val="00993D79"/>
    <w:rsid w:val="00993DDD"/>
    <w:rsid w:val="009940EE"/>
    <w:rsid w:val="009A0031"/>
    <w:rsid w:val="009A19CD"/>
    <w:rsid w:val="009A3129"/>
    <w:rsid w:val="009A50C1"/>
    <w:rsid w:val="009A5A47"/>
    <w:rsid w:val="009A6FAA"/>
    <w:rsid w:val="009A7DC8"/>
    <w:rsid w:val="009B12FE"/>
    <w:rsid w:val="009B2AD7"/>
    <w:rsid w:val="009C3A9C"/>
    <w:rsid w:val="009C4479"/>
    <w:rsid w:val="009C4F77"/>
    <w:rsid w:val="009C6B58"/>
    <w:rsid w:val="009C7792"/>
    <w:rsid w:val="009D2468"/>
    <w:rsid w:val="009D3809"/>
    <w:rsid w:val="009D4411"/>
    <w:rsid w:val="009D6358"/>
    <w:rsid w:val="009D6B4F"/>
    <w:rsid w:val="009D7403"/>
    <w:rsid w:val="009E26F6"/>
    <w:rsid w:val="009E2849"/>
    <w:rsid w:val="009E2AFA"/>
    <w:rsid w:val="009E340C"/>
    <w:rsid w:val="009E3AEB"/>
    <w:rsid w:val="009E4489"/>
    <w:rsid w:val="009E5FEE"/>
    <w:rsid w:val="009E6921"/>
    <w:rsid w:val="009F24EF"/>
    <w:rsid w:val="009F2CFD"/>
    <w:rsid w:val="009F30F1"/>
    <w:rsid w:val="009F407A"/>
    <w:rsid w:val="009F45FA"/>
    <w:rsid w:val="009F7605"/>
    <w:rsid w:val="00A04292"/>
    <w:rsid w:val="00A0516E"/>
    <w:rsid w:val="00A30F46"/>
    <w:rsid w:val="00A32572"/>
    <w:rsid w:val="00A33C8A"/>
    <w:rsid w:val="00A40F50"/>
    <w:rsid w:val="00A413E1"/>
    <w:rsid w:val="00A41AE6"/>
    <w:rsid w:val="00A43B09"/>
    <w:rsid w:val="00A456E1"/>
    <w:rsid w:val="00A471B5"/>
    <w:rsid w:val="00A502E8"/>
    <w:rsid w:val="00A50F3F"/>
    <w:rsid w:val="00A52E87"/>
    <w:rsid w:val="00A55508"/>
    <w:rsid w:val="00A55839"/>
    <w:rsid w:val="00A56593"/>
    <w:rsid w:val="00A62F07"/>
    <w:rsid w:val="00A633F2"/>
    <w:rsid w:val="00A6600F"/>
    <w:rsid w:val="00A67393"/>
    <w:rsid w:val="00A72A8F"/>
    <w:rsid w:val="00A734AE"/>
    <w:rsid w:val="00A74008"/>
    <w:rsid w:val="00A74120"/>
    <w:rsid w:val="00A74B47"/>
    <w:rsid w:val="00A77CB0"/>
    <w:rsid w:val="00A8576A"/>
    <w:rsid w:val="00A85CC7"/>
    <w:rsid w:val="00A85D53"/>
    <w:rsid w:val="00A92875"/>
    <w:rsid w:val="00A92BA7"/>
    <w:rsid w:val="00A93116"/>
    <w:rsid w:val="00A94652"/>
    <w:rsid w:val="00A97894"/>
    <w:rsid w:val="00A97A07"/>
    <w:rsid w:val="00AA0177"/>
    <w:rsid w:val="00AA0EB8"/>
    <w:rsid w:val="00AA20F7"/>
    <w:rsid w:val="00AA2EF9"/>
    <w:rsid w:val="00AA319D"/>
    <w:rsid w:val="00AA482F"/>
    <w:rsid w:val="00AA4B6A"/>
    <w:rsid w:val="00AA510D"/>
    <w:rsid w:val="00AB0136"/>
    <w:rsid w:val="00AB040F"/>
    <w:rsid w:val="00AB157C"/>
    <w:rsid w:val="00AB5E2E"/>
    <w:rsid w:val="00AC0212"/>
    <w:rsid w:val="00AC0B48"/>
    <w:rsid w:val="00AC288B"/>
    <w:rsid w:val="00AC3C1D"/>
    <w:rsid w:val="00AC4BD9"/>
    <w:rsid w:val="00AC6B2D"/>
    <w:rsid w:val="00AC7A6F"/>
    <w:rsid w:val="00AD14C5"/>
    <w:rsid w:val="00AD2539"/>
    <w:rsid w:val="00AD4449"/>
    <w:rsid w:val="00AD4D61"/>
    <w:rsid w:val="00AD4E0E"/>
    <w:rsid w:val="00AE004E"/>
    <w:rsid w:val="00AE1F3A"/>
    <w:rsid w:val="00AE28EC"/>
    <w:rsid w:val="00AE2E47"/>
    <w:rsid w:val="00AE2E76"/>
    <w:rsid w:val="00AE343A"/>
    <w:rsid w:val="00AE7793"/>
    <w:rsid w:val="00AF4742"/>
    <w:rsid w:val="00AF628C"/>
    <w:rsid w:val="00AF717D"/>
    <w:rsid w:val="00B01463"/>
    <w:rsid w:val="00B01ACF"/>
    <w:rsid w:val="00B0370F"/>
    <w:rsid w:val="00B03801"/>
    <w:rsid w:val="00B04BF8"/>
    <w:rsid w:val="00B05F29"/>
    <w:rsid w:val="00B06DC7"/>
    <w:rsid w:val="00B108F7"/>
    <w:rsid w:val="00B10EF1"/>
    <w:rsid w:val="00B12B19"/>
    <w:rsid w:val="00B13105"/>
    <w:rsid w:val="00B15246"/>
    <w:rsid w:val="00B16267"/>
    <w:rsid w:val="00B213CF"/>
    <w:rsid w:val="00B223BA"/>
    <w:rsid w:val="00B24201"/>
    <w:rsid w:val="00B25711"/>
    <w:rsid w:val="00B25850"/>
    <w:rsid w:val="00B266F5"/>
    <w:rsid w:val="00B26F22"/>
    <w:rsid w:val="00B306DE"/>
    <w:rsid w:val="00B3359A"/>
    <w:rsid w:val="00B33E84"/>
    <w:rsid w:val="00B411EB"/>
    <w:rsid w:val="00B41876"/>
    <w:rsid w:val="00B53D6D"/>
    <w:rsid w:val="00B53EFD"/>
    <w:rsid w:val="00B54B63"/>
    <w:rsid w:val="00B6589B"/>
    <w:rsid w:val="00B7118F"/>
    <w:rsid w:val="00B83011"/>
    <w:rsid w:val="00B838ED"/>
    <w:rsid w:val="00B83FFE"/>
    <w:rsid w:val="00B85C3E"/>
    <w:rsid w:val="00B919C9"/>
    <w:rsid w:val="00B938AD"/>
    <w:rsid w:val="00B93F9E"/>
    <w:rsid w:val="00B97781"/>
    <w:rsid w:val="00BA0278"/>
    <w:rsid w:val="00BA0E90"/>
    <w:rsid w:val="00BA2651"/>
    <w:rsid w:val="00BA26E8"/>
    <w:rsid w:val="00BA2FC4"/>
    <w:rsid w:val="00BA441B"/>
    <w:rsid w:val="00BA4E08"/>
    <w:rsid w:val="00BA5937"/>
    <w:rsid w:val="00BA6F57"/>
    <w:rsid w:val="00BB0C5A"/>
    <w:rsid w:val="00BB0E09"/>
    <w:rsid w:val="00BB173D"/>
    <w:rsid w:val="00BB1C75"/>
    <w:rsid w:val="00BB28A4"/>
    <w:rsid w:val="00BB5E73"/>
    <w:rsid w:val="00BB5ED3"/>
    <w:rsid w:val="00BB6C46"/>
    <w:rsid w:val="00BB6D0A"/>
    <w:rsid w:val="00BC0A5D"/>
    <w:rsid w:val="00BC1234"/>
    <w:rsid w:val="00BC2095"/>
    <w:rsid w:val="00BC3BA3"/>
    <w:rsid w:val="00BC59BE"/>
    <w:rsid w:val="00BC7C16"/>
    <w:rsid w:val="00BD0618"/>
    <w:rsid w:val="00BD49F7"/>
    <w:rsid w:val="00BD6CA0"/>
    <w:rsid w:val="00BD70A7"/>
    <w:rsid w:val="00BE0004"/>
    <w:rsid w:val="00BE38E5"/>
    <w:rsid w:val="00BE6A53"/>
    <w:rsid w:val="00BE74C4"/>
    <w:rsid w:val="00BF1FC7"/>
    <w:rsid w:val="00BF3D13"/>
    <w:rsid w:val="00BF5E4A"/>
    <w:rsid w:val="00BF5F1E"/>
    <w:rsid w:val="00BF6499"/>
    <w:rsid w:val="00C00012"/>
    <w:rsid w:val="00C010B0"/>
    <w:rsid w:val="00C02605"/>
    <w:rsid w:val="00C026E9"/>
    <w:rsid w:val="00C12B6F"/>
    <w:rsid w:val="00C14375"/>
    <w:rsid w:val="00C1513B"/>
    <w:rsid w:val="00C15850"/>
    <w:rsid w:val="00C21D39"/>
    <w:rsid w:val="00C23248"/>
    <w:rsid w:val="00C238A8"/>
    <w:rsid w:val="00C275FE"/>
    <w:rsid w:val="00C30885"/>
    <w:rsid w:val="00C31B68"/>
    <w:rsid w:val="00C32B07"/>
    <w:rsid w:val="00C33E23"/>
    <w:rsid w:val="00C35107"/>
    <w:rsid w:val="00C36039"/>
    <w:rsid w:val="00C439BE"/>
    <w:rsid w:val="00C516C4"/>
    <w:rsid w:val="00C531D9"/>
    <w:rsid w:val="00C5784F"/>
    <w:rsid w:val="00C6003E"/>
    <w:rsid w:val="00C67384"/>
    <w:rsid w:val="00C71CED"/>
    <w:rsid w:val="00C7355D"/>
    <w:rsid w:val="00C75312"/>
    <w:rsid w:val="00C75742"/>
    <w:rsid w:val="00C843D3"/>
    <w:rsid w:val="00C85FA1"/>
    <w:rsid w:val="00C91FF7"/>
    <w:rsid w:val="00C95FE3"/>
    <w:rsid w:val="00CA04E0"/>
    <w:rsid w:val="00CA08E2"/>
    <w:rsid w:val="00CA45F4"/>
    <w:rsid w:val="00CA65F5"/>
    <w:rsid w:val="00CB1833"/>
    <w:rsid w:val="00CB403A"/>
    <w:rsid w:val="00CB42AA"/>
    <w:rsid w:val="00CB655F"/>
    <w:rsid w:val="00CB6886"/>
    <w:rsid w:val="00CC094F"/>
    <w:rsid w:val="00CC1A9B"/>
    <w:rsid w:val="00CC6D50"/>
    <w:rsid w:val="00CD15B4"/>
    <w:rsid w:val="00CD1C27"/>
    <w:rsid w:val="00CD4973"/>
    <w:rsid w:val="00CE00B8"/>
    <w:rsid w:val="00CE1598"/>
    <w:rsid w:val="00CE1BA5"/>
    <w:rsid w:val="00CE1BB4"/>
    <w:rsid w:val="00CE2BB3"/>
    <w:rsid w:val="00CE3F94"/>
    <w:rsid w:val="00CE6B50"/>
    <w:rsid w:val="00CF0E0A"/>
    <w:rsid w:val="00CF34B8"/>
    <w:rsid w:val="00CF5C63"/>
    <w:rsid w:val="00D00634"/>
    <w:rsid w:val="00D010ED"/>
    <w:rsid w:val="00D013D2"/>
    <w:rsid w:val="00D01507"/>
    <w:rsid w:val="00D0152D"/>
    <w:rsid w:val="00D03589"/>
    <w:rsid w:val="00D0379E"/>
    <w:rsid w:val="00D052D6"/>
    <w:rsid w:val="00D05868"/>
    <w:rsid w:val="00D06B3E"/>
    <w:rsid w:val="00D12910"/>
    <w:rsid w:val="00D14912"/>
    <w:rsid w:val="00D21FB4"/>
    <w:rsid w:val="00D23AE1"/>
    <w:rsid w:val="00D24828"/>
    <w:rsid w:val="00D2492E"/>
    <w:rsid w:val="00D264BB"/>
    <w:rsid w:val="00D350F5"/>
    <w:rsid w:val="00D5111E"/>
    <w:rsid w:val="00D56DCE"/>
    <w:rsid w:val="00D60E7F"/>
    <w:rsid w:val="00D6168E"/>
    <w:rsid w:val="00D6176B"/>
    <w:rsid w:val="00D61F01"/>
    <w:rsid w:val="00D66B54"/>
    <w:rsid w:val="00D718C4"/>
    <w:rsid w:val="00D72442"/>
    <w:rsid w:val="00D75620"/>
    <w:rsid w:val="00D75C47"/>
    <w:rsid w:val="00D77F39"/>
    <w:rsid w:val="00D81519"/>
    <w:rsid w:val="00D83AEA"/>
    <w:rsid w:val="00D87D4B"/>
    <w:rsid w:val="00D90789"/>
    <w:rsid w:val="00D90A0B"/>
    <w:rsid w:val="00D90C77"/>
    <w:rsid w:val="00D910DE"/>
    <w:rsid w:val="00D92D8B"/>
    <w:rsid w:val="00D97FB8"/>
    <w:rsid w:val="00DA0115"/>
    <w:rsid w:val="00DA3ECD"/>
    <w:rsid w:val="00DB297B"/>
    <w:rsid w:val="00DC20DA"/>
    <w:rsid w:val="00DC2128"/>
    <w:rsid w:val="00DC3FB8"/>
    <w:rsid w:val="00DC60B0"/>
    <w:rsid w:val="00DC700D"/>
    <w:rsid w:val="00DD5057"/>
    <w:rsid w:val="00DD5C0E"/>
    <w:rsid w:val="00DD697E"/>
    <w:rsid w:val="00DD792B"/>
    <w:rsid w:val="00DE33E8"/>
    <w:rsid w:val="00DE7DEB"/>
    <w:rsid w:val="00DF185C"/>
    <w:rsid w:val="00DF3F2B"/>
    <w:rsid w:val="00DF5FA6"/>
    <w:rsid w:val="00E01CB5"/>
    <w:rsid w:val="00E02B1B"/>
    <w:rsid w:val="00E04F57"/>
    <w:rsid w:val="00E05888"/>
    <w:rsid w:val="00E06EB3"/>
    <w:rsid w:val="00E1104B"/>
    <w:rsid w:val="00E122FA"/>
    <w:rsid w:val="00E13312"/>
    <w:rsid w:val="00E17064"/>
    <w:rsid w:val="00E203D1"/>
    <w:rsid w:val="00E23FC8"/>
    <w:rsid w:val="00E24DA3"/>
    <w:rsid w:val="00E24F64"/>
    <w:rsid w:val="00E254A2"/>
    <w:rsid w:val="00E27118"/>
    <w:rsid w:val="00E316CB"/>
    <w:rsid w:val="00E319AC"/>
    <w:rsid w:val="00E35B23"/>
    <w:rsid w:val="00E363F5"/>
    <w:rsid w:val="00E3641A"/>
    <w:rsid w:val="00E44A2D"/>
    <w:rsid w:val="00E45628"/>
    <w:rsid w:val="00E459B5"/>
    <w:rsid w:val="00E465AA"/>
    <w:rsid w:val="00E46BD0"/>
    <w:rsid w:val="00E53731"/>
    <w:rsid w:val="00E54BBF"/>
    <w:rsid w:val="00E552A5"/>
    <w:rsid w:val="00E6146E"/>
    <w:rsid w:val="00E61812"/>
    <w:rsid w:val="00E63B8D"/>
    <w:rsid w:val="00E64CF5"/>
    <w:rsid w:val="00E654BE"/>
    <w:rsid w:val="00E73CF2"/>
    <w:rsid w:val="00E7401F"/>
    <w:rsid w:val="00E7469C"/>
    <w:rsid w:val="00E761B4"/>
    <w:rsid w:val="00E812CF"/>
    <w:rsid w:val="00E82FC5"/>
    <w:rsid w:val="00E85664"/>
    <w:rsid w:val="00E85B17"/>
    <w:rsid w:val="00E865F4"/>
    <w:rsid w:val="00E871E5"/>
    <w:rsid w:val="00E901C0"/>
    <w:rsid w:val="00E9382E"/>
    <w:rsid w:val="00E94E12"/>
    <w:rsid w:val="00E95A72"/>
    <w:rsid w:val="00EA0CE0"/>
    <w:rsid w:val="00EA2CB5"/>
    <w:rsid w:val="00EA3A1E"/>
    <w:rsid w:val="00EA45AF"/>
    <w:rsid w:val="00EA46A5"/>
    <w:rsid w:val="00EA5094"/>
    <w:rsid w:val="00EA55A9"/>
    <w:rsid w:val="00EB0C9C"/>
    <w:rsid w:val="00EB4B12"/>
    <w:rsid w:val="00EB5A95"/>
    <w:rsid w:val="00EB72D4"/>
    <w:rsid w:val="00EC081C"/>
    <w:rsid w:val="00EC0E11"/>
    <w:rsid w:val="00EC1200"/>
    <w:rsid w:val="00EC3BA6"/>
    <w:rsid w:val="00EC4490"/>
    <w:rsid w:val="00EC6592"/>
    <w:rsid w:val="00EC725D"/>
    <w:rsid w:val="00ED2BC8"/>
    <w:rsid w:val="00ED5305"/>
    <w:rsid w:val="00ED711B"/>
    <w:rsid w:val="00EE151E"/>
    <w:rsid w:val="00EE1AEE"/>
    <w:rsid w:val="00EE1D3C"/>
    <w:rsid w:val="00EE35F8"/>
    <w:rsid w:val="00EE52A1"/>
    <w:rsid w:val="00EF20DB"/>
    <w:rsid w:val="00F0379F"/>
    <w:rsid w:val="00F04584"/>
    <w:rsid w:val="00F06331"/>
    <w:rsid w:val="00F0664C"/>
    <w:rsid w:val="00F075E4"/>
    <w:rsid w:val="00F10216"/>
    <w:rsid w:val="00F13A37"/>
    <w:rsid w:val="00F14C6E"/>
    <w:rsid w:val="00F15CF8"/>
    <w:rsid w:val="00F160E8"/>
    <w:rsid w:val="00F16F5E"/>
    <w:rsid w:val="00F17292"/>
    <w:rsid w:val="00F21C21"/>
    <w:rsid w:val="00F22536"/>
    <w:rsid w:val="00F2536D"/>
    <w:rsid w:val="00F25CDA"/>
    <w:rsid w:val="00F262C1"/>
    <w:rsid w:val="00F3080F"/>
    <w:rsid w:val="00F31BDD"/>
    <w:rsid w:val="00F32FFE"/>
    <w:rsid w:val="00F361C8"/>
    <w:rsid w:val="00F40C37"/>
    <w:rsid w:val="00F45647"/>
    <w:rsid w:val="00F468C1"/>
    <w:rsid w:val="00F47B23"/>
    <w:rsid w:val="00F5398C"/>
    <w:rsid w:val="00F55FE6"/>
    <w:rsid w:val="00F56610"/>
    <w:rsid w:val="00F60EB7"/>
    <w:rsid w:val="00F62B90"/>
    <w:rsid w:val="00F67F4A"/>
    <w:rsid w:val="00F700B5"/>
    <w:rsid w:val="00F7673B"/>
    <w:rsid w:val="00F772C2"/>
    <w:rsid w:val="00F80983"/>
    <w:rsid w:val="00F857AF"/>
    <w:rsid w:val="00F87B6C"/>
    <w:rsid w:val="00F9116A"/>
    <w:rsid w:val="00F9146F"/>
    <w:rsid w:val="00F94663"/>
    <w:rsid w:val="00FA447A"/>
    <w:rsid w:val="00FA550C"/>
    <w:rsid w:val="00FA57A3"/>
    <w:rsid w:val="00FA5E32"/>
    <w:rsid w:val="00FA7B38"/>
    <w:rsid w:val="00FB1AE3"/>
    <w:rsid w:val="00FB2F88"/>
    <w:rsid w:val="00FB30C1"/>
    <w:rsid w:val="00FB3395"/>
    <w:rsid w:val="00FB56F9"/>
    <w:rsid w:val="00FB6807"/>
    <w:rsid w:val="00FC022B"/>
    <w:rsid w:val="00FC06E8"/>
    <w:rsid w:val="00FC14FF"/>
    <w:rsid w:val="00FC2A49"/>
    <w:rsid w:val="00FC5ECC"/>
    <w:rsid w:val="00FC633C"/>
    <w:rsid w:val="00FC66BD"/>
    <w:rsid w:val="00FC7E64"/>
    <w:rsid w:val="00FD019B"/>
    <w:rsid w:val="00FD13FB"/>
    <w:rsid w:val="00FD2DAA"/>
    <w:rsid w:val="00FD3D3D"/>
    <w:rsid w:val="00FD668C"/>
    <w:rsid w:val="00FD6D96"/>
    <w:rsid w:val="00FE01BA"/>
    <w:rsid w:val="00FF0115"/>
    <w:rsid w:val="00FF1527"/>
    <w:rsid w:val="00FF3FE9"/>
    <w:rsid w:val="00FF5AB1"/>
    <w:rsid w:val="00FF6599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6D36F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393"/>
    <w:pPr>
      <w:spacing w:before="240" w:after="24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0691"/>
    <w:pPr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4E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4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A4E08"/>
  </w:style>
  <w:style w:type="paragraph" w:styleId="FootnoteText">
    <w:name w:val="footnote text"/>
    <w:basedOn w:val="Normal"/>
    <w:link w:val="FootnoteTextChar"/>
    <w:uiPriority w:val="99"/>
    <w:rsid w:val="00A50F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0F3F"/>
    <w:rPr>
      <w:rFonts w:ascii="Palatino Linotype" w:hAnsi="Palatino Linotype"/>
    </w:rPr>
  </w:style>
  <w:style w:type="character" w:styleId="FootnoteReference">
    <w:name w:val="footnote reference"/>
    <w:basedOn w:val="DefaultParagraphFont"/>
    <w:uiPriority w:val="99"/>
    <w:rsid w:val="00A50F3F"/>
    <w:rPr>
      <w:vertAlign w:val="superscript"/>
    </w:rPr>
  </w:style>
  <w:style w:type="character" w:styleId="CommentReference">
    <w:name w:val="annotation reference"/>
    <w:basedOn w:val="DefaultParagraphFont"/>
    <w:rsid w:val="00BF3D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3D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3D13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BF3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3D13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BF3D1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BF3D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3D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856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List3">
    <w:name w:val="Table List 3"/>
    <w:basedOn w:val="TableNormal"/>
    <w:rsid w:val="002C073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21C9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D21C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70691"/>
    <w:rPr>
      <w:b/>
      <w:sz w:val="24"/>
      <w:szCs w:val="24"/>
      <w:u w:val="single"/>
    </w:rPr>
  </w:style>
  <w:style w:type="paragraph" w:styleId="NoSpacing">
    <w:name w:val="No Spacing"/>
    <w:uiPriority w:val="1"/>
    <w:qFormat/>
    <w:rsid w:val="00520CC1"/>
    <w:rPr>
      <w:rFonts w:eastAsia="Calibri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C648F"/>
    <w:rPr>
      <w:sz w:val="24"/>
      <w:szCs w:val="24"/>
    </w:rPr>
  </w:style>
  <w:style w:type="character" w:styleId="LineNumber">
    <w:name w:val="line number"/>
    <w:basedOn w:val="DefaultParagraphFont"/>
    <w:uiPriority w:val="99"/>
    <w:rsid w:val="00D77F39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19CD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FC2A49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851A9C5D9FCBD4CB280088312C738F0" ma:contentTypeVersion="104" ma:contentTypeDescription="" ma:contentTypeScope="" ma:versionID="5abcd7ee7e5ad13cb3baf25263d37e5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Open Meeting Memo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2017-06-01T07:00:00+00:00</OpenedDate>
    <Date1 xmlns="dc463f71-b30c-4ab2-9473-d307f9d35888">2017-07-13T07:00:00+00:00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170700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7FCA020E-F3E6-4877-9420-9C282C4F9392}"/>
</file>

<file path=customXml/itemProps2.xml><?xml version="1.0" encoding="utf-8"?>
<ds:datastoreItem xmlns:ds="http://schemas.openxmlformats.org/officeDocument/2006/customXml" ds:itemID="{C7FCE323-5B34-4132-8CFD-57B0A55F0070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751276d0-61bc-4dad-b75c-21dfd12630ad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F7CD0AA5-FAA7-414C-9E5D-65A66F121BB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1DF372F-5F23-4DD6-BCCA-FBFC671B0A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ECC096-1D7A-4539-B028-99C893F7A4B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61FB8C8-0BD1-4A1C-B4ED-8C3BB48BD16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993090E-7F48-4730-A025-85F3BD0387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UG-170700 Memo Cascade Achievement Report</vt:lpstr>
    </vt:vector>
  </TitlesOfParts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UG-170700 Memo Cascade Achievement Report</dc:title>
  <dc:subject/>
  <dc:creator/>
  <cp:keywords/>
  <dc:description/>
  <cp:lastModifiedBy/>
  <cp:revision>1</cp:revision>
  <dcterms:created xsi:type="dcterms:W3CDTF">2017-07-10T23:48:00Z</dcterms:created>
  <dcterms:modified xsi:type="dcterms:W3CDTF">2017-07-10T23:48:00Z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0x0101006E56B4D1795A2E4DB2F0B01679ED314A007851A9C5D9FCBD4CB280088312C738F0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ocset_NoMedatataSyncRequired">
    <vt:lpwstr>False</vt:lpwstr>
  </property>
  <property fmtid="{D5CDD505-2E9C-101B-9397-08002B2CF9AE}" pid="7" name="IsEFSEC">
    <vt:bool>false</vt:bool>
  </property>
</Properties>
</file>