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76819" w14:textId="77777777" w:rsidR="00BF7E7D" w:rsidRDefault="00BF7E7D">
      <w:pPr>
        <w:pStyle w:val="Header"/>
        <w:tabs>
          <w:tab w:val="clear" w:pos="4320"/>
          <w:tab w:val="clear" w:pos="8640"/>
        </w:tabs>
        <w:spacing w:line="20" w:lineRule="exact"/>
        <w:sectPr w:rsidR="00BF7E7D">
          <w:headerReference w:type="default" r:id="rId11"/>
          <w:pgSz w:w="12240" w:h="15840"/>
          <w:pgMar w:top="1974" w:right="1627" w:bottom="720" w:left="1627" w:header="720" w:footer="720" w:gutter="0"/>
          <w:cols w:space="720"/>
          <w:docGrid w:linePitch="360"/>
        </w:sectPr>
      </w:pPr>
      <w:bookmarkStart w:id="0" w:name="_GoBack"/>
      <w:bookmarkEnd w:id="0"/>
    </w:p>
    <w:p w14:paraId="64B7681A" w14:textId="77777777" w:rsidR="00BF7E7D" w:rsidRDefault="00BF7E7D"/>
    <w:p w14:paraId="64B7681B" w14:textId="77777777" w:rsidR="00450EA2" w:rsidRPr="00ED0511" w:rsidRDefault="00450EA2" w:rsidP="00450EA2"/>
    <w:p w14:paraId="64B7681C" w14:textId="77777777" w:rsidR="00450EA2" w:rsidRPr="00ED0511" w:rsidRDefault="007561CB" w:rsidP="00450EA2">
      <w:r>
        <w:t>March 6</w:t>
      </w:r>
      <w:r w:rsidR="002904E7">
        <w:t>, 201</w:t>
      </w:r>
      <w:r>
        <w:t>7</w:t>
      </w:r>
    </w:p>
    <w:p w14:paraId="64B7681D" w14:textId="77777777" w:rsidR="00450EA2" w:rsidRPr="00ED0511" w:rsidRDefault="00450EA2" w:rsidP="00450EA2"/>
    <w:p w14:paraId="64B7681E" w14:textId="77777777" w:rsidR="00450EA2" w:rsidRDefault="00450EA2" w:rsidP="00450EA2"/>
    <w:p w14:paraId="64B7681F" w14:textId="77777777" w:rsidR="00D74CA1" w:rsidRPr="009F70A2" w:rsidRDefault="00D74CA1" w:rsidP="00450EA2">
      <w:pPr>
        <w:rPr>
          <w:b/>
          <w:i/>
        </w:rPr>
      </w:pPr>
      <w:r w:rsidRPr="009F70A2">
        <w:rPr>
          <w:b/>
          <w:i/>
        </w:rPr>
        <w:t>Via Web Portal</w:t>
      </w:r>
    </w:p>
    <w:p w14:paraId="64B76820" w14:textId="77777777" w:rsidR="00450EA2" w:rsidRPr="00ED0511" w:rsidRDefault="00450EA2" w:rsidP="00450EA2"/>
    <w:p w14:paraId="64B76821" w14:textId="77777777" w:rsidR="00450EA2" w:rsidRPr="00ED0511" w:rsidRDefault="00450EA2" w:rsidP="00450EA2">
      <w:r>
        <w:t>Steven King</w:t>
      </w:r>
    </w:p>
    <w:p w14:paraId="64B76822" w14:textId="77777777" w:rsidR="00450EA2" w:rsidRPr="00ED0511" w:rsidRDefault="00450EA2" w:rsidP="00450EA2">
      <w:r w:rsidRPr="00ED0511">
        <w:t>Executive Director and Secretary</w:t>
      </w:r>
    </w:p>
    <w:p w14:paraId="64B76823" w14:textId="77777777" w:rsidR="00450EA2" w:rsidRPr="00ED0511" w:rsidRDefault="00450EA2" w:rsidP="00450EA2">
      <w:r w:rsidRPr="00ED0511">
        <w:t>Washington Utilities and Transportation Commission</w:t>
      </w:r>
    </w:p>
    <w:p w14:paraId="64B76824" w14:textId="77777777" w:rsidR="00450EA2" w:rsidRPr="00ED0511" w:rsidRDefault="00450EA2" w:rsidP="00450EA2">
      <w:r w:rsidRPr="00ED0511">
        <w:t>1300 S. Evergreen Park Drive SW</w:t>
      </w:r>
    </w:p>
    <w:p w14:paraId="64B76825" w14:textId="77777777" w:rsidR="00450EA2" w:rsidRPr="00ED0511" w:rsidRDefault="00450EA2" w:rsidP="00450EA2">
      <w:r w:rsidRPr="00ED0511">
        <w:t>P.O. Box 47250</w:t>
      </w:r>
    </w:p>
    <w:p w14:paraId="64B76826" w14:textId="77777777" w:rsidR="00450EA2" w:rsidRPr="00ED0511" w:rsidRDefault="00450EA2" w:rsidP="00450EA2">
      <w:r w:rsidRPr="00ED0511">
        <w:t>Olympia, WA 98504-7250</w:t>
      </w:r>
    </w:p>
    <w:p w14:paraId="64B76827" w14:textId="77777777" w:rsidR="00450EA2" w:rsidRPr="00ED0511" w:rsidRDefault="00450EA2" w:rsidP="00450EA2"/>
    <w:p w14:paraId="64B76828" w14:textId="77777777" w:rsidR="00450EA2" w:rsidRPr="00ED0511" w:rsidRDefault="00450EA2" w:rsidP="00450EA2"/>
    <w:p w14:paraId="64B76829" w14:textId="77777777" w:rsidR="00450EA2" w:rsidRDefault="00450EA2" w:rsidP="00450EA2">
      <w:pPr>
        <w:tabs>
          <w:tab w:val="left" w:pos="540"/>
        </w:tabs>
        <w:rPr>
          <w:b/>
        </w:rPr>
      </w:pPr>
      <w:r w:rsidRPr="003625F0">
        <w:rPr>
          <w:b/>
        </w:rPr>
        <w:t xml:space="preserve">Re:  </w:t>
      </w:r>
      <w:r>
        <w:rPr>
          <w:b/>
        </w:rPr>
        <w:tab/>
      </w:r>
      <w:r w:rsidRPr="0083386C">
        <w:rPr>
          <w:b/>
        </w:rPr>
        <w:t>Docket U-</w:t>
      </w:r>
      <w:r w:rsidR="00A65908">
        <w:rPr>
          <w:b/>
        </w:rPr>
        <w:t>170031</w:t>
      </w:r>
    </w:p>
    <w:p w14:paraId="64B7682A" w14:textId="77777777" w:rsidR="00450EA2" w:rsidRPr="00ED0511" w:rsidRDefault="00450EA2" w:rsidP="00450EA2"/>
    <w:p w14:paraId="64B7682B" w14:textId="77777777" w:rsidR="00450EA2" w:rsidRDefault="00AD0086" w:rsidP="00450EA2">
      <w:r w:rsidRPr="00ED0511">
        <w:t xml:space="preserve">Enclosed for filing </w:t>
      </w:r>
      <w:r>
        <w:t>are</w:t>
      </w:r>
      <w:r w:rsidRPr="00ED0511">
        <w:t xml:space="preserve"> </w:t>
      </w:r>
      <w:r>
        <w:t xml:space="preserve">the </w:t>
      </w:r>
      <w:r w:rsidR="00FC14F7">
        <w:t xml:space="preserve">Comments </w:t>
      </w:r>
      <w:r>
        <w:t xml:space="preserve">to the </w:t>
      </w:r>
      <w:r w:rsidR="00A65908" w:rsidRPr="00A65908">
        <w:t>Notice of Opportunity to File Written Comments</w:t>
      </w:r>
      <w:r>
        <w:t xml:space="preserve"> </w:t>
      </w:r>
      <w:r w:rsidR="00450EA2">
        <w:t xml:space="preserve">by </w:t>
      </w:r>
      <w:r w:rsidR="00450EA2" w:rsidRPr="005E5D9B">
        <w:t>AT&amp;T Corp.</w:t>
      </w:r>
      <w:r w:rsidR="002417EC">
        <w:t xml:space="preserve"> </w:t>
      </w:r>
      <w:r w:rsidR="00450EA2" w:rsidRPr="005E5D9B">
        <w:t>and Teleport Communications America, Inc.</w:t>
      </w:r>
      <w:r w:rsidR="00450EA2" w:rsidRPr="003C1A28">
        <w:t xml:space="preserve"> (collectively “AT&amp;T”)</w:t>
      </w:r>
      <w:r w:rsidR="00450EA2">
        <w:t xml:space="preserve"> </w:t>
      </w:r>
      <w:r w:rsidR="002C77F1">
        <w:t xml:space="preserve">in </w:t>
      </w:r>
      <w:r w:rsidR="00450EA2">
        <w:t xml:space="preserve">the above mentioned docket.  </w:t>
      </w:r>
    </w:p>
    <w:p w14:paraId="64B7682C" w14:textId="77777777" w:rsidR="00450EA2" w:rsidRPr="00ED0511" w:rsidRDefault="00450EA2" w:rsidP="00450EA2"/>
    <w:p w14:paraId="64B7682D" w14:textId="77777777" w:rsidR="00450EA2" w:rsidRPr="00ED0511" w:rsidRDefault="00450EA2" w:rsidP="00450EA2">
      <w:r w:rsidRPr="00ED0511">
        <w:t xml:space="preserve">Sincerely, </w:t>
      </w:r>
    </w:p>
    <w:p w14:paraId="64B7682E" w14:textId="77777777" w:rsidR="00450EA2" w:rsidRDefault="00450EA2" w:rsidP="00450EA2">
      <w:pPr>
        <w:rPr>
          <w:noProof/>
        </w:rPr>
      </w:pPr>
    </w:p>
    <w:p w14:paraId="64B7682F" w14:textId="77777777" w:rsidR="00A30666" w:rsidRDefault="00A30666" w:rsidP="00450EA2">
      <w:pPr>
        <w:rPr>
          <w:noProof/>
        </w:rPr>
      </w:pPr>
    </w:p>
    <w:p w14:paraId="64B76830" w14:textId="77777777" w:rsidR="00A30666" w:rsidRPr="00ED0511" w:rsidRDefault="00A30666" w:rsidP="00450EA2"/>
    <w:p w14:paraId="64B76831" w14:textId="77777777" w:rsidR="008B6A08" w:rsidRDefault="006A2333" w:rsidP="00A71E48">
      <w:pPr>
        <w:tabs>
          <w:tab w:val="left" w:pos="3870"/>
        </w:tabs>
        <w:rPr>
          <w:u w:val="single"/>
        </w:rPr>
      </w:pPr>
      <w:r w:rsidRPr="006A2333">
        <w:rPr>
          <w:sz w:val="22"/>
          <w:szCs w:val="22"/>
          <w:u w:val="single"/>
        </w:rPr>
        <w:object w:dxaOrig="1674" w:dyaOrig="4320" w14:anchorId="64B7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5pt;height:47.6pt" o:ole="">
            <v:imagedata r:id="rId12" o:title=""/>
          </v:shape>
          <o:OLEObject Type="Embed" ProgID="PBrush" ShapeID="_x0000_i1025" DrawAspect="Content" ObjectID="_1550322188" r:id="rId13"/>
        </w:object>
      </w:r>
      <w:r w:rsidR="00A71E48">
        <w:rPr>
          <w:u w:val="single"/>
        </w:rPr>
        <w:tab/>
      </w:r>
    </w:p>
    <w:p w14:paraId="64B76832" w14:textId="77777777" w:rsidR="00450EA2" w:rsidRDefault="00450EA2" w:rsidP="00450EA2">
      <w:r>
        <w:t>Cynthia Manheim</w:t>
      </w:r>
    </w:p>
    <w:p w14:paraId="64B76833" w14:textId="77777777" w:rsidR="00450EA2" w:rsidRDefault="00A65908" w:rsidP="00450EA2">
      <w:r>
        <w:t>AVP – Senior Legal Counsel</w:t>
      </w:r>
    </w:p>
    <w:p w14:paraId="64B76834" w14:textId="77777777" w:rsidR="00450EA2" w:rsidRDefault="00450EA2" w:rsidP="00450EA2"/>
    <w:p w14:paraId="64B76835" w14:textId="77777777" w:rsidR="00450EA2" w:rsidRDefault="00450EA2" w:rsidP="00450EA2">
      <w:r>
        <w:br w:type="page"/>
      </w:r>
    </w:p>
    <w:p w14:paraId="64B76836" w14:textId="77777777" w:rsidR="009A5230" w:rsidRDefault="009A5230" w:rsidP="002B539B">
      <w:pPr>
        <w:jc w:val="center"/>
        <w:rPr>
          <w:b/>
          <w:bCs/>
        </w:rPr>
        <w:sectPr w:rsidR="009A5230" w:rsidSect="00684C5C">
          <w:headerReference w:type="default" r:id="rId14"/>
          <w:footerReference w:type="default" r:id="rId15"/>
          <w:type w:val="continuous"/>
          <w:pgSz w:w="12240" w:h="15840"/>
          <w:pgMar w:top="1974" w:right="1627" w:bottom="720" w:left="1627" w:header="720" w:footer="720" w:gutter="0"/>
          <w:cols w:space="720"/>
          <w:docGrid w:linePitch="360"/>
        </w:sectPr>
      </w:pPr>
    </w:p>
    <w:p w14:paraId="64B76837" w14:textId="77777777" w:rsidR="00D74CA1" w:rsidRPr="006D3362" w:rsidRDefault="00D74CA1" w:rsidP="00D74CA1">
      <w:pPr>
        <w:jc w:val="center"/>
        <w:rPr>
          <w:b/>
          <w:bCs/>
        </w:rPr>
      </w:pPr>
      <w:r>
        <w:rPr>
          <w:b/>
          <w:bCs/>
        </w:rPr>
        <w:lastRenderedPageBreak/>
        <w:t>BEFOR</w:t>
      </w:r>
      <w:r w:rsidRPr="006D3362">
        <w:rPr>
          <w:b/>
          <w:bCs/>
        </w:rPr>
        <w:t xml:space="preserve">E THE WASHINGTON </w:t>
      </w:r>
    </w:p>
    <w:p w14:paraId="64B76838" w14:textId="77777777" w:rsidR="00D74CA1" w:rsidRPr="006D3362" w:rsidRDefault="00D74CA1" w:rsidP="00D74CA1">
      <w:pPr>
        <w:jc w:val="center"/>
      </w:pPr>
      <w:r w:rsidRPr="006D3362">
        <w:rPr>
          <w:b/>
          <w:bCs/>
        </w:rPr>
        <w:t>UTILITIES AND TRANSPORTATION COMMISSION</w:t>
      </w:r>
    </w:p>
    <w:p w14:paraId="64B76839" w14:textId="77777777" w:rsidR="00D74CA1" w:rsidRPr="006D3362" w:rsidRDefault="00D74CA1" w:rsidP="00D74CA1">
      <w:pPr>
        <w:jc w:val="center"/>
      </w:pPr>
    </w:p>
    <w:p w14:paraId="64B7683A" w14:textId="77777777"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14:paraId="64B76849" w14:textId="77777777" w:rsidTr="00AD0086">
        <w:tc>
          <w:tcPr>
            <w:tcW w:w="4296" w:type="dxa"/>
          </w:tcPr>
          <w:p w14:paraId="64B7683B" w14:textId="77777777" w:rsidR="00D74CA1" w:rsidRDefault="00A65908" w:rsidP="00A65908">
            <w:r>
              <w:t>Rulemaking to consider adopting a rule in WAC 480-120, Telephone Companies, relating to standards for restoring regulated telecommunications services following an outage and customer notification of planned service interruptions, Docket UT-170031</w:t>
            </w:r>
          </w:p>
          <w:p w14:paraId="64B7683C" w14:textId="77777777" w:rsidR="00D74CA1" w:rsidRPr="004B2425" w:rsidRDefault="00D74CA1" w:rsidP="00F80C87">
            <w:r>
              <w:t>__________________________________</w:t>
            </w:r>
          </w:p>
        </w:tc>
        <w:tc>
          <w:tcPr>
            <w:tcW w:w="296" w:type="dxa"/>
          </w:tcPr>
          <w:p w14:paraId="64B7683D" w14:textId="77777777" w:rsidR="00D74CA1" w:rsidRPr="004B2425" w:rsidRDefault="00D74CA1" w:rsidP="00F80C87">
            <w:pPr>
              <w:ind w:left="-156"/>
              <w:jc w:val="center"/>
            </w:pPr>
            <w:r w:rsidRPr="004B2425">
              <w:t>)</w:t>
            </w:r>
          </w:p>
          <w:p w14:paraId="64B7683E" w14:textId="77777777" w:rsidR="00D74CA1" w:rsidRDefault="00D74CA1" w:rsidP="00F80C87">
            <w:pPr>
              <w:ind w:left="-156"/>
              <w:jc w:val="center"/>
            </w:pPr>
            <w:r w:rsidRPr="004B2425">
              <w:t>)</w:t>
            </w:r>
          </w:p>
          <w:p w14:paraId="64B7683F" w14:textId="77777777" w:rsidR="00D74CA1" w:rsidRDefault="00D74CA1" w:rsidP="00F80C87">
            <w:pPr>
              <w:ind w:left="-156"/>
              <w:jc w:val="center"/>
            </w:pPr>
            <w:r>
              <w:t>)</w:t>
            </w:r>
          </w:p>
          <w:p w14:paraId="64B76840" w14:textId="77777777" w:rsidR="00D74CA1" w:rsidRDefault="00D74CA1" w:rsidP="00F80C87">
            <w:pPr>
              <w:ind w:left="-156"/>
              <w:jc w:val="center"/>
            </w:pPr>
            <w:r>
              <w:t>)</w:t>
            </w:r>
          </w:p>
          <w:p w14:paraId="64B76841" w14:textId="77777777" w:rsidR="00D74CA1" w:rsidRDefault="00D74CA1" w:rsidP="00F80C87">
            <w:pPr>
              <w:ind w:left="-156"/>
              <w:jc w:val="center"/>
            </w:pPr>
            <w:r>
              <w:t>)</w:t>
            </w:r>
          </w:p>
          <w:p w14:paraId="64B76842" w14:textId="77777777" w:rsidR="00A65908" w:rsidRDefault="00A65908" w:rsidP="00F80C87">
            <w:pPr>
              <w:ind w:left="-156"/>
              <w:jc w:val="center"/>
            </w:pPr>
            <w:r>
              <w:t>)</w:t>
            </w:r>
          </w:p>
          <w:p w14:paraId="64B76843" w14:textId="77777777" w:rsidR="00A65908" w:rsidRDefault="00A65908" w:rsidP="00F80C87">
            <w:pPr>
              <w:ind w:left="-156"/>
              <w:jc w:val="center"/>
            </w:pPr>
            <w:r>
              <w:t>)</w:t>
            </w:r>
          </w:p>
          <w:p w14:paraId="64B76844" w14:textId="77777777" w:rsidR="00D74CA1" w:rsidRDefault="00A65908" w:rsidP="00A65908">
            <w:pPr>
              <w:ind w:left="-156"/>
              <w:jc w:val="center"/>
            </w:pPr>
            <w:r>
              <w:t>)</w:t>
            </w:r>
          </w:p>
          <w:p w14:paraId="64B76845" w14:textId="77777777" w:rsidR="00D74CA1" w:rsidRPr="004B2425" w:rsidRDefault="00D74CA1" w:rsidP="00F80C87">
            <w:pPr>
              <w:jc w:val="center"/>
            </w:pPr>
          </w:p>
        </w:tc>
        <w:tc>
          <w:tcPr>
            <w:tcW w:w="4342" w:type="dxa"/>
          </w:tcPr>
          <w:p w14:paraId="64B76846" w14:textId="77777777" w:rsidR="00D74CA1" w:rsidRDefault="00D74CA1" w:rsidP="00F80C87">
            <w:pPr>
              <w:rPr>
                <w:b/>
              </w:rPr>
            </w:pPr>
          </w:p>
          <w:p w14:paraId="64B76847" w14:textId="77777777" w:rsidR="00D74CA1" w:rsidRDefault="00D74CA1" w:rsidP="00F80C87">
            <w:pPr>
              <w:rPr>
                <w:b/>
              </w:rPr>
            </w:pPr>
            <w:r w:rsidRPr="0083386C">
              <w:rPr>
                <w:b/>
              </w:rPr>
              <w:t>Docket U-</w:t>
            </w:r>
            <w:r w:rsidR="00A65908">
              <w:rPr>
                <w:b/>
              </w:rPr>
              <w:t>170031</w:t>
            </w:r>
          </w:p>
          <w:p w14:paraId="64B76848" w14:textId="77777777" w:rsidR="00D74CA1" w:rsidRPr="001737CD" w:rsidRDefault="00D74CA1" w:rsidP="00F80C87">
            <w:pPr>
              <w:rPr>
                <w:b/>
              </w:rPr>
            </w:pPr>
          </w:p>
        </w:tc>
      </w:tr>
    </w:tbl>
    <w:p w14:paraId="64B7684A" w14:textId="77777777" w:rsidR="00C95CCE" w:rsidRPr="00F84DEE" w:rsidRDefault="00C95CCE" w:rsidP="00C95CCE">
      <w:pPr>
        <w:jc w:val="center"/>
        <w:rPr>
          <w:b/>
          <w:u w:val="single"/>
        </w:rPr>
      </w:pPr>
      <w:r w:rsidRPr="00F84DEE">
        <w:rPr>
          <w:b/>
          <w:u w:val="single"/>
        </w:rPr>
        <w:t>COMMENTS OF AT&amp;T</w:t>
      </w:r>
    </w:p>
    <w:p w14:paraId="64B7684B" w14:textId="77777777" w:rsidR="00C95CCE" w:rsidRPr="00F84DEE" w:rsidRDefault="00C95CCE" w:rsidP="00C95CCE"/>
    <w:p w14:paraId="64B7684C" w14:textId="77777777" w:rsidR="00627E1D" w:rsidRDefault="00627E1D" w:rsidP="00813604">
      <w:pPr>
        <w:spacing w:after="240" w:line="480" w:lineRule="auto"/>
        <w:ind w:firstLine="720"/>
      </w:pPr>
      <w:r w:rsidRPr="00F84DEE">
        <w:t xml:space="preserve">AT&amp;T Corp. and Teleport Communications America, Inc. (collectively “AT&amp;T”) </w:t>
      </w:r>
      <w:r>
        <w:t xml:space="preserve">respectfully submit </w:t>
      </w:r>
      <w:r w:rsidR="00B63142">
        <w:t xml:space="preserve">these </w:t>
      </w:r>
      <w:r>
        <w:t>comments in response to the Washington Utilities and Transportation Commission (“</w:t>
      </w:r>
      <w:r w:rsidR="004306E8">
        <w:t>Commission”</w:t>
      </w:r>
      <w:r>
        <w:t xml:space="preserve">) Notice of Opportunity to </w:t>
      </w:r>
      <w:r w:rsidR="00A65908">
        <w:t>File Written Comments</w:t>
      </w:r>
      <w:r>
        <w:t xml:space="preserve"> issued on </w:t>
      </w:r>
      <w:r w:rsidR="00A65908">
        <w:t>February 2, 2017</w:t>
      </w:r>
      <w:r>
        <w:t xml:space="preserve"> (“</w:t>
      </w:r>
      <w:r w:rsidR="00A65908">
        <w:t>Notice</w:t>
      </w:r>
      <w:r>
        <w:t xml:space="preserve">”).  </w:t>
      </w:r>
    </w:p>
    <w:p w14:paraId="64B7684D" w14:textId="77777777" w:rsidR="00EF0B90" w:rsidRDefault="00A65908" w:rsidP="00813604">
      <w:pPr>
        <w:spacing w:after="240" w:line="480" w:lineRule="auto"/>
        <w:ind w:firstLine="720"/>
      </w:pPr>
      <w:r>
        <w:t xml:space="preserve">AT&amp;T </w:t>
      </w:r>
      <w:r w:rsidR="00EF0B90">
        <w:t xml:space="preserve">understands that the Commission is considering </w:t>
      </w:r>
      <w:r w:rsidR="004306E8">
        <w:t xml:space="preserve">standards for restoring regulated telecommunications services following an outage and customer notification of a planned service interruption for local exchange carriers (“LECs”).  </w:t>
      </w:r>
      <w:r w:rsidR="00EF0B90">
        <w:t>AT&amp;T is a competitive local exchange carrier (“CLEC”)</w:t>
      </w:r>
      <w:r w:rsidR="004306E8">
        <w:t xml:space="preserve"> in Washington.  While AT&amp;T believes that the Commission should not adopt strict standards for service interruptions and impairments</w:t>
      </w:r>
      <w:r w:rsidR="002A5BDD">
        <w:t xml:space="preserve"> </w:t>
      </w:r>
      <w:r w:rsidR="004306E8">
        <w:t xml:space="preserve">for any carrier, the Commission, at a minimum, should exempt competitive local exchange carriers (“CLECs”) from these requirements.  </w:t>
      </w:r>
    </w:p>
    <w:p w14:paraId="64B7684E" w14:textId="77777777" w:rsidR="004306E8" w:rsidRDefault="004306E8" w:rsidP="004306E8">
      <w:pPr>
        <w:spacing w:after="240" w:line="480" w:lineRule="auto"/>
      </w:pPr>
      <w:r>
        <w:tab/>
        <w:t>In today’s environment, LECs compete against wireless carriers, Voice over Internet Providers (“VoIP”) and broadband providers to facilitate the communications needs of consumers.  In addition, CLEC</w:t>
      </w:r>
      <w:r w:rsidR="008333A7">
        <w:t>s</w:t>
      </w:r>
      <w:r>
        <w:t xml:space="preserve">, by their very nature, compete with LECs.  One of the areas in which all these communication providers </w:t>
      </w:r>
      <w:r w:rsidR="002138A6">
        <w:t xml:space="preserve">compete </w:t>
      </w:r>
      <w:r w:rsidR="001C1FBA">
        <w:t xml:space="preserve">is </w:t>
      </w:r>
      <w:r w:rsidR="002138A6">
        <w:t xml:space="preserve">speed to restore service interruptions </w:t>
      </w:r>
      <w:r w:rsidR="002138A6">
        <w:lastRenderedPageBreak/>
        <w:t>and impairments.</w:t>
      </w:r>
      <w:r w:rsidR="008333A7">
        <w:t xml:space="preserve">  Therefore, it is not necessary for the Commission to adopt rules to address repair standards for service interruptions and impair</w:t>
      </w:r>
      <w:r w:rsidR="00EE5D61">
        <w:t>ments, excluding major outages.  The Commission previously repealed the WAC 480-120-440 rule which addressed repair standards for service interruptions and impairments in recognition of the competitive changes within the telecommunications industry.</w:t>
      </w:r>
      <w:r w:rsidR="00EE5D61">
        <w:rPr>
          <w:rStyle w:val="FootnoteReference"/>
        </w:rPr>
        <w:footnoteReference w:id="1"/>
      </w:r>
      <w:r w:rsidR="002138A6">
        <w:t xml:space="preserve"> </w:t>
      </w:r>
    </w:p>
    <w:p w14:paraId="64B7684F" w14:textId="77777777" w:rsidR="008333A7" w:rsidRPr="008333A7" w:rsidRDefault="002138A6" w:rsidP="008333A7">
      <w:pPr>
        <w:spacing w:after="240" w:line="480" w:lineRule="auto"/>
      </w:pPr>
      <w:r>
        <w:tab/>
      </w:r>
      <w:r w:rsidR="008333A7">
        <w:t xml:space="preserve">For example, the </w:t>
      </w:r>
      <w:r w:rsidR="004C7D6B">
        <w:t>S</w:t>
      </w:r>
      <w:r>
        <w:t xml:space="preserve">ervice </w:t>
      </w:r>
      <w:r w:rsidR="004C7D6B">
        <w:t>G</w:t>
      </w:r>
      <w:r>
        <w:t xml:space="preserve">uide for Teleport Communications of America </w:t>
      </w:r>
      <w:r w:rsidR="008333A7">
        <w:t>(“TCA”) provides that “[t]he Company intends to work cooperatively with the Customer to develop network contingency plans in order to maintain maximum network capability following natural or man-man disaster which affect telecommunications.”  This allows TCA to meet the specific needs of the customers which are predominantly businesses</w:t>
      </w:r>
      <w:r w:rsidR="009014BE">
        <w:t xml:space="preserve">.  Credits that will be applied to customers for outages is also clearly spelled out in TCA’s Service Guide which is </w:t>
      </w:r>
      <w:r w:rsidR="009D5343">
        <w:t xml:space="preserve">its </w:t>
      </w:r>
      <w:r w:rsidR="009014BE">
        <w:t xml:space="preserve">agreement with its customers.  Customers, therefore, already have a remedy for service outages and no further intervention is needed by the Commission. </w:t>
      </w:r>
    </w:p>
    <w:p w14:paraId="64B76850" w14:textId="77777777" w:rsidR="008333A7" w:rsidRDefault="008333A7" w:rsidP="004306E8">
      <w:pPr>
        <w:spacing w:after="240" w:line="480" w:lineRule="auto"/>
      </w:pPr>
      <w:r>
        <w:tab/>
        <w:t>TCA endeavors to plan</w:t>
      </w:r>
      <w:r w:rsidR="006675B6">
        <w:t xml:space="preserve"> any outages during times when the</w:t>
      </w:r>
      <w:r w:rsidR="009014BE">
        <w:t xml:space="preserve"> volume of telecommunications traffic is the lowest.  </w:t>
      </w:r>
      <w:r w:rsidR="007B1415">
        <w:t xml:space="preserve">TCA’s Service Guide states that it will provide the customer with “reasonable notification” of planned outages and will work with the customer to determine what </w:t>
      </w:r>
      <w:r w:rsidR="009D5343">
        <w:t xml:space="preserve">constitutes </w:t>
      </w:r>
      <w:r w:rsidR="009014BE">
        <w:t xml:space="preserve">“reasonable notification” as this may well vary.  Again, </w:t>
      </w:r>
      <w:r w:rsidR="009D5343">
        <w:t xml:space="preserve">TCA already addresses outages and notifications directly with its customers, resulting in a more responsive customer experience than the imposition of requirements in a rule.  </w:t>
      </w:r>
      <w:r w:rsidR="009014BE">
        <w:t xml:space="preserve">  </w:t>
      </w:r>
    </w:p>
    <w:p w14:paraId="64B76851" w14:textId="77777777" w:rsidR="009014BE" w:rsidRDefault="009014BE" w:rsidP="004306E8">
      <w:pPr>
        <w:spacing w:after="240" w:line="480" w:lineRule="auto"/>
      </w:pPr>
      <w:r>
        <w:lastRenderedPageBreak/>
        <w:tab/>
        <w:t>If customers are unsatisfied with the carrier’s performance, the customer can simply “vote with their feet”.  Consumers have many options for obtaining communication services</w:t>
      </w:r>
      <w:r w:rsidR="009D5343">
        <w:t xml:space="preserve"> and these competitive forces drive the quality of service for consumers</w:t>
      </w:r>
      <w:r>
        <w:t>.</w:t>
      </w:r>
    </w:p>
    <w:p w14:paraId="64B76852" w14:textId="77777777" w:rsidR="00936906" w:rsidRPr="003D761E" w:rsidRDefault="006675B6" w:rsidP="00A65908">
      <w:pPr>
        <w:spacing w:after="240" w:line="480" w:lineRule="auto"/>
        <w:ind w:firstLine="720"/>
      </w:pPr>
      <w:r>
        <w:t>In summary, AT&amp;T does not believe it is necessary for the Commission to implement repair standards for service interruption and impairment for the reasons outlined above</w:t>
      </w:r>
      <w:r w:rsidR="009D5343">
        <w:t xml:space="preserve">.  AT&amp;T concurs in the position espoused by WITA, Frontier and CenturyLink in comments and reply comments filed in Docket UT-160196 that WAC 480-120-442 does not need to be reinstated.  </w:t>
      </w:r>
      <w:r w:rsidR="00C86F91">
        <w:t xml:space="preserve">At a minimum, the Commission should exempt CLECs from these requirements. </w:t>
      </w:r>
    </w:p>
    <w:p w14:paraId="64B76853" w14:textId="77777777" w:rsidR="00627E1D" w:rsidRDefault="00627E1D" w:rsidP="00627E1D">
      <w:pPr>
        <w:spacing w:line="480" w:lineRule="auto"/>
        <w:ind w:firstLine="720"/>
      </w:pPr>
      <w:r>
        <w:tab/>
        <w:t xml:space="preserve"> </w:t>
      </w:r>
      <w:r w:rsidRPr="006D3362">
        <w:t xml:space="preserve">Submitted this </w:t>
      </w:r>
      <w:r w:rsidR="00A65908">
        <w:t>6</w:t>
      </w:r>
      <w:r w:rsidR="00BF6A7C">
        <w:t xml:space="preserve">th </w:t>
      </w:r>
      <w:r w:rsidRPr="006D3362">
        <w:t xml:space="preserve">day of </w:t>
      </w:r>
      <w:r w:rsidR="00A65908">
        <w:t>March, 2017</w:t>
      </w:r>
      <w:r>
        <w:t xml:space="preserve"> </w:t>
      </w:r>
      <w:r w:rsidRPr="006D3362">
        <w:tab/>
      </w:r>
      <w:r w:rsidRPr="006D3362">
        <w:tab/>
      </w:r>
    </w:p>
    <w:p w14:paraId="64B76854" w14:textId="77777777" w:rsidR="00936906" w:rsidRDefault="00936906" w:rsidP="00627E1D">
      <w:pPr>
        <w:tabs>
          <w:tab w:val="left" w:pos="7290"/>
        </w:tabs>
        <w:ind w:left="3420"/>
        <w:rPr>
          <w:u w:val="single"/>
        </w:rPr>
      </w:pPr>
    </w:p>
    <w:p w14:paraId="64B76855" w14:textId="77777777" w:rsidR="00627E1D" w:rsidRPr="006A2333" w:rsidRDefault="006A2333" w:rsidP="006A2333">
      <w:pPr>
        <w:tabs>
          <w:tab w:val="left" w:pos="7290"/>
        </w:tabs>
        <w:ind w:left="3870"/>
        <w:rPr>
          <w:u w:val="single"/>
        </w:rPr>
      </w:pPr>
      <w:r w:rsidRPr="006A2333">
        <w:rPr>
          <w:sz w:val="22"/>
          <w:szCs w:val="22"/>
          <w:u w:val="single"/>
        </w:rPr>
        <w:object w:dxaOrig="1674" w:dyaOrig="4320" w14:anchorId="64B7685F">
          <v:shape id="_x0000_i1026" type="#_x0000_t75" style="width:229.75pt;height:47.6pt" o:ole="">
            <v:imagedata r:id="rId12" o:title=""/>
          </v:shape>
          <o:OLEObject Type="Embed" ProgID="PBrush" ShapeID="_x0000_i1026" DrawAspect="Content" ObjectID="_1550322189" r:id="rId16"/>
        </w:object>
      </w:r>
    </w:p>
    <w:p w14:paraId="64B76856" w14:textId="77777777" w:rsidR="00627E1D" w:rsidRPr="006D3362" w:rsidRDefault="00627E1D" w:rsidP="00627E1D">
      <w:pPr>
        <w:ind w:left="3420"/>
      </w:pPr>
      <w:r>
        <w:t>By:  Cynthia Manheim, WSBA# 26524</w:t>
      </w:r>
    </w:p>
    <w:p w14:paraId="64B76857" w14:textId="77777777" w:rsidR="00627E1D" w:rsidRPr="006D3362" w:rsidRDefault="00627E1D" w:rsidP="00627E1D">
      <w:pPr>
        <w:ind w:left="3420"/>
      </w:pPr>
      <w:r>
        <w:t xml:space="preserve">Representing </w:t>
      </w:r>
      <w:r w:rsidRPr="003826E6">
        <w:t xml:space="preserve">AT&amp;T </w:t>
      </w:r>
      <w:r>
        <w:t>Corp</w:t>
      </w:r>
      <w:r w:rsidR="00DE7401">
        <w:t xml:space="preserve">. </w:t>
      </w:r>
      <w:r w:rsidRPr="003826E6">
        <w:t>and T</w:t>
      </w:r>
      <w:r>
        <w:t>eleport Communications America, Inc.</w:t>
      </w:r>
    </w:p>
    <w:p w14:paraId="64B76858" w14:textId="77777777" w:rsidR="00627E1D" w:rsidRPr="006D3362" w:rsidRDefault="00627E1D" w:rsidP="00627E1D">
      <w:pPr>
        <w:ind w:left="3420"/>
      </w:pPr>
      <w:r w:rsidRPr="006D3362">
        <w:t>PO Box 97061</w:t>
      </w:r>
    </w:p>
    <w:p w14:paraId="64B76859" w14:textId="77777777" w:rsidR="00627E1D" w:rsidRPr="006D3362" w:rsidRDefault="00627E1D" w:rsidP="00627E1D">
      <w:pPr>
        <w:ind w:left="3420"/>
      </w:pPr>
      <w:r w:rsidRPr="006D3362">
        <w:t>16331 NE 72nd Way</w:t>
      </w:r>
    </w:p>
    <w:p w14:paraId="64B7685A" w14:textId="77777777" w:rsidR="00627E1D" w:rsidRPr="006D3362" w:rsidRDefault="00627E1D" w:rsidP="00627E1D">
      <w:pPr>
        <w:ind w:left="3420"/>
      </w:pPr>
      <w:r w:rsidRPr="006D3362">
        <w:t>Redmond, WA  98073-9761</w:t>
      </w:r>
    </w:p>
    <w:p w14:paraId="64B7685B" w14:textId="77777777" w:rsidR="00627E1D" w:rsidRPr="006D3362" w:rsidRDefault="00627E1D" w:rsidP="00627E1D">
      <w:pPr>
        <w:ind w:left="3420"/>
      </w:pPr>
      <w:r w:rsidRPr="006D3362">
        <w:t>Telephone:  (425) 580-8112</w:t>
      </w:r>
    </w:p>
    <w:p w14:paraId="64B7685C" w14:textId="77777777" w:rsidR="00627E1D" w:rsidRPr="006D3362" w:rsidRDefault="00627E1D" w:rsidP="00627E1D">
      <w:pPr>
        <w:ind w:left="3420"/>
      </w:pPr>
      <w:r>
        <w:t>Facsimile: (425) 580-8652</w:t>
      </w:r>
    </w:p>
    <w:p w14:paraId="64B7685D" w14:textId="77777777" w:rsidR="002B539B" w:rsidRPr="00ED0511" w:rsidRDefault="00627E1D" w:rsidP="00936906">
      <w:pPr>
        <w:ind w:left="3420"/>
      </w:pPr>
      <w:r w:rsidRPr="006D3362">
        <w:t xml:space="preserve">Email: </w:t>
      </w:r>
      <w:hyperlink r:id="rId17" w:history="1">
        <w:r w:rsidRPr="006D3362">
          <w:rPr>
            <w:rStyle w:val="Hyperlink"/>
          </w:rPr>
          <w:t>cindy.manheim@att.com</w:t>
        </w:r>
      </w:hyperlink>
    </w:p>
    <w:sectPr w:rsidR="002B539B" w:rsidRPr="00ED0511" w:rsidSect="009A5230">
      <w:footerReference w:type="default" r:id="rId18"/>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76862" w14:textId="77777777" w:rsidR="000416D9" w:rsidRDefault="000416D9">
      <w:r>
        <w:separator/>
      </w:r>
    </w:p>
  </w:endnote>
  <w:endnote w:type="continuationSeparator" w:id="0">
    <w:p w14:paraId="64B76863" w14:textId="77777777" w:rsidR="000416D9" w:rsidRDefault="0004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03126"/>
      <w:docPartObj>
        <w:docPartGallery w:val="Page Numbers (Bottom of Page)"/>
        <w:docPartUnique/>
      </w:docPartObj>
    </w:sdtPr>
    <w:sdtEndPr/>
    <w:sdtContent>
      <w:p w14:paraId="64B76866" w14:textId="77777777" w:rsidR="003625F0" w:rsidRDefault="006A73F7">
        <w:pPr>
          <w:pStyle w:val="Footer"/>
          <w:jc w:val="center"/>
        </w:pPr>
      </w:p>
    </w:sdtContent>
  </w:sdt>
  <w:p w14:paraId="64B76867" w14:textId="77777777"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03129"/>
      <w:docPartObj>
        <w:docPartGallery w:val="Page Numbers (Bottom of Page)"/>
        <w:docPartUnique/>
      </w:docPartObj>
    </w:sdtPr>
    <w:sdtEndPr/>
    <w:sdtContent>
      <w:p w14:paraId="64B76868" w14:textId="77777777" w:rsidR="003625F0" w:rsidRDefault="005E5D9B">
        <w:pPr>
          <w:pStyle w:val="Footer"/>
          <w:jc w:val="center"/>
        </w:pPr>
        <w:r>
          <w:fldChar w:fldCharType="begin"/>
        </w:r>
        <w:r>
          <w:instrText xml:space="preserve"> PAGE   \* MERGEFORMAT </w:instrText>
        </w:r>
        <w:r>
          <w:fldChar w:fldCharType="separate"/>
        </w:r>
        <w:r w:rsidR="006A73F7">
          <w:rPr>
            <w:noProof/>
          </w:rPr>
          <w:t>2</w:t>
        </w:r>
        <w:r>
          <w:rPr>
            <w:noProof/>
          </w:rPr>
          <w:fldChar w:fldCharType="end"/>
        </w:r>
      </w:p>
    </w:sdtContent>
  </w:sdt>
  <w:p w14:paraId="64B76869" w14:textId="77777777"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76860" w14:textId="77777777" w:rsidR="000416D9" w:rsidRDefault="000416D9">
      <w:r>
        <w:separator/>
      </w:r>
    </w:p>
  </w:footnote>
  <w:footnote w:type="continuationSeparator" w:id="0">
    <w:p w14:paraId="64B76861" w14:textId="77777777" w:rsidR="000416D9" w:rsidRDefault="000416D9">
      <w:r>
        <w:continuationSeparator/>
      </w:r>
    </w:p>
  </w:footnote>
  <w:footnote w:id="1">
    <w:p w14:paraId="64B76870" w14:textId="77777777" w:rsidR="00EE5D61" w:rsidRDefault="00EE5D61">
      <w:pPr>
        <w:pStyle w:val="FootnoteText"/>
      </w:pPr>
      <w:r>
        <w:rPr>
          <w:rStyle w:val="FootnoteReference"/>
        </w:rPr>
        <w:footnoteRef/>
      </w:r>
      <w:r>
        <w:t xml:space="preserve"> Docket UT-140680</w:t>
      </w:r>
      <w:r w:rsidR="007F3D53">
        <w:t xml:space="preserve"> (</w:t>
      </w:r>
      <w:r>
        <w:t xml:space="preserve">CR-101 filed with </w:t>
      </w:r>
      <w:r w:rsidR="007F3D53">
        <w:t>the code reviser on May 7, 2017)</w:t>
      </w:r>
      <w:r>
        <w:t xml:space="preserve"> was specifically captioned as a rulemaking to consider amending rules “due to the competitive changes within the telecommunications [industry] to meet consumer, commission and industry requirements no longer applicable under the existing WAC rules.”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6864" w14:textId="77777777" w:rsidR="003625F0" w:rsidRDefault="004F5EC6">
    <w:pPr>
      <w:pStyle w:val="Header"/>
      <w:ind w:right="-554"/>
    </w:pPr>
    <w:r>
      <w:rPr>
        <w:rFonts w:ascii="Arial" w:hAnsi="Arial"/>
        <w:b/>
        <w:noProof/>
        <w:sz w:val="16"/>
      </w:rPr>
      <w:drawing>
        <wp:anchor distT="0" distB="0" distL="0" distR="0" simplePos="0" relativeHeight="251662848" behindDoc="0" locked="0" layoutInCell="1" allowOverlap="0" wp14:anchorId="64B7686A" wp14:editId="64B7686B">
          <wp:simplePos x="0" y="0"/>
          <wp:positionH relativeFrom="column">
            <wp:posOffset>-323850</wp:posOffset>
          </wp:positionH>
          <wp:positionV relativeFrom="line">
            <wp:posOffset>-55880</wp:posOffset>
          </wp:positionV>
          <wp:extent cx="906145" cy="865505"/>
          <wp:effectExtent l="0" t="0" r="8255" b="0"/>
          <wp:wrapSquare wrapText="bothSides"/>
          <wp:docPr id="4" name="Picture 4" descr="http://www.att.com/Common/insider/news_now/att_vt_lkp_rgb_pos_18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tt.com/Common/insider/news_now/att_vt_lkp_rgb_pos_180w.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0614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84E">
      <w:rPr>
        <w:noProof/>
        <w:sz w:val="20"/>
      </w:rPr>
      <mc:AlternateContent>
        <mc:Choice Requires="wps">
          <w:drawing>
            <wp:anchor distT="0" distB="0" distL="114300" distR="114300" simplePos="0" relativeHeight="251660800" behindDoc="0" locked="0" layoutInCell="1" allowOverlap="1" wp14:anchorId="64B7686C" wp14:editId="64B7686D">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76871" w14:textId="77777777"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14:paraId="64B76872" w14:textId="77777777" w:rsidR="003C1A28" w:rsidRDefault="003C1A28">
                          <w:pPr>
                            <w:spacing w:line="200" w:lineRule="exact"/>
                            <w:rPr>
                              <w:rFonts w:ascii="Arial" w:hAnsi="Arial" w:cs="Arial"/>
                              <w:sz w:val="16"/>
                              <w:szCs w:val="16"/>
                            </w:rPr>
                          </w:pPr>
                          <w:r>
                            <w:rPr>
                              <w:rFonts w:ascii="Arial" w:hAnsi="Arial" w:cs="Arial"/>
                              <w:sz w:val="16"/>
                              <w:szCs w:val="16"/>
                            </w:rPr>
                            <w:t>Redmond, WA  98052</w:t>
                          </w:r>
                        </w:p>
                        <w:p w14:paraId="64B76873" w14:textId="77777777" w:rsidR="003625F0" w:rsidRPr="00D04AC9" w:rsidRDefault="003625F0">
                          <w:pPr>
                            <w:spacing w:line="120" w:lineRule="exact"/>
                            <w:rPr>
                              <w:rFonts w:ascii="Arial" w:hAnsi="Arial" w:cs="Arial"/>
                              <w:sz w:val="16"/>
                              <w:szCs w:val="16"/>
                            </w:rPr>
                          </w:pPr>
                        </w:p>
                        <w:p w14:paraId="64B76874" w14:textId="77777777"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14:paraId="64B76875" w14:textId="77777777"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14:paraId="64B76876" w14:textId="77777777" w:rsidR="003625F0" w:rsidRDefault="006A73F7">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7686C" id="_x0000_t202" coordsize="21600,21600" o:spt="202" path="m,l,21600r21600,l21600,xe">
              <v:stroke joinstyle="miter"/>
              <v:path gradientshapeok="t" o:connecttype="rect"/>
            </v:shapetype>
            <v:shape id="Text Box 3" o:spid="_x0000_s1026" type="#_x0000_t202" style="position:absolute;margin-left:5in;margin-top:-.3pt;width:126pt;height:6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14:paraId="64B76871" w14:textId="77777777"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14:paraId="64B76872" w14:textId="77777777" w:rsidR="003C1A28" w:rsidRDefault="003C1A28">
                    <w:pPr>
                      <w:spacing w:line="200" w:lineRule="exact"/>
                      <w:rPr>
                        <w:rFonts w:ascii="Arial" w:hAnsi="Arial" w:cs="Arial"/>
                        <w:sz w:val="16"/>
                        <w:szCs w:val="16"/>
                      </w:rPr>
                    </w:pPr>
                    <w:r>
                      <w:rPr>
                        <w:rFonts w:ascii="Arial" w:hAnsi="Arial" w:cs="Arial"/>
                        <w:sz w:val="16"/>
                        <w:szCs w:val="16"/>
                      </w:rPr>
                      <w:t>Redmond, WA  98052</w:t>
                    </w:r>
                  </w:p>
                  <w:p w14:paraId="64B76873" w14:textId="77777777" w:rsidR="003625F0" w:rsidRPr="00D04AC9" w:rsidRDefault="003625F0">
                    <w:pPr>
                      <w:spacing w:line="120" w:lineRule="exact"/>
                      <w:rPr>
                        <w:rFonts w:ascii="Arial" w:hAnsi="Arial" w:cs="Arial"/>
                        <w:sz w:val="16"/>
                        <w:szCs w:val="16"/>
                      </w:rPr>
                    </w:pPr>
                  </w:p>
                  <w:p w14:paraId="64B76874" w14:textId="77777777"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14:paraId="64B76875" w14:textId="77777777"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14:paraId="64B76876" w14:textId="77777777" w:rsidR="003625F0" w:rsidRDefault="006A73F7">
                    <w:pPr>
                      <w:spacing w:line="200" w:lineRule="exact"/>
                      <w:rPr>
                        <w:rFonts w:ascii="Arial" w:hAnsi="Arial" w:cs="Arial"/>
                        <w:sz w:val="16"/>
                        <w:szCs w:val="16"/>
                      </w:rPr>
                    </w:pPr>
                    <w:hyperlink r:id="rId3" w:history="1">
                      <w:r w:rsidR="003C1A28" w:rsidRPr="008716ED">
                        <w:rPr>
                          <w:rStyle w:val="Hyperlink"/>
                          <w:rFonts w:ascii="Arial" w:hAnsi="Arial" w:cs="Arial"/>
                          <w:sz w:val="16"/>
                          <w:szCs w:val="16"/>
                        </w:rPr>
                        <w:t>cindy.manheim@att.com</w:t>
                      </w:r>
                    </w:hyperlink>
                  </w:p>
                </w:txbxContent>
              </v:textbox>
            </v:shape>
          </w:pict>
        </mc:Fallback>
      </mc:AlternateContent>
    </w:r>
    <w:r w:rsidR="00BA784E">
      <w:rPr>
        <w:noProof/>
        <w:sz w:val="20"/>
      </w:rPr>
      <mc:AlternateContent>
        <mc:Choice Requires="wps">
          <w:drawing>
            <wp:anchor distT="0" distB="0" distL="114300" distR="114300" simplePos="0" relativeHeight="251657728" behindDoc="0" locked="0" layoutInCell="1" allowOverlap="1" wp14:anchorId="64B7686E" wp14:editId="64B7686F">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76877" w14:textId="77777777" w:rsidR="003625F0" w:rsidRDefault="003C1A28">
                          <w:pPr>
                            <w:rPr>
                              <w:rFonts w:ascii="Arial" w:hAnsi="Arial" w:cs="Arial"/>
                              <w:sz w:val="16"/>
                              <w:szCs w:val="16"/>
                            </w:rPr>
                          </w:pPr>
                          <w:r>
                            <w:rPr>
                              <w:rFonts w:ascii="Arial" w:hAnsi="Arial" w:cs="Arial"/>
                              <w:sz w:val="16"/>
                              <w:szCs w:val="16"/>
                            </w:rPr>
                            <w:t>Cynthia Manheim</w:t>
                          </w:r>
                        </w:p>
                        <w:p w14:paraId="64B76878" w14:textId="77777777" w:rsidR="003625F0" w:rsidRDefault="0054113C">
                          <w:pPr>
                            <w:rPr>
                              <w:rFonts w:ascii="Arial" w:hAnsi="Arial" w:cs="Arial"/>
                              <w:sz w:val="16"/>
                              <w:szCs w:val="16"/>
                            </w:rPr>
                          </w:pPr>
                          <w:r>
                            <w:rPr>
                              <w:rFonts w:ascii="Arial" w:hAnsi="Arial" w:cs="Arial"/>
                              <w:sz w:val="16"/>
                              <w:szCs w:val="16"/>
                            </w:rPr>
                            <w:t>AVP-Senior Legal Counsel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686E" id="Text Box 2" o:spid="_x0000_s1027" type="#_x0000_t202" style="position:absolute;margin-left:234pt;margin-top:-.3pt;width:11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14:paraId="64B76877" w14:textId="77777777" w:rsidR="003625F0" w:rsidRDefault="003C1A28">
                    <w:pPr>
                      <w:rPr>
                        <w:rFonts w:ascii="Arial" w:hAnsi="Arial" w:cs="Arial"/>
                        <w:sz w:val="16"/>
                        <w:szCs w:val="16"/>
                      </w:rPr>
                    </w:pPr>
                    <w:r>
                      <w:rPr>
                        <w:rFonts w:ascii="Arial" w:hAnsi="Arial" w:cs="Arial"/>
                        <w:sz w:val="16"/>
                        <w:szCs w:val="16"/>
                      </w:rPr>
                      <w:t>Cynthia Manheim</w:t>
                    </w:r>
                  </w:p>
                  <w:p w14:paraId="64B76878" w14:textId="77777777" w:rsidR="003625F0" w:rsidRDefault="0054113C">
                    <w:pPr>
                      <w:rPr>
                        <w:rFonts w:ascii="Arial" w:hAnsi="Arial" w:cs="Arial"/>
                        <w:sz w:val="16"/>
                        <w:szCs w:val="16"/>
                      </w:rPr>
                    </w:pPr>
                    <w:r>
                      <w:rPr>
                        <w:rFonts w:ascii="Arial" w:hAnsi="Arial" w:cs="Arial"/>
                        <w:sz w:val="16"/>
                        <w:szCs w:val="16"/>
                      </w:rPr>
                      <w:t>AVP-Senior Legal Counsel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6865" w14:textId="77777777"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E712B"/>
    <w:multiLevelType w:val="hybridMultilevel"/>
    <w:tmpl w:val="226E2882"/>
    <w:lvl w:ilvl="0" w:tplc="ECC00CE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15115D"/>
    <w:multiLevelType w:val="hybridMultilevel"/>
    <w:tmpl w:val="0B6C8B7E"/>
    <w:lvl w:ilvl="0" w:tplc="B1A0B3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260242F"/>
    <w:multiLevelType w:val="hybridMultilevel"/>
    <w:tmpl w:val="56CE9DB8"/>
    <w:lvl w:ilvl="0" w:tplc="87B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2A3FB9"/>
    <w:multiLevelType w:val="hybridMultilevel"/>
    <w:tmpl w:val="61BE0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0385F"/>
    <w:multiLevelType w:val="hybridMultilevel"/>
    <w:tmpl w:val="5D9A78E6"/>
    <w:lvl w:ilvl="0" w:tplc="C246B3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DF612B"/>
    <w:multiLevelType w:val="hybridMultilevel"/>
    <w:tmpl w:val="A1723D32"/>
    <w:lvl w:ilvl="0" w:tplc="7526C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D0630A"/>
    <w:multiLevelType w:val="hybridMultilevel"/>
    <w:tmpl w:val="C9904D0C"/>
    <w:lvl w:ilvl="0" w:tplc="FAECD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5D0E6D"/>
    <w:multiLevelType w:val="hybridMultilevel"/>
    <w:tmpl w:val="61429F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09647F"/>
    <w:multiLevelType w:val="hybridMultilevel"/>
    <w:tmpl w:val="2D3CB930"/>
    <w:lvl w:ilvl="0" w:tplc="E8A0C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E604F"/>
    <w:multiLevelType w:val="hybridMultilevel"/>
    <w:tmpl w:val="E1D2C0C0"/>
    <w:lvl w:ilvl="0" w:tplc="E94E08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C2BF9"/>
    <w:multiLevelType w:val="hybridMultilevel"/>
    <w:tmpl w:val="55D2C2F8"/>
    <w:lvl w:ilvl="0" w:tplc="80325D7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8C578D"/>
    <w:multiLevelType w:val="hybridMultilevel"/>
    <w:tmpl w:val="85D817C4"/>
    <w:lvl w:ilvl="0" w:tplc="BEB23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F27178"/>
    <w:multiLevelType w:val="hybridMultilevel"/>
    <w:tmpl w:val="F3F0C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DF56DD"/>
    <w:multiLevelType w:val="hybridMultilevel"/>
    <w:tmpl w:val="80304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F623D"/>
    <w:multiLevelType w:val="hybridMultilevel"/>
    <w:tmpl w:val="0EA4155C"/>
    <w:lvl w:ilvl="0" w:tplc="37A4E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9C0F13"/>
    <w:multiLevelType w:val="hybridMultilevel"/>
    <w:tmpl w:val="D76845FE"/>
    <w:lvl w:ilvl="0" w:tplc="E76CA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271C8"/>
    <w:multiLevelType w:val="hybridMultilevel"/>
    <w:tmpl w:val="2F40166E"/>
    <w:lvl w:ilvl="0" w:tplc="E76CDB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2646C"/>
    <w:multiLevelType w:val="hybridMultilevel"/>
    <w:tmpl w:val="2B745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C0746F"/>
    <w:multiLevelType w:val="hybridMultilevel"/>
    <w:tmpl w:val="B8701648"/>
    <w:lvl w:ilvl="0" w:tplc="C35C5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264F1"/>
    <w:multiLevelType w:val="hybridMultilevel"/>
    <w:tmpl w:val="BA3AF6D2"/>
    <w:lvl w:ilvl="0" w:tplc="1C788508">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C0454"/>
    <w:multiLevelType w:val="hybridMultilevel"/>
    <w:tmpl w:val="72189D32"/>
    <w:lvl w:ilvl="0" w:tplc="B992C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24"/>
  </w:num>
  <w:num w:numId="4">
    <w:abstractNumId w:val="3"/>
  </w:num>
  <w:num w:numId="5">
    <w:abstractNumId w:val="19"/>
  </w:num>
  <w:num w:numId="6">
    <w:abstractNumId w:val="15"/>
  </w:num>
  <w:num w:numId="7">
    <w:abstractNumId w:val="40"/>
  </w:num>
  <w:num w:numId="8">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num>
  <w:num w:numId="11">
    <w:abstractNumId w:val="9"/>
  </w:num>
  <w:num w:numId="12">
    <w:abstractNumId w:val="18"/>
  </w:num>
  <w:num w:numId="13">
    <w:abstractNumId w:val="2"/>
  </w:num>
  <w:num w:numId="14">
    <w:abstractNumId w:val="22"/>
  </w:num>
  <w:num w:numId="15">
    <w:abstractNumId w:val="10"/>
  </w:num>
  <w:num w:numId="16">
    <w:abstractNumId w:val="13"/>
  </w:num>
  <w:num w:numId="17">
    <w:abstractNumId w:val="6"/>
  </w:num>
  <w:num w:numId="18">
    <w:abstractNumId w:val="36"/>
  </w:num>
  <w:num w:numId="19">
    <w:abstractNumId w:val="33"/>
  </w:num>
  <w:num w:numId="20">
    <w:abstractNumId w:val="39"/>
  </w:num>
  <w:num w:numId="21">
    <w:abstractNumId w:val="1"/>
  </w:num>
  <w:num w:numId="22">
    <w:abstractNumId w:val="26"/>
  </w:num>
  <w:num w:numId="23">
    <w:abstractNumId w:val="20"/>
  </w:num>
  <w:num w:numId="24">
    <w:abstractNumId w:val="29"/>
  </w:num>
  <w:num w:numId="25">
    <w:abstractNumId w:val="8"/>
  </w:num>
  <w:num w:numId="26">
    <w:abstractNumId w:val="35"/>
  </w:num>
  <w:num w:numId="27">
    <w:abstractNumId w:val="16"/>
  </w:num>
  <w:num w:numId="28">
    <w:abstractNumId w:val="27"/>
  </w:num>
  <w:num w:numId="29">
    <w:abstractNumId w:val="38"/>
  </w:num>
  <w:num w:numId="30">
    <w:abstractNumId w:val="7"/>
  </w:num>
  <w:num w:numId="31">
    <w:abstractNumId w:val="17"/>
  </w:num>
  <w:num w:numId="32">
    <w:abstractNumId w:val="25"/>
  </w:num>
  <w:num w:numId="33">
    <w:abstractNumId w:val="12"/>
  </w:num>
  <w:num w:numId="34">
    <w:abstractNumId w:val="14"/>
  </w:num>
  <w:num w:numId="35">
    <w:abstractNumId w:val="30"/>
  </w:num>
  <w:num w:numId="36">
    <w:abstractNumId w:val="41"/>
  </w:num>
  <w:num w:numId="37">
    <w:abstractNumId w:val="5"/>
  </w:num>
  <w:num w:numId="38">
    <w:abstractNumId w:val="31"/>
  </w:num>
  <w:num w:numId="39">
    <w:abstractNumId w:val="21"/>
  </w:num>
  <w:num w:numId="40">
    <w:abstractNumId w:val="11"/>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F"/>
    <w:rsid w:val="00027624"/>
    <w:rsid w:val="00032EDE"/>
    <w:rsid w:val="00037644"/>
    <w:rsid w:val="0004034A"/>
    <w:rsid w:val="000416D9"/>
    <w:rsid w:val="0004686D"/>
    <w:rsid w:val="000541AB"/>
    <w:rsid w:val="0006355A"/>
    <w:rsid w:val="00077706"/>
    <w:rsid w:val="0008186D"/>
    <w:rsid w:val="000863BF"/>
    <w:rsid w:val="00094285"/>
    <w:rsid w:val="000B0AF2"/>
    <w:rsid w:val="000B75B1"/>
    <w:rsid w:val="000B79FF"/>
    <w:rsid w:val="001001F8"/>
    <w:rsid w:val="0010246D"/>
    <w:rsid w:val="00141AF3"/>
    <w:rsid w:val="00152D86"/>
    <w:rsid w:val="0017162C"/>
    <w:rsid w:val="00176321"/>
    <w:rsid w:val="00183B50"/>
    <w:rsid w:val="001853F4"/>
    <w:rsid w:val="001A4B7B"/>
    <w:rsid w:val="001C1FBA"/>
    <w:rsid w:val="001C2C6C"/>
    <w:rsid w:val="001C7B8E"/>
    <w:rsid w:val="001D7658"/>
    <w:rsid w:val="001E722B"/>
    <w:rsid w:val="002120CC"/>
    <w:rsid w:val="002138A6"/>
    <w:rsid w:val="00217D11"/>
    <w:rsid w:val="00221918"/>
    <w:rsid w:val="00233021"/>
    <w:rsid w:val="0024015C"/>
    <w:rsid w:val="002417EC"/>
    <w:rsid w:val="00242D60"/>
    <w:rsid w:val="0024610E"/>
    <w:rsid w:val="0025468F"/>
    <w:rsid w:val="00262049"/>
    <w:rsid w:val="002904E7"/>
    <w:rsid w:val="00295712"/>
    <w:rsid w:val="002A5BDD"/>
    <w:rsid w:val="002B539B"/>
    <w:rsid w:val="002B62CF"/>
    <w:rsid w:val="002C1638"/>
    <w:rsid w:val="002C77F1"/>
    <w:rsid w:val="002F1380"/>
    <w:rsid w:val="002F1AB1"/>
    <w:rsid w:val="002F327F"/>
    <w:rsid w:val="00310132"/>
    <w:rsid w:val="0031492E"/>
    <w:rsid w:val="003436F4"/>
    <w:rsid w:val="00344D80"/>
    <w:rsid w:val="0034595F"/>
    <w:rsid w:val="003625F0"/>
    <w:rsid w:val="003826E6"/>
    <w:rsid w:val="00387EAB"/>
    <w:rsid w:val="003B257E"/>
    <w:rsid w:val="003C1A28"/>
    <w:rsid w:val="003D2746"/>
    <w:rsid w:val="00401464"/>
    <w:rsid w:val="004173EB"/>
    <w:rsid w:val="00417BD5"/>
    <w:rsid w:val="00423BCA"/>
    <w:rsid w:val="004306E8"/>
    <w:rsid w:val="00433EA8"/>
    <w:rsid w:val="00450EA2"/>
    <w:rsid w:val="00464D6E"/>
    <w:rsid w:val="00464D84"/>
    <w:rsid w:val="004736F0"/>
    <w:rsid w:val="00473BE4"/>
    <w:rsid w:val="00497F06"/>
    <w:rsid w:val="004A316F"/>
    <w:rsid w:val="004B1B5E"/>
    <w:rsid w:val="004B2425"/>
    <w:rsid w:val="004B2FCC"/>
    <w:rsid w:val="004C7D6B"/>
    <w:rsid w:val="004E7C29"/>
    <w:rsid w:val="004F2D30"/>
    <w:rsid w:val="004F5EC6"/>
    <w:rsid w:val="004F7400"/>
    <w:rsid w:val="00500E22"/>
    <w:rsid w:val="00525A85"/>
    <w:rsid w:val="0053255F"/>
    <w:rsid w:val="0054113C"/>
    <w:rsid w:val="005415F7"/>
    <w:rsid w:val="00543486"/>
    <w:rsid w:val="00575EAB"/>
    <w:rsid w:val="00582572"/>
    <w:rsid w:val="00591312"/>
    <w:rsid w:val="005914B0"/>
    <w:rsid w:val="00596E04"/>
    <w:rsid w:val="005B10F4"/>
    <w:rsid w:val="005B1D7A"/>
    <w:rsid w:val="005B2825"/>
    <w:rsid w:val="005B34E9"/>
    <w:rsid w:val="005D0799"/>
    <w:rsid w:val="005E5D9B"/>
    <w:rsid w:val="006047F4"/>
    <w:rsid w:val="00614E41"/>
    <w:rsid w:val="00623CD9"/>
    <w:rsid w:val="00627E1D"/>
    <w:rsid w:val="00632C60"/>
    <w:rsid w:val="006365B6"/>
    <w:rsid w:val="00640241"/>
    <w:rsid w:val="0066005A"/>
    <w:rsid w:val="006675B6"/>
    <w:rsid w:val="00676ED6"/>
    <w:rsid w:val="00684C5C"/>
    <w:rsid w:val="006A2333"/>
    <w:rsid w:val="006A73F7"/>
    <w:rsid w:val="006B7E48"/>
    <w:rsid w:val="006C49F8"/>
    <w:rsid w:val="006D5A78"/>
    <w:rsid w:val="006E2178"/>
    <w:rsid w:val="006E774D"/>
    <w:rsid w:val="006F02E2"/>
    <w:rsid w:val="00723B37"/>
    <w:rsid w:val="00740C3B"/>
    <w:rsid w:val="00747EBE"/>
    <w:rsid w:val="007561CB"/>
    <w:rsid w:val="0076365B"/>
    <w:rsid w:val="007925EC"/>
    <w:rsid w:val="007975B0"/>
    <w:rsid w:val="007B1415"/>
    <w:rsid w:val="007D453D"/>
    <w:rsid w:val="007E180B"/>
    <w:rsid w:val="007F3D53"/>
    <w:rsid w:val="007F4A0D"/>
    <w:rsid w:val="007F6DAE"/>
    <w:rsid w:val="00813604"/>
    <w:rsid w:val="008333A7"/>
    <w:rsid w:val="0083386C"/>
    <w:rsid w:val="0083570D"/>
    <w:rsid w:val="0084229B"/>
    <w:rsid w:val="00852185"/>
    <w:rsid w:val="008541F9"/>
    <w:rsid w:val="00862AFB"/>
    <w:rsid w:val="00870B53"/>
    <w:rsid w:val="00881628"/>
    <w:rsid w:val="0089406E"/>
    <w:rsid w:val="00895031"/>
    <w:rsid w:val="00896501"/>
    <w:rsid w:val="008A5DA8"/>
    <w:rsid w:val="008B4B0B"/>
    <w:rsid w:val="008B5C39"/>
    <w:rsid w:val="008B6A08"/>
    <w:rsid w:val="008D41F5"/>
    <w:rsid w:val="008F7DF9"/>
    <w:rsid w:val="00900996"/>
    <w:rsid w:val="009014BE"/>
    <w:rsid w:val="00924A87"/>
    <w:rsid w:val="00930A08"/>
    <w:rsid w:val="00932242"/>
    <w:rsid w:val="00936906"/>
    <w:rsid w:val="009421AF"/>
    <w:rsid w:val="00976449"/>
    <w:rsid w:val="009A5230"/>
    <w:rsid w:val="009D0C66"/>
    <w:rsid w:val="009D3707"/>
    <w:rsid w:val="009D5343"/>
    <w:rsid w:val="009F70A2"/>
    <w:rsid w:val="00A053A7"/>
    <w:rsid w:val="00A13980"/>
    <w:rsid w:val="00A30666"/>
    <w:rsid w:val="00A31302"/>
    <w:rsid w:val="00A33D64"/>
    <w:rsid w:val="00A65908"/>
    <w:rsid w:val="00A71E48"/>
    <w:rsid w:val="00A82757"/>
    <w:rsid w:val="00A8343B"/>
    <w:rsid w:val="00A97347"/>
    <w:rsid w:val="00A97D4A"/>
    <w:rsid w:val="00AB58B8"/>
    <w:rsid w:val="00AB7EAC"/>
    <w:rsid w:val="00AD0086"/>
    <w:rsid w:val="00AE3358"/>
    <w:rsid w:val="00B13D84"/>
    <w:rsid w:val="00B21456"/>
    <w:rsid w:val="00B52B4B"/>
    <w:rsid w:val="00B54367"/>
    <w:rsid w:val="00B56160"/>
    <w:rsid w:val="00B62119"/>
    <w:rsid w:val="00B63142"/>
    <w:rsid w:val="00B6338E"/>
    <w:rsid w:val="00B748DA"/>
    <w:rsid w:val="00B8760E"/>
    <w:rsid w:val="00B9180B"/>
    <w:rsid w:val="00BA63E1"/>
    <w:rsid w:val="00BA784E"/>
    <w:rsid w:val="00BD4E2D"/>
    <w:rsid w:val="00BE2E2D"/>
    <w:rsid w:val="00BF21DB"/>
    <w:rsid w:val="00BF6A7C"/>
    <w:rsid w:val="00BF7E7D"/>
    <w:rsid w:val="00C16161"/>
    <w:rsid w:val="00C30771"/>
    <w:rsid w:val="00C66A73"/>
    <w:rsid w:val="00C83F3C"/>
    <w:rsid w:val="00C85E3C"/>
    <w:rsid w:val="00C86F91"/>
    <w:rsid w:val="00C9354B"/>
    <w:rsid w:val="00C95CCE"/>
    <w:rsid w:val="00CA571F"/>
    <w:rsid w:val="00CC55CD"/>
    <w:rsid w:val="00CE092F"/>
    <w:rsid w:val="00CF43E9"/>
    <w:rsid w:val="00CF7F9F"/>
    <w:rsid w:val="00D022EF"/>
    <w:rsid w:val="00D063CD"/>
    <w:rsid w:val="00D1255F"/>
    <w:rsid w:val="00D13269"/>
    <w:rsid w:val="00D142D5"/>
    <w:rsid w:val="00D226BC"/>
    <w:rsid w:val="00D3338E"/>
    <w:rsid w:val="00D346CA"/>
    <w:rsid w:val="00D36A3A"/>
    <w:rsid w:val="00D40462"/>
    <w:rsid w:val="00D4658F"/>
    <w:rsid w:val="00D67A9F"/>
    <w:rsid w:val="00D67D6E"/>
    <w:rsid w:val="00D73972"/>
    <w:rsid w:val="00D74CA1"/>
    <w:rsid w:val="00D77B5F"/>
    <w:rsid w:val="00D9173C"/>
    <w:rsid w:val="00DA0120"/>
    <w:rsid w:val="00DA0FFE"/>
    <w:rsid w:val="00DA7536"/>
    <w:rsid w:val="00DB1492"/>
    <w:rsid w:val="00DB5F6E"/>
    <w:rsid w:val="00DD630D"/>
    <w:rsid w:val="00DE7401"/>
    <w:rsid w:val="00E262D6"/>
    <w:rsid w:val="00E32921"/>
    <w:rsid w:val="00E342C3"/>
    <w:rsid w:val="00E35C5A"/>
    <w:rsid w:val="00E40087"/>
    <w:rsid w:val="00E6077D"/>
    <w:rsid w:val="00ED0511"/>
    <w:rsid w:val="00EE0888"/>
    <w:rsid w:val="00EE5D61"/>
    <w:rsid w:val="00EF0B90"/>
    <w:rsid w:val="00F15777"/>
    <w:rsid w:val="00F30DE1"/>
    <w:rsid w:val="00F50D63"/>
    <w:rsid w:val="00F6397B"/>
    <w:rsid w:val="00F66D8E"/>
    <w:rsid w:val="00F70151"/>
    <w:rsid w:val="00F803EB"/>
    <w:rsid w:val="00F84EF1"/>
    <w:rsid w:val="00FA34EF"/>
    <w:rsid w:val="00FA703F"/>
    <w:rsid w:val="00FC14F7"/>
    <w:rsid w:val="00FD5F2B"/>
    <w:rsid w:val="00FE03AE"/>
    <w:rsid w:val="00FE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B76819"/>
  <w15:docId w15:val="{BF93E5E2-7AD9-4E66-AF15-94B51F3B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3881">
      <w:bodyDiv w:val="1"/>
      <w:marLeft w:val="0"/>
      <w:marRight w:val="0"/>
      <w:marTop w:val="0"/>
      <w:marBottom w:val="0"/>
      <w:divBdr>
        <w:top w:val="none" w:sz="0" w:space="0" w:color="auto"/>
        <w:left w:val="none" w:sz="0" w:space="0" w:color="auto"/>
        <w:bottom w:val="none" w:sz="0" w:space="0" w:color="auto"/>
        <w:right w:val="none" w:sz="0" w:space="0" w:color="auto"/>
      </w:divBdr>
    </w:div>
    <w:div w:id="208685677">
      <w:bodyDiv w:val="1"/>
      <w:marLeft w:val="0"/>
      <w:marRight w:val="0"/>
      <w:marTop w:val="0"/>
      <w:marBottom w:val="0"/>
      <w:divBdr>
        <w:top w:val="none" w:sz="0" w:space="0" w:color="auto"/>
        <w:left w:val="none" w:sz="0" w:space="0" w:color="auto"/>
        <w:bottom w:val="none" w:sz="0" w:space="0" w:color="auto"/>
        <w:right w:val="none" w:sz="0" w:space="0" w:color="auto"/>
      </w:divBdr>
    </w:div>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indy.manheim@att.com"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cindy.manheim@att.com" TargetMode="External"/><Relationship Id="rId2" Type="http://schemas.openxmlformats.org/officeDocument/2006/relationships/hyperlink" Target="mailto:cindy.manheim@att.com" TargetMode="External"/><Relationship Id="rId1" Type="http://schemas.openxmlformats.org/officeDocument/2006/relationships/image" Target="http://www.att.com/Common/insider/news_now/att_vt_lkp_rgb_pos_180w.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2017-03-06T08:00:00+00:00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9ABB75A-8967-424C-9158-60F0B78B0671}">
  <ds:schemaRef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6A9C077F-709D-450C-86C1-23E6581876D5}">
  <ds:schemaRefs>
    <ds:schemaRef ds:uri="http://schemas.microsoft.com/sharepoint/v3/contenttype/forms"/>
  </ds:schemaRefs>
</ds:datastoreItem>
</file>

<file path=customXml/itemProps3.xml><?xml version="1.0" encoding="utf-8"?>
<ds:datastoreItem xmlns:ds="http://schemas.openxmlformats.org/officeDocument/2006/customXml" ds:itemID="{AC0B7421-445F-4EC5-98EB-873554F9DC5C}"/>
</file>

<file path=customXml/itemProps4.xml><?xml version="1.0" encoding="utf-8"?>
<ds:datastoreItem xmlns:ds="http://schemas.openxmlformats.org/officeDocument/2006/customXml" ds:itemID="{4856939A-749B-4D6A-8C2A-6B3A139694ED}">
  <ds:schemaRefs>
    <ds:schemaRef ds:uri="http://schemas.openxmlformats.org/officeDocument/2006/bibliography"/>
  </ds:schemaRefs>
</ds:datastoreItem>
</file>

<file path=customXml/itemProps5.xml><?xml version="1.0" encoding="utf-8"?>
<ds:datastoreItem xmlns:ds="http://schemas.openxmlformats.org/officeDocument/2006/customXml" ds:itemID="{BA033CAF-92B9-406F-89C4-BD0BBC7FC4E8}"/>
</file>

<file path=docProps/app.xml><?xml version="1.0" encoding="utf-8"?>
<Properties xmlns="http://schemas.openxmlformats.org/officeDocument/2006/extended-properties" xmlns:vt="http://schemas.openxmlformats.org/officeDocument/2006/docPropsVTypes">
  <Template>MA Letterhead.dot</Template>
  <TotalTime>0</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4717</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Kredel, Ashley (UTC)</cp:lastModifiedBy>
  <cp:revision>2</cp:revision>
  <cp:lastPrinted>2015-05-01T22:01:00Z</cp:lastPrinted>
  <dcterms:created xsi:type="dcterms:W3CDTF">2017-03-07T00:17:00Z</dcterms:created>
  <dcterms:modified xsi:type="dcterms:W3CDTF">2017-03-07T00:17:00Z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0x0101006E56B4D1795A2E4DB2F0B01679ED314A003D53D6A2B0DBF04E963ECE6854CCA25A</vt:lpwstr>
  </property>
  <property fmtid="{D5CDD505-2E9C-101B-9397-08002B2CF9AE}" pid="4" name="_docset_NoMedatataSyncRequired">
    <vt:lpwstr>False</vt:lpwstr>
  </property>
  <property fmtid="{D5CDD505-2E9C-101B-9397-08002B2CF9AE}" pid="5" name="IsEFSEC">
    <vt:bool>false</vt:bool>
  </property>
</Properties>
</file>