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insideH w:val="single" w:sz="4" w:space="0" w:color="auto"/>
        </w:tblBorders>
        <w:tblLayout w:type="fixed"/>
        <w:tblLook w:val="0000" w:firstRow="0" w:lastRow="0" w:firstColumn="0" w:lastColumn="0" w:noHBand="0" w:noVBand="0"/>
      </w:tblPr>
      <w:tblGrid>
        <w:gridCol w:w="4788"/>
        <w:gridCol w:w="4788"/>
      </w:tblGrid>
      <w:tr w:rsidR="00F86C06" w14:paraId="21CF6A20" w14:textId="77777777" w:rsidTr="00F45919">
        <w:tc>
          <w:tcPr>
            <w:tcW w:w="4788" w:type="dxa"/>
          </w:tcPr>
          <w:p w14:paraId="5138B098" w14:textId="77777777" w:rsidR="00F86C06" w:rsidRPr="00663BBB" w:rsidRDefault="00F86C06" w:rsidP="00663BBB">
            <w:pPr>
              <w:pStyle w:val="Header"/>
              <w:ind w:left="-108"/>
              <w:rPr>
                <w:rFonts w:ascii="Times New Roman" w:hAnsi="Times New Roman" w:cs="Times New Roman"/>
                <w:b/>
                <w:bCs/>
                <w:szCs w:val="18"/>
              </w:rPr>
            </w:pPr>
            <w:bookmarkStart w:id="0" w:name="_GoBack"/>
            <w:bookmarkEnd w:id="0"/>
            <w:r w:rsidRPr="00663BBB">
              <w:rPr>
                <w:rFonts w:ascii="Times New Roman" w:hAnsi="Times New Roman" w:cs="Times New Roman"/>
                <w:b/>
                <w:bCs/>
                <w:szCs w:val="18"/>
              </w:rPr>
              <w:t>Avista Corp.</w:t>
            </w:r>
          </w:p>
          <w:p w14:paraId="06DB94A8" w14:textId="77777777" w:rsidR="00F86C06" w:rsidRPr="00663BBB" w:rsidRDefault="00F86C06" w:rsidP="00663BBB">
            <w:pPr>
              <w:pStyle w:val="Header"/>
              <w:ind w:left="-108"/>
              <w:rPr>
                <w:rFonts w:ascii="Times New Roman" w:hAnsi="Times New Roman" w:cs="Times New Roman"/>
                <w:szCs w:val="18"/>
              </w:rPr>
            </w:pPr>
            <w:r w:rsidRPr="00663BBB">
              <w:rPr>
                <w:rFonts w:ascii="Times New Roman" w:hAnsi="Times New Roman" w:cs="Times New Roman"/>
                <w:szCs w:val="18"/>
              </w:rPr>
              <w:t>1411 East Mission   P.O. Box 3727</w:t>
            </w:r>
          </w:p>
          <w:p w14:paraId="30E2B7EA" w14:textId="77777777" w:rsidR="00F86C06" w:rsidRPr="00663BBB" w:rsidRDefault="00344DC2" w:rsidP="00663BBB">
            <w:pPr>
              <w:pStyle w:val="Header"/>
              <w:ind w:left="-108"/>
              <w:rPr>
                <w:rFonts w:ascii="Times New Roman" w:hAnsi="Times New Roman" w:cs="Times New Roman"/>
                <w:szCs w:val="18"/>
              </w:rPr>
            </w:pPr>
            <w:r w:rsidRPr="00663BBB">
              <w:rPr>
                <w:rFonts w:ascii="Times New Roman" w:hAnsi="Times New Roman" w:cs="Times New Roman"/>
                <w:szCs w:val="18"/>
              </w:rPr>
              <w:t>Spokane,</w:t>
            </w:r>
            <w:r w:rsidR="00F86C06" w:rsidRPr="00663BBB">
              <w:rPr>
                <w:rFonts w:ascii="Times New Roman" w:hAnsi="Times New Roman" w:cs="Times New Roman"/>
                <w:szCs w:val="18"/>
              </w:rPr>
              <w:t xml:space="preserve"> Washington  99220-0500</w:t>
            </w:r>
          </w:p>
          <w:p w14:paraId="04B65F68" w14:textId="77777777" w:rsidR="00F86C06" w:rsidRPr="00663BBB" w:rsidRDefault="00F86C06" w:rsidP="00663BBB">
            <w:pPr>
              <w:pStyle w:val="Header"/>
              <w:ind w:left="-108"/>
              <w:rPr>
                <w:rFonts w:ascii="Times New Roman" w:hAnsi="Times New Roman" w:cs="Times New Roman"/>
                <w:szCs w:val="18"/>
              </w:rPr>
            </w:pPr>
            <w:r w:rsidRPr="00663BBB">
              <w:rPr>
                <w:rFonts w:ascii="Times New Roman" w:hAnsi="Times New Roman" w:cs="Times New Roman"/>
                <w:szCs w:val="18"/>
              </w:rPr>
              <w:t>Telephone 509-489-0500</w:t>
            </w:r>
          </w:p>
          <w:p w14:paraId="6376D2A0" w14:textId="77777777" w:rsidR="00F86C06" w:rsidRPr="00663BBB" w:rsidRDefault="00F86C06" w:rsidP="00663BBB">
            <w:pPr>
              <w:pStyle w:val="Header"/>
              <w:ind w:left="-108"/>
              <w:rPr>
                <w:rFonts w:ascii="Times New Roman" w:hAnsi="Times New Roman" w:cs="Times New Roman"/>
                <w:szCs w:val="18"/>
              </w:rPr>
            </w:pPr>
            <w:r w:rsidRPr="00663BBB">
              <w:rPr>
                <w:rFonts w:ascii="Times New Roman" w:hAnsi="Times New Roman" w:cs="Times New Roman"/>
                <w:szCs w:val="18"/>
              </w:rPr>
              <w:t>Toll Free   800-727-9170</w:t>
            </w:r>
          </w:p>
          <w:p w14:paraId="607B26A7" w14:textId="77777777" w:rsidR="00F86C06" w:rsidRDefault="00F86C06" w:rsidP="00F45919">
            <w:pPr>
              <w:pStyle w:val="Header"/>
              <w:rPr>
                <w:rFonts w:cs="Arial"/>
                <w:b/>
                <w:bCs/>
                <w:sz w:val="18"/>
                <w:szCs w:val="18"/>
              </w:rPr>
            </w:pPr>
          </w:p>
        </w:tc>
        <w:tc>
          <w:tcPr>
            <w:tcW w:w="4788" w:type="dxa"/>
          </w:tcPr>
          <w:p w14:paraId="6F86CF66" w14:textId="77777777" w:rsidR="00F86C06" w:rsidRDefault="00F86C06" w:rsidP="00F45919">
            <w:pPr>
              <w:pStyle w:val="Header"/>
              <w:tabs>
                <w:tab w:val="left" w:pos="2232"/>
              </w:tabs>
              <w:rPr>
                <w:rFonts w:cs="Arial"/>
                <w:b/>
                <w:bCs/>
                <w:sz w:val="16"/>
                <w:szCs w:val="16"/>
              </w:rPr>
            </w:pPr>
            <w:r>
              <w:rPr>
                <w:rFonts w:cs="Arial"/>
                <w:b/>
                <w:bCs/>
                <w:sz w:val="16"/>
                <w:szCs w:val="16"/>
              </w:rPr>
              <w:t xml:space="preserve"> </w:t>
            </w:r>
            <w:r>
              <w:rPr>
                <w:rFonts w:cs="Arial"/>
                <w:b/>
                <w:bCs/>
                <w:sz w:val="16"/>
                <w:szCs w:val="16"/>
              </w:rPr>
              <w:tab/>
              <w:t xml:space="preserve"> </w:t>
            </w:r>
          </w:p>
        </w:tc>
      </w:tr>
    </w:tbl>
    <w:p w14:paraId="2D272106" w14:textId="77777777" w:rsidR="00FC1D02" w:rsidRDefault="00FC1D02" w:rsidP="00F45919">
      <w:pPr>
        <w:pStyle w:val="NoSpacing"/>
        <w:ind w:right="-270"/>
        <w:jc w:val="both"/>
        <w:rPr>
          <w:rFonts w:ascii="Times New Roman" w:hAnsi="Times New Roman"/>
          <w:sz w:val="24"/>
          <w:szCs w:val="24"/>
        </w:rPr>
      </w:pPr>
    </w:p>
    <w:p w14:paraId="512A9D06" w14:textId="6962690C" w:rsidR="00F45919" w:rsidRDefault="002142D5" w:rsidP="00F45919">
      <w:pPr>
        <w:pStyle w:val="NoSpacing"/>
        <w:ind w:right="-270"/>
        <w:jc w:val="both"/>
        <w:rPr>
          <w:rFonts w:ascii="Times New Roman" w:hAnsi="Times New Roman"/>
          <w:sz w:val="24"/>
          <w:szCs w:val="24"/>
        </w:rPr>
      </w:pPr>
      <w:r>
        <w:rPr>
          <w:rFonts w:ascii="Times New Roman" w:hAnsi="Times New Roman"/>
          <w:sz w:val="24"/>
          <w:szCs w:val="24"/>
        </w:rPr>
        <w:t>September 30, 2016</w:t>
      </w:r>
    </w:p>
    <w:p w14:paraId="6AD6D1B5" w14:textId="77777777" w:rsidR="00FC1D02" w:rsidRPr="00C4686F" w:rsidRDefault="00FC1D02" w:rsidP="00F45919">
      <w:pPr>
        <w:pStyle w:val="NoSpacing"/>
        <w:ind w:right="-270"/>
        <w:jc w:val="both"/>
        <w:rPr>
          <w:rFonts w:ascii="Times New Roman" w:hAnsi="Times New Roman"/>
          <w:sz w:val="24"/>
          <w:szCs w:val="24"/>
        </w:rPr>
      </w:pPr>
    </w:p>
    <w:p w14:paraId="4E38077C" w14:textId="77777777" w:rsidR="00F45919" w:rsidRPr="00C4686F" w:rsidRDefault="00F45919" w:rsidP="00F45919">
      <w:pPr>
        <w:pStyle w:val="NoSpacing"/>
        <w:ind w:right="-270"/>
        <w:jc w:val="both"/>
        <w:rPr>
          <w:rFonts w:ascii="Times New Roman" w:hAnsi="Times New Roman"/>
          <w:sz w:val="24"/>
          <w:szCs w:val="24"/>
        </w:rPr>
      </w:pPr>
    </w:p>
    <w:p w14:paraId="56840E44" w14:textId="77777777" w:rsidR="00F45919" w:rsidRPr="00C4686F" w:rsidRDefault="00F45919" w:rsidP="00F45919">
      <w:pPr>
        <w:pStyle w:val="NoSpacing"/>
        <w:ind w:right="-270"/>
        <w:jc w:val="both"/>
        <w:rPr>
          <w:rFonts w:ascii="Times New Roman" w:hAnsi="Times New Roman"/>
          <w:b/>
          <w:i/>
          <w:sz w:val="24"/>
          <w:szCs w:val="24"/>
        </w:rPr>
      </w:pPr>
      <w:r w:rsidRPr="00C4686F">
        <w:rPr>
          <w:rFonts w:ascii="Times New Roman" w:hAnsi="Times New Roman"/>
          <w:b/>
          <w:i/>
          <w:sz w:val="24"/>
          <w:szCs w:val="24"/>
        </w:rPr>
        <w:t>V</w:t>
      </w:r>
      <w:r>
        <w:rPr>
          <w:rFonts w:ascii="Times New Roman" w:hAnsi="Times New Roman"/>
          <w:b/>
          <w:i/>
          <w:sz w:val="24"/>
          <w:szCs w:val="24"/>
        </w:rPr>
        <w:t>ia</w:t>
      </w:r>
      <w:r w:rsidRPr="00C4686F">
        <w:rPr>
          <w:rFonts w:ascii="Times New Roman" w:hAnsi="Times New Roman"/>
          <w:b/>
          <w:i/>
          <w:sz w:val="24"/>
          <w:szCs w:val="24"/>
        </w:rPr>
        <w:t xml:space="preserve"> Electronic Mail</w:t>
      </w:r>
    </w:p>
    <w:p w14:paraId="232427F6" w14:textId="77777777" w:rsidR="00F45919" w:rsidRPr="00C4686F" w:rsidRDefault="00F45919" w:rsidP="00F45919">
      <w:pPr>
        <w:pStyle w:val="NoSpacing"/>
        <w:ind w:right="-270"/>
        <w:jc w:val="both"/>
        <w:rPr>
          <w:rFonts w:ascii="Times New Roman" w:hAnsi="Times New Roman"/>
          <w:b/>
          <w:sz w:val="24"/>
          <w:szCs w:val="24"/>
          <w:u w:val="single"/>
        </w:rPr>
      </w:pPr>
    </w:p>
    <w:p w14:paraId="3D1DD95D" w14:textId="77777777" w:rsidR="00F45919" w:rsidRPr="00C4686F" w:rsidRDefault="00F45919" w:rsidP="00F45919">
      <w:pPr>
        <w:ind w:right="-270"/>
        <w:jc w:val="both"/>
        <w:rPr>
          <w:rFonts w:ascii="Times New Roman" w:hAnsi="Times New Roman"/>
        </w:rPr>
      </w:pPr>
      <w:r>
        <w:rPr>
          <w:rFonts w:ascii="Times New Roman" w:hAnsi="Times New Roman"/>
        </w:rPr>
        <w:t>Steven V. King</w:t>
      </w:r>
    </w:p>
    <w:p w14:paraId="3D28AC30" w14:textId="77777777" w:rsidR="00F45919" w:rsidRPr="00C4686F" w:rsidRDefault="00F45919" w:rsidP="00F45919">
      <w:pPr>
        <w:ind w:right="-270"/>
        <w:jc w:val="both"/>
        <w:rPr>
          <w:rFonts w:ascii="Times New Roman" w:hAnsi="Times New Roman"/>
        </w:rPr>
      </w:pPr>
      <w:r>
        <w:rPr>
          <w:rFonts w:ascii="Times New Roman" w:hAnsi="Times New Roman"/>
        </w:rPr>
        <w:t>E</w:t>
      </w:r>
      <w:r w:rsidRPr="00C4686F">
        <w:rPr>
          <w:rFonts w:ascii="Times New Roman" w:hAnsi="Times New Roman"/>
        </w:rPr>
        <w:t>xecutive Director and Secretary</w:t>
      </w:r>
    </w:p>
    <w:p w14:paraId="5C627A63" w14:textId="77777777" w:rsidR="00F45919" w:rsidRPr="00C4686F" w:rsidRDefault="00F45919" w:rsidP="00F45919">
      <w:pPr>
        <w:ind w:right="-270"/>
        <w:jc w:val="both"/>
        <w:rPr>
          <w:rFonts w:ascii="Times New Roman" w:hAnsi="Times New Roman"/>
        </w:rPr>
      </w:pPr>
      <w:r w:rsidRPr="00C4686F">
        <w:rPr>
          <w:rFonts w:ascii="Times New Roman" w:hAnsi="Times New Roman"/>
        </w:rPr>
        <w:t>Washington Utilities &amp; Transportation Commission</w:t>
      </w:r>
    </w:p>
    <w:p w14:paraId="48FE16B5" w14:textId="77777777" w:rsidR="00F45919" w:rsidRPr="00C4686F" w:rsidRDefault="00F45919" w:rsidP="00F45919">
      <w:pPr>
        <w:ind w:right="-270"/>
        <w:jc w:val="both"/>
        <w:rPr>
          <w:rFonts w:ascii="Times New Roman" w:hAnsi="Times New Roman"/>
        </w:rPr>
      </w:pPr>
      <w:r w:rsidRPr="00C4686F">
        <w:rPr>
          <w:rFonts w:ascii="Times New Roman" w:hAnsi="Times New Roman"/>
        </w:rPr>
        <w:t>1300 S. Evergreen Park Drive S. W.</w:t>
      </w:r>
    </w:p>
    <w:p w14:paraId="56BA096D" w14:textId="77777777" w:rsidR="00F45919" w:rsidRPr="00C4686F" w:rsidRDefault="00F45919" w:rsidP="00F45919">
      <w:pPr>
        <w:ind w:right="-270"/>
        <w:jc w:val="both"/>
        <w:rPr>
          <w:rFonts w:ascii="Times New Roman" w:hAnsi="Times New Roman"/>
        </w:rPr>
      </w:pPr>
      <w:r w:rsidRPr="00C4686F">
        <w:rPr>
          <w:rFonts w:ascii="Times New Roman" w:hAnsi="Times New Roman"/>
        </w:rPr>
        <w:t>P.O. Box 47250</w:t>
      </w:r>
    </w:p>
    <w:p w14:paraId="3A08751D" w14:textId="77777777" w:rsidR="00F45919" w:rsidRPr="004E6D17" w:rsidRDefault="00F45919" w:rsidP="00F45919">
      <w:pPr>
        <w:ind w:right="-270"/>
        <w:jc w:val="both"/>
        <w:rPr>
          <w:rFonts w:ascii="Times New Roman" w:hAnsi="Times New Roman"/>
        </w:rPr>
      </w:pPr>
      <w:r w:rsidRPr="004E6D17">
        <w:rPr>
          <w:rFonts w:ascii="Times New Roman" w:hAnsi="Times New Roman"/>
        </w:rPr>
        <w:t>Olympia, Washington  98504-7250</w:t>
      </w:r>
    </w:p>
    <w:p w14:paraId="71819D31" w14:textId="77777777" w:rsidR="00F45919" w:rsidRPr="004E6D17" w:rsidRDefault="00F45919" w:rsidP="00F45919">
      <w:pPr>
        <w:pStyle w:val="NoSpacing"/>
        <w:ind w:right="-270"/>
        <w:jc w:val="both"/>
        <w:rPr>
          <w:rFonts w:ascii="Times New Roman" w:hAnsi="Times New Roman"/>
          <w:b/>
          <w:sz w:val="24"/>
          <w:szCs w:val="24"/>
          <w:u w:val="single"/>
        </w:rPr>
      </w:pPr>
    </w:p>
    <w:p w14:paraId="147861D5" w14:textId="28064D09" w:rsidR="00F45919" w:rsidRPr="00F45919" w:rsidRDefault="00F45919" w:rsidP="007B73D2">
      <w:pPr>
        <w:pStyle w:val="NoSpacing"/>
        <w:ind w:left="720" w:hanging="720"/>
        <w:jc w:val="both"/>
        <w:rPr>
          <w:rFonts w:ascii="Times New Roman" w:hAnsi="Times New Roman"/>
          <w:sz w:val="24"/>
          <w:szCs w:val="24"/>
        </w:rPr>
      </w:pPr>
      <w:r w:rsidRPr="004E6D17">
        <w:rPr>
          <w:rFonts w:ascii="Times New Roman" w:hAnsi="Times New Roman"/>
          <w:sz w:val="24"/>
          <w:szCs w:val="24"/>
        </w:rPr>
        <w:t>Re:</w:t>
      </w:r>
      <w:r w:rsidRPr="004E6D17">
        <w:rPr>
          <w:rFonts w:ascii="Times New Roman" w:hAnsi="Times New Roman"/>
          <w:sz w:val="24"/>
          <w:szCs w:val="24"/>
        </w:rPr>
        <w:tab/>
      </w:r>
      <w:r w:rsidR="00D96E8B" w:rsidRPr="00F45919">
        <w:rPr>
          <w:rFonts w:ascii="Times New Roman" w:hAnsi="Times New Roman"/>
          <w:sz w:val="24"/>
          <w:szCs w:val="24"/>
        </w:rPr>
        <w:t xml:space="preserve">Docket </w:t>
      </w:r>
      <w:r w:rsidR="00D96E8B">
        <w:rPr>
          <w:rFonts w:ascii="Times New Roman" w:hAnsi="Times New Roman"/>
          <w:sz w:val="24"/>
          <w:szCs w:val="24"/>
        </w:rPr>
        <w:t xml:space="preserve">No. </w:t>
      </w:r>
      <w:r w:rsidR="00AE5EB4">
        <w:rPr>
          <w:rFonts w:ascii="Times New Roman" w:hAnsi="Times New Roman"/>
          <w:sz w:val="24"/>
          <w:szCs w:val="24"/>
        </w:rPr>
        <w:t>U</w:t>
      </w:r>
      <w:r w:rsidR="002142D5">
        <w:rPr>
          <w:rFonts w:ascii="Times New Roman" w:hAnsi="Times New Roman"/>
          <w:sz w:val="24"/>
          <w:szCs w:val="24"/>
        </w:rPr>
        <w:t>G-152394 – Avista Natural Gas Line Extension Allowance Program Semi-Annual Report</w:t>
      </w:r>
    </w:p>
    <w:p w14:paraId="694DD3C3" w14:textId="77777777" w:rsidR="00F45919" w:rsidRPr="00F45919" w:rsidRDefault="00F45919" w:rsidP="001F31B6">
      <w:pPr>
        <w:pStyle w:val="NoSpacing"/>
        <w:ind w:right="-270"/>
        <w:contextualSpacing/>
        <w:jc w:val="both"/>
        <w:rPr>
          <w:rFonts w:ascii="Times New Roman" w:hAnsi="Times New Roman"/>
          <w:sz w:val="24"/>
          <w:szCs w:val="24"/>
        </w:rPr>
      </w:pPr>
    </w:p>
    <w:p w14:paraId="69C1C032" w14:textId="77777777" w:rsidR="00F45919" w:rsidRPr="004E6D17" w:rsidRDefault="00F45919" w:rsidP="001F31B6">
      <w:pPr>
        <w:pStyle w:val="NoSpacing"/>
        <w:ind w:right="-270"/>
        <w:contextualSpacing/>
        <w:jc w:val="both"/>
        <w:rPr>
          <w:rFonts w:ascii="Times New Roman" w:hAnsi="Times New Roman"/>
          <w:sz w:val="24"/>
          <w:szCs w:val="24"/>
        </w:rPr>
      </w:pPr>
      <w:r w:rsidRPr="004E6D17">
        <w:rPr>
          <w:rFonts w:ascii="Times New Roman" w:hAnsi="Times New Roman"/>
          <w:sz w:val="24"/>
          <w:szCs w:val="24"/>
        </w:rPr>
        <w:t xml:space="preserve">Dear Mr. </w:t>
      </w:r>
      <w:r>
        <w:rPr>
          <w:rFonts w:ascii="Times New Roman" w:hAnsi="Times New Roman"/>
          <w:sz w:val="24"/>
          <w:szCs w:val="24"/>
        </w:rPr>
        <w:t>King</w:t>
      </w:r>
      <w:r w:rsidRPr="004E6D17">
        <w:rPr>
          <w:rFonts w:ascii="Times New Roman" w:hAnsi="Times New Roman"/>
          <w:sz w:val="24"/>
          <w:szCs w:val="24"/>
        </w:rPr>
        <w:t>,</w:t>
      </w:r>
    </w:p>
    <w:p w14:paraId="1AF7BD79" w14:textId="77777777" w:rsidR="001F31B6" w:rsidRDefault="001F31B6" w:rsidP="001F31B6">
      <w:pPr>
        <w:pStyle w:val="NoSpacing"/>
        <w:contextualSpacing/>
        <w:jc w:val="both"/>
        <w:rPr>
          <w:rFonts w:ascii="Times New Roman" w:hAnsi="Times New Roman"/>
          <w:sz w:val="24"/>
          <w:szCs w:val="24"/>
        </w:rPr>
      </w:pPr>
    </w:p>
    <w:p w14:paraId="5FB152CD" w14:textId="03185FAD" w:rsidR="008F226C" w:rsidRDefault="008F226C" w:rsidP="005E7BAC">
      <w:pPr>
        <w:pStyle w:val="NoSpacing"/>
        <w:ind w:firstLine="720"/>
        <w:jc w:val="both"/>
        <w:rPr>
          <w:rFonts w:ascii="Times New Roman" w:hAnsi="Times New Roman"/>
          <w:sz w:val="24"/>
          <w:szCs w:val="24"/>
        </w:rPr>
      </w:pPr>
      <w:r>
        <w:rPr>
          <w:rFonts w:ascii="Times New Roman" w:hAnsi="Times New Roman"/>
          <w:sz w:val="24"/>
          <w:szCs w:val="24"/>
        </w:rPr>
        <w:t xml:space="preserve">On February 25, 2016, the Commission issued Order 01 in Docket UG-152394 approving </w:t>
      </w:r>
      <w:r w:rsidR="00F45919">
        <w:rPr>
          <w:rFonts w:ascii="Times New Roman" w:hAnsi="Times New Roman"/>
          <w:sz w:val="24"/>
          <w:szCs w:val="24"/>
        </w:rPr>
        <w:t>Avista Corporation</w:t>
      </w:r>
      <w:r>
        <w:rPr>
          <w:rFonts w:ascii="Times New Roman" w:hAnsi="Times New Roman"/>
          <w:sz w:val="24"/>
          <w:szCs w:val="24"/>
        </w:rPr>
        <w:t>’s</w:t>
      </w:r>
      <w:r w:rsidR="00E83CFB">
        <w:rPr>
          <w:rFonts w:ascii="Times New Roman" w:hAnsi="Times New Roman"/>
          <w:sz w:val="24"/>
          <w:szCs w:val="24"/>
        </w:rPr>
        <w:t>,</w:t>
      </w:r>
      <w:r w:rsidR="00F45919">
        <w:rPr>
          <w:rFonts w:ascii="Times New Roman" w:hAnsi="Times New Roman"/>
          <w:sz w:val="24"/>
          <w:szCs w:val="24"/>
        </w:rPr>
        <w:t xml:space="preserve"> dba Avista Utilities</w:t>
      </w:r>
      <w:r w:rsidR="00F45919" w:rsidRPr="0066295E">
        <w:rPr>
          <w:rFonts w:ascii="Times New Roman" w:hAnsi="Times New Roman"/>
          <w:sz w:val="24"/>
          <w:szCs w:val="24"/>
        </w:rPr>
        <w:t xml:space="preserve"> (</w:t>
      </w:r>
      <w:r w:rsidR="00F45919">
        <w:rPr>
          <w:rFonts w:ascii="Times New Roman" w:hAnsi="Times New Roman"/>
          <w:sz w:val="24"/>
          <w:szCs w:val="24"/>
        </w:rPr>
        <w:t>Avista</w:t>
      </w:r>
      <w:r w:rsidR="00F45919" w:rsidRPr="0066295E">
        <w:rPr>
          <w:rFonts w:ascii="Times New Roman" w:hAnsi="Times New Roman"/>
          <w:sz w:val="24"/>
          <w:szCs w:val="24"/>
        </w:rPr>
        <w:t xml:space="preserve"> or Company)</w:t>
      </w:r>
      <w:r w:rsidR="00E83CFB">
        <w:rPr>
          <w:rFonts w:ascii="Times New Roman" w:hAnsi="Times New Roman"/>
          <w:sz w:val="24"/>
          <w:szCs w:val="24"/>
        </w:rPr>
        <w:t>,</w:t>
      </w:r>
      <w:r w:rsidR="00F45919" w:rsidRPr="0066295E">
        <w:rPr>
          <w:rFonts w:ascii="Times New Roman" w:hAnsi="Times New Roman"/>
          <w:sz w:val="24"/>
          <w:szCs w:val="24"/>
        </w:rPr>
        <w:t xml:space="preserve"> </w:t>
      </w:r>
      <w:r>
        <w:rPr>
          <w:rFonts w:ascii="Times New Roman" w:hAnsi="Times New Roman"/>
          <w:sz w:val="24"/>
          <w:szCs w:val="24"/>
        </w:rPr>
        <w:t xml:space="preserve">modifications to tariff Schedule 151 </w:t>
      </w:r>
      <w:r w:rsidR="001F31B6">
        <w:rPr>
          <w:rFonts w:ascii="Times New Roman" w:hAnsi="Times New Roman"/>
          <w:sz w:val="24"/>
          <w:szCs w:val="24"/>
        </w:rPr>
        <w:t>related to</w:t>
      </w:r>
      <w:r>
        <w:rPr>
          <w:rFonts w:ascii="Times New Roman" w:hAnsi="Times New Roman"/>
          <w:sz w:val="24"/>
          <w:szCs w:val="24"/>
        </w:rPr>
        <w:t xml:space="preserve"> its Natural Gas Line Extension </w:t>
      </w:r>
      <w:r w:rsidR="00F1626C">
        <w:rPr>
          <w:rFonts w:ascii="Times New Roman" w:hAnsi="Times New Roman"/>
          <w:sz w:val="24"/>
          <w:szCs w:val="24"/>
        </w:rPr>
        <w:t>rules</w:t>
      </w:r>
      <w:r>
        <w:rPr>
          <w:rFonts w:ascii="Times New Roman" w:hAnsi="Times New Roman"/>
          <w:sz w:val="24"/>
          <w:szCs w:val="24"/>
        </w:rPr>
        <w:t>.  As part of the modifications to Schedule 151</w:t>
      </w:r>
      <w:r w:rsidR="001F31B6">
        <w:rPr>
          <w:rFonts w:ascii="Times New Roman" w:hAnsi="Times New Roman"/>
          <w:sz w:val="24"/>
          <w:szCs w:val="24"/>
        </w:rPr>
        <w:t>,</w:t>
      </w:r>
      <w:r>
        <w:rPr>
          <w:rFonts w:ascii="Times New Roman" w:hAnsi="Times New Roman"/>
          <w:sz w:val="24"/>
          <w:szCs w:val="24"/>
        </w:rPr>
        <w:t xml:space="preserve"> the Commission approved</w:t>
      </w:r>
      <w:r w:rsidR="001F31B6">
        <w:rPr>
          <w:rFonts w:ascii="Times New Roman" w:hAnsi="Times New Roman"/>
          <w:sz w:val="24"/>
          <w:szCs w:val="24"/>
        </w:rPr>
        <w:t>,</w:t>
      </w:r>
      <w:r>
        <w:rPr>
          <w:rFonts w:ascii="Times New Roman" w:hAnsi="Times New Roman"/>
          <w:sz w:val="24"/>
          <w:szCs w:val="24"/>
        </w:rPr>
        <w:t xml:space="preserve"> on a temporary basis</w:t>
      </w:r>
      <w:r w:rsidR="001F31B6">
        <w:rPr>
          <w:rFonts w:ascii="Times New Roman" w:hAnsi="Times New Roman"/>
          <w:sz w:val="24"/>
          <w:szCs w:val="24"/>
        </w:rPr>
        <w:t>,</w:t>
      </w:r>
      <w:r>
        <w:rPr>
          <w:rFonts w:ascii="Times New Roman" w:hAnsi="Times New Roman"/>
          <w:sz w:val="24"/>
          <w:szCs w:val="24"/>
        </w:rPr>
        <w:t xml:space="preserve"> for a three-year period, both a change in methodology for calculating the amount of the natural gas line extension allowance provided to customers</w:t>
      </w:r>
      <w:r w:rsidR="001F31B6">
        <w:rPr>
          <w:rFonts w:ascii="Times New Roman" w:hAnsi="Times New Roman"/>
          <w:sz w:val="24"/>
          <w:szCs w:val="24"/>
        </w:rPr>
        <w:t>,</w:t>
      </w:r>
      <w:r>
        <w:rPr>
          <w:rFonts w:ascii="Times New Roman" w:hAnsi="Times New Roman"/>
          <w:sz w:val="24"/>
          <w:szCs w:val="24"/>
        </w:rPr>
        <w:t xml:space="preserve"> as well as allowing the Company to provide an</w:t>
      </w:r>
      <w:r w:rsidR="009F637B">
        <w:rPr>
          <w:rFonts w:ascii="Times New Roman" w:hAnsi="Times New Roman"/>
          <w:sz w:val="24"/>
          <w:szCs w:val="24"/>
        </w:rPr>
        <w:t>y</w:t>
      </w:r>
      <w:r>
        <w:rPr>
          <w:rFonts w:ascii="Times New Roman" w:hAnsi="Times New Roman"/>
          <w:sz w:val="24"/>
          <w:szCs w:val="24"/>
        </w:rPr>
        <w:t xml:space="preserve"> unused or excess portion of the allowance amount as a credit back to customers who are converting to natural gas service.</w:t>
      </w:r>
    </w:p>
    <w:p w14:paraId="398C20D7" w14:textId="77777777" w:rsidR="002A6494" w:rsidRDefault="002A6494" w:rsidP="005E7BAC">
      <w:pPr>
        <w:pStyle w:val="NoSpacing"/>
        <w:ind w:firstLine="720"/>
        <w:jc w:val="both"/>
        <w:rPr>
          <w:rFonts w:ascii="Times New Roman" w:hAnsi="Times New Roman"/>
          <w:sz w:val="24"/>
          <w:szCs w:val="24"/>
        </w:rPr>
      </w:pPr>
    </w:p>
    <w:p w14:paraId="53995DD2" w14:textId="591B2C9D" w:rsidR="00355FE8" w:rsidRDefault="008F226C" w:rsidP="005E7BAC">
      <w:pPr>
        <w:pStyle w:val="NoSpacing"/>
        <w:ind w:firstLine="720"/>
        <w:jc w:val="both"/>
        <w:rPr>
          <w:rFonts w:ascii="Times New Roman" w:hAnsi="Times New Roman"/>
          <w:sz w:val="24"/>
          <w:szCs w:val="24"/>
        </w:rPr>
      </w:pPr>
      <w:r>
        <w:rPr>
          <w:rFonts w:ascii="Times New Roman" w:hAnsi="Times New Roman"/>
          <w:sz w:val="24"/>
          <w:szCs w:val="24"/>
        </w:rPr>
        <w:t>The excess allowance credits are only available to residential Schedule 101 customers who are converting to natural gas from any other fuel source.</w:t>
      </w:r>
      <w:r w:rsidR="00355FE8">
        <w:rPr>
          <w:rFonts w:ascii="Times New Roman" w:hAnsi="Times New Roman"/>
          <w:sz w:val="24"/>
          <w:szCs w:val="24"/>
        </w:rPr>
        <w:t xml:space="preserve">  In addition</w:t>
      </w:r>
      <w:r w:rsidR="001F31B6">
        <w:rPr>
          <w:rFonts w:ascii="Times New Roman" w:hAnsi="Times New Roman"/>
          <w:sz w:val="24"/>
          <w:szCs w:val="24"/>
        </w:rPr>
        <w:t>,</w:t>
      </w:r>
      <w:r w:rsidR="00355FE8">
        <w:rPr>
          <w:rFonts w:ascii="Times New Roman" w:hAnsi="Times New Roman"/>
          <w:sz w:val="24"/>
          <w:szCs w:val="24"/>
        </w:rPr>
        <w:t xml:space="preserve"> the credits are only available to customers who install high efficiency space and</w:t>
      </w:r>
      <w:r w:rsidR="001F31B6">
        <w:rPr>
          <w:rFonts w:ascii="Times New Roman" w:hAnsi="Times New Roman"/>
          <w:sz w:val="24"/>
          <w:szCs w:val="24"/>
        </w:rPr>
        <w:t>/or water</w:t>
      </w:r>
      <w:r w:rsidR="00355FE8">
        <w:rPr>
          <w:rFonts w:ascii="Times New Roman" w:hAnsi="Times New Roman"/>
          <w:sz w:val="24"/>
          <w:szCs w:val="24"/>
        </w:rPr>
        <w:t xml:space="preserve"> heating equipment.</w:t>
      </w:r>
      <w:r>
        <w:rPr>
          <w:rFonts w:ascii="Times New Roman" w:hAnsi="Times New Roman"/>
          <w:sz w:val="24"/>
          <w:szCs w:val="24"/>
        </w:rPr>
        <w:t xml:space="preserve">  New construction </w:t>
      </w:r>
      <w:r w:rsidR="001F31B6">
        <w:rPr>
          <w:rFonts w:ascii="Times New Roman" w:hAnsi="Times New Roman"/>
          <w:sz w:val="24"/>
          <w:szCs w:val="24"/>
        </w:rPr>
        <w:t xml:space="preserve">homes do </w:t>
      </w:r>
      <w:r>
        <w:rPr>
          <w:rFonts w:ascii="Times New Roman" w:hAnsi="Times New Roman"/>
          <w:sz w:val="24"/>
          <w:szCs w:val="24"/>
        </w:rPr>
        <w:t>not qualify for the excess allowance credit as it is estimated that over 90% of new homes that have natural gas available at the time of construction choose to install natural gas.</w:t>
      </w:r>
    </w:p>
    <w:p w14:paraId="4FD4AE33" w14:textId="77777777" w:rsidR="002A6494" w:rsidRDefault="002A6494" w:rsidP="005E7BAC">
      <w:pPr>
        <w:pStyle w:val="NoSpacing"/>
        <w:ind w:firstLine="720"/>
        <w:jc w:val="both"/>
        <w:rPr>
          <w:rFonts w:ascii="Times New Roman" w:hAnsi="Times New Roman"/>
          <w:sz w:val="24"/>
          <w:szCs w:val="24"/>
        </w:rPr>
      </w:pPr>
    </w:p>
    <w:p w14:paraId="4DC4C8FA" w14:textId="707475D0" w:rsidR="003D2B0E" w:rsidRDefault="00355FE8" w:rsidP="005E7BAC">
      <w:pPr>
        <w:pStyle w:val="NoSpacing"/>
        <w:ind w:firstLine="720"/>
        <w:jc w:val="both"/>
        <w:rPr>
          <w:rFonts w:ascii="Times New Roman" w:hAnsi="Times New Roman"/>
          <w:sz w:val="24"/>
          <w:szCs w:val="24"/>
        </w:rPr>
      </w:pPr>
      <w:r>
        <w:rPr>
          <w:rFonts w:ascii="Times New Roman" w:hAnsi="Times New Roman"/>
          <w:sz w:val="24"/>
          <w:szCs w:val="24"/>
        </w:rPr>
        <w:t>As part of Order 01</w:t>
      </w:r>
      <w:r w:rsidR="002E6A69">
        <w:rPr>
          <w:rFonts w:ascii="Times New Roman" w:hAnsi="Times New Roman"/>
          <w:sz w:val="24"/>
          <w:szCs w:val="24"/>
        </w:rPr>
        <w:t>,</w:t>
      </w:r>
      <w:r>
        <w:rPr>
          <w:rFonts w:ascii="Times New Roman" w:hAnsi="Times New Roman"/>
          <w:sz w:val="24"/>
          <w:szCs w:val="24"/>
        </w:rPr>
        <w:t xml:space="preserve"> the Commission ordered the Company to file semi-annual reports with the Commission showing the impact of the increased allowance and excess allowance credits during the three-year pilot period from March 1, 2016, to February 28, 2019.  This report is the first semi-annual report to the Commission and covers the time period from March 1, 2016, to </w:t>
      </w:r>
      <w:r>
        <w:rPr>
          <w:rFonts w:ascii="Times New Roman" w:hAnsi="Times New Roman"/>
          <w:sz w:val="24"/>
          <w:szCs w:val="24"/>
        </w:rPr>
        <w:lastRenderedPageBreak/>
        <w:t>August 31, 2016.  The contents of the semi-annual reports</w:t>
      </w:r>
      <w:r w:rsidR="001F31B6">
        <w:rPr>
          <w:rFonts w:ascii="Times New Roman" w:hAnsi="Times New Roman"/>
          <w:sz w:val="24"/>
          <w:szCs w:val="24"/>
        </w:rPr>
        <w:t xml:space="preserve"> as shown in items A – G below,</w:t>
      </w:r>
      <w:r>
        <w:rPr>
          <w:rFonts w:ascii="Times New Roman" w:hAnsi="Times New Roman"/>
          <w:sz w:val="24"/>
          <w:szCs w:val="24"/>
        </w:rPr>
        <w:t xml:space="preserve"> were discussed with Commission Staff prior to filing</w:t>
      </w:r>
      <w:r w:rsidR="001F31B6">
        <w:rPr>
          <w:rFonts w:ascii="Times New Roman" w:hAnsi="Times New Roman"/>
          <w:sz w:val="24"/>
          <w:szCs w:val="24"/>
        </w:rPr>
        <w:t xml:space="preserve"> of this report</w:t>
      </w:r>
      <w:r>
        <w:rPr>
          <w:rFonts w:ascii="Times New Roman" w:hAnsi="Times New Roman"/>
          <w:sz w:val="24"/>
          <w:szCs w:val="24"/>
        </w:rPr>
        <w:t>.</w:t>
      </w:r>
      <w:r w:rsidR="008F226C">
        <w:rPr>
          <w:rFonts w:ascii="Times New Roman" w:hAnsi="Times New Roman"/>
          <w:sz w:val="24"/>
          <w:szCs w:val="24"/>
        </w:rPr>
        <w:t xml:space="preserve">  </w:t>
      </w:r>
    </w:p>
    <w:p w14:paraId="115F0DA4" w14:textId="77777777" w:rsidR="00D42609" w:rsidRPr="003D2B0E" w:rsidRDefault="00D42609" w:rsidP="00497269">
      <w:pPr>
        <w:pStyle w:val="NoSpacing"/>
        <w:ind w:firstLine="720"/>
        <w:jc w:val="both"/>
        <w:rPr>
          <w:rFonts w:ascii="Times New Roman" w:hAnsi="Times New Roman"/>
          <w:sz w:val="24"/>
          <w:szCs w:val="24"/>
        </w:rPr>
      </w:pPr>
    </w:p>
    <w:p w14:paraId="51D22D80" w14:textId="028B68CB" w:rsidR="002142D5" w:rsidRPr="00D85CAD" w:rsidRDefault="00355FE8" w:rsidP="002E6A69">
      <w:pPr>
        <w:pStyle w:val="ListParagraph"/>
        <w:numPr>
          <w:ilvl w:val="0"/>
          <w:numId w:val="25"/>
        </w:numPr>
        <w:ind w:left="0" w:firstLine="0"/>
        <w:contextualSpacing w:val="0"/>
        <w:jc w:val="both"/>
      </w:pPr>
      <w:r>
        <w:t>T</w:t>
      </w:r>
      <w:r w:rsidR="00F32ACB">
        <w:t xml:space="preserve">able No. 1 below </w:t>
      </w:r>
      <w:r>
        <w:t xml:space="preserve">shows historical residential Schedule 101 hook-ups per year.  This table is included for comparison purposes to help understand the impacts from the change in methodology for calculating the line extension amount and providing excess allowance credits.  </w:t>
      </w:r>
    </w:p>
    <w:p w14:paraId="07286AA2" w14:textId="77777777" w:rsidR="002142D5" w:rsidRDefault="002142D5" w:rsidP="00497269">
      <w:pPr>
        <w:jc w:val="both"/>
        <w:rPr>
          <w:rFonts w:ascii="Times New Roman" w:hAnsi="Times New Roman"/>
        </w:rPr>
      </w:pPr>
    </w:p>
    <w:p w14:paraId="42374F39" w14:textId="5EE717FE" w:rsidR="00F32ACB" w:rsidRPr="005E7BAC" w:rsidRDefault="00F32ACB" w:rsidP="005E7BAC">
      <w:pPr>
        <w:ind w:firstLine="720"/>
        <w:jc w:val="both"/>
        <w:rPr>
          <w:rFonts w:ascii="Times New Roman" w:hAnsi="Times New Roman"/>
          <w:b/>
          <w:u w:val="single"/>
        </w:rPr>
      </w:pPr>
      <w:r w:rsidRPr="005E7BAC">
        <w:rPr>
          <w:rFonts w:ascii="Times New Roman" w:hAnsi="Times New Roman"/>
          <w:b/>
          <w:u w:val="single"/>
        </w:rPr>
        <w:t>Table No. 1</w:t>
      </w:r>
    </w:p>
    <w:tbl>
      <w:tblPr>
        <w:tblpPr w:leftFromText="180" w:rightFromText="180" w:vertAnchor="text" w:horzAnchor="page" w:tblpX="2176" w:tblpY="179"/>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060"/>
        <w:gridCol w:w="1440"/>
      </w:tblGrid>
      <w:tr w:rsidR="00F03519" w:rsidRPr="00D85CAD" w14:paraId="20DB1445" w14:textId="77777777" w:rsidTr="00076944">
        <w:trPr>
          <w:trHeight w:val="280"/>
        </w:trPr>
        <w:tc>
          <w:tcPr>
            <w:tcW w:w="2060" w:type="dxa"/>
            <w:tcMar>
              <w:top w:w="15" w:type="dxa"/>
              <w:left w:w="108" w:type="dxa"/>
              <w:bottom w:w="0" w:type="dxa"/>
              <w:right w:w="108" w:type="dxa"/>
            </w:tcMar>
            <w:vAlign w:val="bottom"/>
            <w:hideMark/>
          </w:tcPr>
          <w:p w14:paraId="320CA15B" w14:textId="77777777" w:rsidR="00F03519" w:rsidRPr="00D85CAD" w:rsidRDefault="00F03519" w:rsidP="00F03519">
            <w:pPr>
              <w:jc w:val="both"/>
              <w:rPr>
                <w:rFonts w:ascii="Times New Roman" w:hAnsi="Times New Roman"/>
              </w:rPr>
            </w:pPr>
            <w:r w:rsidRPr="00D85CAD">
              <w:rPr>
                <w:rFonts w:ascii="Times New Roman" w:hAnsi="Times New Roman"/>
                <w:b/>
                <w:bCs/>
              </w:rPr>
              <w:t>Year</w:t>
            </w:r>
          </w:p>
        </w:tc>
        <w:tc>
          <w:tcPr>
            <w:tcW w:w="1440" w:type="dxa"/>
            <w:tcMar>
              <w:top w:w="15" w:type="dxa"/>
              <w:left w:w="108" w:type="dxa"/>
              <w:bottom w:w="0" w:type="dxa"/>
              <w:right w:w="108" w:type="dxa"/>
            </w:tcMar>
            <w:vAlign w:val="bottom"/>
            <w:hideMark/>
          </w:tcPr>
          <w:p w14:paraId="2996FFAB" w14:textId="77777777" w:rsidR="00F03519" w:rsidRPr="00D85CAD" w:rsidRDefault="00F03519" w:rsidP="00F03519">
            <w:pPr>
              <w:jc w:val="center"/>
              <w:rPr>
                <w:rFonts w:ascii="Times New Roman" w:hAnsi="Times New Roman"/>
              </w:rPr>
            </w:pPr>
            <w:r w:rsidRPr="00D85CAD">
              <w:rPr>
                <w:rFonts w:ascii="Times New Roman" w:hAnsi="Times New Roman"/>
                <w:b/>
                <w:bCs/>
              </w:rPr>
              <w:t>Residential</w:t>
            </w:r>
          </w:p>
        </w:tc>
      </w:tr>
      <w:tr w:rsidR="00F03519" w:rsidRPr="00D85CAD" w14:paraId="1142A4E3" w14:textId="77777777" w:rsidTr="00076944">
        <w:trPr>
          <w:trHeight w:val="325"/>
        </w:trPr>
        <w:tc>
          <w:tcPr>
            <w:tcW w:w="2060" w:type="dxa"/>
            <w:tcMar>
              <w:top w:w="15" w:type="dxa"/>
              <w:left w:w="108" w:type="dxa"/>
              <w:bottom w:w="0" w:type="dxa"/>
              <w:right w:w="108" w:type="dxa"/>
            </w:tcMar>
            <w:vAlign w:val="bottom"/>
            <w:hideMark/>
          </w:tcPr>
          <w:p w14:paraId="0FA56A0B" w14:textId="77777777" w:rsidR="00F03519" w:rsidRPr="00D85CAD" w:rsidRDefault="00F03519" w:rsidP="00F03519">
            <w:pPr>
              <w:jc w:val="both"/>
              <w:rPr>
                <w:rFonts w:ascii="Times New Roman" w:hAnsi="Times New Roman"/>
              </w:rPr>
            </w:pPr>
            <w:r w:rsidRPr="00D85CAD">
              <w:rPr>
                <w:rFonts w:ascii="Times New Roman" w:hAnsi="Times New Roman"/>
              </w:rPr>
              <w:t>2005</w:t>
            </w:r>
          </w:p>
        </w:tc>
        <w:tc>
          <w:tcPr>
            <w:tcW w:w="1440" w:type="dxa"/>
            <w:tcMar>
              <w:top w:w="15" w:type="dxa"/>
              <w:left w:w="108" w:type="dxa"/>
              <w:bottom w:w="0" w:type="dxa"/>
              <w:right w:w="108" w:type="dxa"/>
            </w:tcMar>
            <w:vAlign w:val="bottom"/>
            <w:hideMark/>
          </w:tcPr>
          <w:p w14:paraId="57E1ECB4" w14:textId="77777777" w:rsidR="00F03519" w:rsidRPr="00D85CAD" w:rsidRDefault="00F03519" w:rsidP="00F03519">
            <w:pPr>
              <w:jc w:val="center"/>
              <w:rPr>
                <w:rFonts w:ascii="Times New Roman" w:hAnsi="Times New Roman"/>
              </w:rPr>
            </w:pPr>
            <w:r w:rsidRPr="00D85CAD">
              <w:rPr>
                <w:rFonts w:ascii="Times New Roman" w:hAnsi="Times New Roman"/>
              </w:rPr>
              <w:t>3,521</w:t>
            </w:r>
          </w:p>
        </w:tc>
      </w:tr>
      <w:tr w:rsidR="00F03519" w:rsidRPr="00D85CAD" w14:paraId="3727AA5A" w14:textId="77777777" w:rsidTr="00076944">
        <w:trPr>
          <w:trHeight w:val="235"/>
        </w:trPr>
        <w:tc>
          <w:tcPr>
            <w:tcW w:w="2060" w:type="dxa"/>
            <w:tcMar>
              <w:top w:w="15" w:type="dxa"/>
              <w:left w:w="108" w:type="dxa"/>
              <w:bottom w:w="0" w:type="dxa"/>
              <w:right w:w="108" w:type="dxa"/>
            </w:tcMar>
            <w:vAlign w:val="bottom"/>
            <w:hideMark/>
          </w:tcPr>
          <w:p w14:paraId="44BC56BB" w14:textId="77777777" w:rsidR="00F03519" w:rsidRPr="00D85CAD" w:rsidRDefault="00F03519" w:rsidP="00F03519">
            <w:pPr>
              <w:jc w:val="both"/>
              <w:rPr>
                <w:rFonts w:ascii="Times New Roman" w:hAnsi="Times New Roman"/>
              </w:rPr>
            </w:pPr>
            <w:r w:rsidRPr="00D85CAD">
              <w:rPr>
                <w:rFonts w:ascii="Times New Roman" w:hAnsi="Times New Roman"/>
              </w:rPr>
              <w:t>2006</w:t>
            </w:r>
          </w:p>
        </w:tc>
        <w:tc>
          <w:tcPr>
            <w:tcW w:w="1440" w:type="dxa"/>
            <w:tcMar>
              <w:top w:w="15" w:type="dxa"/>
              <w:left w:w="108" w:type="dxa"/>
              <w:bottom w:w="0" w:type="dxa"/>
              <w:right w:w="108" w:type="dxa"/>
            </w:tcMar>
            <w:vAlign w:val="bottom"/>
            <w:hideMark/>
          </w:tcPr>
          <w:p w14:paraId="08581B9A" w14:textId="77777777" w:rsidR="00F03519" w:rsidRPr="00D85CAD" w:rsidRDefault="00F03519" w:rsidP="00F03519">
            <w:pPr>
              <w:jc w:val="center"/>
              <w:rPr>
                <w:rFonts w:ascii="Times New Roman" w:hAnsi="Times New Roman"/>
              </w:rPr>
            </w:pPr>
            <w:r w:rsidRPr="00D85CAD">
              <w:rPr>
                <w:rFonts w:ascii="Times New Roman" w:hAnsi="Times New Roman"/>
              </w:rPr>
              <w:t>3,489</w:t>
            </w:r>
          </w:p>
        </w:tc>
      </w:tr>
      <w:tr w:rsidR="00F03519" w:rsidRPr="00D85CAD" w14:paraId="4FC6E1A5" w14:textId="77777777" w:rsidTr="00076944">
        <w:trPr>
          <w:trHeight w:val="118"/>
        </w:trPr>
        <w:tc>
          <w:tcPr>
            <w:tcW w:w="2060" w:type="dxa"/>
            <w:tcMar>
              <w:top w:w="15" w:type="dxa"/>
              <w:left w:w="108" w:type="dxa"/>
              <w:bottom w:w="0" w:type="dxa"/>
              <w:right w:w="108" w:type="dxa"/>
            </w:tcMar>
            <w:vAlign w:val="bottom"/>
            <w:hideMark/>
          </w:tcPr>
          <w:p w14:paraId="07BF1C82" w14:textId="77777777" w:rsidR="00F03519" w:rsidRPr="00D85CAD" w:rsidRDefault="00F03519" w:rsidP="00F03519">
            <w:pPr>
              <w:jc w:val="both"/>
              <w:rPr>
                <w:rFonts w:ascii="Times New Roman" w:hAnsi="Times New Roman"/>
              </w:rPr>
            </w:pPr>
            <w:r w:rsidRPr="00D85CAD">
              <w:rPr>
                <w:rFonts w:ascii="Times New Roman" w:hAnsi="Times New Roman"/>
              </w:rPr>
              <w:t>2007</w:t>
            </w:r>
          </w:p>
        </w:tc>
        <w:tc>
          <w:tcPr>
            <w:tcW w:w="1440" w:type="dxa"/>
            <w:tcMar>
              <w:top w:w="15" w:type="dxa"/>
              <w:left w:w="108" w:type="dxa"/>
              <w:bottom w:w="0" w:type="dxa"/>
              <w:right w:w="108" w:type="dxa"/>
            </w:tcMar>
            <w:vAlign w:val="bottom"/>
            <w:hideMark/>
          </w:tcPr>
          <w:p w14:paraId="49B56A96" w14:textId="77777777" w:rsidR="00F03519" w:rsidRPr="00D85CAD" w:rsidRDefault="00F03519" w:rsidP="00F03519">
            <w:pPr>
              <w:jc w:val="center"/>
              <w:rPr>
                <w:rFonts w:ascii="Times New Roman" w:hAnsi="Times New Roman"/>
              </w:rPr>
            </w:pPr>
            <w:r w:rsidRPr="00D85CAD">
              <w:rPr>
                <w:rFonts w:ascii="Times New Roman" w:hAnsi="Times New Roman"/>
              </w:rPr>
              <w:t>2,866</w:t>
            </w:r>
          </w:p>
        </w:tc>
      </w:tr>
      <w:tr w:rsidR="00F03519" w:rsidRPr="00D85CAD" w14:paraId="529421E1" w14:textId="77777777" w:rsidTr="00076944">
        <w:trPr>
          <w:trHeight w:val="172"/>
        </w:trPr>
        <w:tc>
          <w:tcPr>
            <w:tcW w:w="2060" w:type="dxa"/>
            <w:tcMar>
              <w:top w:w="15" w:type="dxa"/>
              <w:left w:w="108" w:type="dxa"/>
              <w:bottom w:w="0" w:type="dxa"/>
              <w:right w:w="108" w:type="dxa"/>
            </w:tcMar>
            <w:vAlign w:val="bottom"/>
            <w:hideMark/>
          </w:tcPr>
          <w:p w14:paraId="1BCB5906" w14:textId="77777777" w:rsidR="00F03519" w:rsidRPr="00D85CAD" w:rsidRDefault="00F03519" w:rsidP="00F03519">
            <w:pPr>
              <w:jc w:val="both"/>
              <w:rPr>
                <w:rFonts w:ascii="Times New Roman" w:hAnsi="Times New Roman"/>
              </w:rPr>
            </w:pPr>
            <w:r w:rsidRPr="00D85CAD">
              <w:rPr>
                <w:rFonts w:ascii="Times New Roman" w:hAnsi="Times New Roman"/>
              </w:rPr>
              <w:t>2008</w:t>
            </w:r>
          </w:p>
        </w:tc>
        <w:tc>
          <w:tcPr>
            <w:tcW w:w="1440" w:type="dxa"/>
            <w:tcMar>
              <w:top w:w="15" w:type="dxa"/>
              <w:left w:w="108" w:type="dxa"/>
              <w:bottom w:w="0" w:type="dxa"/>
              <w:right w:w="108" w:type="dxa"/>
            </w:tcMar>
            <w:vAlign w:val="bottom"/>
            <w:hideMark/>
          </w:tcPr>
          <w:p w14:paraId="63230C1A" w14:textId="77777777" w:rsidR="00F03519" w:rsidRPr="00D85CAD" w:rsidRDefault="00F03519" w:rsidP="00F03519">
            <w:pPr>
              <w:jc w:val="center"/>
              <w:rPr>
                <w:rFonts w:ascii="Times New Roman" w:hAnsi="Times New Roman"/>
              </w:rPr>
            </w:pPr>
            <w:r w:rsidRPr="00D85CAD">
              <w:rPr>
                <w:rFonts w:ascii="Times New Roman" w:hAnsi="Times New Roman"/>
              </w:rPr>
              <w:t>2,644</w:t>
            </w:r>
          </w:p>
        </w:tc>
      </w:tr>
      <w:tr w:rsidR="00F03519" w:rsidRPr="00D85CAD" w14:paraId="33C95DDF" w14:textId="77777777" w:rsidTr="00076944">
        <w:trPr>
          <w:trHeight w:val="145"/>
        </w:trPr>
        <w:tc>
          <w:tcPr>
            <w:tcW w:w="2060" w:type="dxa"/>
            <w:tcMar>
              <w:top w:w="15" w:type="dxa"/>
              <w:left w:w="108" w:type="dxa"/>
              <w:bottom w:w="0" w:type="dxa"/>
              <w:right w:w="108" w:type="dxa"/>
            </w:tcMar>
            <w:vAlign w:val="bottom"/>
            <w:hideMark/>
          </w:tcPr>
          <w:p w14:paraId="17E485D0" w14:textId="77777777" w:rsidR="00F03519" w:rsidRPr="00D85CAD" w:rsidRDefault="00F03519" w:rsidP="00F03519">
            <w:pPr>
              <w:jc w:val="both"/>
              <w:rPr>
                <w:rFonts w:ascii="Times New Roman" w:hAnsi="Times New Roman"/>
              </w:rPr>
            </w:pPr>
            <w:r w:rsidRPr="00D85CAD">
              <w:rPr>
                <w:rFonts w:ascii="Times New Roman" w:hAnsi="Times New Roman"/>
              </w:rPr>
              <w:t>2009</w:t>
            </w:r>
          </w:p>
        </w:tc>
        <w:tc>
          <w:tcPr>
            <w:tcW w:w="1440" w:type="dxa"/>
            <w:tcMar>
              <w:top w:w="15" w:type="dxa"/>
              <w:left w:w="108" w:type="dxa"/>
              <w:bottom w:w="0" w:type="dxa"/>
              <w:right w:w="108" w:type="dxa"/>
            </w:tcMar>
            <w:vAlign w:val="bottom"/>
            <w:hideMark/>
          </w:tcPr>
          <w:p w14:paraId="34EE4492" w14:textId="77777777" w:rsidR="00F03519" w:rsidRPr="00D85CAD" w:rsidRDefault="00F03519" w:rsidP="00F03519">
            <w:pPr>
              <w:jc w:val="center"/>
              <w:rPr>
                <w:rFonts w:ascii="Times New Roman" w:hAnsi="Times New Roman"/>
              </w:rPr>
            </w:pPr>
            <w:r w:rsidRPr="00D85CAD">
              <w:rPr>
                <w:rFonts w:ascii="Times New Roman" w:hAnsi="Times New Roman"/>
              </w:rPr>
              <w:t>1,723</w:t>
            </w:r>
          </w:p>
        </w:tc>
      </w:tr>
      <w:tr w:rsidR="00F03519" w:rsidRPr="00D85CAD" w14:paraId="3A840FF8" w14:textId="77777777" w:rsidTr="00076944">
        <w:trPr>
          <w:trHeight w:val="118"/>
        </w:trPr>
        <w:tc>
          <w:tcPr>
            <w:tcW w:w="2060" w:type="dxa"/>
            <w:tcMar>
              <w:top w:w="15" w:type="dxa"/>
              <w:left w:w="108" w:type="dxa"/>
              <w:bottom w:w="0" w:type="dxa"/>
              <w:right w:w="108" w:type="dxa"/>
            </w:tcMar>
            <w:vAlign w:val="bottom"/>
            <w:hideMark/>
          </w:tcPr>
          <w:p w14:paraId="4F22FCC4" w14:textId="77777777" w:rsidR="00F03519" w:rsidRPr="00D85CAD" w:rsidRDefault="00F03519" w:rsidP="00F03519">
            <w:pPr>
              <w:jc w:val="both"/>
              <w:rPr>
                <w:rFonts w:ascii="Times New Roman" w:hAnsi="Times New Roman"/>
              </w:rPr>
            </w:pPr>
            <w:r w:rsidRPr="00D85CAD">
              <w:rPr>
                <w:rFonts w:ascii="Times New Roman" w:hAnsi="Times New Roman"/>
              </w:rPr>
              <w:t>2010</w:t>
            </w:r>
          </w:p>
        </w:tc>
        <w:tc>
          <w:tcPr>
            <w:tcW w:w="1440" w:type="dxa"/>
            <w:tcMar>
              <w:top w:w="15" w:type="dxa"/>
              <w:left w:w="108" w:type="dxa"/>
              <w:bottom w:w="0" w:type="dxa"/>
              <w:right w:w="108" w:type="dxa"/>
            </w:tcMar>
            <w:vAlign w:val="bottom"/>
            <w:hideMark/>
          </w:tcPr>
          <w:p w14:paraId="0C47D35B" w14:textId="77777777" w:rsidR="00F03519" w:rsidRPr="00D85CAD" w:rsidRDefault="00F03519" w:rsidP="00F03519">
            <w:pPr>
              <w:jc w:val="center"/>
              <w:rPr>
                <w:rFonts w:ascii="Times New Roman" w:hAnsi="Times New Roman"/>
              </w:rPr>
            </w:pPr>
            <w:r w:rsidRPr="00D85CAD">
              <w:rPr>
                <w:rFonts w:ascii="Times New Roman" w:hAnsi="Times New Roman"/>
              </w:rPr>
              <w:t>1,562</w:t>
            </w:r>
          </w:p>
        </w:tc>
      </w:tr>
      <w:tr w:rsidR="00F03519" w:rsidRPr="00D85CAD" w14:paraId="2814493C" w14:textId="77777777" w:rsidTr="00076944">
        <w:trPr>
          <w:trHeight w:val="82"/>
        </w:trPr>
        <w:tc>
          <w:tcPr>
            <w:tcW w:w="2060" w:type="dxa"/>
            <w:tcMar>
              <w:top w:w="15" w:type="dxa"/>
              <w:left w:w="108" w:type="dxa"/>
              <w:bottom w:w="0" w:type="dxa"/>
              <w:right w:w="108" w:type="dxa"/>
            </w:tcMar>
            <w:vAlign w:val="bottom"/>
            <w:hideMark/>
          </w:tcPr>
          <w:p w14:paraId="776562A0" w14:textId="77777777" w:rsidR="00F03519" w:rsidRPr="00D85CAD" w:rsidRDefault="00F03519" w:rsidP="00F03519">
            <w:pPr>
              <w:jc w:val="both"/>
              <w:rPr>
                <w:rFonts w:ascii="Times New Roman" w:hAnsi="Times New Roman"/>
              </w:rPr>
            </w:pPr>
            <w:r w:rsidRPr="00D85CAD">
              <w:rPr>
                <w:rFonts w:ascii="Times New Roman" w:hAnsi="Times New Roman"/>
              </w:rPr>
              <w:t>2011</w:t>
            </w:r>
          </w:p>
        </w:tc>
        <w:tc>
          <w:tcPr>
            <w:tcW w:w="1440" w:type="dxa"/>
            <w:tcMar>
              <w:top w:w="15" w:type="dxa"/>
              <w:left w:w="108" w:type="dxa"/>
              <w:bottom w:w="0" w:type="dxa"/>
              <w:right w:w="108" w:type="dxa"/>
            </w:tcMar>
            <w:vAlign w:val="bottom"/>
            <w:hideMark/>
          </w:tcPr>
          <w:p w14:paraId="0785838C" w14:textId="77777777" w:rsidR="00F03519" w:rsidRPr="00D85CAD" w:rsidRDefault="00F03519" w:rsidP="00F03519">
            <w:pPr>
              <w:jc w:val="center"/>
              <w:rPr>
                <w:rFonts w:ascii="Times New Roman" w:hAnsi="Times New Roman"/>
              </w:rPr>
            </w:pPr>
            <w:r w:rsidRPr="00D85CAD">
              <w:rPr>
                <w:rFonts w:ascii="Times New Roman" w:hAnsi="Times New Roman"/>
              </w:rPr>
              <w:t>1,482</w:t>
            </w:r>
          </w:p>
        </w:tc>
      </w:tr>
      <w:tr w:rsidR="00F03519" w:rsidRPr="00D85CAD" w14:paraId="4E2010D3" w14:textId="77777777" w:rsidTr="00076944">
        <w:trPr>
          <w:trHeight w:val="145"/>
        </w:trPr>
        <w:tc>
          <w:tcPr>
            <w:tcW w:w="2060" w:type="dxa"/>
            <w:tcMar>
              <w:top w:w="15" w:type="dxa"/>
              <w:left w:w="108" w:type="dxa"/>
              <w:bottom w:w="0" w:type="dxa"/>
              <w:right w:w="108" w:type="dxa"/>
            </w:tcMar>
            <w:vAlign w:val="bottom"/>
            <w:hideMark/>
          </w:tcPr>
          <w:p w14:paraId="2D4A3F31" w14:textId="77777777" w:rsidR="00F03519" w:rsidRPr="00D85CAD" w:rsidRDefault="00F03519" w:rsidP="00F03519">
            <w:pPr>
              <w:jc w:val="both"/>
              <w:rPr>
                <w:rFonts w:ascii="Times New Roman" w:hAnsi="Times New Roman"/>
              </w:rPr>
            </w:pPr>
            <w:r w:rsidRPr="00D85CAD">
              <w:rPr>
                <w:rFonts w:ascii="Times New Roman" w:hAnsi="Times New Roman"/>
              </w:rPr>
              <w:t>2012</w:t>
            </w:r>
          </w:p>
        </w:tc>
        <w:tc>
          <w:tcPr>
            <w:tcW w:w="1440" w:type="dxa"/>
            <w:tcMar>
              <w:top w:w="15" w:type="dxa"/>
              <w:left w:w="108" w:type="dxa"/>
              <w:bottom w:w="0" w:type="dxa"/>
              <w:right w:w="108" w:type="dxa"/>
            </w:tcMar>
            <w:vAlign w:val="bottom"/>
            <w:hideMark/>
          </w:tcPr>
          <w:p w14:paraId="1466FDB7" w14:textId="77777777" w:rsidR="00F03519" w:rsidRPr="00D85CAD" w:rsidRDefault="00F03519" w:rsidP="00F03519">
            <w:pPr>
              <w:jc w:val="center"/>
              <w:rPr>
                <w:rFonts w:ascii="Times New Roman" w:hAnsi="Times New Roman"/>
              </w:rPr>
            </w:pPr>
            <w:r w:rsidRPr="00D85CAD">
              <w:rPr>
                <w:rFonts w:ascii="Times New Roman" w:hAnsi="Times New Roman"/>
              </w:rPr>
              <w:t>1,705</w:t>
            </w:r>
          </w:p>
        </w:tc>
      </w:tr>
      <w:tr w:rsidR="00F03519" w:rsidRPr="00D85CAD" w14:paraId="1C08B5AE" w14:textId="77777777" w:rsidTr="00076944">
        <w:trPr>
          <w:trHeight w:val="45"/>
        </w:trPr>
        <w:tc>
          <w:tcPr>
            <w:tcW w:w="2060" w:type="dxa"/>
            <w:tcMar>
              <w:top w:w="15" w:type="dxa"/>
              <w:left w:w="108" w:type="dxa"/>
              <w:bottom w:w="0" w:type="dxa"/>
              <w:right w:w="108" w:type="dxa"/>
            </w:tcMar>
            <w:vAlign w:val="bottom"/>
            <w:hideMark/>
          </w:tcPr>
          <w:p w14:paraId="3F324319" w14:textId="77777777" w:rsidR="00F03519" w:rsidRPr="00D85CAD" w:rsidRDefault="00F03519" w:rsidP="00F03519">
            <w:pPr>
              <w:jc w:val="both"/>
              <w:rPr>
                <w:rFonts w:ascii="Times New Roman" w:hAnsi="Times New Roman"/>
              </w:rPr>
            </w:pPr>
            <w:r w:rsidRPr="00D85CAD">
              <w:rPr>
                <w:rFonts w:ascii="Times New Roman" w:hAnsi="Times New Roman"/>
              </w:rPr>
              <w:t>2013</w:t>
            </w:r>
          </w:p>
        </w:tc>
        <w:tc>
          <w:tcPr>
            <w:tcW w:w="1440" w:type="dxa"/>
            <w:tcMar>
              <w:top w:w="15" w:type="dxa"/>
              <w:left w:w="108" w:type="dxa"/>
              <w:bottom w:w="0" w:type="dxa"/>
              <w:right w:w="108" w:type="dxa"/>
            </w:tcMar>
            <w:vAlign w:val="bottom"/>
            <w:hideMark/>
          </w:tcPr>
          <w:p w14:paraId="0644E4C3" w14:textId="77777777" w:rsidR="00F03519" w:rsidRPr="00D85CAD" w:rsidRDefault="00F03519" w:rsidP="00F03519">
            <w:pPr>
              <w:jc w:val="center"/>
              <w:rPr>
                <w:rFonts w:ascii="Times New Roman" w:hAnsi="Times New Roman"/>
              </w:rPr>
            </w:pPr>
            <w:r w:rsidRPr="00D85CAD">
              <w:rPr>
                <w:rFonts w:ascii="Times New Roman" w:hAnsi="Times New Roman"/>
              </w:rPr>
              <w:t>2,030</w:t>
            </w:r>
          </w:p>
        </w:tc>
      </w:tr>
      <w:tr w:rsidR="00F03519" w:rsidRPr="00D85CAD" w14:paraId="3306C864" w14:textId="77777777" w:rsidTr="00076944">
        <w:trPr>
          <w:trHeight w:val="45"/>
        </w:trPr>
        <w:tc>
          <w:tcPr>
            <w:tcW w:w="2060" w:type="dxa"/>
            <w:tcMar>
              <w:top w:w="15" w:type="dxa"/>
              <w:left w:w="108" w:type="dxa"/>
              <w:bottom w:w="0" w:type="dxa"/>
              <w:right w:w="108" w:type="dxa"/>
            </w:tcMar>
            <w:vAlign w:val="bottom"/>
            <w:hideMark/>
          </w:tcPr>
          <w:p w14:paraId="152E8777" w14:textId="77777777" w:rsidR="00F03519" w:rsidRPr="00D85CAD" w:rsidRDefault="00F03519" w:rsidP="00F03519">
            <w:pPr>
              <w:jc w:val="both"/>
              <w:rPr>
                <w:rFonts w:ascii="Times New Roman" w:hAnsi="Times New Roman"/>
              </w:rPr>
            </w:pPr>
            <w:r w:rsidRPr="00D85CAD">
              <w:rPr>
                <w:rFonts w:ascii="Times New Roman" w:hAnsi="Times New Roman"/>
              </w:rPr>
              <w:t>2014</w:t>
            </w:r>
          </w:p>
        </w:tc>
        <w:tc>
          <w:tcPr>
            <w:tcW w:w="1440" w:type="dxa"/>
            <w:tcMar>
              <w:top w:w="15" w:type="dxa"/>
              <w:left w:w="108" w:type="dxa"/>
              <w:bottom w:w="0" w:type="dxa"/>
              <w:right w:w="108" w:type="dxa"/>
            </w:tcMar>
            <w:vAlign w:val="bottom"/>
            <w:hideMark/>
          </w:tcPr>
          <w:p w14:paraId="350F9D00" w14:textId="054F8F92" w:rsidR="00F03519" w:rsidRPr="00D85CAD" w:rsidRDefault="00F03519" w:rsidP="00D1293B">
            <w:pPr>
              <w:jc w:val="center"/>
              <w:rPr>
                <w:rFonts w:ascii="Times New Roman" w:hAnsi="Times New Roman"/>
              </w:rPr>
            </w:pPr>
            <w:r w:rsidRPr="00D85CAD">
              <w:rPr>
                <w:rFonts w:ascii="Times New Roman" w:hAnsi="Times New Roman"/>
              </w:rPr>
              <w:t>2,499</w:t>
            </w:r>
            <w:r>
              <w:rPr>
                <w:rStyle w:val="FootnoteReference"/>
                <w:rFonts w:ascii="Times New Roman" w:hAnsi="Times New Roman"/>
              </w:rPr>
              <w:footnoteReference w:id="1"/>
            </w:r>
          </w:p>
        </w:tc>
      </w:tr>
      <w:tr w:rsidR="00F03519" w:rsidRPr="00D85CAD" w14:paraId="35820A39" w14:textId="77777777" w:rsidTr="00076944">
        <w:trPr>
          <w:trHeight w:val="145"/>
        </w:trPr>
        <w:tc>
          <w:tcPr>
            <w:tcW w:w="2060" w:type="dxa"/>
            <w:tcMar>
              <w:top w:w="15" w:type="dxa"/>
              <w:left w:w="108" w:type="dxa"/>
              <w:bottom w:w="0" w:type="dxa"/>
              <w:right w:w="108" w:type="dxa"/>
            </w:tcMar>
            <w:vAlign w:val="bottom"/>
            <w:hideMark/>
          </w:tcPr>
          <w:p w14:paraId="2642716E" w14:textId="77777777" w:rsidR="00F03519" w:rsidRPr="00D85CAD" w:rsidRDefault="00F03519" w:rsidP="00F03519">
            <w:pPr>
              <w:jc w:val="both"/>
              <w:rPr>
                <w:rFonts w:ascii="Times New Roman" w:hAnsi="Times New Roman"/>
              </w:rPr>
            </w:pPr>
            <w:r w:rsidRPr="00D85CAD">
              <w:rPr>
                <w:rFonts w:ascii="Times New Roman" w:hAnsi="Times New Roman"/>
              </w:rPr>
              <w:t>2015</w:t>
            </w:r>
          </w:p>
        </w:tc>
        <w:tc>
          <w:tcPr>
            <w:tcW w:w="1440" w:type="dxa"/>
            <w:tcMar>
              <w:top w:w="15" w:type="dxa"/>
              <w:left w:w="108" w:type="dxa"/>
              <w:bottom w:w="0" w:type="dxa"/>
              <w:right w:w="108" w:type="dxa"/>
            </w:tcMar>
            <w:vAlign w:val="bottom"/>
            <w:hideMark/>
          </w:tcPr>
          <w:p w14:paraId="5E065F47" w14:textId="77777777" w:rsidR="00F03519" w:rsidRPr="00D85CAD" w:rsidRDefault="00F03519" w:rsidP="00F03519">
            <w:pPr>
              <w:jc w:val="center"/>
              <w:rPr>
                <w:rFonts w:ascii="Times New Roman" w:hAnsi="Times New Roman"/>
              </w:rPr>
            </w:pPr>
            <w:r w:rsidRPr="00D85CAD">
              <w:rPr>
                <w:rFonts w:ascii="Times New Roman" w:hAnsi="Times New Roman"/>
              </w:rPr>
              <w:t>2,174</w:t>
            </w:r>
          </w:p>
        </w:tc>
      </w:tr>
      <w:tr w:rsidR="00F03519" w:rsidRPr="00D85CAD" w14:paraId="35E3E8B8" w14:textId="77777777" w:rsidTr="00076944">
        <w:trPr>
          <w:trHeight w:val="145"/>
        </w:trPr>
        <w:tc>
          <w:tcPr>
            <w:tcW w:w="2060" w:type="dxa"/>
            <w:tcMar>
              <w:top w:w="15" w:type="dxa"/>
              <w:left w:w="108" w:type="dxa"/>
              <w:bottom w:w="0" w:type="dxa"/>
              <w:right w:w="108" w:type="dxa"/>
            </w:tcMar>
            <w:vAlign w:val="bottom"/>
          </w:tcPr>
          <w:p w14:paraId="58CF07F8" w14:textId="73C86597" w:rsidR="00F03519" w:rsidRPr="00D85CAD" w:rsidRDefault="00F03519" w:rsidP="009035E2">
            <w:pPr>
              <w:jc w:val="both"/>
              <w:rPr>
                <w:rFonts w:ascii="Times New Roman" w:hAnsi="Times New Roman"/>
              </w:rPr>
            </w:pPr>
            <w:r w:rsidRPr="00D85CAD">
              <w:rPr>
                <w:rFonts w:ascii="Times New Roman" w:hAnsi="Times New Roman"/>
              </w:rPr>
              <w:t>2016 YTD-</w:t>
            </w:r>
            <w:r w:rsidR="009035E2">
              <w:rPr>
                <w:rFonts w:ascii="Times New Roman" w:hAnsi="Times New Roman"/>
              </w:rPr>
              <w:t>August</w:t>
            </w:r>
          </w:p>
        </w:tc>
        <w:tc>
          <w:tcPr>
            <w:tcW w:w="1440" w:type="dxa"/>
            <w:tcMar>
              <w:top w:w="15" w:type="dxa"/>
              <w:left w:w="108" w:type="dxa"/>
              <w:bottom w:w="0" w:type="dxa"/>
              <w:right w:w="108" w:type="dxa"/>
            </w:tcMar>
            <w:vAlign w:val="bottom"/>
          </w:tcPr>
          <w:p w14:paraId="19719814" w14:textId="26E1FC2C" w:rsidR="00F03519" w:rsidRPr="00D85CAD" w:rsidRDefault="00F03519" w:rsidP="00F03519">
            <w:pPr>
              <w:jc w:val="center"/>
              <w:rPr>
                <w:rFonts w:ascii="Times New Roman" w:hAnsi="Times New Roman"/>
              </w:rPr>
            </w:pPr>
            <w:r w:rsidRPr="00D85CAD">
              <w:rPr>
                <w:rFonts w:ascii="Times New Roman" w:hAnsi="Times New Roman"/>
              </w:rPr>
              <w:t>1</w:t>
            </w:r>
            <w:r w:rsidR="009035E2">
              <w:rPr>
                <w:rFonts w:ascii="Times New Roman" w:hAnsi="Times New Roman"/>
              </w:rPr>
              <w:t>,708</w:t>
            </w:r>
          </w:p>
        </w:tc>
      </w:tr>
    </w:tbl>
    <w:p w14:paraId="6CDC64BC" w14:textId="77777777" w:rsidR="00F32ACB" w:rsidRPr="00D85CAD" w:rsidRDefault="00F32ACB" w:rsidP="00497269">
      <w:pPr>
        <w:jc w:val="both"/>
        <w:rPr>
          <w:rFonts w:ascii="Times New Roman" w:hAnsi="Times New Roman"/>
        </w:rPr>
      </w:pPr>
    </w:p>
    <w:p w14:paraId="4A1AC06E" w14:textId="77777777" w:rsidR="00F03519" w:rsidRDefault="00F03519" w:rsidP="00497269">
      <w:pPr>
        <w:jc w:val="both"/>
        <w:rPr>
          <w:rFonts w:ascii="Times New Roman" w:hAnsi="Times New Roman"/>
        </w:rPr>
      </w:pPr>
    </w:p>
    <w:p w14:paraId="7F5510A0" w14:textId="77777777" w:rsidR="00F03519" w:rsidRDefault="00F03519" w:rsidP="00497269">
      <w:pPr>
        <w:jc w:val="both"/>
        <w:rPr>
          <w:rFonts w:ascii="Times New Roman" w:hAnsi="Times New Roman"/>
        </w:rPr>
      </w:pPr>
    </w:p>
    <w:p w14:paraId="7D6BD411" w14:textId="77777777" w:rsidR="00F03519" w:rsidRDefault="00F03519" w:rsidP="00497269">
      <w:pPr>
        <w:jc w:val="both"/>
        <w:rPr>
          <w:rFonts w:ascii="Times New Roman" w:hAnsi="Times New Roman"/>
        </w:rPr>
      </w:pPr>
    </w:p>
    <w:p w14:paraId="2CB37974" w14:textId="77777777" w:rsidR="00F03519" w:rsidRDefault="00F03519" w:rsidP="00497269">
      <w:pPr>
        <w:jc w:val="both"/>
        <w:rPr>
          <w:rFonts w:ascii="Times New Roman" w:hAnsi="Times New Roman"/>
        </w:rPr>
      </w:pPr>
    </w:p>
    <w:p w14:paraId="7C47128E" w14:textId="77777777" w:rsidR="00F03519" w:rsidRDefault="00F03519" w:rsidP="00497269">
      <w:pPr>
        <w:jc w:val="both"/>
        <w:rPr>
          <w:rFonts w:ascii="Times New Roman" w:hAnsi="Times New Roman"/>
        </w:rPr>
      </w:pPr>
    </w:p>
    <w:p w14:paraId="4D9FD35C" w14:textId="77777777" w:rsidR="00F03519" w:rsidRDefault="00F03519" w:rsidP="00497269">
      <w:pPr>
        <w:jc w:val="both"/>
        <w:rPr>
          <w:rFonts w:ascii="Times New Roman" w:hAnsi="Times New Roman"/>
        </w:rPr>
      </w:pPr>
    </w:p>
    <w:p w14:paraId="077C6158" w14:textId="77777777" w:rsidR="00F03519" w:rsidRDefault="00F03519" w:rsidP="00497269">
      <w:pPr>
        <w:jc w:val="both"/>
        <w:rPr>
          <w:rFonts w:ascii="Times New Roman" w:hAnsi="Times New Roman"/>
        </w:rPr>
      </w:pPr>
    </w:p>
    <w:p w14:paraId="49AF162E" w14:textId="77777777" w:rsidR="00F03519" w:rsidRDefault="00F03519" w:rsidP="00497269">
      <w:pPr>
        <w:jc w:val="both"/>
        <w:rPr>
          <w:rFonts w:ascii="Times New Roman" w:hAnsi="Times New Roman"/>
        </w:rPr>
      </w:pPr>
    </w:p>
    <w:p w14:paraId="5CF2B8CD" w14:textId="77777777" w:rsidR="00F03519" w:rsidRDefault="00F03519" w:rsidP="00497269">
      <w:pPr>
        <w:jc w:val="both"/>
        <w:rPr>
          <w:rFonts w:ascii="Times New Roman" w:hAnsi="Times New Roman"/>
        </w:rPr>
      </w:pPr>
    </w:p>
    <w:p w14:paraId="66A8855C" w14:textId="77777777" w:rsidR="00F03519" w:rsidRDefault="00F03519" w:rsidP="00497269">
      <w:pPr>
        <w:jc w:val="both"/>
        <w:rPr>
          <w:rFonts w:ascii="Times New Roman" w:hAnsi="Times New Roman"/>
        </w:rPr>
      </w:pPr>
    </w:p>
    <w:p w14:paraId="6A11020C" w14:textId="77777777" w:rsidR="00F03519" w:rsidRDefault="00F03519" w:rsidP="00497269">
      <w:pPr>
        <w:jc w:val="both"/>
        <w:rPr>
          <w:rFonts w:ascii="Times New Roman" w:hAnsi="Times New Roman"/>
        </w:rPr>
      </w:pPr>
    </w:p>
    <w:p w14:paraId="29886838" w14:textId="77777777" w:rsidR="00F03519" w:rsidRDefault="00F03519" w:rsidP="00497269">
      <w:pPr>
        <w:jc w:val="both"/>
        <w:rPr>
          <w:rFonts w:ascii="Times New Roman" w:hAnsi="Times New Roman"/>
        </w:rPr>
      </w:pPr>
    </w:p>
    <w:p w14:paraId="7112E85C" w14:textId="77777777" w:rsidR="00F03519" w:rsidRDefault="00F03519" w:rsidP="00497269">
      <w:pPr>
        <w:jc w:val="both"/>
        <w:rPr>
          <w:rFonts w:ascii="Times New Roman" w:hAnsi="Times New Roman"/>
        </w:rPr>
      </w:pPr>
    </w:p>
    <w:p w14:paraId="7D68FE37" w14:textId="77777777" w:rsidR="00F03519" w:rsidRDefault="00F03519" w:rsidP="00497269">
      <w:pPr>
        <w:jc w:val="both"/>
        <w:rPr>
          <w:rFonts w:ascii="Times New Roman" w:hAnsi="Times New Roman"/>
        </w:rPr>
      </w:pPr>
    </w:p>
    <w:p w14:paraId="3FED7A4B" w14:textId="77777777" w:rsidR="00F03519" w:rsidRDefault="00F03519" w:rsidP="00497269">
      <w:pPr>
        <w:jc w:val="both"/>
        <w:rPr>
          <w:rFonts w:ascii="Times New Roman" w:hAnsi="Times New Roman"/>
        </w:rPr>
      </w:pPr>
    </w:p>
    <w:p w14:paraId="5926CC3F" w14:textId="77777777" w:rsidR="002142D5" w:rsidRDefault="002142D5" w:rsidP="00497269">
      <w:pPr>
        <w:jc w:val="both"/>
        <w:rPr>
          <w:rFonts w:ascii="Times New Roman" w:hAnsi="Times New Roman"/>
        </w:rPr>
      </w:pPr>
    </w:p>
    <w:p w14:paraId="407662E8" w14:textId="3D1B1322" w:rsidR="002142D5" w:rsidRDefault="002142D5" w:rsidP="00954C28">
      <w:pPr>
        <w:pStyle w:val="ListParagraph"/>
        <w:numPr>
          <w:ilvl w:val="0"/>
          <w:numId w:val="25"/>
        </w:numPr>
        <w:tabs>
          <w:tab w:val="left" w:pos="630"/>
        </w:tabs>
        <w:ind w:left="0" w:firstLine="0"/>
        <w:contextualSpacing w:val="0"/>
        <w:jc w:val="both"/>
      </w:pPr>
      <w:r w:rsidRPr="00D85CAD">
        <w:t>Number of new customer hookups</w:t>
      </w:r>
      <w:r w:rsidR="00B719CC">
        <w:t xml:space="preserve"> from March 1, 2016 to August 31, 2016</w:t>
      </w:r>
      <w:r w:rsidRPr="00D85CAD">
        <w:t>, broken down by conversion vs. new construction</w:t>
      </w:r>
      <w:r w:rsidR="00492FFD">
        <w:t>.</w:t>
      </w:r>
      <w:r w:rsidR="00954C28">
        <w:t xml:space="preserve"> </w:t>
      </w:r>
    </w:p>
    <w:p w14:paraId="576284D7" w14:textId="77777777" w:rsidR="00954C28" w:rsidRDefault="00954C28" w:rsidP="005E7BAC">
      <w:pPr>
        <w:pStyle w:val="ListParagraph"/>
        <w:tabs>
          <w:tab w:val="left" w:pos="630"/>
        </w:tabs>
        <w:ind w:left="0"/>
        <w:contextualSpacing w:val="0"/>
        <w:jc w:val="both"/>
      </w:pPr>
    </w:p>
    <w:p w14:paraId="6619886A" w14:textId="77777777" w:rsidR="00B719CC" w:rsidRPr="005E7BAC" w:rsidRDefault="00B719CC" w:rsidP="00B719CC">
      <w:pPr>
        <w:ind w:firstLine="720"/>
        <w:jc w:val="both"/>
        <w:rPr>
          <w:rFonts w:ascii="Times New Roman" w:hAnsi="Times New Roman"/>
          <w:b/>
          <w:u w:val="single"/>
        </w:rPr>
      </w:pPr>
      <w:r w:rsidRPr="005E7BAC">
        <w:rPr>
          <w:rFonts w:ascii="Times New Roman" w:hAnsi="Times New Roman"/>
          <w:b/>
          <w:u w:val="single"/>
        </w:rPr>
        <w:t>Table No. 2</w:t>
      </w:r>
    </w:p>
    <w:p w14:paraId="7C933547" w14:textId="77777777" w:rsidR="00B719CC" w:rsidRPr="00D85CAD" w:rsidRDefault="00B719CC" w:rsidP="00B719CC">
      <w:pPr>
        <w:jc w:val="both"/>
        <w:rPr>
          <w:rFonts w:ascii="Times New Roman" w:hAnsi="Times New Roman"/>
        </w:rPr>
      </w:pPr>
    </w:p>
    <w:tbl>
      <w:tblPr>
        <w:tblStyle w:val="TableGrid"/>
        <w:tblpPr w:leftFromText="180" w:rightFromText="180" w:vertAnchor="text" w:horzAnchor="page" w:tblpX="2101" w:tblpYSpec="top"/>
        <w:tblW w:w="0" w:type="auto"/>
        <w:tblLook w:val="04A0" w:firstRow="1" w:lastRow="0" w:firstColumn="1" w:lastColumn="0" w:noHBand="0" w:noVBand="1"/>
      </w:tblPr>
      <w:tblGrid>
        <w:gridCol w:w="4225"/>
        <w:gridCol w:w="1568"/>
      </w:tblGrid>
      <w:tr w:rsidR="00B719CC" w14:paraId="36D55BC7" w14:textId="77777777" w:rsidTr="008903A1">
        <w:tc>
          <w:tcPr>
            <w:tcW w:w="4225" w:type="dxa"/>
          </w:tcPr>
          <w:p w14:paraId="71B2EBE6" w14:textId="77777777" w:rsidR="00B719CC" w:rsidRDefault="00B719CC" w:rsidP="008903A1">
            <w:pPr>
              <w:jc w:val="both"/>
              <w:rPr>
                <w:rFonts w:ascii="Times New Roman" w:hAnsi="Times New Roman"/>
              </w:rPr>
            </w:pPr>
            <w:r>
              <w:rPr>
                <w:rFonts w:ascii="Times New Roman" w:hAnsi="Times New Roman"/>
              </w:rPr>
              <w:t>New Developments Hookups</w:t>
            </w:r>
          </w:p>
        </w:tc>
        <w:tc>
          <w:tcPr>
            <w:tcW w:w="1568" w:type="dxa"/>
          </w:tcPr>
          <w:p w14:paraId="7810C7FE" w14:textId="77777777" w:rsidR="00B719CC" w:rsidRPr="001A2417" w:rsidRDefault="00B719CC" w:rsidP="008903A1">
            <w:pPr>
              <w:jc w:val="right"/>
              <w:rPr>
                <w:rFonts w:ascii="Times New Roman" w:hAnsi="Times New Roman"/>
              </w:rPr>
            </w:pPr>
            <w:r w:rsidRPr="001A2417">
              <w:rPr>
                <w:rFonts w:ascii="Times New Roman" w:hAnsi="Times New Roman"/>
              </w:rPr>
              <w:t>489</w:t>
            </w:r>
          </w:p>
        </w:tc>
      </w:tr>
      <w:tr w:rsidR="00B719CC" w14:paraId="30D4FFB0" w14:textId="77777777" w:rsidTr="008903A1">
        <w:tc>
          <w:tcPr>
            <w:tcW w:w="4225" w:type="dxa"/>
          </w:tcPr>
          <w:p w14:paraId="322EA88D" w14:textId="77777777" w:rsidR="00B719CC" w:rsidRDefault="00B719CC" w:rsidP="008903A1">
            <w:pPr>
              <w:jc w:val="both"/>
              <w:rPr>
                <w:rFonts w:ascii="Times New Roman" w:hAnsi="Times New Roman"/>
              </w:rPr>
            </w:pPr>
            <w:r>
              <w:rPr>
                <w:rFonts w:ascii="Times New Roman" w:hAnsi="Times New Roman"/>
              </w:rPr>
              <w:t>New Construction (i.e., infill of existing developments or single lots)</w:t>
            </w:r>
          </w:p>
        </w:tc>
        <w:tc>
          <w:tcPr>
            <w:tcW w:w="1568" w:type="dxa"/>
          </w:tcPr>
          <w:p w14:paraId="4304F919" w14:textId="77777777" w:rsidR="00B719CC" w:rsidRPr="001A2417" w:rsidRDefault="00B719CC" w:rsidP="008903A1">
            <w:pPr>
              <w:jc w:val="right"/>
              <w:rPr>
                <w:rFonts w:ascii="Times New Roman" w:hAnsi="Times New Roman"/>
              </w:rPr>
            </w:pPr>
            <w:r w:rsidRPr="001A2417">
              <w:rPr>
                <w:rFonts w:ascii="Times New Roman" w:hAnsi="Times New Roman"/>
              </w:rPr>
              <w:t>278</w:t>
            </w:r>
          </w:p>
        </w:tc>
      </w:tr>
      <w:tr w:rsidR="00B719CC" w14:paraId="7A814A3C" w14:textId="77777777" w:rsidTr="008903A1">
        <w:tc>
          <w:tcPr>
            <w:tcW w:w="4225" w:type="dxa"/>
          </w:tcPr>
          <w:p w14:paraId="2DB4A5BF" w14:textId="77777777" w:rsidR="00B719CC" w:rsidRDefault="00B719CC" w:rsidP="008903A1">
            <w:pPr>
              <w:jc w:val="both"/>
              <w:rPr>
                <w:rFonts w:ascii="Times New Roman" w:hAnsi="Times New Roman"/>
              </w:rPr>
            </w:pPr>
            <w:r>
              <w:rPr>
                <w:rFonts w:ascii="Times New Roman" w:hAnsi="Times New Roman"/>
              </w:rPr>
              <w:t>Conversions</w:t>
            </w:r>
          </w:p>
        </w:tc>
        <w:tc>
          <w:tcPr>
            <w:tcW w:w="1568" w:type="dxa"/>
          </w:tcPr>
          <w:p w14:paraId="06475B2C" w14:textId="77777777" w:rsidR="00B719CC" w:rsidRPr="001A2417" w:rsidRDefault="00B719CC" w:rsidP="008903A1">
            <w:pPr>
              <w:jc w:val="right"/>
              <w:rPr>
                <w:rFonts w:ascii="Times New Roman" w:hAnsi="Times New Roman"/>
              </w:rPr>
            </w:pPr>
            <w:r w:rsidRPr="001A2417">
              <w:rPr>
                <w:rFonts w:ascii="Times New Roman" w:hAnsi="Times New Roman"/>
              </w:rPr>
              <w:t>436</w:t>
            </w:r>
          </w:p>
        </w:tc>
      </w:tr>
      <w:tr w:rsidR="00B719CC" w14:paraId="0BCCC348" w14:textId="77777777" w:rsidTr="008903A1">
        <w:tc>
          <w:tcPr>
            <w:tcW w:w="4225" w:type="dxa"/>
          </w:tcPr>
          <w:p w14:paraId="73A832AE" w14:textId="4326FB49" w:rsidR="00B719CC" w:rsidRDefault="00B719CC" w:rsidP="00B719CC">
            <w:pPr>
              <w:jc w:val="both"/>
              <w:rPr>
                <w:rFonts w:ascii="Times New Roman" w:hAnsi="Times New Roman"/>
              </w:rPr>
            </w:pPr>
            <w:r>
              <w:rPr>
                <w:rFonts w:ascii="Times New Roman" w:hAnsi="Times New Roman"/>
              </w:rPr>
              <w:t>Total New Customer Hookups</w:t>
            </w:r>
          </w:p>
        </w:tc>
        <w:tc>
          <w:tcPr>
            <w:tcW w:w="1568" w:type="dxa"/>
          </w:tcPr>
          <w:p w14:paraId="16AD2763" w14:textId="7C402060" w:rsidR="00B719CC" w:rsidRPr="001A2417" w:rsidRDefault="00B719CC" w:rsidP="00B719CC">
            <w:pPr>
              <w:jc w:val="right"/>
              <w:rPr>
                <w:rFonts w:ascii="Times New Roman" w:hAnsi="Times New Roman"/>
              </w:rPr>
            </w:pPr>
            <w:r w:rsidRPr="001A2417">
              <w:rPr>
                <w:rFonts w:ascii="Times New Roman" w:hAnsi="Times New Roman"/>
              </w:rPr>
              <w:t>1,203</w:t>
            </w:r>
          </w:p>
        </w:tc>
      </w:tr>
    </w:tbl>
    <w:p w14:paraId="59E11474" w14:textId="77777777" w:rsidR="00B719CC" w:rsidRDefault="00B719CC" w:rsidP="00B719CC">
      <w:pPr>
        <w:jc w:val="both"/>
        <w:rPr>
          <w:rFonts w:ascii="Times New Roman" w:hAnsi="Times New Roman"/>
        </w:rPr>
      </w:pPr>
    </w:p>
    <w:p w14:paraId="2ADA8933" w14:textId="77777777" w:rsidR="00B719CC" w:rsidRDefault="00B719CC" w:rsidP="00B719CC">
      <w:pPr>
        <w:jc w:val="both"/>
        <w:rPr>
          <w:rFonts w:ascii="Times New Roman" w:hAnsi="Times New Roman"/>
        </w:rPr>
      </w:pPr>
    </w:p>
    <w:p w14:paraId="1CCE21F3" w14:textId="77777777" w:rsidR="00B719CC" w:rsidRDefault="00B719CC" w:rsidP="00B719CC">
      <w:pPr>
        <w:jc w:val="both"/>
        <w:rPr>
          <w:rFonts w:ascii="Times New Roman" w:hAnsi="Times New Roman"/>
        </w:rPr>
      </w:pPr>
    </w:p>
    <w:p w14:paraId="2AF93880" w14:textId="77777777" w:rsidR="00B719CC" w:rsidRDefault="00B719CC" w:rsidP="00B719CC">
      <w:pPr>
        <w:jc w:val="both"/>
        <w:rPr>
          <w:rFonts w:ascii="Times New Roman" w:hAnsi="Times New Roman"/>
        </w:rPr>
      </w:pPr>
    </w:p>
    <w:p w14:paraId="35F95C72" w14:textId="77777777" w:rsidR="00B719CC" w:rsidRDefault="00B719CC" w:rsidP="00B719CC">
      <w:pPr>
        <w:jc w:val="both"/>
        <w:rPr>
          <w:rFonts w:ascii="Times New Roman" w:hAnsi="Times New Roman"/>
        </w:rPr>
      </w:pPr>
    </w:p>
    <w:p w14:paraId="3A5C4201" w14:textId="4583635C" w:rsidR="00492FFD" w:rsidRDefault="00492FFD">
      <w:pPr>
        <w:rPr>
          <w:rFonts w:ascii="Times New Roman" w:hAnsi="Times New Roman"/>
        </w:rPr>
      </w:pPr>
      <w:r>
        <w:rPr>
          <w:rFonts w:ascii="Times New Roman" w:hAnsi="Times New Roman"/>
        </w:rPr>
        <w:br w:type="page"/>
      </w:r>
    </w:p>
    <w:p w14:paraId="5874147B" w14:textId="52B9CD93" w:rsidR="00C066D6" w:rsidRDefault="00C066D6" w:rsidP="00954C28">
      <w:pPr>
        <w:pStyle w:val="ListParagraph"/>
        <w:numPr>
          <w:ilvl w:val="0"/>
          <w:numId w:val="25"/>
        </w:numPr>
        <w:tabs>
          <w:tab w:val="left" w:pos="630"/>
        </w:tabs>
        <w:ind w:left="0" w:firstLine="0"/>
        <w:contextualSpacing w:val="0"/>
        <w:jc w:val="both"/>
      </w:pPr>
      <w:r w:rsidRPr="00D85CAD">
        <w:lastRenderedPageBreak/>
        <w:t>Number of conversions from both Avista and non-Avista electric customers</w:t>
      </w:r>
      <w:r w:rsidR="00492FFD">
        <w:t>.</w:t>
      </w:r>
      <w:r w:rsidR="00954C28">
        <w:t xml:space="preserve"> </w:t>
      </w:r>
    </w:p>
    <w:p w14:paraId="66504BB0" w14:textId="77777777" w:rsidR="00954C28" w:rsidRDefault="00954C28" w:rsidP="005E7BAC">
      <w:pPr>
        <w:pStyle w:val="ListParagraph"/>
        <w:tabs>
          <w:tab w:val="left" w:pos="630"/>
        </w:tabs>
        <w:ind w:left="0"/>
        <w:contextualSpacing w:val="0"/>
        <w:jc w:val="both"/>
      </w:pPr>
    </w:p>
    <w:p w14:paraId="58E24418" w14:textId="77777777" w:rsidR="0050634C" w:rsidRPr="005E7BAC" w:rsidRDefault="0050634C" w:rsidP="0050634C">
      <w:pPr>
        <w:ind w:firstLine="720"/>
        <w:jc w:val="both"/>
        <w:rPr>
          <w:rFonts w:ascii="Times New Roman" w:hAnsi="Times New Roman"/>
          <w:b/>
          <w:u w:val="single"/>
        </w:rPr>
      </w:pPr>
      <w:r>
        <w:rPr>
          <w:rFonts w:ascii="Times New Roman" w:hAnsi="Times New Roman"/>
          <w:b/>
          <w:u w:val="single"/>
        </w:rPr>
        <w:t>Table No. 3</w:t>
      </w:r>
    </w:p>
    <w:p w14:paraId="7B5B2A9A" w14:textId="77777777" w:rsidR="0050634C" w:rsidRDefault="0050634C" w:rsidP="0050634C">
      <w:pPr>
        <w:jc w:val="both"/>
        <w:rPr>
          <w:rFonts w:ascii="Times New Roman" w:hAnsi="Times New Roman"/>
        </w:rPr>
      </w:pPr>
    </w:p>
    <w:tbl>
      <w:tblPr>
        <w:tblStyle w:val="TableGrid"/>
        <w:tblpPr w:leftFromText="180" w:rightFromText="180" w:vertAnchor="text" w:horzAnchor="page" w:tblpX="2101" w:tblpYSpec="top"/>
        <w:tblW w:w="0" w:type="auto"/>
        <w:tblLook w:val="04A0" w:firstRow="1" w:lastRow="0" w:firstColumn="1" w:lastColumn="0" w:noHBand="0" w:noVBand="1"/>
      </w:tblPr>
      <w:tblGrid>
        <w:gridCol w:w="4225"/>
        <w:gridCol w:w="1568"/>
      </w:tblGrid>
      <w:tr w:rsidR="0050634C" w:rsidRPr="00F260E8" w14:paraId="230A9F6B" w14:textId="77777777" w:rsidTr="008903A1">
        <w:tc>
          <w:tcPr>
            <w:tcW w:w="4225" w:type="dxa"/>
          </w:tcPr>
          <w:p w14:paraId="737E46A2" w14:textId="77777777" w:rsidR="0050634C" w:rsidRDefault="0050634C" w:rsidP="008903A1">
            <w:pPr>
              <w:jc w:val="both"/>
              <w:rPr>
                <w:rFonts w:ascii="Times New Roman" w:hAnsi="Times New Roman"/>
              </w:rPr>
            </w:pPr>
            <w:r>
              <w:rPr>
                <w:rFonts w:ascii="Times New Roman" w:hAnsi="Times New Roman"/>
              </w:rPr>
              <w:t>From Avista-Electric Customer</w:t>
            </w:r>
          </w:p>
        </w:tc>
        <w:tc>
          <w:tcPr>
            <w:tcW w:w="1568" w:type="dxa"/>
          </w:tcPr>
          <w:p w14:paraId="4E68BC3F" w14:textId="77777777" w:rsidR="0050634C" w:rsidRPr="00F260E8" w:rsidRDefault="0050634C" w:rsidP="008903A1">
            <w:pPr>
              <w:jc w:val="right"/>
              <w:rPr>
                <w:rFonts w:ascii="Times New Roman" w:hAnsi="Times New Roman"/>
              </w:rPr>
            </w:pPr>
            <w:r w:rsidRPr="00F260E8">
              <w:rPr>
                <w:rFonts w:ascii="Times New Roman" w:hAnsi="Times New Roman"/>
              </w:rPr>
              <w:t>382</w:t>
            </w:r>
          </w:p>
        </w:tc>
      </w:tr>
      <w:tr w:rsidR="0050634C" w:rsidRPr="00F260E8" w14:paraId="3D05D4C1" w14:textId="77777777" w:rsidTr="008903A1">
        <w:tc>
          <w:tcPr>
            <w:tcW w:w="4225" w:type="dxa"/>
          </w:tcPr>
          <w:p w14:paraId="6992A03D" w14:textId="77777777" w:rsidR="0050634C" w:rsidRDefault="0050634C" w:rsidP="008903A1">
            <w:pPr>
              <w:jc w:val="both"/>
              <w:rPr>
                <w:rFonts w:ascii="Times New Roman" w:hAnsi="Times New Roman"/>
              </w:rPr>
            </w:pPr>
            <w:r>
              <w:rPr>
                <w:rFonts w:ascii="Times New Roman" w:hAnsi="Times New Roman"/>
              </w:rPr>
              <w:t>From Non-Avista Customer</w:t>
            </w:r>
          </w:p>
        </w:tc>
        <w:tc>
          <w:tcPr>
            <w:tcW w:w="1568" w:type="dxa"/>
          </w:tcPr>
          <w:p w14:paraId="391A323B" w14:textId="77777777" w:rsidR="0050634C" w:rsidRPr="00F260E8" w:rsidRDefault="0050634C" w:rsidP="008903A1">
            <w:pPr>
              <w:jc w:val="right"/>
              <w:rPr>
                <w:rFonts w:ascii="Times New Roman" w:hAnsi="Times New Roman"/>
              </w:rPr>
            </w:pPr>
            <w:r w:rsidRPr="00F260E8">
              <w:rPr>
                <w:rFonts w:ascii="Times New Roman" w:hAnsi="Times New Roman"/>
              </w:rPr>
              <w:t>54</w:t>
            </w:r>
          </w:p>
        </w:tc>
      </w:tr>
      <w:tr w:rsidR="0050634C" w:rsidRPr="00F260E8" w14:paraId="7E5BF253" w14:textId="77777777" w:rsidTr="008903A1">
        <w:tc>
          <w:tcPr>
            <w:tcW w:w="4225" w:type="dxa"/>
          </w:tcPr>
          <w:p w14:paraId="23BFC95B" w14:textId="77777777" w:rsidR="0050634C" w:rsidRDefault="0050634C" w:rsidP="008903A1">
            <w:pPr>
              <w:jc w:val="both"/>
              <w:rPr>
                <w:rFonts w:ascii="Times New Roman" w:hAnsi="Times New Roman"/>
              </w:rPr>
            </w:pPr>
            <w:r>
              <w:rPr>
                <w:rFonts w:ascii="Times New Roman" w:hAnsi="Times New Roman"/>
              </w:rPr>
              <w:t>Total Conversions</w:t>
            </w:r>
          </w:p>
        </w:tc>
        <w:tc>
          <w:tcPr>
            <w:tcW w:w="1568" w:type="dxa"/>
          </w:tcPr>
          <w:p w14:paraId="0F9C685A" w14:textId="77777777" w:rsidR="0050634C" w:rsidRPr="001A2417" w:rsidRDefault="0050634C" w:rsidP="008903A1">
            <w:pPr>
              <w:jc w:val="right"/>
              <w:rPr>
                <w:rFonts w:ascii="Times New Roman" w:hAnsi="Times New Roman"/>
              </w:rPr>
            </w:pPr>
            <w:r w:rsidRPr="001A2417">
              <w:rPr>
                <w:rFonts w:ascii="Times New Roman" w:hAnsi="Times New Roman"/>
              </w:rPr>
              <w:t>436</w:t>
            </w:r>
          </w:p>
        </w:tc>
      </w:tr>
    </w:tbl>
    <w:p w14:paraId="3546F372" w14:textId="77777777" w:rsidR="00954C28" w:rsidRDefault="00954C28" w:rsidP="005E7BAC">
      <w:pPr>
        <w:pStyle w:val="ListParagraph"/>
        <w:tabs>
          <w:tab w:val="left" w:pos="630"/>
        </w:tabs>
        <w:ind w:left="0"/>
        <w:contextualSpacing w:val="0"/>
        <w:jc w:val="both"/>
      </w:pPr>
    </w:p>
    <w:p w14:paraId="286C4BBF" w14:textId="77777777" w:rsidR="0050634C" w:rsidRDefault="0050634C" w:rsidP="005E7BAC">
      <w:pPr>
        <w:pStyle w:val="ListParagraph"/>
        <w:tabs>
          <w:tab w:val="left" w:pos="630"/>
        </w:tabs>
        <w:ind w:left="0"/>
        <w:contextualSpacing w:val="0"/>
        <w:jc w:val="both"/>
      </w:pPr>
    </w:p>
    <w:p w14:paraId="5DA29FF3" w14:textId="77777777" w:rsidR="0050634C" w:rsidRDefault="0050634C" w:rsidP="005E7BAC">
      <w:pPr>
        <w:pStyle w:val="ListParagraph"/>
        <w:tabs>
          <w:tab w:val="left" w:pos="630"/>
        </w:tabs>
        <w:ind w:left="0"/>
        <w:contextualSpacing w:val="0"/>
        <w:jc w:val="both"/>
      </w:pPr>
    </w:p>
    <w:p w14:paraId="00C1FFD8" w14:textId="77777777" w:rsidR="0050634C" w:rsidRPr="00D85CAD" w:rsidRDefault="0050634C" w:rsidP="005E7BAC">
      <w:pPr>
        <w:pStyle w:val="ListParagraph"/>
        <w:tabs>
          <w:tab w:val="left" w:pos="630"/>
        </w:tabs>
        <w:ind w:left="0"/>
        <w:contextualSpacing w:val="0"/>
        <w:jc w:val="both"/>
      </w:pPr>
    </w:p>
    <w:p w14:paraId="770FDBAE" w14:textId="5AB3F517" w:rsidR="00C066D6" w:rsidRPr="00D85CAD" w:rsidRDefault="00C066D6" w:rsidP="00F03519">
      <w:pPr>
        <w:pStyle w:val="ListParagraph"/>
        <w:numPr>
          <w:ilvl w:val="0"/>
          <w:numId w:val="25"/>
        </w:numPr>
        <w:tabs>
          <w:tab w:val="left" w:pos="720"/>
        </w:tabs>
        <w:ind w:left="0" w:firstLine="0"/>
        <w:contextualSpacing w:val="0"/>
        <w:jc w:val="both"/>
      </w:pPr>
      <w:r w:rsidRPr="00D85CAD">
        <w:t xml:space="preserve">Average amount of estimated line extension cost </w:t>
      </w:r>
      <w:r w:rsidR="00492FFD">
        <w:t xml:space="preserve"> </w:t>
      </w:r>
      <w:r w:rsidR="00954C28">
        <w:t xml:space="preserve"> </w:t>
      </w:r>
    </w:p>
    <w:p w14:paraId="18BD25D7" w14:textId="77777777" w:rsidR="002142D5" w:rsidRDefault="002142D5" w:rsidP="00497269">
      <w:pPr>
        <w:jc w:val="both"/>
        <w:rPr>
          <w:rFonts w:ascii="Times New Roman" w:hAnsi="Times New Roman"/>
        </w:rPr>
      </w:pPr>
    </w:p>
    <w:p w14:paraId="01C4C2E8" w14:textId="75AB3220" w:rsidR="00F32ACB" w:rsidRPr="005E7BAC" w:rsidRDefault="00F32ACB" w:rsidP="005E7BAC">
      <w:pPr>
        <w:ind w:firstLine="720"/>
        <w:jc w:val="both"/>
        <w:rPr>
          <w:rFonts w:ascii="Times New Roman" w:hAnsi="Times New Roman"/>
          <w:b/>
          <w:u w:val="single"/>
        </w:rPr>
      </w:pPr>
      <w:r w:rsidRPr="005E7BAC">
        <w:rPr>
          <w:rFonts w:ascii="Times New Roman" w:hAnsi="Times New Roman"/>
          <w:b/>
          <w:u w:val="single"/>
        </w:rPr>
        <w:t xml:space="preserve">Table No. </w:t>
      </w:r>
      <w:r w:rsidR="00492FFD">
        <w:rPr>
          <w:rFonts w:ascii="Times New Roman" w:hAnsi="Times New Roman"/>
          <w:b/>
          <w:u w:val="single"/>
        </w:rPr>
        <w:t>4</w:t>
      </w:r>
    </w:p>
    <w:p w14:paraId="2F1A3650" w14:textId="77777777" w:rsidR="001144CF" w:rsidRPr="00D85CAD" w:rsidRDefault="001144CF" w:rsidP="00497269">
      <w:pPr>
        <w:jc w:val="both"/>
        <w:rPr>
          <w:rFonts w:ascii="Times New Roman" w:hAnsi="Times New Roman"/>
        </w:rPr>
      </w:pPr>
    </w:p>
    <w:tbl>
      <w:tblPr>
        <w:tblStyle w:val="TableGrid"/>
        <w:tblpPr w:leftFromText="180" w:rightFromText="180" w:vertAnchor="text" w:horzAnchor="page" w:tblpX="2101" w:tblpYSpec="top"/>
        <w:tblW w:w="0" w:type="auto"/>
        <w:tblLook w:val="04A0" w:firstRow="1" w:lastRow="0" w:firstColumn="1" w:lastColumn="0" w:noHBand="0" w:noVBand="1"/>
      </w:tblPr>
      <w:tblGrid>
        <w:gridCol w:w="4225"/>
        <w:gridCol w:w="1568"/>
      </w:tblGrid>
      <w:tr w:rsidR="00F03519" w14:paraId="24C106AA" w14:textId="77777777" w:rsidTr="005E7BAC">
        <w:tc>
          <w:tcPr>
            <w:tcW w:w="4225" w:type="dxa"/>
          </w:tcPr>
          <w:p w14:paraId="1DBB6739" w14:textId="77777777" w:rsidR="00F03519" w:rsidRDefault="00F03519" w:rsidP="00F03519">
            <w:pPr>
              <w:rPr>
                <w:rFonts w:ascii="Times New Roman" w:hAnsi="Times New Roman"/>
              </w:rPr>
            </w:pPr>
            <w:r>
              <w:rPr>
                <w:rFonts w:ascii="Times New Roman" w:hAnsi="Times New Roman"/>
              </w:rPr>
              <w:t>Average Amount of Estimated Construction Costs for New Construction and Conversions</w:t>
            </w:r>
            <w:r>
              <w:rPr>
                <w:rStyle w:val="FootnoteReference"/>
                <w:rFonts w:ascii="Times New Roman" w:hAnsi="Times New Roman"/>
              </w:rPr>
              <w:footnoteReference w:id="2"/>
            </w:r>
          </w:p>
        </w:tc>
        <w:tc>
          <w:tcPr>
            <w:tcW w:w="1568" w:type="dxa"/>
          </w:tcPr>
          <w:p w14:paraId="3973A656" w14:textId="77777777" w:rsidR="00F03519" w:rsidRPr="00F260E8" w:rsidRDefault="00F03519" w:rsidP="00F03519">
            <w:pPr>
              <w:jc w:val="right"/>
              <w:rPr>
                <w:rFonts w:ascii="Times New Roman" w:hAnsi="Times New Roman"/>
              </w:rPr>
            </w:pPr>
            <w:r w:rsidRPr="00F260E8">
              <w:rPr>
                <w:rFonts w:ascii="Times New Roman" w:hAnsi="Times New Roman"/>
              </w:rPr>
              <w:t>$1,809.92</w:t>
            </w:r>
          </w:p>
        </w:tc>
      </w:tr>
    </w:tbl>
    <w:p w14:paraId="131B7A78" w14:textId="77777777" w:rsidR="00787496" w:rsidRDefault="00787496" w:rsidP="00497269">
      <w:pPr>
        <w:jc w:val="both"/>
        <w:rPr>
          <w:rFonts w:ascii="Times New Roman" w:hAnsi="Times New Roman"/>
        </w:rPr>
      </w:pPr>
    </w:p>
    <w:p w14:paraId="267D9025" w14:textId="77777777" w:rsidR="00787496" w:rsidRDefault="00787496" w:rsidP="00497269">
      <w:pPr>
        <w:jc w:val="both"/>
        <w:rPr>
          <w:rFonts w:ascii="Times New Roman" w:hAnsi="Times New Roman"/>
        </w:rPr>
      </w:pPr>
    </w:p>
    <w:p w14:paraId="3A0FA279" w14:textId="77777777" w:rsidR="00787496" w:rsidRDefault="00787496" w:rsidP="00497269">
      <w:pPr>
        <w:jc w:val="both"/>
        <w:rPr>
          <w:rFonts w:ascii="Times New Roman" w:hAnsi="Times New Roman"/>
        </w:rPr>
      </w:pPr>
    </w:p>
    <w:p w14:paraId="04D8DD4B" w14:textId="77777777" w:rsidR="00787496" w:rsidRDefault="00787496" w:rsidP="00497269">
      <w:pPr>
        <w:jc w:val="both"/>
        <w:rPr>
          <w:rFonts w:ascii="Times New Roman" w:hAnsi="Times New Roman"/>
        </w:rPr>
      </w:pPr>
    </w:p>
    <w:p w14:paraId="2FA13140" w14:textId="3BB99F35" w:rsidR="002142D5" w:rsidRPr="00D85CAD" w:rsidRDefault="002142D5" w:rsidP="002F10C5">
      <w:pPr>
        <w:pStyle w:val="ListParagraph"/>
        <w:numPr>
          <w:ilvl w:val="0"/>
          <w:numId w:val="25"/>
        </w:numPr>
        <w:ind w:left="0" w:firstLine="0"/>
        <w:contextualSpacing w:val="0"/>
        <w:jc w:val="both"/>
      </w:pPr>
      <w:r w:rsidRPr="00D85CAD">
        <w:t xml:space="preserve">Number of customers that received excess allowance </w:t>
      </w:r>
      <w:r w:rsidR="00497269">
        <w:t xml:space="preserve">credit </w:t>
      </w:r>
      <w:r w:rsidRPr="00D85CAD">
        <w:t xml:space="preserve">and average amount of </w:t>
      </w:r>
      <w:r w:rsidR="00497269">
        <w:t>credits provided.</w:t>
      </w:r>
      <w:r w:rsidRPr="00D85CAD">
        <w:t xml:space="preserve"> </w:t>
      </w:r>
    </w:p>
    <w:p w14:paraId="55EB3FD0" w14:textId="77777777" w:rsidR="002142D5" w:rsidRDefault="002142D5" w:rsidP="002F10C5">
      <w:pPr>
        <w:jc w:val="both"/>
        <w:rPr>
          <w:rFonts w:ascii="Times New Roman" w:hAnsi="Times New Roman"/>
        </w:rPr>
      </w:pPr>
    </w:p>
    <w:p w14:paraId="1D55B618" w14:textId="7C376A57" w:rsidR="00492FFD" w:rsidRDefault="00492FFD" w:rsidP="002F10C5">
      <w:pPr>
        <w:jc w:val="both"/>
        <w:rPr>
          <w:rFonts w:ascii="Times New Roman" w:hAnsi="Times New Roman"/>
        </w:rPr>
      </w:pPr>
      <w:r>
        <w:rPr>
          <w:rFonts w:ascii="Times New Roman" w:hAnsi="Times New Roman"/>
        </w:rPr>
        <w:t xml:space="preserve">From March 1, 2016 through August 31, 2016, </w:t>
      </w:r>
      <w:r w:rsidRPr="00D85CAD">
        <w:rPr>
          <w:rFonts w:ascii="Times New Roman" w:hAnsi="Times New Roman"/>
        </w:rPr>
        <w:t>160 customer received</w:t>
      </w:r>
      <w:r>
        <w:rPr>
          <w:rFonts w:ascii="Times New Roman" w:hAnsi="Times New Roman"/>
        </w:rPr>
        <w:t xml:space="preserve"> an</w:t>
      </w:r>
      <w:r w:rsidRPr="00D85CAD">
        <w:rPr>
          <w:rFonts w:ascii="Times New Roman" w:hAnsi="Times New Roman"/>
        </w:rPr>
        <w:t xml:space="preserve"> excess allowance totaling $421,967.19 or $2,637.29 on average.</w:t>
      </w:r>
      <w:r>
        <w:rPr>
          <w:rFonts w:ascii="Times New Roman" w:hAnsi="Times New Roman"/>
        </w:rPr>
        <w:t xml:space="preserve">  </w:t>
      </w:r>
    </w:p>
    <w:p w14:paraId="74F79193" w14:textId="77777777" w:rsidR="00492FFD" w:rsidRPr="00D85CAD" w:rsidRDefault="00492FFD" w:rsidP="002F10C5">
      <w:pPr>
        <w:jc w:val="both"/>
        <w:rPr>
          <w:rFonts w:ascii="Times New Roman" w:hAnsi="Times New Roman"/>
        </w:rPr>
      </w:pPr>
    </w:p>
    <w:p w14:paraId="3CFBE70E" w14:textId="77777777" w:rsidR="002142D5" w:rsidRPr="00B931DA" w:rsidRDefault="002142D5" w:rsidP="002F10C5">
      <w:pPr>
        <w:jc w:val="both"/>
        <w:rPr>
          <w:rFonts w:ascii="Times New Roman" w:hAnsi="Times New Roman"/>
        </w:rPr>
      </w:pPr>
      <w:r w:rsidRPr="00B931DA">
        <w:rPr>
          <w:rFonts w:ascii="Times New Roman" w:hAnsi="Times New Roman"/>
        </w:rPr>
        <w:t>On page 8 of the Company’s petition was the following footnote:</w:t>
      </w:r>
    </w:p>
    <w:p w14:paraId="26DBCB6B" w14:textId="77777777" w:rsidR="002142D5" w:rsidRPr="00B931DA" w:rsidRDefault="002142D5" w:rsidP="002F10C5">
      <w:pPr>
        <w:jc w:val="both"/>
        <w:rPr>
          <w:rFonts w:ascii="Times New Roman" w:hAnsi="Times New Roman"/>
        </w:rPr>
      </w:pPr>
    </w:p>
    <w:p w14:paraId="59179EB6" w14:textId="77777777" w:rsidR="002142D5" w:rsidRPr="00B931DA" w:rsidRDefault="002142D5" w:rsidP="005E7BAC">
      <w:pPr>
        <w:ind w:left="720"/>
        <w:jc w:val="both"/>
        <w:rPr>
          <w:rFonts w:ascii="Times New Roman" w:hAnsi="Times New Roman"/>
        </w:rPr>
      </w:pPr>
      <w:r w:rsidRPr="00B931DA">
        <w:rPr>
          <w:rFonts w:ascii="Times New Roman" w:hAnsi="Times New Roman"/>
        </w:rPr>
        <w:t>The Company estimates that its proposal would add approximately 600 new single-family, residential Schedule 101 customers in 2016 by means of conversion to natural gas from another fuel source.  If the effects of both the increase in the line extension allowance, as well as rebating the unused portion of the line extension allowance to customers are approved, the total rebate of the unused portion of the line extension allowance for 2016 would be approximately $866,400 (600 customers x $1,444 remaining allowance).</w:t>
      </w:r>
    </w:p>
    <w:p w14:paraId="7A3099F5" w14:textId="77777777" w:rsidR="002142D5" w:rsidRPr="00B931DA" w:rsidRDefault="002142D5" w:rsidP="002F10C5">
      <w:pPr>
        <w:jc w:val="both"/>
        <w:rPr>
          <w:rFonts w:ascii="Times New Roman" w:hAnsi="Times New Roman"/>
        </w:rPr>
      </w:pPr>
    </w:p>
    <w:p w14:paraId="358F5726" w14:textId="20A5F9E2" w:rsidR="002142D5" w:rsidRPr="00B931DA" w:rsidRDefault="002142D5" w:rsidP="002F10C5">
      <w:pPr>
        <w:jc w:val="both"/>
        <w:rPr>
          <w:rFonts w:ascii="Times New Roman" w:hAnsi="Times New Roman"/>
        </w:rPr>
      </w:pPr>
      <w:r w:rsidRPr="00B931DA">
        <w:rPr>
          <w:rFonts w:ascii="Times New Roman" w:hAnsi="Times New Roman"/>
        </w:rPr>
        <w:t xml:space="preserve">The Company later revised the line extension amount to $4,452 based the new base values resulting from the Company’s 2015 WA General Rate Case, Docket No. UG-150205 (effective on January 11, 2016).  With </w:t>
      </w:r>
      <w:r w:rsidR="001144CF">
        <w:rPr>
          <w:rFonts w:ascii="Times New Roman" w:hAnsi="Times New Roman"/>
        </w:rPr>
        <w:t>the higher approved allowance,</w:t>
      </w:r>
      <w:r w:rsidRPr="00B931DA">
        <w:rPr>
          <w:rFonts w:ascii="Times New Roman" w:hAnsi="Times New Roman"/>
        </w:rPr>
        <w:t xml:space="preserve"> and based on the average line extension cost at the time of $2,345, the average amount a customer would receive for the excess allowance was estimated at $2,107.  If 600 new-single family, residential Schedule 101 customers were added in 2016</w:t>
      </w:r>
      <w:r w:rsidR="001144CF">
        <w:rPr>
          <w:rFonts w:ascii="Times New Roman" w:hAnsi="Times New Roman"/>
        </w:rPr>
        <w:t>,</w:t>
      </w:r>
      <w:r w:rsidRPr="00B931DA">
        <w:rPr>
          <w:rFonts w:ascii="Times New Roman" w:hAnsi="Times New Roman"/>
        </w:rPr>
        <w:t xml:space="preserve"> the total amount of the unused portion of the line extension allowance provided back to customers in 2016 would be approximately $1,264,200.</w:t>
      </w:r>
    </w:p>
    <w:p w14:paraId="570F0C1E" w14:textId="77777777" w:rsidR="002142D5" w:rsidRDefault="002142D5" w:rsidP="002F10C5">
      <w:pPr>
        <w:jc w:val="both"/>
      </w:pPr>
    </w:p>
    <w:p w14:paraId="7750C764" w14:textId="294D80DF" w:rsidR="002142D5" w:rsidRDefault="002142D5" w:rsidP="002F10C5">
      <w:pPr>
        <w:jc w:val="both"/>
        <w:rPr>
          <w:rFonts w:ascii="Times New Roman" w:hAnsi="Times New Roman"/>
        </w:rPr>
      </w:pPr>
      <w:r>
        <w:rPr>
          <w:rFonts w:ascii="Times New Roman" w:hAnsi="Times New Roman"/>
        </w:rPr>
        <w:t>Based on the activity to date</w:t>
      </w:r>
      <w:r w:rsidR="001144CF">
        <w:rPr>
          <w:rFonts w:ascii="Times New Roman" w:hAnsi="Times New Roman"/>
        </w:rPr>
        <w:t>,</w:t>
      </w:r>
      <w:r>
        <w:rPr>
          <w:rFonts w:ascii="Times New Roman" w:hAnsi="Times New Roman"/>
        </w:rPr>
        <w:t xml:space="preserve"> the Company anticipates the year</w:t>
      </w:r>
      <w:r w:rsidR="001144CF">
        <w:rPr>
          <w:rFonts w:ascii="Times New Roman" w:hAnsi="Times New Roman"/>
        </w:rPr>
        <w:t>-</w:t>
      </w:r>
      <w:r>
        <w:rPr>
          <w:rFonts w:ascii="Times New Roman" w:hAnsi="Times New Roman"/>
        </w:rPr>
        <w:t>end</w:t>
      </w:r>
      <w:r w:rsidR="001144CF">
        <w:rPr>
          <w:rFonts w:ascii="Times New Roman" w:hAnsi="Times New Roman"/>
        </w:rPr>
        <w:t xml:space="preserve"> total number of customers receiving an excess allowance credit will be</w:t>
      </w:r>
      <w:r>
        <w:rPr>
          <w:rFonts w:ascii="Times New Roman" w:hAnsi="Times New Roman"/>
        </w:rPr>
        <w:t xml:space="preserve"> less than originally estimated.</w:t>
      </w:r>
      <w:r w:rsidR="00C066D6">
        <w:rPr>
          <w:rFonts w:ascii="Times New Roman" w:hAnsi="Times New Roman"/>
        </w:rPr>
        <w:t xml:space="preserve">  </w:t>
      </w:r>
      <w:r w:rsidR="001144CF">
        <w:rPr>
          <w:rFonts w:ascii="Times New Roman" w:hAnsi="Times New Roman"/>
        </w:rPr>
        <w:t xml:space="preserve">As it relates to the higher level of excess allowance versus what was originally estimated, Avista believes that the initial program participants were already “on the fence”, in that the increased funding from the </w:t>
      </w:r>
      <w:r w:rsidR="001144CF">
        <w:rPr>
          <w:rFonts w:ascii="Times New Roman" w:hAnsi="Times New Roman"/>
        </w:rPr>
        <w:lastRenderedPageBreak/>
        <w:t xml:space="preserve">Company, and excess allowance program, </w:t>
      </w:r>
      <w:r w:rsidR="00655435">
        <w:rPr>
          <w:rFonts w:ascii="Times New Roman" w:hAnsi="Times New Roman"/>
        </w:rPr>
        <w:t xml:space="preserve">caused </w:t>
      </w:r>
      <w:r w:rsidR="001144CF">
        <w:rPr>
          <w:rFonts w:ascii="Times New Roman" w:hAnsi="Times New Roman"/>
        </w:rPr>
        <w:t xml:space="preserve">those customers </w:t>
      </w:r>
      <w:r w:rsidR="00655435">
        <w:rPr>
          <w:rFonts w:ascii="Times New Roman" w:hAnsi="Times New Roman"/>
        </w:rPr>
        <w:t xml:space="preserve">to </w:t>
      </w:r>
      <w:r w:rsidR="001144CF">
        <w:rPr>
          <w:rFonts w:ascii="Times New Roman" w:hAnsi="Times New Roman"/>
        </w:rPr>
        <w:t>convert</w:t>
      </w:r>
      <w:r w:rsidR="00655435">
        <w:rPr>
          <w:rFonts w:ascii="Times New Roman" w:hAnsi="Times New Roman"/>
        </w:rPr>
        <w:t xml:space="preserve"> to natural gas given the</w:t>
      </w:r>
      <w:r w:rsidR="001144CF">
        <w:rPr>
          <w:rFonts w:ascii="Times New Roman" w:hAnsi="Times New Roman"/>
        </w:rPr>
        <w:t xml:space="preserve"> better economics.  Avista anticipates that the average excess allowance amount will decrease as customers where </w:t>
      </w:r>
      <w:r w:rsidR="00655435">
        <w:rPr>
          <w:rFonts w:ascii="Times New Roman" w:hAnsi="Times New Roman"/>
        </w:rPr>
        <w:t xml:space="preserve">natural </w:t>
      </w:r>
      <w:r w:rsidR="001144CF">
        <w:rPr>
          <w:rFonts w:ascii="Times New Roman" w:hAnsi="Times New Roman"/>
        </w:rPr>
        <w:t xml:space="preserve">gas is not readily available </w:t>
      </w:r>
      <w:r w:rsidR="00655435">
        <w:rPr>
          <w:rFonts w:ascii="Times New Roman" w:hAnsi="Times New Roman"/>
        </w:rPr>
        <w:t xml:space="preserve">start to </w:t>
      </w:r>
      <w:r w:rsidR="001144CF">
        <w:rPr>
          <w:rFonts w:ascii="Times New Roman" w:hAnsi="Times New Roman"/>
        </w:rPr>
        <w:t xml:space="preserve">convert.  Finally, the Company has seen a lag between when a customer receives natural gas service and when they submit their excess allowance form.  That is the primary reason why the estimated number of customers who would participate was higher than </w:t>
      </w:r>
      <w:r w:rsidR="00655435">
        <w:rPr>
          <w:rFonts w:ascii="Times New Roman" w:hAnsi="Times New Roman"/>
        </w:rPr>
        <w:t xml:space="preserve">what the Company has experienced </w:t>
      </w:r>
      <w:r w:rsidR="001144CF">
        <w:rPr>
          <w:rFonts w:ascii="Times New Roman" w:hAnsi="Times New Roman"/>
        </w:rPr>
        <w:t>year-to-date.</w:t>
      </w:r>
    </w:p>
    <w:p w14:paraId="6621FD1E" w14:textId="77777777" w:rsidR="002142D5" w:rsidRPr="00D85CAD" w:rsidRDefault="002142D5" w:rsidP="002F10C5">
      <w:pPr>
        <w:jc w:val="both"/>
        <w:rPr>
          <w:rFonts w:ascii="Times New Roman" w:hAnsi="Times New Roman"/>
        </w:rPr>
      </w:pPr>
    </w:p>
    <w:p w14:paraId="40F84DBA" w14:textId="721024E9" w:rsidR="002142D5" w:rsidRPr="00D85CAD" w:rsidRDefault="002142D5" w:rsidP="002F10C5">
      <w:pPr>
        <w:pStyle w:val="ListParagraph"/>
        <w:numPr>
          <w:ilvl w:val="0"/>
          <w:numId w:val="25"/>
        </w:numPr>
        <w:ind w:left="0" w:firstLine="0"/>
        <w:contextualSpacing w:val="0"/>
        <w:jc w:val="both"/>
      </w:pPr>
      <w:r w:rsidRPr="00D85CAD">
        <w:t>Evaluation of heating-season kWh usage of Avista electric conversion customers</w:t>
      </w:r>
      <w:r w:rsidR="00583095">
        <w:t>.</w:t>
      </w:r>
      <w:r w:rsidRPr="00D85CAD">
        <w:t xml:space="preserve"> </w:t>
      </w:r>
    </w:p>
    <w:p w14:paraId="10CAACA5" w14:textId="77777777" w:rsidR="002142D5" w:rsidRPr="00D85CAD" w:rsidRDefault="002142D5" w:rsidP="002F10C5">
      <w:pPr>
        <w:pStyle w:val="ListParagraph"/>
        <w:ind w:left="0"/>
        <w:jc w:val="both"/>
      </w:pPr>
    </w:p>
    <w:p w14:paraId="4A4DE1C6" w14:textId="57DED7DB" w:rsidR="002142D5" w:rsidRPr="00D85CAD" w:rsidRDefault="00583095" w:rsidP="002F10C5">
      <w:pPr>
        <w:pStyle w:val="ListParagraph"/>
        <w:ind w:left="0"/>
        <w:jc w:val="both"/>
      </w:pPr>
      <w:r>
        <w:t xml:space="preserve">This information is not </w:t>
      </w:r>
      <w:r w:rsidR="002142D5" w:rsidRPr="00D85CAD">
        <w:t xml:space="preserve">available for this report as </w:t>
      </w:r>
      <w:r>
        <w:t>the Company has not experienced a heating season since the modifications to Schedule 151 were approved.</w:t>
      </w:r>
    </w:p>
    <w:p w14:paraId="28DB4CBC" w14:textId="77777777" w:rsidR="002142D5" w:rsidRPr="00D85CAD" w:rsidRDefault="002142D5" w:rsidP="00A74B62">
      <w:pPr>
        <w:pStyle w:val="ListParagraph"/>
        <w:ind w:left="0"/>
        <w:jc w:val="both"/>
      </w:pPr>
    </w:p>
    <w:p w14:paraId="001BA00B" w14:textId="06115C07" w:rsidR="002142D5" w:rsidRPr="00D85CAD" w:rsidRDefault="00DA1E7B" w:rsidP="00A74B62">
      <w:pPr>
        <w:pStyle w:val="ListParagraph"/>
        <w:numPr>
          <w:ilvl w:val="0"/>
          <w:numId w:val="25"/>
        </w:numPr>
        <w:ind w:left="0" w:firstLine="0"/>
        <w:contextualSpacing w:val="0"/>
        <w:jc w:val="both"/>
      </w:pPr>
      <w:r>
        <w:t xml:space="preserve">Customer survey data </w:t>
      </w:r>
    </w:p>
    <w:p w14:paraId="3ED76E02" w14:textId="77777777" w:rsidR="002142D5" w:rsidRPr="00D85CAD" w:rsidRDefault="002142D5" w:rsidP="00A74B62">
      <w:pPr>
        <w:jc w:val="both"/>
        <w:rPr>
          <w:rFonts w:ascii="Times New Roman" w:hAnsi="Times New Roman"/>
        </w:rPr>
      </w:pPr>
    </w:p>
    <w:p w14:paraId="17F1884A" w14:textId="437B84BD" w:rsidR="002142D5" w:rsidRDefault="007F2ED7" w:rsidP="00A74B62">
      <w:pPr>
        <w:jc w:val="both"/>
        <w:rPr>
          <w:rFonts w:ascii="Times New Roman" w:hAnsi="Times New Roman"/>
        </w:rPr>
      </w:pPr>
      <w:r>
        <w:rPr>
          <w:rFonts w:ascii="Times New Roman" w:hAnsi="Times New Roman"/>
        </w:rPr>
        <w:t>As part of the customer application for receiving a natural gas line extension allowance credit the customer is asked to fill out a survey regarding their conversion to natural gas.  The following questions are asked as part of the survey:</w:t>
      </w:r>
    </w:p>
    <w:p w14:paraId="0A2EE107" w14:textId="77777777" w:rsidR="007F2ED7" w:rsidRDefault="007F2ED7" w:rsidP="007F2ED7">
      <w:pPr>
        <w:spacing w:line="360" w:lineRule="auto"/>
        <w:ind w:left="720"/>
        <w:jc w:val="both"/>
        <w:rPr>
          <w:rFonts w:ascii="Times New Roman" w:hAnsi="Times New Roman"/>
        </w:rPr>
      </w:pPr>
    </w:p>
    <w:p w14:paraId="55962C22" w14:textId="088381DC" w:rsidR="007F2ED7" w:rsidRDefault="007F2ED7" w:rsidP="002A6494">
      <w:pPr>
        <w:pStyle w:val="ListParagraph"/>
        <w:numPr>
          <w:ilvl w:val="3"/>
          <w:numId w:val="25"/>
        </w:numPr>
        <w:ind w:left="1080"/>
        <w:jc w:val="both"/>
      </w:pPr>
      <w:r>
        <w:t>Why were you interested in converting to natural gas? (check all that apply: Cost Savings, Appliance Choices, Environmental Benefits, Other)</w:t>
      </w:r>
    </w:p>
    <w:p w14:paraId="002AE443" w14:textId="47224AA3" w:rsidR="007F2ED7" w:rsidRDefault="007F2ED7" w:rsidP="002A6494">
      <w:pPr>
        <w:pStyle w:val="ListParagraph"/>
        <w:numPr>
          <w:ilvl w:val="3"/>
          <w:numId w:val="25"/>
        </w:numPr>
        <w:ind w:left="1080"/>
        <w:jc w:val="both"/>
      </w:pPr>
      <w:r>
        <w:t>What natural gas appliances did you install? (check all that apply: Furnace, Hot Water Heater, Stove, Fireplace, Barbeque)</w:t>
      </w:r>
    </w:p>
    <w:p w14:paraId="38198C25" w14:textId="0C36CA8E" w:rsidR="007F2ED7" w:rsidRDefault="007F2ED7" w:rsidP="002A6494">
      <w:pPr>
        <w:pStyle w:val="ListParagraph"/>
        <w:numPr>
          <w:ilvl w:val="3"/>
          <w:numId w:val="25"/>
        </w:numPr>
        <w:ind w:left="1080"/>
        <w:jc w:val="both"/>
      </w:pPr>
      <w:r>
        <w:t>Had you previously considered converting to natural gas? (yes or no)</w:t>
      </w:r>
    </w:p>
    <w:p w14:paraId="1558D6D8" w14:textId="58895EC7" w:rsidR="007F2ED7" w:rsidRDefault="007F2ED7" w:rsidP="002A6494">
      <w:pPr>
        <w:pStyle w:val="ListParagraph"/>
        <w:numPr>
          <w:ilvl w:val="3"/>
          <w:numId w:val="25"/>
        </w:numPr>
        <w:ind w:left="1080"/>
        <w:jc w:val="both"/>
      </w:pPr>
      <w:r>
        <w:t>What prevented you from previously converting to natural gas? (check all that apply: Cost of equipment, Cost of construction, Cost of natural gas, Other)</w:t>
      </w:r>
    </w:p>
    <w:p w14:paraId="70C1DEB3" w14:textId="6301F163" w:rsidR="007F2ED7" w:rsidRDefault="007F2ED7" w:rsidP="002A6494">
      <w:pPr>
        <w:pStyle w:val="ListParagraph"/>
        <w:numPr>
          <w:ilvl w:val="3"/>
          <w:numId w:val="25"/>
        </w:numPr>
        <w:ind w:left="1080"/>
        <w:jc w:val="both"/>
      </w:pPr>
      <w:r>
        <w:t>Did the amount of Avista’s natural gas line extension allowance influence your decision to convert to natural gas? (yes or no)</w:t>
      </w:r>
    </w:p>
    <w:p w14:paraId="6806AC04" w14:textId="0FAC62B4" w:rsidR="007F2ED7" w:rsidRDefault="007F2ED7" w:rsidP="002A6494">
      <w:pPr>
        <w:pStyle w:val="ListParagraph"/>
        <w:numPr>
          <w:ilvl w:val="3"/>
          <w:numId w:val="25"/>
        </w:numPr>
        <w:ind w:left="1080"/>
        <w:jc w:val="both"/>
      </w:pPr>
      <w:r>
        <w:t>Did the availability of any excess allowance that could be applied towards the purchase and installation of a natural gas hot water heater or natural gas high efficiency furnace/boiler influence your decision to convert to natural gas? (yes or no)</w:t>
      </w:r>
    </w:p>
    <w:p w14:paraId="5C965E4C" w14:textId="7027DD67" w:rsidR="007F2ED7" w:rsidRDefault="007F2ED7" w:rsidP="002A6494">
      <w:pPr>
        <w:pStyle w:val="ListParagraph"/>
        <w:numPr>
          <w:ilvl w:val="3"/>
          <w:numId w:val="25"/>
        </w:numPr>
        <w:ind w:left="1080"/>
        <w:jc w:val="both"/>
      </w:pPr>
      <w:r>
        <w:t>Prior to learning of the excess allowance program, had you planned on installing high efficiency natural gas space heating equipment? (yes or no)</w:t>
      </w:r>
    </w:p>
    <w:p w14:paraId="7F34FF33" w14:textId="77777777" w:rsidR="007F2ED7" w:rsidRDefault="007F2ED7" w:rsidP="002A6494">
      <w:pPr>
        <w:pStyle w:val="ListParagraph"/>
        <w:numPr>
          <w:ilvl w:val="3"/>
          <w:numId w:val="25"/>
        </w:numPr>
        <w:ind w:left="1080"/>
        <w:jc w:val="both"/>
      </w:pPr>
      <w:r>
        <w:t>How much was your excess allowance rebate? ($0-$500, $500-$1,000, $1,000-$1,500, $1,500-$2,000, $2,000+)</w:t>
      </w:r>
    </w:p>
    <w:p w14:paraId="75AC5AE4" w14:textId="0BA811B0" w:rsidR="007F2ED7" w:rsidRDefault="007F2ED7" w:rsidP="002A6494">
      <w:pPr>
        <w:pStyle w:val="ListParagraph"/>
        <w:numPr>
          <w:ilvl w:val="3"/>
          <w:numId w:val="25"/>
        </w:numPr>
        <w:ind w:left="1080"/>
        <w:jc w:val="both"/>
      </w:pPr>
      <w:r>
        <w:t>How did you learn about this program? (From Avista directly, Advertisement, Referral, Other)</w:t>
      </w:r>
    </w:p>
    <w:p w14:paraId="4465ACEE" w14:textId="661F6A95" w:rsidR="007F2ED7" w:rsidRDefault="007F2ED7" w:rsidP="002A6494">
      <w:pPr>
        <w:pStyle w:val="ListParagraph"/>
        <w:numPr>
          <w:ilvl w:val="3"/>
          <w:numId w:val="25"/>
        </w:numPr>
        <w:ind w:left="1080"/>
        <w:jc w:val="both"/>
      </w:pPr>
      <w:r>
        <w:t>Have you or will you recommend that others participate in this program or converting to natural gas? (yes or no)</w:t>
      </w:r>
    </w:p>
    <w:p w14:paraId="0308D58F" w14:textId="77777777" w:rsidR="00730991" w:rsidRDefault="00730991" w:rsidP="00730991">
      <w:pPr>
        <w:jc w:val="both"/>
      </w:pPr>
    </w:p>
    <w:p w14:paraId="2645FE13" w14:textId="60A66A18" w:rsidR="00FC7268" w:rsidRDefault="00FC7268" w:rsidP="005E7BAC">
      <w:pPr>
        <w:jc w:val="both"/>
        <w:rPr>
          <w:rFonts w:ascii="Times New Roman" w:eastAsia="Times New Roman" w:hAnsi="Times New Roman" w:cs="Times New Roman"/>
        </w:rPr>
      </w:pPr>
      <w:r>
        <w:rPr>
          <w:rFonts w:ascii="Times New Roman" w:eastAsia="Times New Roman" w:hAnsi="Times New Roman" w:cs="Times New Roman"/>
        </w:rPr>
        <w:t>Of the customer surveys received</w:t>
      </w:r>
      <w:r w:rsidR="001144CF">
        <w:rPr>
          <w:rFonts w:ascii="Times New Roman" w:eastAsia="Times New Roman" w:hAnsi="Times New Roman" w:cs="Times New Roman"/>
        </w:rPr>
        <w:t xml:space="preserve"> so far,</w:t>
      </w:r>
      <w:r>
        <w:rPr>
          <w:rFonts w:ascii="Times New Roman" w:eastAsia="Times New Roman" w:hAnsi="Times New Roman" w:cs="Times New Roman"/>
        </w:rPr>
        <w:t xml:space="preserve"> the following are the general responses to the questions listed above in the same order.</w:t>
      </w:r>
    </w:p>
    <w:p w14:paraId="15977A7B" w14:textId="77777777" w:rsidR="00FC7268" w:rsidRDefault="00FC7268" w:rsidP="00497269">
      <w:pPr>
        <w:spacing w:line="360" w:lineRule="auto"/>
        <w:jc w:val="both"/>
        <w:rPr>
          <w:rFonts w:ascii="Times New Roman" w:eastAsia="Times New Roman" w:hAnsi="Times New Roman" w:cs="Times New Roman"/>
        </w:rPr>
      </w:pPr>
    </w:p>
    <w:p w14:paraId="653DE5BE" w14:textId="5946963E" w:rsidR="00FC7268" w:rsidRDefault="001144CF" w:rsidP="002A6494">
      <w:pPr>
        <w:pStyle w:val="ListParagraph"/>
        <w:numPr>
          <w:ilvl w:val="6"/>
          <w:numId w:val="25"/>
        </w:numPr>
        <w:ind w:left="1080"/>
        <w:jc w:val="both"/>
      </w:pPr>
      <w:r>
        <w:lastRenderedPageBreak/>
        <w:t xml:space="preserve">96% of respondents chose cost savings </w:t>
      </w:r>
      <w:r w:rsidR="00FC7268">
        <w:t>as the primary</w:t>
      </w:r>
      <w:r>
        <w:t xml:space="preserve"> reason they </w:t>
      </w:r>
      <w:r w:rsidR="00FC7268">
        <w:t xml:space="preserve">were interested in converting.  In addition, a few customers selected all three options </w:t>
      </w:r>
      <w:r w:rsidR="00550538">
        <w:t>as the reason they chose to convert</w:t>
      </w:r>
      <w:r w:rsidR="00FC7268">
        <w:t>.</w:t>
      </w:r>
    </w:p>
    <w:p w14:paraId="1C80C116" w14:textId="0F270A2E" w:rsidR="00FC7268" w:rsidRDefault="00FC7268" w:rsidP="002A6494">
      <w:pPr>
        <w:pStyle w:val="ListParagraph"/>
        <w:numPr>
          <w:ilvl w:val="6"/>
          <w:numId w:val="25"/>
        </w:numPr>
        <w:ind w:left="1080"/>
        <w:jc w:val="both"/>
      </w:pPr>
      <w:r>
        <w:t xml:space="preserve">63% of survey respondents installed only a furnace, 25% installed a furnace and hot water heater, </w:t>
      </w:r>
      <w:r w:rsidR="000D34A0">
        <w:t>8</w:t>
      </w:r>
      <w:r>
        <w:t>% installed a furnace, hot water heater, and stove, and 4% installed a furnace and stove.</w:t>
      </w:r>
    </w:p>
    <w:p w14:paraId="2D3A3C8D" w14:textId="2E31B634" w:rsidR="005C689A" w:rsidRDefault="005C689A" w:rsidP="002A6494">
      <w:pPr>
        <w:pStyle w:val="ListParagraph"/>
        <w:numPr>
          <w:ilvl w:val="6"/>
          <w:numId w:val="25"/>
        </w:numPr>
        <w:ind w:left="1080"/>
        <w:jc w:val="both"/>
      </w:pPr>
      <w:r>
        <w:t>Approximately 70% of customers had previously considered converting to natural gas, but chose not to.</w:t>
      </w:r>
    </w:p>
    <w:p w14:paraId="29E5FB0C" w14:textId="6C9BD903" w:rsidR="00B01703" w:rsidRDefault="00B01703" w:rsidP="002A6494">
      <w:pPr>
        <w:pStyle w:val="ListParagraph"/>
        <w:numPr>
          <w:ilvl w:val="6"/>
          <w:numId w:val="25"/>
        </w:numPr>
        <w:ind w:left="1080"/>
        <w:jc w:val="both"/>
      </w:pPr>
      <w:r>
        <w:t>Nearly 100% of respondents claimed the cost of conversion and/or equipment was the reason they had not previously converted to natural gas.</w:t>
      </w:r>
    </w:p>
    <w:p w14:paraId="6F201FE1" w14:textId="15A06815" w:rsidR="00B01703" w:rsidRDefault="00B01703" w:rsidP="002A6494">
      <w:pPr>
        <w:pStyle w:val="ListParagraph"/>
        <w:numPr>
          <w:ilvl w:val="6"/>
          <w:numId w:val="25"/>
        </w:numPr>
        <w:ind w:left="1080"/>
        <w:jc w:val="both"/>
      </w:pPr>
      <w:r>
        <w:t>88% of respondents claimed the amount of Avista’s line extension allowance impacted their decision to convert to natural gas.</w:t>
      </w:r>
    </w:p>
    <w:p w14:paraId="5D9AC5BA" w14:textId="4E57C0B1" w:rsidR="00B01703" w:rsidRDefault="00B01703" w:rsidP="002A6494">
      <w:pPr>
        <w:pStyle w:val="ListParagraph"/>
        <w:numPr>
          <w:ilvl w:val="6"/>
          <w:numId w:val="25"/>
        </w:numPr>
        <w:ind w:left="1080"/>
        <w:jc w:val="both"/>
      </w:pPr>
      <w:r>
        <w:t>92% of respondents claimed that the availability of any excess allowance that could be applied towards their purchase of high efficiency equipment influenced their decision to convert to natural gas.</w:t>
      </w:r>
    </w:p>
    <w:p w14:paraId="3A43992A" w14:textId="17881760" w:rsidR="00B01703" w:rsidRDefault="00B01703" w:rsidP="002A6494">
      <w:pPr>
        <w:pStyle w:val="ListParagraph"/>
        <w:numPr>
          <w:ilvl w:val="6"/>
          <w:numId w:val="25"/>
        </w:numPr>
        <w:ind w:left="1080"/>
        <w:jc w:val="both"/>
      </w:pPr>
      <w:r>
        <w:t>50% of respondents claimed that prior to learning about the excess allowance program they had not considered installing high efficiency equipment.</w:t>
      </w:r>
    </w:p>
    <w:p w14:paraId="5AF585E1" w14:textId="51DBE45B" w:rsidR="00B01703" w:rsidRDefault="00B01703" w:rsidP="002A6494">
      <w:pPr>
        <w:pStyle w:val="ListParagraph"/>
        <w:numPr>
          <w:ilvl w:val="6"/>
          <w:numId w:val="25"/>
        </w:numPr>
        <w:ind w:left="1080"/>
        <w:jc w:val="both"/>
      </w:pPr>
      <w:r>
        <w:t>75% of customers received an excess allowance credit exceeding $2,000.</w:t>
      </w:r>
    </w:p>
    <w:p w14:paraId="347399B1" w14:textId="4EA1EDE4" w:rsidR="00B01703" w:rsidRPr="00B01703" w:rsidRDefault="00B01703" w:rsidP="002A6494">
      <w:pPr>
        <w:pStyle w:val="ListParagraph"/>
        <w:numPr>
          <w:ilvl w:val="6"/>
          <w:numId w:val="25"/>
        </w:numPr>
        <w:ind w:left="1080"/>
        <w:jc w:val="both"/>
      </w:pPr>
      <w:r w:rsidRPr="00B01703">
        <w:t>Results were mixed on how customers heard of the excess allowance program</w:t>
      </w:r>
      <w:r w:rsidR="005B6C02">
        <w:t>. Responses included</w:t>
      </w:r>
      <w:r w:rsidRPr="00B01703">
        <w:t xml:space="preserve"> from Avista directly, referrals, and equipment companies.  </w:t>
      </w:r>
    </w:p>
    <w:p w14:paraId="208AEDF4" w14:textId="74DBD066" w:rsidR="00B01703" w:rsidRPr="00B01703" w:rsidRDefault="00B01703" w:rsidP="002A6494">
      <w:pPr>
        <w:pStyle w:val="ListParagraph"/>
        <w:numPr>
          <w:ilvl w:val="6"/>
          <w:numId w:val="25"/>
        </w:numPr>
        <w:ind w:left="1080"/>
        <w:jc w:val="both"/>
      </w:pPr>
      <w:r w:rsidRPr="00B01703">
        <w:t>All customers stated they had or would recommend others participate in the program.</w:t>
      </w:r>
    </w:p>
    <w:p w14:paraId="2FD6C4CE" w14:textId="77777777" w:rsidR="00B01703" w:rsidRPr="00B01703" w:rsidRDefault="00B01703" w:rsidP="00B01703">
      <w:pPr>
        <w:jc w:val="both"/>
        <w:rPr>
          <w:rFonts w:ascii="Times New Roman" w:hAnsi="Times New Roman" w:cs="Times New Roman"/>
        </w:rPr>
      </w:pPr>
    </w:p>
    <w:p w14:paraId="44BAAE06" w14:textId="71D0AE20" w:rsidR="00FC7268" w:rsidRPr="00B01703" w:rsidRDefault="00B01703" w:rsidP="005E7BAC">
      <w:pPr>
        <w:jc w:val="both"/>
        <w:rPr>
          <w:rFonts w:ascii="Times New Roman" w:hAnsi="Times New Roman" w:cs="Times New Roman"/>
        </w:rPr>
      </w:pPr>
      <w:r w:rsidRPr="00B01703">
        <w:rPr>
          <w:rFonts w:ascii="Times New Roman" w:hAnsi="Times New Roman" w:cs="Times New Roman"/>
        </w:rPr>
        <w:t xml:space="preserve">Preliminary survey results </w:t>
      </w:r>
      <w:r w:rsidR="00A04AC2">
        <w:rPr>
          <w:rFonts w:ascii="Times New Roman" w:hAnsi="Times New Roman" w:cs="Times New Roman"/>
        </w:rPr>
        <w:t>indicate that the excess allowance program is having a significant impact on customers converting to natural gas.  The Company is pleased with the results through the first six months of the program and look</w:t>
      </w:r>
      <w:r w:rsidR="00492FFD">
        <w:rPr>
          <w:rFonts w:ascii="Times New Roman" w:hAnsi="Times New Roman" w:cs="Times New Roman"/>
        </w:rPr>
        <w:t>s</w:t>
      </w:r>
      <w:r w:rsidR="00A04AC2">
        <w:rPr>
          <w:rFonts w:ascii="Times New Roman" w:hAnsi="Times New Roman" w:cs="Times New Roman"/>
        </w:rPr>
        <w:t xml:space="preserve"> forward to continuing to learn and understand the impacts the program has.  One specific highlight from the survey results that deserves additional attention is the fact that 50% of customers that responded to the survey had not planned on installing high efficiency equipment prior to learning about the excess allowance program.  Had these customers </w:t>
      </w:r>
      <w:r w:rsidR="00492FFD">
        <w:rPr>
          <w:rFonts w:ascii="Times New Roman" w:hAnsi="Times New Roman" w:cs="Times New Roman"/>
        </w:rPr>
        <w:t xml:space="preserve">not </w:t>
      </w:r>
      <w:r w:rsidR="00A04AC2">
        <w:rPr>
          <w:rFonts w:ascii="Times New Roman" w:hAnsi="Times New Roman" w:cs="Times New Roman"/>
        </w:rPr>
        <w:t>converted to natural gas</w:t>
      </w:r>
      <w:r w:rsidR="00492FFD">
        <w:rPr>
          <w:rFonts w:ascii="Times New Roman" w:hAnsi="Times New Roman" w:cs="Times New Roman"/>
        </w:rPr>
        <w:t xml:space="preserve"> at all or converted natural gas and installed standard efficiency equipment (rather than high efficiency equipment)</w:t>
      </w:r>
      <w:r w:rsidR="00A04AC2">
        <w:rPr>
          <w:rFonts w:ascii="Times New Roman" w:hAnsi="Times New Roman" w:cs="Times New Roman"/>
        </w:rPr>
        <w:t xml:space="preserve">, absent the program, their installations would have been lost opportunities for the </w:t>
      </w:r>
      <w:r w:rsidR="00705398">
        <w:rPr>
          <w:rFonts w:ascii="Times New Roman" w:hAnsi="Times New Roman" w:cs="Times New Roman"/>
        </w:rPr>
        <w:t>natural</w:t>
      </w:r>
      <w:r w:rsidR="00A04AC2">
        <w:rPr>
          <w:rFonts w:ascii="Times New Roman" w:hAnsi="Times New Roman" w:cs="Times New Roman"/>
        </w:rPr>
        <w:t xml:space="preserve"> savings resulting from the installation of high efficiency equipment.</w:t>
      </w:r>
    </w:p>
    <w:p w14:paraId="48B2E3BC" w14:textId="77777777" w:rsidR="00FC7268" w:rsidRPr="00B01703" w:rsidRDefault="00FC7268" w:rsidP="005E7BAC">
      <w:pPr>
        <w:jc w:val="both"/>
        <w:rPr>
          <w:rFonts w:ascii="Times New Roman" w:eastAsia="Times New Roman" w:hAnsi="Times New Roman" w:cs="Times New Roman"/>
        </w:rPr>
      </w:pPr>
    </w:p>
    <w:p w14:paraId="4ACE7C43" w14:textId="6630F764" w:rsidR="00F45919" w:rsidRPr="00B01703" w:rsidRDefault="00FC7268" w:rsidP="005E7BAC">
      <w:pPr>
        <w:jc w:val="both"/>
        <w:rPr>
          <w:rFonts w:ascii="Times New Roman" w:hAnsi="Times New Roman" w:cs="Times New Roman"/>
        </w:rPr>
      </w:pPr>
      <w:r w:rsidRPr="00B01703">
        <w:rPr>
          <w:rFonts w:ascii="Times New Roman" w:eastAsia="Times New Roman" w:hAnsi="Times New Roman" w:cs="Times New Roman"/>
        </w:rPr>
        <w:t>I</w:t>
      </w:r>
      <w:r w:rsidR="00F45919" w:rsidRPr="00B01703">
        <w:rPr>
          <w:rFonts w:ascii="Times New Roman" w:hAnsi="Times New Roman" w:cs="Times New Roman"/>
        </w:rPr>
        <w:t xml:space="preserve">f you have any questions regarding these comments, please contact </w:t>
      </w:r>
      <w:r w:rsidR="00F20848" w:rsidRPr="00B01703">
        <w:rPr>
          <w:rFonts w:ascii="Times New Roman" w:hAnsi="Times New Roman" w:cs="Times New Roman"/>
        </w:rPr>
        <w:t xml:space="preserve">me </w:t>
      </w:r>
      <w:r w:rsidR="00D42609" w:rsidRPr="00B01703">
        <w:rPr>
          <w:rFonts w:ascii="Times New Roman" w:hAnsi="Times New Roman" w:cs="Times New Roman"/>
        </w:rPr>
        <w:t>at 509-495-2782</w:t>
      </w:r>
      <w:r w:rsidR="00F20848" w:rsidRPr="00B01703">
        <w:rPr>
          <w:rFonts w:ascii="Times New Roman" w:hAnsi="Times New Roman" w:cs="Times New Roman"/>
        </w:rPr>
        <w:t xml:space="preserve"> or by email at the address below</w:t>
      </w:r>
      <w:r w:rsidR="00DA1C41" w:rsidRPr="00B01703">
        <w:rPr>
          <w:rFonts w:ascii="Times New Roman" w:hAnsi="Times New Roman" w:cs="Times New Roman"/>
        </w:rPr>
        <w:t>.</w:t>
      </w:r>
    </w:p>
    <w:p w14:paraId="6E81E5FC" w14:textId="77777777" w:rsidR="001B29A5" w:rsidRPr="0067498C" w:rsidRDefault="001B29A5" w:rsidP="00F45919">
      <w:pPr>
        <w:pStyle w:val="NoSpacing"/>
        <w:spacing w:line="360" w:lineRule="auto"/>
        <w:ind w:right="-270" w:firstLine="720"/>
        <w:jc w:val="both"/>
        <w:rPr>
          <w:rFonts w:ascii="Times New Roman" w:hAnsi="Times New Roman"/>
          <w:sz w:val="24"/>
          <w:szCs w:val="24"/>
        </w:rPr>
      </w:pPr>
    </w:p>
    <w:p w14:paraId="0860F7FA" w14:textId="77777777" w:rsidR="00337F64" w:rsidRDefault="00337F64" w:rsidP="00337F64">
      <w:pPr>
        <w:jc w:val="both"/>
        <w:rPr>
          <w:rFonts w:ascii="Times New Roman" w:hAnsi="Times New Roman" w:cs="Times New Roman"/>
        </w:rPr>
      </w:pPr>
      <w:r w:rsidRPr="000D15BF">
        <w:rPr>
          <w:rFonts w:ascii="Times New Roman" w:hAnsi="Times New Roman" w:cs="Times New Roman"/>
        </w:rPr>
        <w:t>Sincerely,</w:t>
      </w:r>
    </w:p>
    <w:p w14:paraId="0B15D604" w14:textId="77777777" w:rsidR="00337F64" w:rsidRPr="000D15BF" w:rsidRDefault="00337F64" w:rsidP="00337F64">
      <w:pPr>
        <w:jc w:val="both"/>
        <w:rPr>
          <w:rFonts w:ascii="Times New Roman" w:hAnsi="Times New Roman" w:cs="Times New Roman"/>
        </w:rPr>
      </w:pPr>
    </w:p>
    <w:p w14:paraId="5FC000A9" w14:textId="77777777" w:rsidR="00337F64" w:rsidRPr="00F20848" w:rsidRDefault="00F20848" w:rsidP="00337F64">
      <w:pPr>
        <w:jc w:val="both"/>
        <w:rPr>
          <w:rFonts w:ascii="Brush Script MT" w:hAnsi="Brush Script MT" w:cs="Times New Roman"/>
          <w:noProof/>
          <w:sz w:val="32"/>
        </w:rPr>
      </w:pPr>
      <w:r w:rsidRPr="00F20848">
        <w:rPr>
          <w:rFonts w:ascii="Brush Script MT" w:hAnsi="Brush Script MT" w:cs="Times New Roman"/>
          <w:noProof/>
          <w:sz w:val="32"/>
        </w:rPr>
        <w:t>Shawn Bonfield</w:t>
      </w:r>
    </w:p>
    <w:p w14:paraId="63E64FD9" w14:textId="77777777" w:rsidR="00337F64" w:rsidRPr="000D15BF" w:rsidRDefault="00337F64" w:rsidP="00337F64">
      <w:pPr>
        <w:jc w:val="both"/>
        <w:rPr>
          <w:rFonts w:ascii="Times New Roman" w:hAnsi="Times New Roman" w:cs="Times New Roman"/>
        </w:rPr>
      </w:pPr>
    </w:p>
    <w:p w14:paraId="15922CB9" w14:textId="77777777" w:rsidR="00337F64" w:rsidRPr="000D15BF" w:rsidRDefault="00F20848" w:rsidP="00337F64">
      <w:pPr>
        <w:jc w:val="both"/>
        <w:rPr>
          <w:rFonts w:ascii="Times New Roman" w:hAnsi="Times New Roman" w:cs="Times New Roman"/>
        </w:rPr>
      </w:pPr>
      <w:r>
        <w:rPr>
          <w:rFonts w:ascii="Times New Roman" w:hAnsi="Times New Roman" w:cs="Times New Roman"/>
        </w:rPr>
        <w:t>Sr. Regulatory Policy Analyst</w:t>
      </w:r>
    </w:p>
    <w:p w14:paraId="23CA7679" w14:textId="77777777" w:rsidR="00337F64" w:rsidRPr="00FF70D0" w:rsidRDefault="00337F64" w:rsidP="00337F64">
      <w:pPr>
        <w:jc w:val="both"/>
        <w:rPr>
          <w:rFonts w:ascii="Times New Roman" w:hAnsi="Times New Roman" w:cs="Times New Roman"/>
          <w:lang w:val="fr-FR"/>
        </w:rPr>
      </w:pPr>
      <w:r w:rsidRPr="00FF70D0">
        <w:rPr>
          <w:rFonts w:ascii="Times New Roman" w:hAnsi="Times New Roman" w:cs="Times New Roman"/>
          <w:lang w:val="fr-FR"/>
        </w:rPr>
        <w:t>Avista Utilities</w:t>
      </w:r>
    </w:p>
    <w:p w14:paraId="292FBB74" w14:textId="77777777" w:rsidR="00337F64" w:rsidRPr="00FF70D0" w:rsidRDefault="00C84D23" w:rsidP="00337F64">
      <w:pPr>
        <w:jc w:val="both"/>
        <w:rPr>
          <w:rFonts w:ascii="Times New Roman" w:hAnsi="Times New Roman" w:cs="Times New Roman"/>
          <w:lang w:val="fr-FR"/>
        </w:rPr>
      </w:pPr>
      <w:hyperlink r:id="rId8" w:history="1">
        <w:r w:rsidR="00F20848" w:rsidRPr="00C50BFA">
          <w:rPr>
            <w:rStyle w:val="Hyperlink"/>
            <w:rFonts w:ascii="Times New Roman" w:hAnsi="Times New Roman" w:cs="Times New Roman"/>
            <w:lang w:val="fr-FR"/>
          </w:rPr>
          <w:t>shawn.bonfield@avistacorp.com</w:t>
        </w:r>
      </w:hyperlink>
    </w:p>
    <w:p w14:paraId="0600A455" w14:textId="6819D557" w:rsidR="00F45919" w:rsidRPr="008A2358" w:rsidRDefault="00F20848" w:rsidP="005E7BAC">
      <w:pPr>
        <w:jc w:val="both"/>
        <w:rPr>
          <w:rFonts w:ascii="Times New Roman" w:hAnsi="Times New Roman"/>
        </w:rPr>
      </w:pPr>
      <w:r>
        <w:rPr>
          <w:rFonts w:ascii="Times New Roman" w:hAnsi="Times New Roman" w:cs="Times New Roman"/>
          <w:lang w:val="fr-FR"/>
        </w:rPr>
        <w:t>509-495-2782</w:t>
      </w:r>
    </w:p>
    <w:sectPr w:rsidR="00F45919" w:rsidRPr="008A2358" w:rsidSect="00F54081">
      <w:headerReference w:type="default" r:id="rId9"/>
      <w:footerReference w:type="default" r:id="rId10"/>
      <w:headerReference w:type="first" r:id="rId11"/>
      <w:pgSz w:w="12240" w:h="15840"/>
      <w:pgMar w:top="1800" w:right="1440" w:bottom="1440" w:left="1440" w:header="360" w:footer="22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F5F331" w14:textId="77777777" w:rsidR="00001105" w:rsidRDefault="00001105" w:rsidP="002A1126">
      <w:r>
        <w:separator/>
      </w:r>
    </w:p>
  </w:endnote>
  <w:endnote w:type="continuationSeparator" w:id="0">
    <w:p w14:paraId="508C0587" w14:textId="77777777" w:rsidR="00001105" w:rsidRDefault="00001105" w:rsidP="002A11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rush Script MT">
    <w:panose1 w:val="030608020404060703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DE5AD2" w14:textId="77777777" w:rsidR="00A62CE4" w:rsidRDefault="00C84D23" w:rsidP="00F54081">
    <w:pPr>
      <w:jc w:val="center"/>
    </w:pPr>
    <w:sdt>
      <w:sdtPr>
        <w:id w:val="254450023"/>
        <w:docPartObj>
          <w:docPartGallery w:val="Page Numbers (Top of Page)"/>
          <w:docPartUnique/>
        </w:docPartObj>
      </w:sdtPr>
      <w:sdtEndPr/>
      <w:sdtContent>
        <w:r w:rsidR="00A62CE4" w:rsidRPr="00F54081">
          <w:rPr>
            <w:rFonts w:ascii="Times New Roman" w:hAnsi="Times New Roman" w:cs="Times New Roman"/>
          </w:rPr>
          <w:t xml:space="preserve">Page </w:t>
        </w:r>
        <w:r w:rsidR="00A62CE4" w:rsidRPr="00F54081">
          <w:rPr>
            <w:rFonts w:ascii="Times New Roman" w:hAnsi="Times New Roman" w:cs="Times New Roman"/>
          </w:rPr>
          <w:fldChar w:fldCharType="begin"/>
        </w:r>
        <w:r w:rsidR="00A62CE4" w:rsidRPr="00F54081">
          <w:rPr>
            <w:rFonts w:ascii="Times New Roman" w:hAnsi="Times New Roman" w:cs="Times New Roman"/>
          </w:rPr>
          <w:instrText xml:space="preserve"> PAGE </w:instrText>
        </w:r>
        <w:r w:rsidR="00A62CE4" w:rsidRPr="00F54081">
          <w:rPr>
            <w:rFonts w:ascii="Times New Roman" w:hAnsi="Times New Roman" w:cs="Times New Roman"/>
          </w:rPr>
          <w:fldChar w:fldCharType="separate"/>
        </w:r>
        <w:r>
          <w:rPr>
            <w:rFonts w:ascii="Times New Roman" w:hAnsi="Times New Roman" w:cs="Times New Roman"/>
            <w:noProof/>
          </w:rPr>
          <w:t>5</w:t>
        </w:r>
        <w:r w:rsidR="00A62CE4" w:rsidRPr="00F54081">
          <w:rPr>
            <w:rFonts w:ascii="Times New Roman" w:hAnsi="Times New Roman" w:cs="Times New Roman"/>
          </w:rPr>
          <w:fldChar w:fldCharType="end"/>
        </w:r>
        <w:r w:rsidR="00A62CE4" w:rsidRPr="00F54081">
          <w:rPr>
            <w:rFonts w:ascii="Times New Roman" w:hAnsi="Times New Roman" w:cs="Times New Roman"/>
          </w:rPr>
          <w:t xml:space="preserve"> of </w:t>
        </w:r>
        <w:r w:rsidR="00A62CE4" w:rsidRPr="00F54081">
          <w:rPr>
            <w:rFonts w:ascii="Times New Roman" w:hAnsi="Times New Roman" w:cs="Times New Roman"/>
          </w:rPr>
          <w:fldChar w:fldCharType="begin"/>
        </w:r>
        <w:r w:rsidR="00A62CE4" w:rsidRPr="00F54081">
          <w:rPr>
            <w:rFonts w:ascii="Times New Roman" w:hAnsi="Times New Roman" w:cs="Times New Roman"/>
          </w:rPr>
          <w:instrText xml:space="preserve"> NUMPAGES  </w:instrText>
        </w:r>
        <w:r w:rsidR="00A62CE4" w:rsidRPr="00F54081">
          <w:rPr>
            <w:rFonts w:ascii="Times New Roman" w:hAnsi="Times New Roman" w:cs="Times New Roman"/>
          </w:rPr>
          <w:fldChar w:fldCharType="separate"/>
        </w:r>
        <w:r>
          <w:rPr>
            <w:rFonts w:ascii="Times New Roman" w:hAnsi="Times New Roman" w:cs="Times New Roman"/>
            <w:noProof/>
          </w:rPr>
          <w:t>5</w:t>
        </w:r>
        <w:r w:rsidR="00A62CE4" w:rsidRPr="00F54081">
          <w:rPr>
            <w:rFonts w:ascii="Times New Roman" w:hAnsi="Times New Roman" w:cs="Times New Roman"/>
          </w:rPr>
          <w:fldChar w:fldCharType="end"/>
        </w:r>
      </w:sdtContent>
    </w:sdt>
  </w:p>
  <w:p w14:paraId="4E4F0686" w14:textId="77777777" w:rsidR="00A62CE4" w:rsidRDefault="00A62CE4">
    <w:pPr>
      <w:pStyle w:val="Footer"/>
      <w:pBdr>
        <w:top w:val="single" w:sz="4" w:space="1" w:color="D9D9D9" w:themeColor="background1" w:themeShade="D9"/>
      </w:pBdr>
      <w:jc w:val="right"/>
    </w:pPr>
  </w:p>
  <w:p w14:paraId="48BA3386" w14:textId="77777777" w:rsidR="00A62CE4" w:rsidRDefault="00A62CE4" w:rsidP="003D0502">
    <w:pPr>
      <w:pStyle w:val="Footer"/>
      <w:ind w:right="-144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33A2CE" w14:textId="77777777" w:rsidR="00001105" w:rsidRDefault="00001105" w:rsidP="002A1126">
      <w:r>
        <w:separator/>
      </w:r>
    </w:p>
  </w:footnote>
  <w:footnote w:type="continuationSeparator" w:id="0">
    <w:p w14:paraId="11B95151" w14:textId="77777777" w:rsidR="00001105" w:rsidRDefault="00001105" w:rsidP="002A1126">
      <w:r>
        <w:continuationSeparator/>
      </w:r>
    </w:p>
  </w:footnote>
  <w:footnote w:id="1">
    <w:p w14:paraId="26A2AEDB" w14:textId="6C6F0773" w:rsidR="00F03519" w:rsidRDefault="00F03519" w:rsidP="00F03519">
      <w:pPr>
        <w:pStyle w:val="FootnoteText"/>
        <w:jc w:val="both"/>
      </w:pPr>
      <w:r>
        <w:rPr>
          <w:rStyle w:val="FootnoteReference"/>
        </w:rPr>
        <w:footnoteRef/>
      </w:r>
      <w:r>
        <w:t xml:space="preserve"> </w:t>
      </w:r>
      <w:r w:rsidRPr="00CD3A61">
        <w:t>The Company experienced a</w:t>
      </w:r>
      <w:r>
        <w:t>n increase</w:t>
      </w:r>
      <w:r w:rsidRPr="00CD3A61">
        <w:t xml:space="preserve"> in conversions in 2014 due</w:t>
      </w:r>
      <w:r>
        <w:t>, in part,</w:t>
      </w:r>
      <w:r w:rsidRPr="00CD3A61">
        <w:t xml:space="preserve"> to the privatization of housing at Fairchild Air Force Base (“FAFB”). As a part of the privatization effort, each residential unit was required by FAFB to be individually metered</w:t>
      </w:r>
      <w:r>
        <w:t xml:space="preserve">.  Prior to 2014, FAFB housing was </w:t>
      </w:r>
      <w:r w:rsidRPr="00CD3A61">
        <w:t>master-metered</w:t>
      </w:r>
      <w:r>
        <w:t xml:space="preserve"> (i.e</w:t>
      </w:r>
      <w:r w:rsidR="00B719CC">
        <w:t xml:space="preserve">., </w:t>
      </w:r>
      <w:r>
        <w:t>a few natural gas meters served hundreds of homes</w:t>
      </w:r>
      <w:r w:rsidRPr="00CD3A61">
        <w:t>.</w:t>
      </w:r>
    </w:p>
  </w:footnote>
  <w:footnote w:id="2">
    <w:p w14:paraId="1C295DEF" w14:textId="77777777" w:rsidR="00F03519" w:rsidRDefault="00F03519" w:rsidP="00F03519">
      <w:pPr>
        <w:pStyle w:val="FootnoteText"/>
      </w:pPr>
      <w:r>
        <w:rPr>
          <w:rStyle w:val="FootnoteReference"/>
        </w:rPr>
        <w:footnoteRef/>
      </w:r>
      <w:r>
        <w:t xml:space="preserve"> New development hookups are not included.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02A9D4" w14:textId="77777777" w:rsidR="00A62CE4" w:rsidRDefault="00A62CE4" w:rsidP="003D0502">
    <w:pPr>
      <w:pStyle w:val="Header"/>
      <w:ind w:left="-117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AF1EBB" w14:textId="77777777" w:rsidR="00A62CE4" w:rsidRDefault="00A62CE4" w:rsidP="003D0502">
    <w:pPr>
      <w:pStyle w:val="Header"/>
      <w:spacing w:after="480"/>
      <w:ind w:left="-1166" w:right="-1166"/>
    </w:pPr>
    <w:r w:rsidRPr="0071027A">
      <w:rPr>
        <w:noProof/>
      </w:rPr>
      <w:drawing>
        <wp:inline distT="0" distB="0" distL="0" distR="0" wp14:anchorId="58A52448" wp14:editId="526DBA8B">
          <wp:extent cx="7397115" cy="1158881"/>
          <wp:effectExtent l="25400" t="0" r="0" b="0"/>
          <wp:docPr id="6" name="Picture 6" descr="Macintosh HD:Users:renee:Projects:0746_Avista:Avista_APPs_041513:Avista_WordTemplate_041613-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renee:Projects:0746_Avista:Avista_APPs_041513:Avista_WordTemplate_041613-03.jpg"/>
                  <pic:cNvPicPr>
                    <a:picLocks noChangeAspect="1" noChangeArrowheads="1"/>
                  </pic:cNvPicPr>
                </pic:nvPicPr>
                <pic:blipFill>
                  <a:blip r:embed="rId1"/>
                  <a:srcRect/>
                  <a:stretch>
                    <a:fillRect/>
                  </a:stretch>
                </pic:blipFill>
                <pic:spPr bwMode="auto">
                  <a:xfrm>
                    <a:off x="0" y="0"/>
                    <a:ext cx="7391982" cy="1158077"/>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B593A"/>
    <w:multiLevelType w:val="hybridMultilevel"/>
    <w:tmpl w:val="C0D438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CDE47D2"/>
    <w:multiLevelType w:val="hybridMultilevel"/>
    <w:tmpl w:val="95F8F668"/>
    <w:lvl w:ilvl="0" w:tplc="A4CA7380">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2D1725"/>
    <w:multiLevelType w:val="hybridMultilevel"/>
    <w:tmpl w:val="45680E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1F17CDF"/>
    <w:multiLevelType w:val="hybridMultilevel"/>
    <w:tmpl w:val="384AD4B8"/>
    <w:lvl w:ilvl="0" w:tplc="04090017">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27B29B6"/>
    <w:multiLevelType w:val="hybridMultilevel"/>
    <w:tmpl w:val="D2083D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4012DAA"/>
    <w:multiLevelType w:val="hybridMultilevel"/>
    <w:tmpl w:val="14C89CA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3B5499"/>
    <w:multiLevelType w:val="hybridMultilevel"/>
    <w:tmpl w:val="8B7CAB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991718"/>
    <w:multiLevelType w:val="hybridMultilevel"/>
    <w:tmpl w:val="D1BA7F18"/>
    <w:lvl w:ilvl="0" w:tplc="10641FD6">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7118CE"/>
    <w:multiLevelType w:val="hybridMultilevel"/>
    <w:tmpl w:val="DE1C7060"/>
    <w:lvl w:ilvl="0" w:tplc="04090017">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7005ED1"/>
    <w:multiLevelType w:val="hybridMultilevel"/>
    <w:tmpl w:val="19D8B954"/>
    <w:lvl w:ilvl="0" w:tplc="24702A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72D1995"/>
    <w:multiLevelType w:val="hybridMultilevel"/>
    <w:tmpl w:val="CEBA6AB4"/>
    <w:lvl w:ilvl="0" w:tplc="F76A320C">
      <w:start w:val="1"/>
      <w:numFmt w:val="upperLetter"/>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2C32343D"/>
    <w:multiLevelType w:val="hybridMultilevel"/>
    <w:tmpl w:val="6966D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DA0CA7"/>
    <w:multiLevelType w:val="hybridMultilevel"/>
    <w:tmpl w:val="49DE4002"/>
    <w:lvl w:ilvl="0" w:tplc="E2186368">
      <w:start w:val="1"/>
      <w:numFmt w:val="decimal"/>
      <w:lvlText w:val="%1."/>
      <w:lvlJc w:val="left"/>
      <w:pPr>
        <w:ind w:left="1080" w:hanging="360"/>
      </w:pPr>
      <w:rPr>
        <w:rFonts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CFF3044"/>
    <w:multiLevelType w:val="hybridMultilevel"/>
    <w:tmpl w:val="2876B320"/>
    <w:lvl w:ilvl="0" w:tplc="203C2552">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FD344D6"/>
    <w:multiLevelType w:val="hybridMultilevel"/>
    <w:tmpl w:val="2138B758"/>
    <w:lvl w:ilvl="0" w:tplc="0409000F">
      <w:start w:val="1"/>
      <w:numFmt w:val="decimal"/>
      <w:lvlText w:val="%1."/>
      <w:lvlJc w:val="left"/>
      <w:pPr>
        <w:ind w:left="720" w:hanging="360"/>
      </w:pPr>
    </w:lvl>
    <w:lvl w:ilvl="1" w:tplc="35567572">
      <w:start w:val="1"/>
      <w:numFmt w:val="lowerLetter"/>
      <w:lvlText w:val="%2)"/>
      <w:lvlJc w:val="left"/>
      <w:pPr>
        <w:ind w:left="144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F257C54"/>
    <w:multiLevelType w:val="hybridMultilevel"/>
    <w:tmpl w:val="FB6863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F5A788D"/>
    <w:multiLevelType w:val="hybridMultilevel"/>
    <w:tmpl w:val="35DA38D0"/>
    <w:lvl w:ilvl="0" w:tplc="98DEEF2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FFE7E4E"/>
    <w:multiLevelType w:val="hybridMultilevel"/>
    <w:tmpl w:val="945E59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53830978"/>
    <w:multiLevelType w:val="hybridMultilevel"/>
    <w:tmpl w:val="CD70DC62"/>
    <w:lvl w:ilvl="0" w:tplc="F7F4125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F214CBE"/>
    <w:multiLevelType w:val="hybridMultilevel"/>
    <w:tmpl w:val="2B166DF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048661D"/>
    <w:multiLevelType w:val="hybridMultilevel"/>
    <w:tmpl w:val="47D4E2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71800657"/>
    <w:multiLevelType w:val="hybridMultilevel"/>
    <w:tmpl w:val="AE9AD2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770E1A2D"/>
    <w:multiLevelType w:val="hybridMultilevel"/>
    <w:tmpl w:val="CE0A152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A2A6B0B"/>
    <w:multiLevelType w:val="hybridMultilevel"/>
    <w:tmpl w:val="BE58D90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D0A46F5"/>
    <w:multiLevelType w:val="hybridMultilevel"/>
    <w:tmpl w:val="0018E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20"/>
  </w:num>
  <w:num w:numId="3">
    <w:abstractNumId w:val="11"/>
  </w:num>
  <w:num w:numId="4">
    <w:abstractNumId w:val="16"/>
  </w:num>
  <w:num w:numId="5">
    <w:abstractNumId w:val="4"/>
  </w:num>
  <w:num w:numId="6">
    <w:abstractNumId w:val="19"/>
  </w:num>
  <w:num w:numId="7">
    <w:abstractNumId w:val="17"/>
  </w:num>
  <w:num w:numId="8">
    <w:abstractNumId w:val="23"/>
  </w:num>
  <w:num w:numId="9">
    <w:abstractNumId w:val="22"/>
  </w:num>
  <w:num w:numId="10">
    <w:abstractNumId w:val="21"/>
  </w:num>
  <w:num w:numId="11">
    <w:abstractNumId w:val="18"/>
  </w:num>
  <w:num w:numId="12">
    <w:abstractNumId w:val="6"/>
  </w:num>
  <w:num w:numId="13">
    <w:abstractNumId w:val="2"/>
  </w:num>
  <w:num w:numId="14">
    <w:abstractNumId w:val="0"/>
  </w:num>
  <w:num w:numId="15">
    <w:abstractNumId w:val="1"/>
  </w:num>
  <w:num w:numId="16">
    <w:abstractNumId w:val="13"/>
  </w:num>
  <w:num w:numId="17">
    <w:abstractNumId w:val="7"/>
  </w:num>
  <w:num w:numId="18">
    <w:abstractNumId w:val="14"/>
  </w:num>
  <w:num w:numId="19">
    <w:abstractNumId w:val="8"/>
  </w:num>
  <w:num w:numId="20">
    <w:abstractNumId w:val="5"/>
  </w:num>
  <w:num w:numId="21">
    <w:abstractNumId w:val="3"/>
  </w:num>
  <w:num w:numId="22">
    <w:abstractNumId w:val="15"/>
  </w:num>
  <w:num w:numId="23">
    <w:abstractNumId w:val="12"/>
  </w:num>
  <w:num w:numId="24">
    <w:abstractNumId w:val="9"/>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0502"/>
    <w:rsid w:val="00001105"/>
    <w:rsid w:val="0000135F"/>
    <w:rsid w:val="000124D7"/>
    <w:rsid w:val="000248C6"/>
    <w:rsid w:val="00027FB7"/>
    <w:rsid w:val="000369B1"/>
    <w:rsid w:val="00047C30"/>
    <w:rsid w:val="000515D1"/>
    <w:rsid w:val="00070446"/>
    <w:rsid w:val="000749BD"/>
    <w:rsid w:val="00075F09"/>
    <w:rsid w:val="00076944"/>
    <w:rsid w:val="00077661"/>
    <w:rsid w:val="000829EC"/>
    <w:rsid w:val="00096744"/>
    <w:rsid w:val="000A610C"/>
    <w:rsid w:val="000A6C6F"/>
    <w:rsid w:val="000B6281"/>
    <w:rsid w:val="000C0B01"/>
    <w:rsid w:val="000C249F"/>
    <w:rsid w:val="000D34A0"/>
    <w:rsid w:val="000F350D"/>
    <w:rsid w:val="000F4873"/>
    <w:rsid w:val="00105BBC"/>
    <w:rsid w:val="001144CF"/>
    <w:rsid w:val="00114E77"/>
    <w:rsid w:val="00121FC9"/>
    <w:rsid w:val="001223C1"/>
    <w:rsid w:val="00122E57"/>
    <w:rsid w:val="001255C2"/>
    <w:rsid w:val="0013094D"/>
    <w:rsid w:val="00142E03"/>
    <w:rsid w:val="00161957"/>
    <w:rsid w:val="00165AB5"/>
    <w:rsid w:val="00183969"/>
    <w:rsid w:val="001856CB"/>
    <w:rsid w:val="001944EB"/>
    <w:rsid w:val="0019753A"/>
    <w:rsid w:val="001A2417"/>
    <w:rsid w:val="001A456C"/>
    <w:rsid w:val="001A7D8F"/>
    <w:rsid w:val="001B255F"/>
    <w:rsid w:val="001B29A5"/>
    <w:rsid w:val="001B4184"/>
    <w:rsid w:val="001B459E"/>
    <w:rsid w:val="001C3F7D"/>
    <w:rsid w:val="001D273A"/>
    <w:rsid w:val="001D2DB5"/>
    <w:rsid w:val="001D4E89"/>
    <w:rsid w:val="001D5E5E"/>
    <w:rsid w:val="001E2AB9"/>
    <w:rsid w:val="001E72F0"/>
    <w:rsid w:val="001E7D9B"/>
    <w:rsid w:val="001F31B6"/>
    <w:rsid w:val="001F5FCA"/>
    <w:rsid w:val="001F60FF"/>
    <w:rsid w:val="002071FB"/>
    <w:rsid w:val="00207727"/>
    <w:rsid w:val="002142D5"/>
    <w:rsid w:val="0022116D"/>
    <w:rsid w:val="00223779"/>
    <w:rsid w:val="00236DDB"/>
    <w:rsid w:val="0023794F"/>
    <w:rsid w:val="002433D5"/>
    <w:rsid w:val="00247995"/>
    <w:rsid w:val="0026107E"/>
    <w:rsid w:val="002664BF"/>
    <w:rsid w:val="002671D5"/>
    <w:rsid w:val="0027135F"/>
    <w:rsid w:val="00273E68"/>
    <w:rsid w:val="002756FF"/>
    <w:rsid w:val="002800F4"/>
    <w:rsid w:val="00287463"/>
    <w:rsid w:val="00287DF2"/>
    <w:rsid w:val="002A1126"/>
    <w:rsid w:val="002A6494"/>
    <w:rsid w:val="002B7D0E"/>
    <w:rsid w:val="002C2722"/>
    <w:rsid w:val="002C71B6"/>
    <w:rsid w:val="002D14D8"/>
    <w:rsid w:val="002D74BF"/>
    <w:rsid w:val="002E6643"/>
    <w:rsid w:val="002E6A69"/>
    <w:rsid w:val="002F10C5"/>
    <w:rsid w:val="002F218E"/>
    <w:rsid w:val="002F536E"/>
    <w:rsid w:val="00311F63"/>
    <w:rsid w:val="00313771"/>
    <w:rsid w:val="00314215"/>
    <w:rsid w:val="00321EEC"/>
    <w:rsid w:val="0032776A"/>
    <w:rsid w:val="00336A40"/>
    <w:rsid w:val="00337F64"/>
    <w:rsid w:val="00344DC2"/>
    <w:rsid w:val="0035206C"/>
    <w:rsid w:val="00355E5A"/>
    <w:rsid w:val="00355FE8"/>
    <w:rsid w:val="00357031"/>
    <w:rsid w:val="00367A25"/>
    <w:rsid w:val="00370CA6"/>
    <w:rsid w:val="00376A2F"/>
    <w:rsid w:val="003B16D1"/>
    <w:rsid w:val="003D0502"/>
    <w:rsid w:val="003D25E1"/>
    <w:rsid w:val="003D2B0E"/>
    <w:rsid w:val="003D3048"/>
    <w:rsid w:val="003D53A1"/>
    <w:rsid w:val="003F3678"/>
    <w:rsid w:val="003F4623"/>
    <w:rsid w:val="003F7181"/>
    <w:rsid w:val="00404B92"/>
    <w:rsid w:val="00407476"/>
    <w:rsid w:val="00421E87"/>
    <w:rsid w:val="00430C20"/>
    <w:rsid w:val="00441F4A"/>
    <w:rsid w:val="00443A3B"/>
    <w:rsid w:val="004708AF"/>
    <w:rsid w:val="004712D1"/>
    <w:rsid w:val="00477F3F"/>
    <w:rsid w:val="00485E4F"/>
    <w:rsid w:val="004913E4"/>
    <w:rsid w:val="00492FFD"/>
    <w:rsid w:val="00497269"/>
    <w:rsid w:val="004A2ECD"/>
    <w:rsid w:val="004A5DE1"/>
    <w:rsid w:val="004A6346"/>
    <w:rsid w:val="004B5927"/>
    <w:rsid w:val="004B7AAF"/>
    <w:rsid w:val="004C0897"/>
    <w:rsid w:val="004D0542"/>
    <w:rsid w:val="004D1DBE"/>
    <w:rsid w:val="004E29CE"/>
    <w:rsid w:val="004E5D26"/>
    <w:rsid w:val="004F1B02"/>
    <w:rsid w:val="004F4A73"/>
    <w:rsid w:val="004F7450"/>
    <w:rsid w:val="004F7A19"/>
    <w:rsid w:val="005011E0"/>
    <w:rsid w:val="0050634C"/>
    <w:rsid w:val="00507690"/>
    <w:rsid w:val="00525902"/>
    <w:rsid w:val="0053159B"/>
    <w:rsid w:val="005342EC"/>
    <w:rsid w:val="005343ED"/>
    <w:rsid w:val="00547E25"/>
    <w:rsid w:val="00550538"/>
    <w:rsid w:val="00552886"/>
    <w:rsid w:val="00561E47"/>
    <w:rsid w:val="00566AAE"/>
    <w:rsid w:val="00570699"/>
    <w:rsid w:val="00583095"/>
    <w:rsid w:val="00593876"/>
    <w:rsid w:val="005A2764"/>
    <w:rsid w:val="005A3212"/>
    <w:rsid w:val="005B5CF9"/>
    <w:rsid w:val="005B6C02"/>
    <w:rsid w:val="005C689A"/>
    <w:rsid w:val="005D2CE5"/>
    <w:rsid w:val="005D7985"/>
    <w:rsid w:val="005E44E7"/>
    <w:rsid w:val="005E7898"/>
    <w:rsid w:val="005E7BAC"/>
    <w:rsid w:val="005F39C5"/>
    <w:rsid w:val="005F73A4"/>
    <w:rsid w:val="00604544"/>
    <w:rsid w:val="00604CE3"/>
    <w:rsid w:val="006071C6"/>
    <w:rsid w:val="006157BD"/>
    <w:rsid w:val="0062299D"/>
    <w:rsid w:val="00630F73"/>
    <w:rsid w:val="00646748"/>
    <w:rsid w:val="00646B6B"/>
    <w:rsid w:val="00651A83"/>
    <w:rsid w:val="0065236B"/>
    <w:rsid w:val="00655435"/>
    <w:rsid w:val="006568DF"/>
    <w:rsid w:val="00663BBB"/>
    <w:rsid w:val="006651BF"/>
    <w:rsid w:val="006663EA"/>
    <w:rsid w:val="006722CD"/>
    <w:rsid w:val="00672EEE"/>
    <w:rsid w:val="0067498C"/>
    <w:rsid w:val="006761C1"/>
    <w:rsid w:val="00677B8B"/>
    <w:rsid w:val="00693682"/>
    <w:rsid w:val="00694FC3"/>
    <w:rsid w:val="006952D1"/>
    <w:rsid w:val="00695A31"/>
    <w:rsid w:val="00696A33"/>
    <w:rsid w:val="006A2183"/>
    <w:rsid w:val="006A4367"/>
    <w:rsid w:val="006A45A6"/>
    <w:rsid w:val="006B353D"/>
    <w:rsid w:val="006C4729"/>
    <w:rsid w:val="006C537E"/>
    <w:rsid w:val="006C6708"/>
    <w:rsid w:val="006C670C"/>
    <w:rsid w:val="006D47D8"/>
    <w:rsid w:val="006D6987"/>
    <w:rsid w:val="006E1080"/>
    <w:rsid w:val="006F7A91"/>
    <w:rsid w:val="00703BA5"/>
    <w:rsid w:val="00705398"/>
    <w:rsid w:val="00706C17"/>
    <w:rsid w:val="00714841"/>
    <w:rsid w:val="007212E1"/>
    <w:rsid w:val="00723985"/>
    <w:rsid w:val="00726B3F"/>
    <w:rsid w:val="0072705C"/>
    <w:rsid w:val="00730991"/>
    <w:rsid w:val="007316BE"/>
    <w:rsid w:val="00732BD3"/>
    <w:rsid w:val="00734B77"/>
    <w:rsid w:val="00734C2B"/>
    <w:rsid w:val="0074403E"/>
    <w:rsid w:val="00747B68"/>
    <w:rsid w:val="00756F8D"/>
    <w:rsid w:val="0075745A"/>
    <w:rsid w:val="00767B87"/>
    <w:rsid w:val="00771953"/>
    <w:rsid w:val="00781B75"/>
    <w:rsid w:val="00787496"/>
    <w:rsid w:val="00797CBA"/>
    <w:rsid w:val="00797D29"/>
    <w:rsid w:val="007B392C"/>
    <w:rsid w:val="007B42CD"/>
    <w:rsid w:val="007B5D52"/>
    <w:rsid w:val="007B73D2"/>
    <w:rsid w:val="007C035B"/>
    <w:rsid w:val="007C6D2C"/>
    <w:rsid w:val="007D0AB9"/>
    <w:rsid w:val="007E3FE5"/>
    <w:rsid w:val="007F2ED7"/>
    <w:rsid w:val="00801F8E"/>
    <w:rsid w:val="00804EA2"/>
    <w:rsid w:val="00807809"/>
    <w:rsid w:val="008301C3"/>
    <w:rsid w:val="008310F5"/>
    <w:rsid w:val="00840B2A"/>
    <w:rsid w:val="0085158D"/>
    <w:rsid w:val="00852DF8"/>
    <w:rsid w:val="0085359E"/>
    <w:rsid w:val="00860818"/>
    <w:rsid w:val="00864A8A"/>
    <w:rsid w:val="00874769"/>
    <w:rsid w:val="00876BB7"/>
    <w:rsid w:val="00894A4C"/>
    <w:rsid w:val="008A44E5"/>
    <w:rsid w:val="008A797C"/>
    <w:rsid w:val="008C0266"/>
    <w:rsid w:val="008C1322"/>
    <w:rsid w:val="008C4B2D"/>
    <w:rsid w:val="008D35B9"/>
    <w:rsid w:val="008F226C"/>
    <w:rsid w:val="008F4868"/>
    <w:rsid w:val="008F6493"/>
    <w:rsid w:val="009035E2"/>
    <w:rsid w:val="0091640E"/>
    <w:rsid w:val="00923DE1"/>
    <w:rsid w:val="009434FA"/>
    <w:rsid w:val="00954C28"/>
    <w:rsid w:val="00971839"/>
    <w:rsid w:val="0098158F"/>
    <w:rsid w:val="00995742"/>
    <w:rsid w:val="009A0D5F"/>
    <w:rsid w:val="009A756B"/>
    <w:rsid w:val="009C033C"/>
    <w:rsid w:val="009C2491"/>
    <w:rsid w:val="009C70E6"/>
    <w:rsid w:val="009F0C95"/>
    <w:rsid w:val="009F637B"/>
    <w:rsid w:val="00A04AC2"/>
    <w:rsid w:val="00A0631B"/>
    <w:rsid w:val="00A20A2E"/>
    <w:rsid w:val="00A30728"/>
    <w:rsid w:val="00A41F89"/>
    <w:rsid w:val="00A46051"/>
    <w:rsid w:val="00A56024"/>
    <w:rsid w:val="00A576A9"/>
    <w:rsid w:val="00A61203"/>
    <w:rsid w:val="00A618F4"/>
    <w:rsid w:val="00A62CE4"/>
    <w:rsid w:val="00A711C1"/>
    <w:rsid w:val="00A74B62"/>
    <w:rsid w:val="00A75F9C"/>
    <w:rsid w:val="00A87384"/>
    <w:rsid w:val="00A906F9"/>
    <w:rsid w:val="00A96FC3"/>
    <w:rsid w:val="00AA24C6"/>
    <w:rsid w:val="00AB0867"/>
    <w:rsid w:val="00AC2E91"/>
    <w:rsid w:val="00AC6759"/>
    <w:rsid w:val="00AD03B9"/>
    <w:rsid w:val="00AD24DB"/>
    <w:rsid w:val="00AD7A30"/>
    <w:rsid w:val="00AE1633"/>
    <w:rsid w:val="00AE5EB4"/>
    <w:rsid w:val="00AF0093"/>
    <w:rsid w:val="00AF347F"/>
    <w:rsid w:val="00AF3EBB"/>
    <w:rsid w:val="00B01703"/>
    <w:rsid w:val="00B11231"/>
    <w:rsid w:val="00B156C5"/>
    <w:rsid w:val="00B1620E"/>
    <w:rsid w:val="00B219F7"/>
    <w:rsid w:val="00B353BB"/>
    <w:rsid w:val="00B3771B"/>
    <w:rsid w:val="00B42145"/>
    <w:rsid w:val="00B55D6C"/>
    <w:rsid w:val="00B616B5"/>
    <w:rsid w:val="00B61A28"/>
    <w:rsid w:val="00B65377"/>
    <w:rsid w:val="00B715E8"/>
    <w:rsid w:val="00B719CC"/>
    <w:rsid w:val="00B872D4"/>
    <w:rsid w:val="00B91DAF"/>
    <w:rsid w:val="00B91E24"/>
    <w:rsid w:val="00B920CC"/>
    <w:rsid w:val="00BA7904"/>
    <w:rsid w:val="00BC4B5A"/>
    <w:rsid w:val="00BC5AAA"/>
    <w:rsid w:val="00BD2677"/>
    <w:rsid w:val="00BE0F0F"/>
    <w:rsid w:val="00BE7169"/>
    <w:rsid w:val="00C066D6"/>
    <w:rsid w:val="00C06B49"/>
    <w:rsid w:val="00C150E6"/>
    <w:rsid w:val="00C15D7D"/>
    <w:rsid w:val="00C23D94"/>
    <w:rsid w:val="00C2501A"/>
    <w:rsid w:val="00C46768"/>
    <w:rsid w:val="00C51FB2"/>
    <w:rsid w:val="00C52CD3"/>
    <w:rsid w:val="00C66688"/>
    <w:rsid w:val="00C84D23"/>
    <w:rsid w:val="00CA01B0"/>
    <w:rsid w:val="00CA0BE6"/>
    <w:rsid w:val="00CA3409"/>
    <w:rsid w:val="00CC2222"/>
    <w:rsid w:val="00CC5505"/>
    <w:rsid w:val="00CC7323"/>
    <w:rsid w:val="00CD09F0"/>
    <w:rsid w:val="00CD1EAD"/>
    <w:rsid w:val="00CD3A61"/>
    <w:rsid w:val="00CE0718"/>
    <w:rsid w:val="00CE384B"/>
    <w:rsid w:val="00CF1FAC"/>
    <w:rsid w:val="00CF262F"/>
    <w:rsid w:val="00CF414B"/>
    <w:rsid w:val="00D057E1"/>
    <w:rsid w:val="00D1293B"/>
    <w:rsid w:val="00D12F3E"/>
    <w:rsid w:val="00D1312E"/>
    <w:rsid w:val="00D1685E"/>
    <w:rsid w:val="00D17CED"/>
    <w:rsid w:val="00D21A6E"/>
    <w:rsid w:val="00D21F05"/>
    <w:rsid w:val="00D22D57"/>
    <w:rsid w:val="00D27283"/>
    <w:rsid w:val="00D31876"/>
    <w:rsid w:val="00D33AC5"/>
    <w:rsid w:val="00D3580E"/>
    <w:rsid w:val="00D3585F"/>
    <w:rsid w:val="00D419CE"/>
    <w:rsid w:val="00D42609"/>
    <w:rsid w:val="00D54BE6"/>
    <w:rsid w:val="00D64EBE"/>
    <w:rsid w:val="00D70AAA"/>
    <w:rsid w:val="00D86E50"/>
    <w:rsid w:val="00D92984"/>
    <w:rsid w:val="00D92B05"/>
    <w:rsid w:val="00D967E7"/>
    <w:rsid w:val="00D96E8B"/>
    <w:rsid w:val="00DA1C41"/>
    <w:rsid w:val="00DA1E7B"/>
    <w:rsid w:val="00DB4255"/>
    <w:rsid w:val="00DC294F"/>
    <w:rsid w:val="00DD113A"/>
    <w:rsid w:val="00DD6584"/>
    <w:rsid w:val="00DD7835"/>
    <w:rsid w:val="00DD7D43"/>
    <w:rsid w:val="00DE020E"/>
    <w:rsid w:val="00E0217D"/>
    <w:rsid w:val="00E15441"/>
    <w:rsid w:val="00E22827"/>
    <w:rsid w:val="00E25158"/>
    <w:rsid w:val="00E260FE"/>
    <w:rsid w:val="00E313B2"/>
    <w:rsid w:val="00E32E5D"/>
    <w:rsid w:val="00E3352F"/>
    <w:rsid w:val="00E34836"/>
    <w:rsid w:val="00E361CE"/>
    <w:rsid w:val="00E3756F"/>
    <w:rsid w:val="00E4016E"/>
    <w:rsid w:val="00E4484A"/>
    <w:rsid w:val="00E51BCF"/>
    <w:rsid w:val="00E55815"/>
    <w:rsid w:val="00E55A2B"/>
    <w:rsid w:val="00E56E77"/>
    <w:rsid w:val="00E6063E"/>
    <w:rsid w:val="00E63013"/>
    <w:rsid w:val="00E66589"/>
    <w:rsid w:val="00E72C00"/>
    <w:rsid w:val="00E75691"/>
    <w:rsid w:val="00E76057"/>
    <w:rsid w:val="00E83AF0"/>
    <w:rsid w:val="00E83CFB"/>
    <w:rsid w:val="00E86E0F"/>
    <w:rsid w:val="00EA038A"/>
    <w:rsid w:val="00EA2723"/>
    <w:rsid w:val="00EA58F5"/>
    <w:rsid w:val="00EC514D"/>
    <w:rsid w:val="00ED4578"/>
    <w:rsid w:val="00EE6172"/>
    <w:rsid w:val="00EF335F"/>
    <w:rsid w:val="00F009A1"/>
    <w:rsid w:val="00F03519"/>
    <w:rsid w:val="00F06262"/>
    <w:rsid w:val="00F12AD4"/>
    <w:rsid w:val="00F15690"/>
    <w:rsid w:val="00F1626C"/>
    <w:rsid w:val="00F204F8"/>
    <w:rsid w:val="00F20848"/>
    <w:rsid w:val="00F23345"/>
    <w:rsid w:val="00F260E8"/>
    <w:rsid w:val="00F3153E"/>
    <w:rsid w:val="00F31804"/>
    <w:rsid w:val="00F32ACB"/>
    <w:rsid w:val="00F3627B"/>
    <w:rsid w:val="00F45919"/>
    <w:rsid w:val="00F47613"/>
    <w:rsid w:val="00F53A7D"/>
    <w:rsid w:val="00F54081"/>
    <w:rsid w:val="00F606FB"/>
    <w:rsid w:val="00F60820"/>
    <w:rsid w:val="00F6459F"/>
    <w:rsid w:val="00F70323"/>
    <w:rsid w:val="00F8014E"/>
    <w:rsid w:val="00F80B03"/>
    <w:rsid w:val="00F86C06"/>
    <w:rsid w:val="00F9145C"/>
    <w:rsid w:val="00F973EF"/>
    <w:rsid w:val="00F978BA"/>
    <w:rsid w:val="00FA15E0"/>
    <w:rsid w:val="00FA2FFF"/>
    <w:rsid w:val="00FB57E5"/>
    <w:rsid w:val="00FB5A32"/>
    <w:rsid w:val="00FC1D02"/>
    <w:rsid w:val="00FC2D89"/>
    <w:rsid w:val="00FC7268"/>
    <w:rsid w:val="00FD18DB"/>
    <w:rsid w:val="00FD44D5"/>
    <w:rsid w:val="00FE0CE5"/>
    <w:rsid w:val="00FE75BB"/>
    <w:rsid w:val="00FF18FE"/>
    <w:rsid w:val="00FF70D0"/>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oNotEmbedSmartTags/>
  <w:decimalSymbol w:val="."/>
  <w:listSeparator w:val=","/>
  <w14:docId w14:val="04AE2219"/>
  <w15:docId w15:val="{44A1A693-E492-476D-B9DD-D2E197504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0502"/>
    <w:rPr>
      <w:rFonts w:ascii="Arial" w:hAnsi="Arial"/>
      <w:sz w:val="24"/>
      <w:szCs w:val="24"/>
    </w:rPr>
  </w:style>
  <w:style w:type="paragraph" w:styleId="Heading1">
    <w:name w:val="heading 1"/>
    <w:basedOn w:val="Normal"/>
    <w:next w:val="Normal"/>
    <w:link w:val="Heading1Char"/>
    <w:uiPriority w:val="9"/>
    <w:qFormat/>
    <w:rsid w:val="00B3771B"/>
    <w:pPr>
      <w:keepNext/>
      <w:keepLines/>
      <w:spacing w:before="480"/>
      <w:outlineLvl w:val="0"/>
    </w:pPr>
    <w:rPr>
      <w:rFonts w:eastAsiaTheme="majorEastAsia" w:cstheme="majorBidi"/>
      <w:b/>
      <w:bCs/>
      <w:color w:val="00213F"/>
      <w:sz w:val="40"/>
      <w:szCs w:val="32"/>
    </w:rPr>
  </w:style>
  <w:style w:type="paragraph" w:styleId="Heading2">
    <w:name w:val="heading 2"/>
    <w:basedOn w:val="Normal"/>
    <w:next w:val="Normal"/>
    <w:link w:val="Heading2Char"/>
    <w:uiPriority w:val="9"/>
    <w:unhideWhenUsed/>
    <w:qFormat/>
    <w:rsid w:val="00B3771B"/>
    <w:pPr>
      <w:keepNext/>
      <w:keepLines/>
      <w:spacing w:before="200"/>
      <w:outlineLvl w:val="1"/>
    </w:pPr>
    <w:rPr>
      <w:rFonts w:eastAsiaTheme="majorEastAsia" w:cstheme="majorBidi"/>
      <w:b/>
      <w:bCs/>
      <w:color w:val="1869A6"/>
      <w:sz w:val="28"/>
      <w:szCs w:val="26"/>
    </w:rPr>
  </w:style>
  <w:style w:type="paragraph" w:styleId="Heading3">
    <w:name w:val="heading 3"/>
    <w:basedOn w:val="Normal"/>
    <w:next w:val="Normal"/>
    <w:link w:val="Heading3Char"/>
    <w:uiPriority w:val="9"/>
    <w:unhideWhenUsed/>
    <w:qFormat/>
    <w:rsid w:val="00B3771B"/>
    <w:pPr>
      <w:keepNext/>
      <w:keepLines/>
      <w:spacing w:before="200"/>
      <w:outlineLvl w:val="2"/>
    </w:pPr>
    <w:rPr>
      <w:rFonts w:eastAsiaTheme="majorEastAsia" w:cstheme="majorBidi"/>
      <w:b/>
      <w:bCs/>
      <w:color w:val="009CD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6BDE"/>
    <w:pPr>
      <w:tabs>
        <w:tab w:val="center" w:pos="4320"/>
        <w:tab w:val="right" w:pos="8640"/>
      </w:tabs>
    </w:pPr>
  </w:style>
  <w:style w:type="character" w:customStyle="1" w:styleId="HeaderChar">
    <w:name w:val="Header Char"/>
    <w:basedOn w:val="DefaultParagraphFont"/>
    <w:link w:val="Header"/>
    <w:uiPriority w:val="99"/>
    <w:rsid w:val="000C6BDE"/>
    <w:rPr>
      <w:sz w:val="24"/>
      <w:szCs w:val="24"/>
    </w:rPr>
  </w:style>
  <w:style w:type="paragraph" w:styleId="Footer">
    <w:name w:val="footer"/>
    <w:basedOn w:val="Normal"/>
    <w:link w:val="FooterChar"/>
    <w:uiPriority w:val="99"/>
    <w:unhideWhenUsed/>
    <w:rsid w:val="000C6BDE"/>
    <w:pPr>
      <w:tabs>
        <w:tab w:val="center" w:pos="4320"/>
        <w:tab w:val="right" w:pos="8640"/>
      </w:tabs>
    </w:pPr>
  </w:style>
  <w:style w:type="character" w:customStyle="1" w:styleId="FooterChar">
    <w:name w:val="Footer Char"/>
    <w:basedOn w:val="DefaultParagraphFont"/>
    <w:link w:val="Footer"/>
    <w:uiPriority w:val="99"/>
    <w:rsid w:val="000C6BDE"/>
    <w:rPr>
      <w:sz w:val="24"/>
      <w:szCs w:val="24"/>
    </w:rPr>
  </w:style>
  <w:style w:type="character" w:customStyle="1" w:styleId="Heading3Char">
    <w:name w:val="Heading 3 Char"/>
    <w:basedOn w:val="DefaultParagraphFont"/>
    <w:link w:val="Heading3"/>
    <w:uiPriority w:val="9"/>
    <w:rsid w:val="00B3771B"/>
    <w:rPr>
      <w:rFonts w:ascii="Arial" w:eastAsiaTheme="majorEastAsia" w:hAnsi="Arial" w:cstheme="majorBidi"/>
      <w:b/>
      <w:bCs/>
      <w:color w:val="009CD4"/>
      <w:sz w:val="24"/>
      <w:szCs w:val="24"/>
    </w:rPr>
  </w:style>
  <w:style w:type="character" w:customStyle="1" w:styleId="Heading2Char">
    <w:name w:val="Heading 2 Char"/>
    <w:basedOn w:val="DefaultParagraphFont"/>
    <w:link w:val="Heading2"/>
    <w:uiPriority w:val="9"/>
    <w:rsid w:val="00B3771B"/>
    <w:rPr>
      <w:rFonts w:ascii="Arial" w:eastAsiaTheme="majorEastAsia" w:hAnsi="Arial" w:cstheme="majorBidi"/>
      <w:b/>
      <w:bCs/>
      <w:color w:val="1869A6"/>
      <w:sz w:val="28"/>
      <w:szCs w:val="26"/>
    </w:rPr>
  </w:style>
  <w:style w:type="character" w:customStyle="1" w:styleId="Heading1Char">
    <w:name w:val="Heading 1 Char"/>
    <w:basedOn w:val="DefaultParagraphFont"/>
    <w:link w:val="Heading1"/>
    <w:uiPriority w:val="9"/>
    <w:rsid w:val="00B3771B"/>
    <w:rPr>
      <w:rFonts w:ascii="Arial" w:eastAsiaTheme="majorEastAsia" w:hAnsi="Arial" w:cstheme="majorBidi"/>
      <w:b/>
      <w:bCs/>
      <w:color w:val="00213F"/>
      <w:sz w:val="40"/>
      <w:szCs w:val="32"/>
    </w:rPr>
  </w:style>
  <w:style w:type="paragraph" w:styleId="BalloonText">
    <w:name w:val="Balloon Text"/>
    <w:basedOn w:val="Normal"/>
    <w:link w:val="BalloonTextChar"/>
    <w:semiHidden/>
    <w:unhideWhenUsed/>
    <w:rsid w:val="006A2183"/>
    <w:rPr>
      <w:rFonts w:ascii="Tahoma" w:hAnsi="Tahoma" w:cs="Tahoma"/>
      <w:sz w:val="16"/>
      <w:szCs w:val="16"/>
    </w:rPr>
  </w:style>
  <w:style w:type="character" w:customStyle="1" w:styleId="BalloonTextChar">
    <w:name w:val="Balloon Text Char"/>
    <w:basedOn w:val="DefaultParagraphFont"/>
    <w:link w:val="BalloonText"/>
    <w:uiPriority w:val="99"/>
    <w:semiHidden/>
    <w:rsid w:val="006A2183"/>
    <w:rPr>
      <w:rFonts w:ascii="Tahoma" w:hAnsi="Tahoma" w:cs="Tahoma"/>
      <w:sz w:val="16"/>
      <w:szCs w:val="16"/>
    </w:rPr>
  </w:style>
  <w:style w:type="paragraph" w:styleId="NoSpacing">
    <w:name w:val="No Spacing"/>
    <w:link w:val="NoSpacingChar"/>
    <w:uiPriority w:val="1"/>
    <w:qFormat/>
    <w:rsid w:val="00F45919"/>
    <w:rPr>
      <w:rFonts w:ascii="Calibri" w:eastAsia="Calibri" w:hAnsi="Calibri" w:cs="Times New Roman"/>
      <w:sz w:val="22"/>
      <w:szCs w:val="22"/>
    </w:rPr>
  </w:style>
  <w:style w:type="paragraph" w:customStyle="1" w:styleId="Default">
    <w:name w:val="Default"/>
    <w:rsid w:val="00F45919"/>
    <w:pPr>
      <w:autoSpaceDE w:val="0"/>
      <w:autoSpaceDN w:val="0"/>
      <w:adjustRightInd w:val="0"/>
    </w:pPr>
    <w:rPr>
      <w:rFonts w:ascii="Times New Roman" w:hAnsi="Times New Roman" w:cs="Times New Roman"/>
      <w:color w:val="000000"/>
      <w:sz w:val="24"/>
      <w:szCs w:val="24"/>
    </w:rPr>
  </w:style>
  <w:style w:type="paragraph" w:styleId="BodyText2">
    <w:name w:val="Body Text 2"/>
    <w:basedOn w:val="Normal"/>
    <w:link w:val="BodyText2Char"/>
    <w:rsid w:val="00F45919"/>
    <w:pPr>
      <w:autoSpaceDE w:val="0"/>
      <w:autoSpaceDN w:val="0"/>
      <w:adjustRightInd w:val="0"/>
    </w:pPr>
    <w:rPr>
      <w:rFonts w:ascii="Times New Roman" w:eastAsia="Times New Roman" w:hAnsi="Times New Roman" w:cs="Times New Roman"/>
    </w:rPr>
  </w:style>
  <w:style w:type="character" w:customStyle="1" w:styleId="BodyText2Char">
    <w:name w:val="Body Text 2 Char"/>
    <w:basedOn w:val="DefaultParagraphFont"/>
    <w:link w:val="BodyText2"/>
    <w:rsid w:val="00F45919"/>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45919"/>
    <w:rPr>
      <w:color w:val="0000FF" w:themeColor="hyperlink"/>
      <w:u w:val="single"/>
    </w:rPr>
  </w:style>
  <w:style w:type="paragraph" w:styleId="BodyTextIndent2">
    <w:name w:val="Body Text Indent 2"/>
    <w:basedOn w:val="Normal"/>
    <w:link w:val="BodyTextIndent2Char"/>
    <w:rsid w:val="00114E77"/>
    <w:pPr>
      <w:spacing w:after="120" w:line="480" w:lineRule="auto"/>
      <w:ind w:left="360"/>
    </w:pPr>
    <w:rPr>
      <w:rFonts w:ascii="Times New Roman" w:eastAsia="Times New Roman" w:hAnsi="Times New Roman" w:cs="Times New Roman"/>
    </w:rPr>
  </w:style>
  <w:style w:type="character" w:customStyle="1" w:styleId="BodyTextIndent2Char">
    <w:name w:val="Body Text Indent 2 Char"/>
    <w:basedOn w:val="DefaultParagraphFont"/>
    <w:link w:val="BodyTextIndent2"/>
    <w:rsid w:val="00114E77"/>
    <w:rPr>
      <w:rFonts w:ascii="Times New Roman" w:eastAsia="Times New Roman" w:hAnsi="Times New Roman" w:cs="Times New Roman"/>
      <w:sz w:val="24"/>
      <w:szCs w:val="24"/>
    </w:rPr>
  </w:style>
  <w:style w:type="paragraph" w:styleId="ListParagraph">
    <w:name w:val="List Paragraph"/>
    <w:basedOn w:val="Normal"/>
    <w:uiPriority w:val="34"/>
    <w:qFormat/>
    <w:rsid w:val="00114E77"/>
    <w:pPr>
      <w:ind w:left="720"/>
      <w:contextualSpacing/>
    </w:pPr>
    <w:rPr>
      <w:rFonts w:ascii="Times New Roman" w:eastAsia="Times New Roman" w:hAnsi="Times New Roman" w:cs="Times New Roman"/>
    </w:rPr>
  </w:style>
  <w:style w:type="paragraph" w:styleId="BodyTextIndent">
    <w:name w:val="Body Text Indent"/>
    <w:basedOn w:val="Normal"/>
    <w:link w:val="BodyTextIndentChar"/>
    <w:uiPriority w:val="99"/>
    <w:unhideWhenUsed/>
    <w:rsid w:val="0067498C"/>
    <w:pPr>
      <w:spacing w:after="120"/>
      <w:ind w:left="360"/>
    </w:pPr>
  </w:style>
  <w:style w:type="character" w:customStyle="1" w:styleId="BodyTextIndentChar">
    <w:name w:val="Body Text Indent Char"/>
    <w:basedOn w:val="DefaultParagraphFont"/>
    <w:link w:val="BodyTextIndent"/>
    <w:uiPriority w:val="99"/>
    <w:rsid w:val="0067498C"/>
    <w:rPr>
      <w:rFonts w:ascii="Arial" w:hAnsi="Arial"/>
      <w:sz w:val="24"/>
      <w:szCs w:val="24"/>
    </w:rPr>
  </w:style>
  <w:style w:type="paragraph" w:styleId="FootnoteText">
    <w:name w:val="footnote text"/>
    <w:aliases w:val="Footnote Text Char1 Char,Footnote Text Char Char Char,Footnote Text Char1 Char Char Char,Footnote Text Char Char Char Char Char,Footnote Text Char Char1 Char,Footnote Text Char1 Char1 Char"/>
    <w:basedOn w:val="Normal"/>
    <w:link w:val="FootnoteTextChar"/>
    <w:uiPriority w:val="99"/>
    <w:rsid w:val="00CF262F"/>
    <w:rPr>
      <w:rFonts w:ascii="Times New Roman" w:eastAsia="Times New Roman" w:hAnsi="Times New Roman" w:cs="Times New Roman"/>
      <w:sz w:val="20"/>
      <w:szCs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
    <w:basedOn w:val="DefaultParagraphFont"/>
    <w:link w:val="FootnoteText"/>
    <w:uiPriority w:val="99"/>
    <w:rsid w:val="00CF262F"/>
    <w:rPr>
      <w:rFonts w:ascii="Times New Roman" w:eastAsia="Times New Roman" w:hAnsi="Times New Roman" w:cs="Times New Roman"/>
    </w:rPr>
  </w:style>
  <w:style w:type="character" w:styleId="FootnoteReference">
    <w:name w:val="footnote reference"/>
    <w:basedOn w:val="DefaultParagraphFont"/>
    <w:uiPriority w:val="99"/>
    <w:rsid w:val="00CF262F"/>
    <w:rPr>
      <w:vertAlign w:val="superscript"/>
    </w:rPr>
  </w:style>
  <w:style w:type="table" w:styleId="TableGrid">
    <w:name w:val="Table Grid"/>
    <w:basedOn w:val="TableNormal"/>
    <w:uiPriority w:val="59"/>
    <w:rsid w:val="009C033C"/>
    <w:rPr>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oSpacingChar">
    <w:name w:val="No Spacing Char"/>
    <w:basedOn w:val="DefaultParagraphFont"/>
    <w:link w:val="NoSpacing"/>
    <w:uiPriority w:val="1"/>
    <w:rsid w:val="00FD18DB"/>
    <w:rPr>
      <w:rFonts w:ascii="Calibri" w:eastAsia="Calibri" w:hAnsi="Calibri" w:cs="Times New Roman"/>
      <w:sz w:val="22"/>
      <w:szCs w:val="22"/>
    </w:rPr>
  </w:style>
  <w:style w:type="character" w:styleId="CommentReference">
    <w:name w:val="annotation reference"/>
    <w:basedOn w:val="DefaultParagraphFont"/>
    <w:uiPriority w:val="99"/>
    <w:semiHidden/>
    <w:unhideWhenUsed/>
    <w:rsid w:val="00E75691"/>
    <w:rPr>
      <w:sz w:val="16"/>
      <w:szCs w:val="16"/>
    </w:rPr>
  </w:style>
  <w:style w:type="paragraph" w:styleId="CommentText">
    <w:name w:val="annotation text"/>
    <w:basedOn w:val="Normal"/>
    <w:link w:val="CommentTextChar"/>
    <w:uiPriority w:val="99"/>
    <w:semiHidden/>
    <w:unhideWhenUsed/>
    <w:rsid w:val="00E75691"/>
    <w:rPr>
      <w:sz w:val="20"/>
      <w:szCs w:val="20"/>
    </w:rPr>
  </w:style>
  <w:style w:type="character" w:customStyle="1" w:styleId="CommentTextChar">
    <w:name w:val="Comment Text Char"/>
    <w:basedOn w:val="DefaultParagraphFont"/>
    <w:link w:val="CommentText"/>
    <w:uiPriority w:val="99"/>
    <w:semiHidden/>
    <w:rsid w:val="00E75691"/>
    <w:rPr>
      <w:rFonts w:ascii="Arial" w:hAnsi="Arial"/>
    </w:rPr>
  </w:style>
  <w:style w:type="paragraph" w:styleId="CommentSubject">
    <w:name w:val="annotation subject"/>
    <w:basedOn w:val="CommentText"/>
    <w:next w:val="CommentText"/>
    <w:link w:val="CommentSubjectChar"/>
    <w:uiPriority w:val="99"/>
    <w:semiHidden/>
    <w:unhideWhenUsed/>
    <w:rsid w:val="00E75691"/>
    <w:rPr>
      <w:b/>
      <w:bCs/>
    </w:rPr>
  </w:style>
  <w:style w:type="character" w:customStyle="1" w:styleId="CommentSubjectChar">
    <w:name w:val="Comment Subject Char"/>
    <w:basedOn w:val="CommentTextChar"/>
    <w:link w:val="CommentSubject"/>
    <w:uiPriority w:val="99"/>
    <w:semiHidden/>
    <w:rsid w:val="00E75691"/>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1435535">
      <w:bodyDiv w:val="1"/>
      <w:marLeft w:val="0"/>
      <w:marRight w:val="0"/>
      <w:marTop w:val="0"/>
      <w:marBottom w:val="0"/>
      <w:divBdr>
        <w:top w:val="none" w:sz="0" w:space="0" w:color="auto"/>
        <w:left w:val="none" w:sz="0" w:space="0" w:color="auto"/>
        <w:bottom w:val="none" w:sz="0" w:space="0" w:color="auto"/>
        <w:right w:val="none" w:sz="0" w:space="0" w:color="auto"/>
      </w:divBdr>
    </w:div>
    <w:div w:id="931278955">
      <w:bodyDiv w:val="1"/>
      <w:marLeft w:val="0"/>
      <w:marRight w:val="0"/>
      <w:marTop w:val="0"/>
      <w:marBottom w:val="0"/>
      <w:divBdr>
        <w:top w:val="none" w:sz="0" w:space="0" w:color="auto"/>
        <w:left w:val="none" w:sz="0" w:space="0" w:color="auto"/>
        <w:bottom w:val="none" w:sz="0" w:space="0" w:color="auto"/>
        <w:right w:val="none" w:sz="0" w:space="0" w:color="auto"/>
      </w:divBdr>
    </w:div>
    <w:div w:id="1601136586">
      <w:bodyDiv w:val="1"/>
      <w:marLeft w:val="0"/>
      <w:marRight w:val="0"/>
      <w:marTop w:val="0"/>
      <w:marBottom w:val="0"/>
      <w:divBdr>
        <w:top w:val="none" w:sz="0" w:space="0" w:color="auto"/>
        <w:left w:val="none" w:sz="0" w:space="0" w:color="auto"/>
        <w:bottom w:val="none" w:sz="0" w:space="0" w:color="auto"/>
        <w:right w:val="none" w:sz="0" w:space="0" w:color="auto"/>
      </w:divBdr>
    </w:div>
    <w:div w:id="164261836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awn.bonfield@avistacorp.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Compliance</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2015-12-16T08:00:00+00:00</OpenedDate>
    <Date1 xmlns="dc463f71-b30c-4ab2-9473-d307f9d35888">2016-09-30T07:00:00+00:00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152394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8BA43DFFF3895438C2E9EB1C782E3F4" ma:contentTypeVersion="119" ma:contentTypeDescription="" ma:contentTypeScope="" ma:versionID="f016d76402fac7782c12998629fbd0e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EA29BD-D8FF-4176-A094-71EC401F12F6}">
  <ds:schemaRefs>
    <ds:schemaRef ds:uri="http://schemas.openxmlformats.org/officeDocument/2006/bibliography"/>
  </ds:schemaRefs>
</ds:datastoreItem>
</file>

<file path=customXml/itemProps2.xml><?xml version="1.0" encoding="utf-8"?>
<ds:datastoreItem xmlns:ds="http://schemas.openxmlformats.org/officeDocument/2006/customXml" ds:itemID="{C5BE9F6D-2852-4F9A-B218-FB9B3FE812C7}"/>
</file>

<file path=customXml/itemProps3.xml><?xml version="1.0" encoding="utf-8"?>
<ds:datastoreItem xmlns:ds="http://schemas.openxmlformats.org/officeDocument/2006/customXml" ds:itemID="{5FCE65A6-B18E-4A45-83B7-EBF9AA85818F}"/>
</file>

<file path=customXml/itemProps4.xml><?xml version="1.0" encoding="utf-8"?>
<ds:datastoreItem xmlns:ds="http://schemas.openxmlformats.org/officeDocument/2006/customXml" ds:itemID="{86349349-64AA-45DB-B09C-FC7373F946BB}"/>
</file>

<file path=customXml/itemProps5.xml><?xml version="1.0" encoding="utf-8"?>
<ds:datastoreItem xmlns:ds="http://schemas.openxmlformats.org/officeDocument/2006/customXml" ds:itemID="{CF8C6287-C918-403A-9950-2F3541D438D5}"/>
</file>

<file path=docProps/app.xml><?xml version="1.0" encoding="utf-8"?>
<Properties xmlns="http://schemas.openxmlformats.org/officeDocument/2006/extended-properties" xmlns:vt="http://schemas.openxmlformats.org/officeDocument/2006/docPropsVTypes">
  <Template>Normal</Template>
  <TotalTime>513</TotalTime>
  <Pages>5</Pages>
  <Words>1519</Words>
  <Characters>8660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MAI</Company>
  <LinksUpToDate>false</LinksUpToDate>
  <CharactersWithSpaces>10159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monigle</dc:creator>
  <cp:lastModifiedBy>Bonfield, Shawn</cp:lastModifiedBy>
  <cp:revision>45</cp:revision>
  <cp:lastPrinted>2016-09-29T21:21:00Z</cp:lastPrinted>
  <dcterms:created xsi:type="dcterms:W3CDTF">2016-09-06T15:08:00Z</dcterms:created>
  <dcterms:modified xsi:type="dcterms:W3CDTF">2016-09-29T21:24:00Z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0x0101006E56B4D1795A2E4DB2F0B01679ED314A00B8BA43DFFF3895438C2E9EB1C782E3F4</vt:lpwstr>
  </property>
  <property fmtid="{D5CDD505-2E9C-101B-9397-08002B2CF9AE}" pid="3" name="_docset_NoMedatataSyncRequired">
    <vt:lpwstr>False</vt:lpwstr>
  </property>
</Properties>
</file>