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741A" w14:textId="77777777" w:rsidR="00A11CA7" w:rsidRPr="00B36BDF" w:rsidRDefault="00AB4CD3" w:rsidP="00A714A2">
      <w:pPr>
        <w:spacing w:line="264" w:lineRule="auto"/>
        <w:jc w:val="center"/>
        <w:rPr>
          <w:b/>
          <w:bCs/>
        </w:rPr>
      </w:pPr>
      <w:bookmarkStart w:id="0" w:name="_GoBack"/>
      <w:bookmarkEnd w:id="0"/>
      <w:r w:rsidRPr="00B36BDF">
        <w:rPr>
          <w:b/>
          <w:bCs/>
        </w:rPr>
        <w:t>BEFORE THE WASHINGTON</w:t>
      </w:r>
    </w:p>
    <w:p w14:paraId="75E7E4A1" w14:textId="77777777" w:rsidR="00AB4CD3" w:rsidRPr="00B36BDF" w:rsidRDefault="00AB4CD3" w:rsidP="00A11CA7">
      <w:pPr>
        <w:spacing w:line="264" w:lineRule="auto"/>
        <w:jc w:val="center"/>
        <w:rPr>
          <w:bCs/>
        </w:rPr>
      </w:pPr>
      <w:r w:rsidRPr="00B36BDF">
        <w:rPr>
          <w:b/>
          <w:bCs/>
        </w:rPr>
        <w:t>UTILITIES AND TRANSPORTATION COMMISSION</w:t>
      </w:r>
    </w:p>
    <w:p w14:paraId="5C3AF6DD" w14:textId="77777777" w:rsidR="00AB4CD3" w:rsidRPr="00B36BDF" w:rsidRDefault="00AB4CD3" w:rsidP="0089650D">
      <w:pPr>
        <w:spacing w:line="264" w:lineRule="auto"/>
        <w:rPr>
          <w:bCs/>
        </w:rPr>
      </w:pPr>
    </w:p>
    <w:tbl>
      <w:tblPr>
        <w:tblW w:w="0" w:type="auto"/>
        <w:tblLook w:val="0000" w:firstRow="0" w:lastRow="0" w:firstColumn="0" w:lastColumn="0" w:noHBand="0" w:noVBand="0"/>
      </w:tblPr>
      <w:tblGrid>
        <w:gridCol w:w="4248"/>
        <w:gridCol w:w="360"/>
        <w:gridCol w:w="3888"/>
      </w:tblGrid>
      <w:tr w:rsidR="00C929E0" w:rsidRPr="00B36BDF" w14:paraId="6BC1AFE6" w14:textId="77777777" w:rsidTr="002239E2">
        <w:tc>
          <w:tcPr>
            <w:tcW w:w="4248" w:type="dxa"/>
          </w:tcPr>
          <w:p w14:paraId="5D1D5839" w14:textId="77777777" w:rsidR="00C929E0" w:rsidRPr="00B36BDF" w:rsidRDefault="00C929E0" w:rsidP="00C929E0"/>
        </w:tc>
        <w:tc>
          <w:tcPr>
            <w:tcW w:w="360" w:type="dxa"/>
          </w:tcPr>
          <w:p w14:paraId="49CE57AD" w14:textId="77777777" w:rsidR="00C929E0" w:rsidRPr="00B36BDF" w:rsidRDefault="00C929E0" w:rsidP="00C929E0"/>
        </w:tc>
        <w:tc>
          <w:tcPr>
            <w:tcW w:w="3888" w:type="dxa"/>
          </w:tcPr>
          <w:p w14:paraId="0C0660F1" w14:textId="77777777" w:rsidR="00C929E0" w:rsidRPr="00B36BDF" w:rsidRDefault="00C929E0" w:rsidP="00C929E0"/>
        </w:tc>
      </w:tr>
      <w:tr w:rsidR="00C929E0" w:rsidRPr="00B36BDF" w14:paraId="2B97A98A" w14:textId="77777777" w:rsidTr="002239E2">
        <w:tc>
          <w:tcPr>
            <w:tcW w:w="4248" w:type="dxa"/>
            <w:tcBorders>
              <w:bottom w:val="single" w:sz="4" w:space="0" w:color="auto"/>
              <w:right w:val="single" w:sz="4" w:space="0" w:color="auto"/>
            </w:tcBorders>
          </w:tcPr>
          <w:p w14:paraId="00860D29" w14:textId="77777777" w:rsidR="00C929E0" w:rsidRPr="00B36BDF" w:rsidRDefault="00C929E0" w:rsidP="00C929E0">
            <w:r w:rsidRPr="00B36BDF">
              <w:t xml:space="preserve">In the </w:t>
            </w:r>
            <w:r w:rsidR="00A11CA7" w:rsidRPr="00B36BDF">
              <w:t>M</w:t>
            </w:r>
            <w:r w:rsidRPr="00B36BDF">
              <w:t>atter of</w:t>
            </w:r>
          </w:p>
          <w:p w14:paraId="31B38216" w14:textId="77777777" w:rsidR="00C929E0" w:rsidRPr="00B36BDF" w:rsidRDefault="00C929E0" w:rsidP="00C929E0"/>
          <w:p w14:paraId="4E925591" w14:textId="4204EC2B" w:rsidR="00C929E0" w:rsidRPr="00B36BDF" w:rsidRDefault="00B95B34" w:rsidP="00C929E0">
            <w:r w:rsidRPr="00B36BDF">
              <w:t xml:space="preserve">PACIFIC POWER &amp; LIGHT COMPANY </w:t>
            </w:r>
          </w:p>
          <w:p w14:paraId="5EE97D45" w14:textId="77777777" w:rsidR="00C929E0" w:rsidRPr="00B36BDF" w:rsidRDefault="00C929E0" w:rsidP="00C929E0"/>
          <w:p w14:paraId="6CD5491C" w14:textId="572C0003" w:rsidR="00C929E0" w:rsidRPr="00B36BDF" w:rsidRDefault="00C929E0" w:rsidP="00C929E0">
            <w:r w:rsidRPr="00B36BDF">
              <w:t xml:space="preserve">Report Identifying Its </w:t>
            </w:r>
            <w:r w:rsidRPr="00352140">
              <w:t>201</w:t>
            </w:r>
            <w:r w:rsidR="00B36BDF" w:rsidRPr="00352140">
              <w:t>6</w:t>
            </w:r>
            <w:r w:rsidRPr="00352140">
              <w:t>-202</w:t>
            </w:r>
            <w:r w:rsidR="00B36BDF" w:rsidRPr="00352140">
              <w:t>5</w:t>
            </w:r>
            <w:r w:rsidRPr="00B36BDF">
              <w:t xml:space="preserve"> Ten-Year Achievable Electric Conservation Potential and Its 201</w:t>
            </w:r>
            <w:r w:rsidR="00B36BDF" w:rsidRPr="00B36BDF">
              <w:t>6</w:t>
            </w:r>
            <w:r w:rsidRPr="00B36BDF">
              <w:t>-201</w:t>
            </w:r>
            <w:r w:rsidR="00B36BDF" w:rsidRPr="00B36BDF">
              <w:t>7</w:t>
            </w:r>
            <w:r w:rsidRPr="00B36BDF">
              <w:t xml:space="preserve"> Electric Biennial Conservation Target Under RCW 19.285.040 and WAC 480-109-010</w:t>
            </w:r>
          </w:p>
        </w:tc>
        <w:tc>
          <w:tcPr>
            <w:tcW w:w="360" w:type="dxa"/>
            <w:tcBorders>
              <w:left w:val="single" w:sz="4" w:space="0" w:color="auto"/>
            </w:tcBorders>
          </w:tcPr>
          <w:p w14:paraId="6B9DF6F1" w14:textId="7D23D6CD" w:rsidR="00B95B34" w:rsidRPr="00B36BDF" w:rsidRDefault="00B95B34" w:rsidP="00C929E0"/>
        </w:tc>
        <w:tc>
          <w:tcPr>
            <w:tcW w:w="3888" w:type="dxa"/>
          </w:tcPr>
          <w:p w14:paraId="26176820" w14:textId="77777777" w:rsidR="00C929E0" w:rsidRPr="00B36BDF" w:rsidRDefault="00C929E0" w:rsidP="00C929E0">
            <w:r w:rsidRPr="00B36BDF">
              <w:t xml:space="preserve">DOCKET </w:t>
            </w:r>
            <w:r w:rsidRPr="00B36BDF">
              <w:rPr>
                <w:bCs/>
              </w:rPr>
              <w:t>UE-1</w:t>
            </w:r>
            <w:r w:rsidR="00B36BDF" w:rsidRPr="00B36BDF">
              <w:rPr>
                <w:bCs/>
              </w:rPr>
              <w:t>52072</w:t>
            </w:r>
          </w:p>
          <w:p w14:paraId="6B024EBE" w14:textId="77777777" w:rsidR="00C929E0" w:rsidRPr="00B36BDF" w:rsidRDefault="00C929E0" w:rsidP="00C929E0"/>
          <w:p w14:paraId="5293B4ED" w14:textId="77777777" w:rsidR="00C929E0" w:rsidRPr="00B36BDF" w:rsidRDefault="00C929E0" w:rsidP="00C929E0">
            <w:r w:rsidRPr="00B36BDF">
              <w:t>ORDER 0</w:t>
            </w:r>
            <w:r w:rsidRPr="00B36BDF">
              <w:rPr>
                <w:bCs/>
              </w:rPr>
              <w:t>1</w:t>
            </w:r>
          </w:p>
          <w:p w14:paraId="0790C324" w14:textId="77777777" w:rsidR="00C929E0" w:rsidRPr="00B36BDF" w:rsidRDefault="00C929E0" w:rsidP="00C929E0"/>
          <w:p w14:paraId="579AE3CA" w14:textId="5C393612" w:rsidR="00C929E0" w:rsidRPr="00B36BDF" w:rsidRDefault="00C929E0" w:rsidP="00C929E0">
            <w:r w:rsidRPr="00B36BDF">
              <w:t xml:space="preserve">ORDER APPROVING </w:t>
            </w:r>
            <w:r w:rsidR="00881E06" w:rsidRPr="00B36BDF">
              <w:t xml:space="preserve">PACIFIC POWER &amp; LIGHT COMPANY </w:t>
            </w:r>
            <w:r w:rsidRPr="00B36BDF">
              <w:t>201</w:t>
            </w:r>
            <w:r w:rsidR="00352140">
              <w:t>6</w:t>
            </w:r>
            <w:r w:rsidRPr="00B36BDF">
              <w:t>-202</w:t>
            </w:r>
            <w:r w:rsidR="00352140">
              <w:t xml:space="preserve">5 </w:t>
            </w:r>
            <w:r w:rsidRPr="00B36BDF">
              <w:t>ACHIEVABLE CONSERVATION POTEN</w:t>
            </w:r>
            <w:r w:rsidR="00C13AA5" w:rsidRPr="00B36BDF">
              <w:t>T</w:t>
            </w:r>
            <w:r w:rsidRPr="00B36BDF">
              <w:t>IAL AND ITS 201</w:t>
            </w:r>
            <w:r w:rsidR="00352140">
              <w:t>6</w:t>
            </w:r>
            <w:r w:rsidRPr="00B36BDF">
              <w:t>-201</w:t>
            </w:r>
            <w:r w:rsidR="00352140">
              <w:t>7</w:t>
            </w:r>
            <w:r w:rsidRPr="00B36BDF">
              <w:t xml:space="preserve"> BIENNIAL CONSERVATION TARGET </w:t>
            </w:r>
          </w:p>
          <w:p w14:paraId="6C21A08F" w14:textId="77777777" w:rsidR="00C929E0" w:rsidRPr="00B36BDF" w:rsidRDefault="00C929E0" w:rsidP="00C929E0"/>
          <w:p w14:paraId="61198888" w14:textId="77777777" w:rsidR="00C929E0" w:rsidRPr="00B36BDF" w:rsidRDefault="00C929E0" w:rsidP="00C929E0">
            <w:pPr>
              <w:pStyle w:val="Header"/>
              <w:tabs>
                <w:tab w:val="clear" w:pos="4320"/>
                <w:tab w:val="clear" w:pos="8640"/>
              </w:tabs>
              <w:rPr>
                <w:lang w:val="en-US" w:eastAsia="en-US"/>
              </w:rPr>
            </w:pPr>
          </w:p>
        </w:tc>
      </w:tr>
      <w:tr w:rsidR="002239E2" w:rsidRPr="00B36BDF" w14:paraId="65E77FEF" w14:textId="77777777" w:rsidTr="002239E2">
        <w:tc>
          <w:tcPr>
            <w:tcW w:w="4248" w:type="dxa"/>
            <w:tcBorders>
              <w:top w:val="single" w:sz="4" w:space="0" w:color="auto"/>
            </w:tcBorders>
          </w:tcPr>
          <w:p w14:paraId="7540AD49" w14:textId="77777777" w:rsidR="002239E2" w:rsidRPr="00B36BDF" w:rsidRDefault="002239E2" w:rsidP="00C929E0"/>
        </w:tc>
        <w:tc>
          <w:tcPr>
            <w:tcW w:w="360" w:type="dxa"/>
          </w:tcPr>
          <w:p w14:paraId="4D44C706" w14:textId="77777777" w:rsidR="002239E2" w:rsidRPr="00B36BDF" w:rsidRDefault="002239E2" w:rsidP="00C929E0"/>
        </w:tc>
        <w:tc>
          <w:tcPr>
            <w:tcW w:w="3888" w:type="dxa"/>
          </w:tcPr>
          <w:p w14:paraId="7B628BF9" w14:textId="77777777" w:rsidR="002239E2" w:rsidRDefault="002239E2" w:rsidP="00C929E0"/>
          <w:p w14:paraId="6294149C" w14:textId="77777777" w:rsidR="00DA46BD" w:rsidRPr="00B36BDF" w:rsidRDefault="00DA46BD" w:rsidP="00C929E0"/>
        </w:tc>
      </w:tr>
    </w:tbl>
    <w:p w14:paraId="744FEEB1" w14:textId="77777777" w:rsidR="00C97714" w:rsidRPr="00726F75" w:rsidRDefault="00C97714" w:rsidP="00C97714">
      <w:pPr>
        <w:spacing w:after="240" w:line="288" w:lineRule="auto"/>
        <w:jc w:val="center"/>
        <w:rPr>
          <w:b/>
        </w:rPr>
      </w:pPr>
      <w:r w:rsidRPr="00726F75">
        <w:rPr>
          <w:b/>
        </w:rPr>
        <w:t>BACKGROUND</w:t>
      </w:r>
    </w:p>
    <w:p w14:paraId="3984FB28" w14:textId="77777777" w:rsidR="00AB4CD3" w:rsidRPr="00726F75" w:rsidRDefault="00844847" w:rsidP="002239E2">
      <w:pPr>
        <w:numPr>
          <w:ilvl w:val="0"/>
          <w:numId w:val="1"/>
        </w:numPr>
        <w:tabs>
          <w:tab w:val="clear" w:pos="720"/>
          <w:tab w:val="left" w:pos="0"/>
        </w:tabs>
        <w:spacing w:after="240" w:line="288" w:lineRule="auto"/>
        <w:ind w:left="0"/>
      </w:pPr>
      <w:r w:rsidRPr="00726F75">
        <w:t>Electric utilities with 25,000 or more customers are required under t</w:t>
      </w:r>
      <w:r w:rsidR="00AB4CD3" w:rsidRPr="00726F75">
        <w:t>he Energy Independence Act</w:t>
      </w:r>
      <w:r w:rsidRPr="00726F75">
        <w:t xml:space="preserve"> (EIA</w:t>
      </w:r>
      <w:r w:rsidR="00EF31C8" w:rsidRPr="00726F75">
        <w:t xml:space="preserve"> or Act</w:t>
      </w:r>
      <w:r w:rsidRPr="00726F75">
        <w:t xml:space="preserve">) </w:t>
      </w:r>
      <w:r w:rsidR="00AB4CD3" w:rsidRPr="00726F75">
        <w:t>to set and meet energy conservation targets</w:t>
      </w:r>
      <w:r w:rsidR="00B315B4">
        <w:t xml:space="preserve"> every two years</w:t>
      </w:r>
      <w:r w:rsidR="00AB4CD3" w:rsidRPr="00726F75">
        <w:t>.</w:t>
      </w:r>
      <w:r w:rsidRPr="00726F75">
        <w:rPr>
          <w:rStyle w:val="FootnoteReference"/>
        </w:rPr>
        <w:footnoteReference w:id="2"/>
      </w:r>
      <w:r w:rsidR="00AB4CD3" w:rsidRPr="00726F75">
        <w:t xml:space="preserve"> </w:t>
      </w:r>
      <w:r w:rsidR="00744E7F" w:rsidRPr="00726F75">
        <w:t xml:space="preserve">The Washington Utilities and Transportation </w:t>
      </w:r>
      <w:r w:rsidRPr="00726F75">
        <w:t xml:space="preserve">Commission </w:t>
      </w:r>
      <w:r w:rsidR="00744E7F" w:rsidRPr="00726F75">
        <w:t xml:space="preserve">(Commission) promulgated </w:t>
      </w:r>
      <w:r w:rsidRPr="00726F75">
        <w:t>rules implementing the EIA</w:t>
      </w:r>
      <w:r w:rsidR="00744E7F" w:rsidRPr="00726F75">
        <w:t>. These rules</w:t>
      </w:r>
      <w:r w:rsidRPr="00726F75">
        <w:t xml:space="preserve"> </w:t>
      </w:r>
      <w:r w:rsidR="00A37555" w:rsidRPr="00726F75">
        <w:t xml:space="preserve">further </w:t>
      </w:r>
      <w:r w:rsidRPr="00726F75">
        <w:t xml:space="preserve">require </w:t>
      </w:r>
      <w:r w:rsidR="00AB4CD3" w:rsidRPr="00726F75">
        <w:t>that</w:t>
      </w:r>
      <w:r w:rsidR="00B315B4">
        <w:t xml:space="preserve"> </w:t>
      </w:r>
      <w:r w:rsidR="00AB4CD3" w:rsidRPr="00726F75">
        <w:t>each utilit</w:t>
      </w:r>
      <w:r w:rsidR="00B315B4">
        <w:t>y must file a report with the C</w:t>
      </w:r>
      <w:r w:rsidR="00AB4CD3" w:rsidRPr="00726F75">
        <w:t>ommission identifying its ten-year achievable conservation potential and its biennial conservation target</w:t>
      </w:r>
      <w:r w:rsidR="00B315B4">
        <w:t xml:space="preserve"> every two years</w:t>
      </w:r>
      <w:r w:rsidR="00AB4CD3" w:rsidRPr="00726F75">
        <w:t>.</w:t>
      </w:r>
      <w:r w:rsidRPr="00726F75">
        <w:rPr>
          <w:rStyle w:val="FootnoteReference"/>
        </w:rPr>
        <w:footnoteReference w:id="3"/>
      </w:r>
      <w:r w:rsidR="00AB4CD3" w:rsidRPr="00726F75">
        <w:t xml:space="preserve"> </w:t>
      </w:r>
    </w:p>
    <w:p w14:paraId="0C1B8694" w14:textId="1CBA05DB" w:rsidR="00FD5EDE" w:rsidRDefault="00AB4CD3" w:rsidP="002239E2">
      <w:pPr>
        <w:numPr>
          <w:ilvl w:val="0"/>
          <w:numId w:val="1"/>
        </w:numPr>
        <w:tabs>
          <w:tab w:val="clear" w:pos="720"/>
          <w:tab w:val="left" w:pos="0"/>
        </w:tabs>
        <w:spacing w:after="240" w:line="288" w:lineRule="auto"/>
        <w:ind w:left="0"/>
      </w:pPr>
      <w:r w:rsidRPr="00B36BDF">
        <w:t xml:space="preserve">On </w:t>
      </w:r>
      <w:r w:rsidR="00B36BDF" w:rsidRPr="00B36BDF">
        <w:t>October 30</w:t>
      </w:r>
      <w:r w:rsidRPr="00B36BDF">
        <w:t>, 201</w:t>
      </w:r>
      <w:r w:rsidR="00B36BDF" w:rsidRPr="00B36BDF">
        <w:t>5</w:t>
      </w:r>
      <w:r w:rsidRPr="00B36BDF">
        <w:t xml:space="preserve">, </w:t>
      </w:r>
      <w:r w:rsidR="00B315B4">
        <w:t xml:space="preserve">Pacific Power &amp; Light Company (Pacific Power or Company) </w:t>
      </w:r>
      <w:r w:rsidRPr="00B36BDF">
        <w:t>fil</w:t>
      </w:r>
      <w:r w:rsidR="00A37555" w:rsidRPr="00B36BDF">
        <w:t>ed</w:t>
      </w:r>
      <w:r w:rsidRPr="00B36BDF">
        <w:t xml:space="preserve"> </w:t>
      </w:r>
      <w:r w:rsidR="00A37555" w:rsidRPr="00B36BDF">
        <w:t>its B</w:t>
      </w:r>
      <w:r w:rsidR="00744E7F" w:rsidRPr="00B36BDF">
        <w:t xml:space="preserve">iennial </w:t>
      </w:r>
      <w:r w:rsidR="00A37555" w:rsidRPr="00B36BDF">
        <w:t>C</w:t>
      </w:r>
      <w:r w:rsidR="00744E7F" w:rsidRPr="00B36BDF">
        <w:t xml:space="preserve">onservation </w:t>
      </w:r>
      <w:r w:rsidR="00A37555" w:rsidRPr="00B36BDF">
        <w:t>P</w:t>
      </w:r>
      <w:r w:rsidR="00744E7F" w:rsidRPr="00B36BDF">
        <w:t>lan (BCP)</w:t>
      </w:r>
      <w:r w:rsidRPr="00B36BDF">
        <w:t xml:space="preserve"> identifying </w:t>
      </w:r>
      <w:r w:rsidR="00744E7F" w:rsidRPr="00B36BDF">
        <w:t>a</w:t>
      </w:r>
      <w:r w:rsidRPr="00B36BDF">
        <w:t xml:space="preserve"> </w:t>
      </w:r>
      <w:r w:rsidRPr="00352140">
        <w:t>201</w:t>
      </w:r>
      <w:r w:rsidR="00B36BDF" w:rsidRPr="00352140">
        <w:t>6</w:t>
      </w:r>
      <w:r w:rsidRPr="00352140">
        <w:t>-202</w:t>
      </w:r>
      <w:r w:rsidR="00B36BDF" w:rsidRPr="00352140">
        <w:t>5</w:t>
      </w:r>
      <w:r w:rsidR="00744E7F" w:rsidRPr="00B36BDF">
        <w:t xml:space="preserve"> ten-year achievable </w:t>
      </w:r>
      <w:r w:rsidR="00744E7F" w:rsidRPr="00B36BDF">
        <w:lastRenderedPageBreak/>
        <w:t>conservation p</w:t>
      </w:r>
      <w:r w:rsidRPr="00B36BDF">
        <w:t xml:space="preserve">otential </w:t>
      </w:r>
      <w:r w:rsidR="00744E7F" w:rsidRPr="00B36BDF">
        <w:t xml:space="preserve">of </w:t>
      </w:r>
      <w:r w:rsidR="00B36BDF" w:rsidRPr="00B36BDF">
        <w:t>457,530</w:t>
      </w:r>
      <w:r w:rsidR="00744E7F" w:rsidRPr="00B36BDF">
        <w:t xml:space="preserve"> megawatt-hours (MWh) </w:t>
      </w:r>
      <w:r w:rsidRPr="00B36BDF">
        <w:t xml:space="preserve">and </w:t>
      </w:r>
      <w:r w:rsidR="00744E7F" w:rsidRPr="00B36BDF">
        <w:t>a</w:t>
      </w:r>
      <w:r w:rsidRPr="00B36BDF">
        <w:t xml:space="preserve"> 201</w:t>
      </w:r>
      <w:r w:rsidR="00B36BDF" w:rsidRPr="00B36BDF">
        <w:t>6</w:t>
      </w:r>
      <w:r w:rsidRPr="00B36BDF">
        <w:t>-201</w:t>
      </w:r>
      <w:r w:rsidR="00B36BDF" w:rsidRPr="00B36BDF">
        <w:t>7</w:t>
      </w:r>
      <w:r w:rsidR="00744E7F" w:rsidRPr="00B36BDF">
        <w:t xml:space="preserve"> biennial c</w:t>
      </w:r>
      <w:r w:rsidRPr="00B36BDF">
        <w:t xml:space="preserve">onservation </w:t>
      </w:r>
      <w:r w:rsidR="00744E7F" w:rsidRPr="00B36BDF">
        <w:t>t</w:t>
      </w:r>
      <w:r w:rsidRPr="00B36BDF">
        <w:t>arget</w:t>
      </w:r>
      <w:r w:rsidR="00744E7F" w:rsidRPr="00B36BDF">
        <w:t xml:space="preserve"> of </w:t>
      </w:r>
      <w:r w:rsidR="00B36BDF" w:rsidRPr="00B36BDF">
        <w:t>87,814</w:t>
      </w:r>
      <w:r w:rsidR="00744E7F" w:rsidRPr="00B36BDF">
        <w:t xml:space="preserve"> MWh</w:t>
      </w:r>
      <w:r w:rsidRPr="00B36BDF">
        <w:t>.</w:t>
      </w:r>
      <w:r w:rsidR="00F77CE8" w:rsidRPr="00B36BDF">
        <w:rPr>
          <w:rStyle w:val="FootnoteReference"/>
        </w:rPr>
        <w:footnoteReference w:id="4"/>
      </w:r>
      <w:r w:rsidR="00FD5EDE">
        <w:t xml:space="preserve"> </w:t>
      </w:r>
    </w:p>
    <w:p w14:paraId="72EE40F7" w14:textId="77777777" w:rsidR="00D14D06" w:rsidRPr="00FD5EDE" w:rsidRDefault="00FD5EDE" w:rsidP="002239E2">
      <w:pPr>
        <w:numPr>
          <w:ilvl w:val="0"/>
          <w:numId w:val="1"/>
        </w:numPr>
        <w:tabs>
          <w:tab w:val="clear" w:pos="720"/>
          <w:tab w:val="left" w:pos="0"/>
        </w:tabs>
        <w:spacing w:after="240" w:line="264" w:lineRule="auto"/>
        <w:ind w:left="0" w:right="720"/>
      </w:pPr>
      <w:r>
        <w:t>Table 1 summarizes the derivation of Pacific Power’s biennial target:</w:t>
      </w:r>
    </w:p>
    <w:p w14:paraId="393F4A87" w14:textId="62AF580A" w:rsidR="002F1395" w:rsidRPr="00B36BDF" w:rsidRDefault="00D14D06" w:rsidP="002239E2">
      <w:pPr>
        <w:spacing w:after="240" w:line="264" w:lineRule="auto"/>
        <w:ind w:left="900" w:right="720" w:hanging="900"/>
        <w:rPr>
          <w:b/>
        </w:rPr>
      </w:pPr>
      <w:r w:rsidRPr="00B36BDF">
        <w:rPr>
          <w:b/>
        </w:rPr>
        <w:t xml:space="preserve">Table 1. Development of </w:t>
      </w:r>
      <w:r w:rsidR="00D225C4">
        <w:rPr>
          <w:b/>
        </w:rPr>
        <w:t>Pacific Power</w:t>
      </w:r>
      <w:r w:rsidRPr="00B36BDF">
        <w:rPr>
          <w:b/>
        </w:rPr>
        <w:t xml:space="preserve">’s </w:t>
      </w:r>
      <w:r w:rsidR="00FD5EDE" w:rsidRPr="00084184">
        <w:rPr>
          <w:b/>
        </w:rPr>
        <w:t>201</w:t>
      </w:r>
      <w:r w:rsidR="00FD5EDE">
        <w:rPr>
          <w:b/>
        </w:rPr>
        <w:t>6-2017</w:t>
      </w:r>
      <w:r w:rsidR="00FD5EDE" w:rsidRPr="00084184">
        <w:rPr>
          <w:b/>
        </w:rPr>
        <w:t xml:space="preserve"> </w:t>
      </w:r>
      <w:r w:rsidRPr="00B36BDF">
        <w:rPr>
          <w:b/>
        </w:rPr>
        <w:t xml:space="preserve">Biennial Conservation Target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5"/>
        <w:gridCol w:w="2430"/>
      </w:tblGrid>
      <w:tr w:rsidR="00D14D06" w:rsidRPr="00B36BDF" w14:paraId="23FB4301" w14:textId="77777777" w:rsidTr="00345D20">
        <w:trPr>
          <w:trHeight w:val="379"/>
        </w:trPr>
        <w:tc>
          <w:tcPr>
            <w:tcW w:w="5605" w:type="dxa"/>
            <w:tcMar>
              <w:top w:w="0" w:type="dxa"/>
              <w:left w:w="108" w:type="dxa"/>
              <w:bottom w:w="0" w:type="dxa"/>
              <w:right w:w="108" w:type="dxa"/>
            </w:tcMar>
            <w:vAlign w:val="bottom"/>
            <w:hideMark/>
          </w:tcPr>
          <w:p w14:paraId="4C1AEE31" w14:textId="77777777" w:rsidR="00D14D06" w:rsidRPr="00B36BDF" w:rsidRDefault="00D14D06" w:rsidP="00D14D06">
            <w:pPr>
              <w:spacing w:line="264" w:lineRule="auto"/>
              <w:ind w:right="720"/>
              <w:rPr>
                <w:b/>
                <w:bCs/>
              </w:rPr>
            </w:pPr>
            <w:r w:rsidRPr="00B36BDF">
              <w:rPr>
                <w:b/>
                <w:bCs/>
              </w:rPr>
              <w:t>Savings Category</w:t>
            </w:r>
          </w:p>
        </w:tc>
        <w:tc>
          <w:tcPr>
            <w:tcW w:w="2430" w:type="dxa"/>
            <w:tcMar>
              <w:top w:w="0" w:type="dxa"/>
              <w:left w:w="108" w:type="dxa"/>
              <w:bottom w:w="0" w:type="dxa"/>
              <w:right w:w="108" w:type="dxa"/>
            </w:tcMar>
            <w:hideMark/>
          </w:tcPr>
          <w:p w14:paraId="40309CC7" w14:textId="77777777" w:rsidR="00D14D06" w:rsidRPr="00B36BDF" w:rsidRDefault="00D14D06" w:rsidP="00D14D06">
            <w:pPr>
              <w:spacing w:line="264" w:lineRule="auto"/>
              <w:ind w:right="720"/>
              <w:jc w:val="right"/>
              <w:rPr>
                <w:b/>
                <w:bCs/>
              </w:rPr>
            </w:pPr>
            <w:r w:rsidRPr="00B36BDF">
              <w:rPr>
                <w:b/>
                <w:bCs/>
              </w:rPr>
              <w:t>Savings (MWh)</w:t>
            </w:r>
          </w:p>
        </w:tc>
      </w:tr>
      <w:tr w:rsidR="00D14D06" w:rsidRPr="00B36BDF" w14:paraId="00E62B2A" w14:textId="77777777" w:rsidTr="00345D20">
        <w:trPr>
          <w:trHeight w:val="269"/>
        </w:trPr>
        <w:tc>
          <w:tcPr>
            <w:tcW w:w="5605" w:type="dxa"/>
            <w:tcMar>
              <w:top w:w="0" w:type="dxa"/>
              <w:left w:w="108" w:type="dxa"/>
              <w:bottom w:w="0" w:type="dxa"/>
              <w:right w:w="108" w:type="dxa"/>
            </w:tcMar>
            <w:hideMark/>
          </w:tcPr>
          <w:p w14:paraId="7946467D" w14:textId="77777777" w:rsidR="00D14D06" w:rsidRPr="00B36BDF" w:rsidRDefault="00D14D06" w:rsidP="00D14D06">
            <w:pPr>
              <w:spacing w:line="264" w:lineRule="auto"/>
              <w:ind w:right="720"/>
            </w:pPr>
            <w:r w:rsidRPr="00B36BDF">
              <w:t>End-Use Efficiency Measures (</w:t>
            </w:r>
            <w:r w:rsidR="00345D20" w:rsidRPr="00B36BDF">
              <w:t xml:space="preserve">Adjusted </w:t>
            </w:r>
            <w:r w:rsidRPr="00B36BDF">
              <w:t>CPA)</w:t>
            </w:r>
          </w:p>
        </w:tc>
        <w:tc>
          <w:tcPr>
            <w:tcW w:w="2430" w:type="dxa"/>
            <w:tcMar>
              <w:top w:w="0" w:type="dxa"/>
              <w:left w:w="108" w:type="dxa"/>
              <w:bottom w:w="0" w:type="dxa"/>
              <w:right w:w="108" w:type="dxa"/>
            </w:tcMar>
            <w:hideMark/>
          </w:tcPr>
          <w:p w14:paraId="180B3468" w14:textId="77777777" w:rsidR="00D14D06" w:rsidRPr="00B36BDF" w:rsidRDefault="00FD5EDE" w:rsidP="00D14D06">
            <w:pPr>
              <w:spacing w:line="264" w:lineRule="auto"/>
              <w:ind w:right="720"/>
              <w:jc w:val="right"/>
            </w:pPr>
            <w:r>
              <w:t>93,059</w:t>
            </w:r>
          </w:p>
        </w:tc>
      </w:tr>
      <w:tr w:rsidR="00D14D06" w:rsidRPr="00B36BDF" w14:paraId="3714F3B7" w14:textId="77777777" w:rsidTr="00345D20">
        <w:trPr>
          <w:trHeight w:val="314"/>
        </w:trPr>
        <w:tc>
          <w:tcPr>
            <w:tcW w:w="5605" w:type="dxa"/>
            <w:tcMar>
              <w:top w:w="0" w:type="dxa"/>
              <w:left w:w="108" w:type="dxa"/>
              <w:bottom w:w="0" w:type="dxa"/>
              <w:right w:w="108" w:type="dxa"/>
            </w:tcMar>
            <w:hideMark/>
          </w:tcPr>
          <w:p w14:paraId="19129246" w14:textId="77777777" w:rsidR="00D14D06" w:rsidRPr="00B36BDF" w:rsidRDefault="00D14D06" w:rsidP="00D14D06">
            <w:pPr>
              <w:spacing w:line="264" w:lineRule="auto"/>
              <w:ind w:right="720"/>
            </w:pPr>
            <w:r w:rsidRPr="00B36BDF">
              <w:t>Less NEEA</w:t>
            </w:r>
          </w:p>
        </w:tc>
        <w:tc>
          <w:tcPr>
            <w:tcW w:w="2430" w:type="dxa"/>
            <w:tcMar>
              <w:top w:w="0" w:type="dxa"/>
              <w:left w:w="108" w:type="dxa"/>
              <w:bottom w:w="0" w:type="dxa"/>
              <w:right w:w="108" w:type="dxa"/>
            </w:tcMar>
            <w:hideMark/>
          </w:tcPr>
          <w:p w14:paraId="78823AC1" w14:textId="77777777" w:rsidR="00D14D06" w:rsidRPr="00B36BDF" w:rsidRDefault="00D14D06" w:rsidP="00345D20">
            <w:pPr>
              <w:spacing w:line="264" w:lineRule="auto"/>
              <w:ind w:right="720"/>
              <w:jc w:val="right"/>
            </w:pPr>
            <w:r w:rsidRPr="00B36BDF">
              <w:t>(</w:t>
            </w:r>
            <w:r w:rsidR="00FD5EDE">
              <w:t>5,245</w:t>
            </w:r>
            <w:r w:rsidRPr="00B36BDF">
              <w:t>)</w:t>
            </w:r>
          </w:p>
        </w:tc>
      </w:tr>
      <w:tr w:rsidR="00D14D06" w:rsidRPr="00B36BDF" w14:paraId="5D7D5B6F" w14:textId="77777777" w:rsidTr="00345D20">
        <w:trPr>
          <w:trHeight w:val="269"/>
        </w:trPr>
        <w:tc>
          <w:tcPr>
            <w:tcW w:w="5605" w:type="dxa"/>
            <w:tcMar>
              <w:top w:w="0" w:type="dxa"/>
              <w:left w:w="108" w:type="dxa"/>
              <w:bottom w:w="0" w:type="dxa"/>
              <w:right w:w="108" w:type="dxa"/>
            </w:tcMar>
            <w:hideMark/>
          </w:tcPr>
          <w:p w14:paraId="39D67D6F" w14:textId="77777777" w:rsidR="00D14D06" w:rsidRPr="00B36BDF" w:rsidRDefault="00D14D06" w:rsidP="00D14D06">
            <w:pPr>
              <w:spacing w:line="264" w:lineRule="auto"/>
              <w:ind w:right="720"/>
            </w:pPr>
            <w:r w:rsidRPr="00B36BDF">
              <w:t>End-Use Efficiency Measures Subtotal</w:t>
            </w:r>
          </w:p>
        </w:tc>
        <w:tc>
          <w:tcPr>
            <w:tcW w:w="2430" w:type="dxa"/>
            <w:tcMar>
              <w:top w:w="0" w:type="dxa"/>
              <w:left w:w="108" w:type="dxa"/>
              <w:bottom w:w="0" w:type="dxa"/>
              <w:right w:w="108" w:type="dxa"/>
            </w:tcMar>
            <w:hideMark/>
          </w:tcPr>
          <w:p w14:paraId="7496EFE0" w14:textId="77777777" w:rsidR="00D14D06" w:rsidRPr="00B36BDF" w:rsidRDefault="00FD5EDE" w:rsidP="00D14D06">
            <w:pPr>
              <w:spacing w:line="264" w:lineRule="auto"/>
              <w:ind w:right="720"/>
              <w:jc w:val="right"/>
            </w:pPr>
            <w:r>
              <w:t>87,814</w:t>
            </w:r>
          </w:p>
        </w:tc>
      </w:tr>
      <w:tr w:rsidR="00D14D06" w:rsidRPr="00B36BDF" w14:paraId="521803A5" w14:textId="77777777" w:rsidTr="00345D20">
        <w:trPr>
          <w:trHeight w:val="305"/>
        </w:trPr>
        <w:tc>
          <w:tcPr>
            <w:tcW w:w="5605" w:type="dxa"/>
            <w:tcMar>
              <w:top w:w="0" w:type="dxa"/>
              <w:left w:w="108" w:type="dxa"/>
              <w:bottom w:w="0" w:type="dxa"/>
              <w:right w:w="108" w:type="dxa"/>
            </w:tcMar>
            <w:hideMark/>
          </w:tcPr>
          <w:p w14:paraId="2D29A34B" w14:textId="77777777" w:rsidR="00D14D06" w:rsidRPr="00B36BDF" w:rsidRDefault="00345D20" w:rsidP="00345D20">
            <w:pPr>
              <w:spacing w:line="264" w:lineRule="auto"/>
              <w:ind w:right="720"/>
            </w:pPr>
            <w:r w:rsidRPr="00B36BDF">
              <w:t>Distribution Efficiency</w:t>
            </w:r>
          </w:p>
        </w:tc>
        <w:tc>
          <w:tcPr>
            <w:tcW w:w="2430" w:type="dxa"/>
            <w:tcMar>
              <w:top w:w="0" w:type="dxa"/>
              <w:left w:w="108" w:type="dxa"/>
              <w:bottom w:w="0" w:type="dxa"/>
              <w:right w:w="108" w:type="dxa"/>
            </w:tcMar>
            <w:hideMark/>
          </w:tcPr>
          <w:p w14:paraId="316A324A" w14:textId="77777777" w:rsidR="00D14D06" w:rsidRPr="00B36BDF" w:rsidRDefault="00345D20" w:rsidP="00D14D06">
            <w:pPr>
              <w:spacing w:line="264" w:lineRule="auto"/>
              <w:ind w:right="720"/>
              <w:jc w:val="right"/>
            </w:pPr>
            <w:r w:rsidRPr="00B36BDF">
              <w:t>0</w:t>
            </w:r>
          </w:p>
        </w:tc>
      </w:tr>
      <w:tr w:rsidR="00345D20" w:rsidRPr="00B36BDF" w14:paraId="0030CAD7" w14:textId="77777777" w:rsidTr="00345D20">
        <w:trPr>
          <w:trHeight w:val="305"/>
        </w:trPr>
        <w:tc>
          <w:tcPr>
            <w:tcW w:w="5605" w:type="dxa"/>
            <w:tcMar>
              <w:top w:w="0" w:type="dxa"/>
              <w:left w:w="108" w:type="dxa"/>
              <w:bottom w:w="0" w:type="dxa"/>
              <w:right w:w="108" w:type="dxa"/>
            </w:tcMar>
          </w:tcPr>
          <w:p w14:paraId="7E50A4B5" w14:textId="77777777" w:rsidR="00345D20" w:rsidRPr="00B36BDF" w:rsidRDefault="00345D20" w:rsidP="00FD3C67">
            <w:pPr>
              <w:spacing w:line="264" w:lineRule="auto"/>
              <w:ind w:right="720"/>
            </w:pPr>
            <w:r w:rsidRPr="00B36BDF">
              <w:t>Generation Efficiency</w:t>
            </w:r>
          </w:p>
        </w:tc>
        <w:tc>
          <w:tcPr>
            <w:tcW w:w="2430" w:type="dxa"/>
            <w:tcMar>
              <w:top w:w="0" w:type="dxa"/>
              <w:left w:w="108" w:type="dxa"/>
              <w:bottom w:w="0" w:type="dxa"/>
              <w:right w:w="108" w:type="dxa"/>
            </w:tcMar>
          </w:tcPr>
          <w:p w14:paraId="76CBB6CD" w14:textId="77777777" w:rsidR="00345D20" w:rsidRPr="00B36BDF" w:rsidRDefault="00345D20" w:rsidP="00FD5EDE">
            <w:pPr>
              <w:spacing w:line="264" w:lineRule="auto"/>
              <w:ind w:left="720" w:right="720"/>
              <w:jc w:val="right"/>
            </w:pPr>
            <w:r w:rsidRPr="00B36BDF">
              <w:t>0</w:t>
            </w:r>
          </w:p>
        </w:tc>
      </w:tr>
      <w:tr w:rsidR="00D14D06" w:rsidRPr="00B36BDF" w14:paraId="709C8D37" w14:textId="77777777" w:rsidTr="00345D20">
        <w:trPr>
          <w:trHeight w:val="99"/>
        </w:trPr>
        <w:tc>
          <w:tcPr>
            <w:tcW w:w="5605" w:type="dxa"/>
            <w:tcMar>
              <w:top w:w="0" w:type="dxa"/>
              <w:left w:w="108" w:type="dxa"/>
              <w:bottom w:w="0" w:type="dxa"/>
              <w:right w:w="108" w:type="dxa"/>
            </w:tcMar>
            <w:hideMark/>
          </w:tcPr>
          <w:p w14:paraId="6AE25107" w14:textId="77777777" w:rsidR="00D14D06" w:rsidRPr="00B36BDF" w:rsidRDefault="00D14D06" w:rsidP="00FD3C67">
            <w:pPr>
              <w:spacing w:line="264" w:lineRule="auto"/>
              <w:ind w:right="720"/>
              <w:rPr>
                <w:b/>
                <w:bCs/>
              </w:rPr>
            </w:pPr>
            <w:r w:rsidRPr="00B36BDF">
              <w:rPr>
                <w:b/>
                <w:bCs/>
              </w:rPr>
              <w:t>201</w:t>
            </w:r>
            <w:r w:rsidR="00FD3C67">
              <w:rPr>
                <w:b/>
                <w:bCs/>
              </w:rPr>
              <w:t>6</w:t>
            </w:r>
            <w:r w:rsidRPr="00B36BDF">
              <w:rPr>
                <w:b/>
                <w:bCs/>
              </w:rPr>
              <w:t>-201</w:t>
            </w:r>
            <w:r w:rsidR="00FD3C67">
              <w:rPr>
                <w:b/>
                <w:bCs/>
              </w:rPr>
              <w:t>7</w:t>
            </w:r>
            <w:r w:rsidRPr="00B36BDF">
              <w:rPr>
                <w:b/>
                <w:bCs/>
              </w:rPr>
              <w:t xml:space="preserve"> Biennial Conservation Target</w:t>
            </w:r>
          </w:p>
        </w:tc>
        <w:tc>
          <w:tcPr>
            <w:tcW w:w="2430" w:type="dxa"/>
            <w:tcMar>
              <w:top w:w="0" w:type="dxa"/>
              <w:left w:w="108" w:type="dxa"/>
              <w:bottom w:w="0" w:type="dxa"/>
              <w:right w:w="108" w:type="dxa"/>
            </w:tcMar>
            <w:hideMark/>
          </w:tcPr>
          <w:p w14:paraId="074B58DB" w14:textId="77777777" w:rsidR="00D14D06" w:rsidRPr="00B36BDF" w:rsidRDefault="00FD5EDE" w:rsidP="00D51517">
            <w:pPr>
              <w:spacing w:line="264" w:lineRule="auto"/>
              <w:ind w:right="720"/>
              <w:jc w:val="right"/>
              <w:rPr>
                <w:b/>
                <w:bCs/>
              </w:rPr>
            </w:pPr>
            <w:r>
              <w:rPr>
                <w:b/>
                <w:bCs/>
              </w:rPr>
              <w:t>87,814</w:t>
            </w:r>
          </w:p>
        </w:tc>
      </w:tr>
    </w:tbl>
    <w:p w14:paraId="40E27802" w14:textId="77777777" w:rsidR="00A41DE7" w:rsidRPr="00B36BDF" w:rsidRDefault="00A41DE7" w:rsidP="00A41DE7">
      <w:pPr>
        <w:spacing w:after="240" w:line="288" w:lineRule="auto"/>
      </w:pPr>
    </w:p>
    <w:p w14:paraId="4B22B679" w14:textId="77777777" w:rsidR="00726F75" w:rsidRDefault="00726F75" w:rsidP="002239E2">
      <w:pPr>
        <w:numPr>
          <w:ilvl w:val="0"/>
          <w:numId w:val="1"/>
        </w:numPr>
        <w:tabs>
          <w:tab w:val="clear" w:pos="720"/>
          <w:tab w:val="left" w:pos="0"/>
        </w:tabs>
        <w:spacing w:after="240" w:line="288" w:lineRule="auto"/>
        <w:ind w:left="0"/>
      </w:pPr>
      <w:r>
        <w:t xml:space="preserve">Pacific Power’s 2016-2017 Demand-side Management Business Plan, attached to the Biennial Conservation Plan filing as Appendix 7, explains the Company’s conservation budget and the suite of measures that the Company will use to </w:t>
      </w:r>
      <w:r w:rsidR="00352140">
        <w:t>achieve</w:t>
      </w:r>
      <w:r>
        <w:t xml:space="preserve"> its target. A summary of this information is provided below in Table 2.</w:t>
      </w:r>
      <w:r w:rsidR="00352140">
        <w:br/>
      </w:r>
      <w:r w:rsidR="00352140">
        <w:br/>
      </w:r>
      <w:r w:rsidR="00211ED8">
        <w:br/>
      </w:r>
      <w:r w:rsidR="00211ED8">
        <w:br/>
      </w:r>
      <w:r w:rsidR="00211ED8">
        <w:br/>
      </w:r>
      <w:r w:rsidR="00352140">
        <w:br/>
      </w:r>
      <w:r w:rsidR="00352140">
        <w:br/>
      </w:r>
    </w:p>
    <w:p w14:paraId="0DBF2051" w14:textId="77777777" w:rsidR="00FD5EDE" w:rsidRPr="00FF511B" w:rsidRDefault="00FD5EDE" w:rsidP="002239E2">
      <w:pPr>
        <w:spacing w:after="240" w:line="264" w:lineRule="auto"/>
        <w:ind w:left="1620" w:right="720" w:hanging="1620"/>
        <w:rPr>
          <w:b/>
        </w:rPr>
      </w:pPr>
      <w:r w:rsidRPr="00FF511B">
        <w:rPr>
          <w:b/>
        </w:rPr>
        <w:lastRenderedPageBreak/>
        <w:t xml:space="preserve">Table </w:t>
      </w:r>
      <w:r>
        <w:rPr>
          <w:b/>
        </w:rPr>
        <w:t>2</w:t>
      </w:r>
      <w:r w:rsidRPr="00FF511B">
        <w:rPr>
          <w:b/>
        </w:rPr>
        <w:t xml:space="preserve">. Comparison of </w:t>
      </w:r>
      <w:r>
        <w:rPr>
          <w:b/>
        </w:rPr>
        <w:t>Pacific Power’s 2016-2017</w:t>
      </w:r>
      <w:r w:rsidRPr="00FF511B">
        <w:rPr>
          <w:b/>
        </w:rPr>
        <w:t xml:space="preserve"> and 2014-2015 BCPs.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1533"/>
        <w:gridCol w:w="1698"/>
        <w:gridCol w:w="1550"/>
        <w:gridCol w:w="1523"/>
      </w:tblGrid>
      <w:tr w:rsidR="00FD5EDE" w:rsidRPr="009355D6" w14:paraId="0B3353A8" w14:textId="77777777" w:rsidTr="009554A3">
        <w:tc>
          <w:tcPr>
            <w:tcW w:w="2415" w:type="dxa"/>
            <w:shd w:val="clear" w:color="auto" w:fill="auto"/>
            <w:vAlign w:val="bottom"/>
          </w:tcPr>
          <w:p w14:paraId="78478D87" w14:textId="77777777" w:rsidR="00FD5EDE" w:rsidRPr="009E2C29" w:rsidRDefault="00FD5EDE" w:rsidP="009554A3">
            <w:pPr>
              <w:jc w:val="center"/>
              <w:rPr>
                <w:b/>
              </w:rPr>
            </w:pPr>
            <w:r w:rsidRPr="009E2C29">
              <w:rPr>
                <w:b/>
              </w:rPr>
              <w:t>Program</w:t>
            </w:r>
          </w:p>
        </w:tc>
        <w:tc>
          <w:tcPr>
            <w:tcW w:w="1754" w:type="dxa"/>
            <w:shd w:val="clear" w:color="auto" w:fill="auto"/>
            <w:vAlign w:val="bottom"/>
          </w:tcPr>
          <w:p w14:paraId="6C0D6688" w14:textId="77777777" w:rsidR="00FD5EDE" w:rsidRPr="009E2C29" w:rsidRDefault="00FD5EDE" w:rsidP="009554A3">
            <w:pPr>
              <w:jc w:val="center"/>
              <w:rPr>
                <w:b/>
              </w:rPr>
            </w:pPr>
            <w:r>
              <w:rPr>
                <w:b/>
              </w:rPr>
              <w:t>2016-2017</w:t>
            </w:r>
          </w:p>
          <w:p w14:paraId="59235E39" w14:textId="77777777" w:rsidR="00FD5EDE" w:rsidRPr="009E2C29" w:rsidRDefault="00FD5EDE" w:rsidP="009554A3">
            <w:pPr>
              <w:jc w:val="center"/>
              <w:rPr>
                <w:b/>
              </w:rPr>
            </w:pPr>
            <w:r w:rsidRPr="009E2C29">
              <w:rPr>
                <w:b/>
              </w:rPr>
              <w:t>Projected Savings (MWh)</w:t>
            </w:r>
          </w:p>
        </w:tc>
        <w:tc>
          <w:tcPr>
            <w:tcW w:w="1887" w:type="dxa"/>
            <w:shd w:val="clear" w:color="auto" w:fill="auto"/>
            <w:vAlign w:val="bottom"/>
          </w:tcPr>
          <w:p w14:paraId="3CE2A36C" w14:textId="77777777" w:rsidR="00FD5EDE" w:rsidRPr="009E2C29" w:rsidRDefault="00FD5EDE" w:rsidP="009554A3">
            <w:pPr>
              <w:jc w:val="center"/>
              <w:rPr>
                <w:b/>
              </w:rPr>
            </w:pPr>
            <w:r>
              <w:rPr>
                <w:b/>
              </w:rPr>
              <w:t>2016-2017</w:t>
            </w:r>
            <w:r w:rsidRPr="009E2C29">
              <w:rPr>
                <w:b/>
              </w:rPr>
              <w:t xml:space="preserve"> Budget</w:t>
            </w:r>
          </w:p>
        </w:tc>
        <w:tc>
          <w:tcPr>
            <w:tcW w:w="1782" w:type="dxa"/>
            <w:shd w:val="clear" w:color="auto" w:fill="auto"/>
            <w:vAlign w:val="bottom"/>
          </w:tcPr>
          <w:p w14:paraId="5DA44398" w14:textId="784CAFC2" w:rsidR="00FD5EDE" w:rsidRPr="009E2C29" w:rsidRDefault="00E5705E" w:rsidP="00E5705E">
            <w:pPr>
              <w:jc w:val="center"/>
              <w:rPr>
                <w:b/>
              </w:rPr>
            </w:pPr>
            <w:r>
              <w:rPr>
                <w:b/>
              </w:rPr>
              <w:t>2014-2015</w:t>
            </w:r>
            <w:r w:rsidRPr="009E2C29">
              <w:rPr>
                <w:b/>
              </w:rPr>
              <w:t xml:space="preserve"> </w:t>
            </w:r>
            <w:r>
              <w:rPr>
                <w:b/>
              </w:rPr>
              <w:t>Projected Savings (MWh)</w:t>
            </w:r>
          </w:p>
        </w:tc>
        <w:tc>
          <w:tcPr>
            <w:tcW w:w="1594" w:type="dxa"/>
            <w:shd w:val="clear" w:color="auto" w:fill="auto"/>
            <w:vAlign w:val="bottom"/>
          </w:tcPr>
          <w:p w14:paraId="01C20480" w14:textId="77777777" w:rsidR="00FD5EDE" w:rsidRPr="009E2C29" w:rsidRDefault="00FD5EDE" w:rsidP="009554A3">
            <w:pPr>
              <w:jc w:val="center"/>
              <w:rPr>
                <w:b/>
              </w:rPr>
            </w:pPr>
            <w:r>
              <w:rPr>
                <w:b/>
              </w:rPr>
              <w:t>2014-2015</w:t>
            </w:r>
            <w:r w:rsidRPr="009E2C29">
              <w:rPr>
                <w:b/>
              </w:rPr>
              <w:t xml:space="preserve"> Budget</w:t>
            </w:r>
          </w:p>
        </w:tc>
      </w:tr>
      <w:tr w:rsidR="00FD5EDE" w:rsidRPr="009355D6" w14:paraId="15E1D64F" w14:textId="77777777" w:rsidTr="009554A3">
        <w:tc>
          <w:tcPr>
            <w:tcW w:w="2415" w:type="dxa"/>
            <w:shd w:val="clear" w:color="auto" w:fill="auto"/>
          </w:tcPr>
          <w:p w14:paraId="4B1D0D81" w14:textId="77777777" w:rsidR="00FD5EDE" w:rsidRPr="009E2C29" w:rsidRDefault="00FD5EDE" w:rsidP="009554A3">
            <w:r w:rsidRPr="009E2C29">
              <w:t>Residential</w:t>
            </w:r>
          </w:p>
        </w:tc>
        <w:tc>
          <w:tcPr>
            <w:tcW w:w="1754" w:type="dxa"/>
            <w:shd w:val="clear" w:color="auto" w:fill="auto"/>
            <w:vAlign w:val="bottom"/>
          </w:tcPr>
          <w:p w14:paraId="349BE48C" w14:textId="77777777" w:rsidR="00FD5EDE" w:rsidRPr="009E2C29" w:rsidRDefault="00FD5EDE" w:rsidP="009554A3">
            <w:pPr>
              <w:jc w:val="center"/>
            </w:pPr>
          </w:p>
        </w:tc>
        <w:tc>
          <w:tcPr>
            <w:tcW w:w="1887" w:type="dxa"/>
            <w:shd w:val="clear" w:color="auto" w:fill="auto"/>
            <w:vAlign w:val="bottom"/>
          </w:tcPr>
          <w:p w14:paraId="5B9B9F7B" w14:textId="77777777" w:rsidR="00FD5EDE" w:rsidRPr="009E2C29" w:rsidRDefault="00FD5EDE" w:rsidP="009554A3">
            <w:pPr>
              <w:jc w:val="center"/>
            </w:pPr>
          </w:p>
        </w:tc>
        <w:tc>
          <w:tcPr>
            <w:tcW w:w="1782" w:type="dxa"/>
            <w:shd w:val="clear" w:color="auto" w:fill="auto"/>
            <w:vAlign w:val="bottom"/>
          </w:tcPr>
          <w:p w14:paraId="7C421C9A" w14:textId="77777777" w:rsidR="00FD5EDE" w:rsidRPr="009E2C29" w:rsidRDefault="00FD5EDE" w:rsidP="009554A3">
            <w:pPr>
              <w:jc w:val="center"/>
            </w:pPr>
          </w:p>
        </w:tc>
        <w:tc>
          <w:tcPr>
            <w:tcW w:w="1594" w:type="dxa"/>
            <w:shd w:val="clear" w:color="auto" w:fill="auto"/>
            <w:vAlign w:val="bottom"/>
          </w:tcPr>
          <w:p w14:paraId="0F5047DE" w14:textId="77777777" w:rsidR="00FD5EDE" w:rsidRPr="009E2C29" w:rsidRDefault="00FD5EDE" w:rsidP="009554A3">
            <w:pPr>
              <w:jc w:val="center"/>
            </w:pPr>
          </w:p>
        </w:tc>
      </w:tr>
      <w:tr w:rsidR="00FD5EDE" w:rsidRPr="009355D6" w14:paraId="31C93DEA" w14:textId="77777777" w:rsidTr="009554A3">
        <w:tc>
          <w:tcPr>
            <w:tcW w:w="2415" w:type="dxa"/>
            <w:shd w:val="clear" w:color="auto" w:fill="auto"/>
          </w:tcPr>
          <w:p w14:paraId="13E75331" w14:textId="77777777" w:rsidR="00FD5EDE" w:rsidRPr="009E2C29" w:rsidRDefault="00FD5EDE" w:rsidP="009554A3">
            <w:pPr>
              <w:rPr>
                <w:i/>
              </w:rPr>
            </w:pPr>
            <w:r>
              <w:rPr>
                <w:i/>
              </w:rPr>
              <w:t>Home Energy Savings</w:t>
            </w:r>
          </w:p>
        </w:tc>
        <w:tc>
          <w:tcPr>
            <w:tcW w:w="1754" w:type="dxa"/>
            <w:shd w:val="clear" w:color="auto" w:fill="auto"/>
            <w:vAlign w:val="center"/>
          </w:tcPr>
          <w:p w14:paraId="2C6F4503" w14:textId="77777777" w:rsidR="00FD5EDE" w:rsidRDefault="00FD5EDE" w:rsidP="009554A3">
            <w:pPr>
              <w:jc w:val="center"/>
              <w:rPr>
                <w:i/>
              </w:rPr>
            </w:pPr>
            <w:r>
              <w:rPr>
                <w:i/>
              </w:rPr>
              <w:t>28,512</w:t>
            </w:r>
          </w:p>
        </w:tc>
        <w:tc>
          <w:tcPr>
            <w:tcW w:w="1887" w:type="dxa"/>
            <w:shd w:val="clear" w:color="auto" w:fill="auto"/>
            <w:vAlign w:val="center"/>
          </w:tcPr>
          <w:p w14:paraId="43B73F22" w14:textId="77777777" w:rsidR="00FD5EDE" w:rsidRDefault="00FD5EDE" w:rsidP="009554A3">
            <w:pPr>
              <w:jc w:val="center"/>
              <w:rPr>
                <w:i/>
              </w:rPr>
            </w:pPr>
            <w:r>
              <w:rPr>
                <w:i/>
              </w:rPr>
              <w:t>$6,843,322</w:t>
            </w:r>
          </w:p>
        </w:tc>
        <w:tc>
          <w:tcPr>
            <w:tcW w:w="1782" w:type="dxa"/>
            <w:shd w:val="clear" w:color="auto" w:fill="auto"/>
            <w:vAlign w:val="center"/>
          </w:tcPr>
          <w:p w14:paraId="67FDDA49" w14:textId="77777777" w:rsidR="00FD5EDE" w:rsidRPr="009E2C29" w:rsidRDefault="00FD5EDE" w:rsidP="009554A3">
            <w:pPr>
              <w:jc w:val="center"/>
              <w:rPr>
                <w:i/>
              </w:rPr>
            </w:pPr>
            <w:r>
              <w:rPr>
                <w:i/>
              </w:rPr>
              <w:t>17,536</w:t>
            </w:r>
          </w:p>
        </w:tc>
        <w:tc>
          <w:tcPr>
            <w:tcW w:w="1594" w:type="dxa"/>
            <w:shd w:val="clear" w:color="auto" w:fill="auto"/>
            <w:vAlign w:val="center"/>
          </w:tcPr>
          <w:p w14:paraId="10AC01AF" w14:textId="77777777" w:rsidR="00FD5EDE" w:rsidRPr="009E2C29" w:rsidRDefault="00FD5EDE" w:rsidP="009554A3">
            <w:pPr>
              <w:jc w:val="center"/>
              <w:rPr>
                <w:i/>
              </w:rPr>
            </w:pPr>
            <w:r>
              <w:rPr>
                <w:i/>
              </w:rPr>
              <w:t>$3,868,593</w:t>
            </w:r>
          </w:p>
        </w:tc>
      </w:tr>
      <w:tr w:rsidR="00FD5EDE" w:rsidRPr="009355D6" w14:paraId="06453A7F" w14:textId="77777777" w:rsidTr="009554A3">
        <w:tc>
          <w:tcPr>
            <w:tcW w:w="2415" w:type="dxa"/>
            <w:shd w:val="clear" w:color="auto" w:fill="auto"/>
          </w:tcPr>
          <w:p w14:paraId="1058FB59" w14:textId="77777777" w:rsidR="00FD5EDE" w:rsidRPr="009E2C29" w:rsidRDefault="00FD5EDE" w:rsidP="009554A3">
            <w:pPr>
              <w:rPr>
                <w:i/>
              </w:rPr>
            </w:pPr>
            <w:r w:rsidRPr="009E2C29">
              <w:rPr>
                <w:i/>
              </w:rPr>
              <w:t>Low-income</w:t>
            </w:r>
          </w:p>
        </w:tc>
        <w:tc>
          <w:tcPr>
            <w:tcW w:w="1754" w:type="dxa"/>
            <w:shd w:val="clear" w:color="auto" w:fill="auto"/>
            <w:vAlign w:val="center"/>
          </w:tcPr>
          <w:p w14:paraId="40AF47CB" w14:textId="77777777" w:rsidR="00FD5EDE" w:rsidRPr="009E2C29" w:rsidRDefault="00FD5EDE" w:rsidP="009554A3">
            <w:pPr>
              <w:jc w:val="center"/>
              <w:rPr>
                <w:i/>
              </w:rPr>
            </w:pPr>
            <w:r>
              <w:rPr>
                <w:i/>
              </w:rPr>
              <w:t>534</w:t>
            </w:r>
          </w:p>
        </w:tc>
        <w:tc>
          <w:tcPr>
            <w:tcW w:w="1887" w:type="dxa"/>
            <w:shd w:val="clear" w:color="auto" w:fill="auto"/>
            <w:vAlign w:val="center"/>
          </w:tcPr>
          <w:p w14:paraId="1F621502" w14:textId="77777777" w:rsidR="00FD5EDE" w:rsidRPr="009E2C29" w:rsidRDefault="00FD5EDE" w:rsidP="009554A3">
            <w:pPr>
              <w:jc w:val="center"/>
              <w:rPr>
                <w:i/>
              </w:rPr>
            </w:pPr>
            <w:r>
              <w:rPr>
                <w:i/>
              </w:rPr>
              <w:t>$1,780,000</w:t>
            </w:r>
          </w:p>
        </w:tc>
        <w:tc>
          <w:tcPr>
            <w:tcW w:w="1782" w:type="dxa"/>
            <w:shd w:val="clear" w:color="auto" w:fill="auto"/>
            <w:vAlign w:val="center"/>
          </w:tcPr>
          <w:p w14:paraId="10CCB489" w14:textId="77777777" w:rsidR="00FD5EDE" w:rsidRPr="009E2C29" w:rsidRDefault="00FD5EDE" w:rsidP="009554A3">
            <w:pPr>
              <w:jc w:val="center"/>
              <w:rPr>
                <w:i/>
              </w:rPr>
            </w:pPr>
            <w:r w:rsidRPr="009E2C29">
              <w:rPr>
                <w:i/>
              </w:rPr>
              <w:t>521</w:t>
            </w:r>
          </w:p>
        </w:tc>
        <w:tc>
          <w:tcPr>
            <w:tcW w:w="1594" w:type="dxa"/>
            <w:shd w:val="clear" w:color="auto" w:fill="auto"/>
            <w:vAlign w:val="center"/>
          </w:tcPr>
          <w:p w14:paraId="1836B833" w14:textId="77777777" w:rsidR="00FD5EDE" w:rsidRPr="009E2C29" w:rsidRDefault="00FD5EDE" w:rsidP="009554A3">
            <w:pPr>
              <w:jc w:val="center"/>
              <w:rPr>
                <w:i/>
              </w:rPr>
            </w:pPr>
            <w:r w:rsidRPr="009E2C29">
              <w:rPr>
                <w:i/>
              </w:rPr>
              <w:t>$1,840,000</w:t>
            </w:r>
          </w:p>
        </w:tc>
      </w:tr>
      <w:tr w:rsidR="00FD5EDE" w:rsidRPr="009355D6" w14:paraId="0B767DD7" w14:textId="77777777" w:rsidTr="009554A3">
        <w:tc>
          <w:tcPr>
            <w:tcW w:w="2415" w:type="dxa"/>
            <w:shd w:val="clear" w:color="auto" w:fill="auto"/>
          </w:tcPr>
          <w:p w14:paraId="28E1D5EE" w14:textId="77777777" w:rsidR="00FD5EDE" w:rsidRPr="009E2C29" w:rsidRDefault="00FD5EDE" w:rsidP="009554A3">
            <w:pPr>
              <w:rPr>
                <w:i/>
              </w:rPr>
            </w:pPr>
            <w:r w:rsidRPr="009E2C29">
              <w:rPr>
                <w:i/>
              </w:rPr>
              <w:t>Home Energy Reports</w:t>
            </w:r>
          </w:p>
        </w:tc>
        <w:tc>
          <w:tcPr>
            <w:tcW w:w="1754" w:type="dxa"/>
            <w:shd w:val="clear" w:color="auto" w:fill="auto"/>
            <w:vAlign w:val="center"/>
          </w:tcPr>
          <w:p w14:paraId="7AD8E359" w14:textId="77777777" w:rsidR="00FD5EDE" w:rsidRPr="009E2C29" w:rsidRDefault="00FD5EDE" w:rsidP="009554A3">
            <w:pPr>
              <w:jc w:val="center"/>
              <w:rPr>
                <w:i/>
              </w:rPr>
            </w:pPr>
            <w:r>
              <w:rPr>
                <w:i/>
              </w:rPr>
              <w:t>9,773</w:t>
            </w:r>
          </w:p>
        </w:tc>
        <w:tc>
          <w:tcPr>
            <w:tcW w:w="1887" w:type="dxa"/>
            <w:shd w:val="clear" w:color="auto" w:fill="auto"/>
            <w:vAlign w:val="center"/>
          </w:tcPr>
          <w:p w14:paraId="6D96D001" w14:textId="77777777" w:rsidR="00FD5EDE" w:rsidRPr="009E2C29" w:rsidRDefault="00FD5EDE" w:rsidP="009554A3">
            <w:pPr>
              <w:jc w:val="center"/>
              <w:rPr>
                <w:i/>
              </w:rPr>
            </w:pPr>
            <w:r>
              <w:rPr>
                <w:i/>
              </w:rPr>
              <w:t>$741,433</w:t>
            </w:r>
          </w:p>
        </w:tc>
        <w:tc>
          <w:tcPr>
            <w:tcW w:w="1782" w:type="dxa"/>
            <w:shd w:val="clear" w:color="auto" w:fill="auto"/>
            <w:vAlign w:val="center"/>
          </w:tcPr>
          <w:p w14:paraId="4DB6AE2C" w14:textId="77777777" w:rsidR="00FD5EDE" w:rsidRPr="009E2C29" w:rsidRDefault="00FD5EDE" w:rsidP="009554A3">
            <w:pPr>
              <w:jc w:val="center"/>
              <w:rPr>
                <w:i/>
              </w:rPr>
            </w:pPr>
            <w:r w:rsidRPr="009E2C29">
              <w:rPr>
                <w:i/>
              </w:rPr>
              <w:t>10,885</w:t>
            </w:r>
          </w:p>
        </w:tc>
        <w:tc>
          <w:tcPr>
            <w:tcW w:w="1594" w:type="dxa"/>
            <w:shd w:val="clear" w:color="auto" w:fill="auto"/>
            <w:vAlign w:val="center"/>
          </w:tcPr>
          <w:p w14:paraId="7444B8E7" w14:textId="77777777" w:rsidR="00FD5EDE" w:rsidRPr="009E2C29" w:rsidRDefault="00FD5EDE" w:rsidP="009554A3">
            <w:pPr>
              <w:jc w:val="center"/>
              <w:rPr>
                <w:i/>
              </w:rPr>
            </w:pPr>
            <w:r w:rsidRPr="009E2C29">
              <w:rPr>
                <w:i/>
              </w:rPr>
              <w:t>$288,000</w:t>
            </w:r>
          </w:p>
        </w:tc>
      </w:tr>
      <w:tr w:rsidR="00FD5EDE" w:rsidRPr="009355D6" w14:paraId="329E96FF" w14:textId="77777777" w:rsidTr="009554A3">
        <w:tc>
          <w:tcPr>
            <w:tcW w:w="2415" w:type="dxa"/>
            <w:shd w:val="clear" w:color="auto" w:fill="auto"/>
          </w:tcPr>
          <w:p w14:paraId="5BC667C3" w14:textId="77777777" w:rsidR="00FD5EDE" w:rsidRPr="009E2C29" w:rsidRDefault="00FD5EDE" w:rsidP="009554A3">
            <w:r>
              <w:t>Residential Total</w:t>
            </w:r>
          </w:p>
        </w:tc>
        <w:tc>
          <w:tcPr>
            <w:tcW w:w="1754" w:type="dxa"/>
            <w:shd w:val="clear" w:color="auto" w:fill="auto"/>
            <w:vAlign w:val="center"/>
          </w:tcPr>
          <w:p w14:paraId="658788B1" w14:textId="77777777" w:rsidR="00FD5EDE" w:rsidRPr="009E2C29" w:rsidRDefault="00FD5EDE" w:rsidP="009554A3">
            <w:pPr>
              <w:jc w:val="center"/>
            </w:pPr>
            <w:r>
              <w:t>38,819</w:t>
            </w:r>
          </w:p>
        </w:tc>
        <w:tc>
          <w:tcPr>
            <w:tcW w:w="1887" w:type="dxa"/>
            <w:shd w:val="clear" w:color="auto" w:fill="auto"/>
            <w:vAlign w:val="center"/>
          </w:tcPr>
          <w:p w14:paraId="1B93DAE0" w14:textId="77777777" w:rsidR="00FD5EDE" w:rsidRPr="009E2C29" w:rsidRDefault="00FD5EDE" w:rsidP="009554A3">
            <w:pPr>
              <w:jc w:val="center"/>
            </w:pPr>
            <w:r>
              <w:t>$9,364,755</w:t>
            </w:r>
          </w:p>
        </w:tc>
        <w:tc>
          <w:tcPr>
            <w:tcW w:w="1782" w:type="dxa"/>
            <w:shd w:val="clear" w:color="auto" w:fill="auto"/>
            <w:vAlign w:val="center"/>
          </w:tcPr>
          <w:p w14:paraId="12407E6C" w14:textId="77777777" w:rsidR="00FD5EDE" w:rsidRPr="009E2C29" w:rsidRDefault="00FD5EDE" w:rsidP="009554A3">
            <w:pPr>
              <w:jc w:val="center"/>
            </w:pPr>
            <w:r w:rsidRPr="009E2C29">
              <w:t>30,918</w:t>
            </w:r>
          </w:p>
        </w:tc>
        <w:tc>
          <w:tcPr>
            <w:tcW w:w="1594" w:type="dxa"/>
            <w:shd w:val="clear" w:color="auto" w:fill="auto"/>
            <w:vAlign w:val="center"/>
          </w:tcPr>
          <w:p w14:paraId="4F3EADCE" w14:textId="77777777" w:rsidR="00FD5EDE" w:rsidRPr="009E2C29" w:rsidRDefault="00FD5EDE" w:rsidP="009554A3">
            <w:pPr>
              <w:jc w:val="center"/>
            </w:pPr>
            <w:r w:rsidRPr="009E2C29">
              <w:t>$6,473,</w:t>
            </w:r>
            <w:r>
              <w:t>000</w:t>
            </w:r>
          </w:p>
        </w:tc>
      </w:tr>
      <w:tr w:rsidR="00FD5EDE" w:rsidRPr="009355D6" w14:paraId="214E1D1C" w14:textId="77777777" w:rsidTr="009554A3">
        <w:tc>
          <w:tcPr>
            <w:tcW w:w="2415" w:type="dxa"/>
            <w:shd w:val="clear" w:color="auto" w:fill="auto"/>
          </w:tcPr>
          <w:p w14:paraId="09138257" w14:textId="77777777" w:rsidR="00FD5EDE" w:rsidRPr="009E2C29" w:rsidRDefault="00FD5EDE" w:rsidP="009554A3">
            <w:r w:rsidRPr="009E2C29">
              <w:t>Non-Residential</w:t>
            </w:r>
          </w:p>
        </w:tc>
        <w:tc>
          <w:tcPr>
            <w:tcW w:w="1754" w:type="dxa"/>
            <w:shd w:val="clear" w:color="auto" w:fill="auto"/>
            <w:vAlign w:val="center"/>
          </w:tcPr>
          <w:p w14:paraId="4C7C04F1" w14:textId="77777777" w:rsidR="00FD5EDE" w:rsidRPr="009E2C29" w:rsidRDefault="00FD5EDE" w:rsidP="009554A3">
            <w:pPr>
              <w:jc w:val="center"/>
            </w:pPr>
            <w:r>
              <w:t>52,812</w:t>
            </w:r>
          </w:p>
        </w:tc>
        <w:tc>
          <w:tcPr>
            <w:tcW w:w="1887" w:type="dxa"/>
            <w:shd w:val="clear" w:color="auto" w:fill="auto"/>
            <w:vAlign w:val="center"/>
          </w:tcPr>
          <w:p w14:paraId="4CD67A60" w14:textId="77777777" w:rsidR="00FD5EDE" w:rsidRPr="009E2C29" w:rsidRDefault="00FD5EDE" w:rsidP="009554A3">
            <w:pPr>
              <w:jc w:val="center"/>
            </w:pPr>
            <w:r>
              <w:t>$11,616,614</w:t>
            </w:r>
          </w:p>
        </w:tc>
        <w:tc>
          <w:tcPr>
            <w:tcW w:w="1782" w:type="dxa"/>
            <w:shd w:val="clear" w:color="auto" w:fill="auto"/>
            <w:vAlign w:val="center"/>
          </w:tcPr>
          <w:p w14:paraId="5B219322" w14:textId="77777777" w:rsidR="00FD5EDE" w:rsidRPr="009E2C29" w:rsidRDefault="00FD5EDE" w:rsidP="009554A3">
            <w:pPr>
              <w:jc w:val="center"/>
            </w:pPr>
            <w:r w:rsidRPr="009E2C29">
              <w:t>47,944</w:t>
            </w:r>
          </w:p>
        </w:tc>
        <w:tc>
          <w:tcPr>
            <w:tcW w:w="1594" w:type="dxa"/>
            <w:shd w:val="clear" w:color="auto" w:fill="auto"/>
            <w:vAlign w:val="center"/>
          </w:tcPr>
          <w:p w14:paraId="32166C86" w14:textId="77777777" w:rsidR="00FD5EDE" w:rsidRPr="009E2C29" w:rsidRDefault="00FD5EDE" w:rsidP="009554A3">
            <w:pPr>
              <w:jc w:val="center"/>
            </w:pPr>
            <w:r w:rsidRPr="009E2C29">
              <w:t>$10,10</w:t>
            </w:r>
            <w:r>
              <w:t>7</w:t>
            </w:r>
            <w:r w:rsidRPr="009E2C29">
              <w:t>,</w:t>
            </w:r>
            <w:r>
              <w:t>000</w:t>
            </w:r>
          </w:p>
        </w:tc>
      </w:tr>
      <w:tr w:rsidR="00FD5EDE" w:rsidRPr="009355D6" w14:paraId="7297E395" w14:textId="77777777" w:rsidTr="009554A3">
        <w:tc>
          <w:tcPr>
            <w:tcW w:w="2415" w:type="dxa"/>
            <w:shd w:val="clear" w:color="auto" w:fill="auto"/>
          </w:tcPr>
          <w:p w14:paraId="4CBF7923" w14:textId="77777777" w:rsidR="00FD5EDE" w:rsidRPr="009E2C29" w:rsidRDefault="00FD5EDE" w:rsidP="009554A3">
            <w:r w:rsidRPr="009E2C29">
              <w:t>Pilots</w:t>
            </w:r>
          </w:p>
        </w:tc>
        <w:tc>
          <w:tcPr>
            <w:tcW w:w="1754" w:type="dxa"/>
            <w:shd w:val="clear" w:color="auto" w:fill="auto"/>
            <w:vAlign w:val="center"/>
          </w:tcPr>
          <w:p w14:paraId="689715DE" w14:textId="77777777" w:rsidR="00FD5EDE" w:rsidRPr="009E2C29" w:rsidRDefault="00FD5EDE" w:rsidP="009554A3">
            <w:pPr>
              <w:jc w:val="center"/>
            </w:pPr>
            <w:r w:rsidRPr="009E2C29">
              <w:t>-</w:t>
            </w:r>
          </w:p>
        </w:tc>
        <w:tc>
          <w:tcPr>
            <w:tcW w:w="1887" w:type="dxa"/>
            <w:shd w:val="clear" w:color="auto" w:fill="auto"/>
            <w:vAlign w:val="center"/>
          </w:tcPr>
          <w:p w14:paraId="072EE3E8" w14:textId="77777777" w:rsidR="00FD5EDE" w:rsidRPr="009E2C29" w:rsidRDefault="00FD5EDE" w:rsidP="009554A3">
            <w:pPr>
              <w:jc w:val="center"/>
            </w:pPr>
            <w:r w:rsidRPr="009E2C29">
              <w:t>-</w:t>
            </w:r>
          </w:p>
        </w:tc>
        <w:tc>
          <w:tcPr>
            <w:tcW w:w="1782" w:type="dxa"/>
            <w:shd w:val="clear" w:color="auto" w:fill="auto"/>
            <w:vAlign w:val="center"/>
          </w:tcPr>
          <w:p w14:paraId="2CE9F13B" w14:textId="77777777" w:rsidR="00FD5EDE" w:rsidRPr="009E2C29" w:rsidRDefault="00FD5EDE" w:rsidP="009554A3">
            <w:pPr>
              <w:jc w:val="center"/>
            </w:pPr>
            <w:r w:rsidRPr="009E2C29">
              <w:t>-</w:t>
            </w:r>
          </w:p>
        </w:tc>
        <w:tc>
          <w:tcPr>
            <w:tcW w:w="1594" w:type="dxa"/>
            <w:shd w:val="clear" w:color="auto" w:fill="auto"/>
            <w:vAlign w:val="center"/>
          </w:tcPr>
          <w:p w14:paraId="25D835E2" w14:textId="77777777" w:rsidR="00FD5EDE" w:rsidRPr="009E2C29" w:rsidRDefault="00FD5EDE" w:rsidP="009554A3">
            <w:pPr>
              <w:jc w:val="center"/>
            </w:pPr>
            <w:r w:rsidRPr="009E2C29">
              <w:t>-</w:t>
            </w:r>
          </w:p>
        </w:tc>
      </w:tr>
      <w:tr w:rsidR="00FD5EDE" w:rsidRPr="009355D6" w14:paraId="38AA1321" w14:textId="77777777" w:rsidTr="009554A3">
        <w:tc>
          <w:tcPr>
            <w:tcW w:w="2415" w:type="dxa"/>
            <w:shd w:val="clear" w:color="auto" w:fill="auto"/>
          </w:tcPr>
          <w:p w14:paraId="4802CC15" w14:textId="77777777" w:rsidR="00FD5EDE" w:rsidRPr="009E2C29" w:rsidRDefault="00FD5EDE" w:rsidP="009554A3">
            <w:r>
              <w:t>NEEA</w:t>
            </w:r>
          </w:p>
        </w:tc>
        <w:tc>
          <w:tcPr>
            <w:tcW w:w="1754" w:type="dxa"/>
            <w:shd w:val="clear" w:color="auto" w:fill="auto"/>
            <w:vAlign w:val="center"/>
          </w:tcPr>
          <w:p w14:paraId="2E5C0C55" w14:textId="77777777" w:rsidR="00FD5EDE" w:rsidRPr="009E2C29" w:rsidRDefault="00FD5EDE" w:rsidP="009554A3">
            <w:pPr>
              <w:jc w:val="center"/>
            </w:pPr>
            <w:r>
              <w:t>5,245</w:t>
            </w:r>
          </w:p>
        </w:tc>
        <w:tc>
          <w:tcPr>
            <w:tcW w:w="1887" w:type="dxa"/>
            <w:shd w:val="clear" w:color="auto" w:fill="auto"/>
            <w:vAlign w:val="center"/>
          </w:tcPr>
          <w:p w14:paraId="1C51F664" w14:textId="77777777" w:rsidR="00FD5EDE" w:rsidRPr="009E2C29" w:rsidRDefault="00FD5EDE" w:rsidP="009554A3">
            <w:pPr>
              <w:jc w:val="center"/>
            </w:pPr>
            <w:r>
              <w:t>$1,821,451</w:t>
            </w:r>
          </w:p>
        </w:tc>
        <w:tc>
          <w:tcPr>
            <w:tcW w:w="1782" w:type="dxa"/>
            <w:shd w:val="clear" w:color="auto" w:fill="auto"/>
            <w:vAlign w:val="center"/>
          </w:tcPr>
          <w:p w14:paraId="0F66282F" w14:textId="77777777" w:rsidR="00FD5EDE" w:rsidRPr="009E2C29" w:rsidRDefault="00FD5EDE" w:rsidP="009554A3">
            <w:pPr>
              <w:jc w:val="center"/>
            </w:pPr>
            <w:r w:rsidRPr="009E2C29">
              <w:t>14,330</w:t>
            </w:r>
          </w:p>
        </w:tc>
        <w:tc>
          <w:tcPr>
            <w:tcW w:w="1594" w:type="dxa"/>
            <w:shd w:val="clear" w:color="auto" w:fill="auto"/>
            <w:vAlign w:val="center"/>
          </w:tcPr>
          <w:p w14:paraId="5D203BFC" w14:textId="77777777" w:rsidR="00FD5EDE" w:rsidRPr="009E2C29" w:rsidRDefault="00FD5EDE" w:rsidP="009554A3">
            <w:pPr>
              <w:jc w:val="center"/>
            </w:pPr>
            <w:r w:rsidRPr="009E2C29">
              <w:t>$2,393,</w:t>
            </w:r>
            <w:r>
              <w:t>000</w:t>
            </w:r>
          </w:p>
        </w:tc>
      </w:tr>
      <w:tr w:rsidR="00FD5EDE" w:rsidRPr="009355D6" w14:paraId="7A858C04" w14:textId="77777777" w:rsidTr="009554A3">
        <w:tc>
          <w:tcPr>
            <w:tcW w:w="2415" w:type="dxa"/>
            <w:shd w:val="clear" w:color="auto" w:fill="auto"/>
          </w:tcPr>
          <w:p w14:paraId="6FACB7FF" w14:textId="77777777" w:rsidR="00FD5EDE" w:rsidRPr="009E2C29" w:rsidRDefault="00FD5EDE" w:rsidP="009554A3">
            <w:r w:rsidRPr="009E2C29">
              <w:t>Administration/Other</w:t>
            </w:r>
          </w:p>
        </w:tc>
        <w:tc>
          <w:tcPr>
            <w:tcW w:w="1754" w:type="dxa"/>
            <w:shd w:val="clear" w:color="auto" w:fill="auto"/>
            <w:vAlign w:val="center"/>
          </w:tcPr>
          <w:p w14:paraId="501B97C3" w14:textId="77777777" w:rsidR="00FD5EDE" w:rsidRPr="009E2C29" w:rsidRDefault="00FD5EDE" w:rsidP="009554A3">
            <w:pPr>
              <w:jc w:val="center"/>
            </w:pPr>
            <w:r w:rsidRPr="009E2C29">
              <w:t>-</w:t>
            </w:r>
          </w:p>
        </w:tc>
        <w:tc>
          <w:tcPr>
            <w:tcW w:w="1887" w:type="dxa"/>
            <w:shd w:val="clear" w:color="auto" w:fill="auto"/>
            <w:vAlign w:val="center"/>
          </w:tcPr>
          <w:p w14:paraId="4D9A03DB" w14:textId="77777777" w:rsidR="00FD5EDE" w:rsidRPr="009E2C29" w:rsidRDefault="00FD5EDE" w:rsidP="009554A3">
            <w:pPr>
              <w:jc w:val="center"/>
            </w:pPr>
            <w:r>
              <w:t>$1,757,709</w:t>
            </w:r>
          </w:p>
        </w:tc>
        <w:tc>
          <w:tcPr>
            <w:tcW w:w="1782" w:type="dxa"/>
            <w:shd w:val="clear" w:color="auto" w:fill="auto"/>
            <w:vAlign w:val="center"/>
          </w:tcPr>
          <w:p w14:paraId="2892D79B" w14:textId="77777777" w:rsidR="00FD5EDE" w:rsidRPr="009E2C29" w:rsidRDefault="00FD5EDE" w:rsidP="009554A3">
            <w:pPr>
              <w:jc w:val="center"/>
            </w:pPr>
            <w:r w:rsidRPr="009E2C29">
              <w:t>-</w:t>
            </w:r>
          </w:p>
        </w:tc>
        <w:tc>
          <w:tcPr>
            <w:tcW w:w="1594" w:type="dxa"/>
            <w:shd w:val="clear" w:color="auto" w:fill="auto"/>
            <w:vAlign w:val="center"/>
          </w:tcPr>
          <w:p w14:paraId="24661021" w14:textId="77777777" w:rsidR="00FD5EDE" w:rsidRPr="009E2C29" w:rsidRDefault="00FD5EDE" w:rsidP="009554A3">
            <w:pPr>
              <w:jc w:val="center"/>
            </w:pPr>
            <w:r w:rsidRPr="009E2C29">
              <w:t>$1,751,</w:t>
            </w:r>
            <w:r>
              <w:t>000</w:t>
            </w:r>
          </w:p>
        </w:tc>
      </w:tr>
      <w:tr w:rsidR="00FD5EDE" w:rsidRPr="00810777" w14:paraId="2E7246EE" w14:textId="77777777" w:rsidTr="009554A3">
        <w:tc>
          <w:tcPr>
            <w:tcW w:w="2415" w:type="dxa"/>
            <w:shd w:val="clear" w:color="auto" w:fill="auto"/>
          </w:tcPr>
          <w:p w14:paraId="705960F9" w14:textId="77777777" w:rsidR="00FD5EDE" w:rsidRPr="009E2C29" w:rsidRDefault="00FD5EDE" w:rsidP="009554A3">
            <w:pPr>
              <w:rPr>
                <w:b/>
              </w:rPr>
            </w:pPr>
            <w:r w:rsidRPr="009E2C29">
              <w:rPr>
                <w:b/>
              </w:rPr>
              <w:t>Total</w:t>
            </w:r>
          </w:p>
        </w:tc>
        <w:tc>
          <w:tcPr>
            <w:tcW w:w="1754" w:type="dxa"/>
            <w:shd w:val="clear" w:color="auto" w:fill="auto"/>
            <w:vAlign w:val="center"/>
          </w:tcPr>
          <w:p w14:paraId="2FEA2379" w14:textId="77777777" w:rsidR="00FD5EDE" w:rsidRPr="009E2C29" w:rsidRDefault="00FD5EDE" w:rsidP="009554A3">
            <w:pPr>
              <w:jc w:val="center"/>
              <w:rPr>
                <w:b/>
              </w:rPr>
            </w:pPr>
            <w:r>
              <w:rPr>
                <w:b/>
              </w:rPr>
              <w:t>96,876</w:t>
            </w:r>
          </w:p>
        </w:tc>
        <w:tc>
          <w:tcPr>
            <w:tcW w:w="1887" w:type="dxa"/>
            <w:shd w:val="clear" w:color="auto" w:fill="auto"/>
            <w:vAlign w:val="center"/>
          </w:tcPr>
          <w:p w14:paraId="445FABE7" w14:textId="77777777" w:rsidR="00FD5EDE" w:rsidRPr="009E2C29" w:rsidRDefault="00FD5EDE" w:rsidP="009554A3">
            <w:pPr>
              <w:jc w:val="center"/>
              <w:rPr>
                <w:b/>
              </w:rPr>
            </w:pPr>
            <w:r>
              <w:rPr>
                <w:b/>
              </w:rPr>
              <w:t>$24,560,529</w:t>
            </w:r>
          </w:p>
        </w:tc>
        <w:tc>
          <w:tcPr>
            <w:tcW w:w="1782" w:type="dxa"/>
            <w:shd w:val="clear" w:color="auto" w:fill="auto"/>
            <w:vAlign w:val="center"/>
          </w:tcPr>
          <w:p w14:paraId="255299AE" w14:textId="77777777" w:rsidR="00FD5EDE" w:rsidRPr="009E2C29" w:rsidRDefault="00FD5EDE" w:rsidP="009554A3">
            <w:pPr>
              <w:jc w:val="center"/>
              <w:rPr>
                <w:b/>
              </w:rPr>
            </w:pPr>
            <w:r w:rsidRPr="009E2C29">
              <w:rPr>
                <w:b/>
              </w:rPr>
              <w:t>93,193</w:t>
            </w:r>
          </w:p>
        </w:tc>
        <w:tc>
          <w:tcPr>
            <w:tcW w:w="1594" w:type="dxa"/>
            <w:shd w:val="clear" w:color="auto" w:fill="auto"/>
            <w:vAlign w:val="center"/>
          </w:tcPr>
          <w:p w14:paraId="6CDE7D1A" w14:textId="77777777" w:rsidR="00FD5EDE" w:rsidRPr="009E2C29" w:rsidRDefault="00FD5EDE" w:rsidP="009554A3">
            <w:pPr>
              <w:jc w:val="center"/>
              <w:rPr>
                <w:b/>
              </w:rPr>
            </w:pPr>
            <w:r>
              <w:rPr>
                <w:b/>
              </w:rPr>
              <w:t>$20,725</w:t>
            </w:r>
            <w:r w:rsidRPr="009E2C29">
              <w:rPr>
                <w:b/>
              </w:rPr>
              <w:t>,</w:t>
            </w:r>
            <w:r>
              <w:rPr>
                <w:b/>
              </w:rPr>
              <w:t>000</w:t>
            </w:r>
            <w:r w:rsidRPr="009E2C29">
              <w:rPr>
                <w:b/>
              </w:rPr>
              <w:fldChar w:fldCharType="begin"/>
            </w:r>
            <w:r w:rsidRPr="009E2C29">
              <w:rPr>
                <w:b/>
              </w:rPr>
              <w:instrText xml:space="preserve"> =SUM(ABOVE) </w:instrText>
            </w:r>
            <w:r w:rsidRPr="009E2C29">
              <w:rPr>
                <w:b/>
              </w:rPr>
              <w:fldChar w:fldCharType="end"/>
            </w:r>
          </w:p>
        </w:tc>
      </w:tr>
    </w:tbl>
    <w:p w14:paraId="7117F54B" w14:textId="77777777" w:rsidR="00FD5EDE" w:rsidRPr="00726F75" w:rsidRDefault="00FD5EDE" w:rsidP="00726F75">
      <w:pPr>
        <w:ind w:left="720"/>
        <w:rPr>
          <w:sz w:val="20"/>
          <w:szCs w:val="20"/>
        </w:rPr>
      </w:pPr>
      <w:r w:rsidRPr="00DE003F">
        <w:rPr>
          <w:sz w:val="20"/>
          <w:szCs w:val="20"/>
        </w:rPr>
        <w:t xml:space="preserve">Note: </w:t>
      </w:r>
      <w:r>
        <w:rPr>
          <w:sz w:val="20"/>
          <w:szCs w:val="20"/>
        </w:rPr>
        <w:t>2014-2015 values are as filed in the 2014-2015 BCP in Docket UE-132047 (pg. 4). Columns may not add to totals, due to rounding.</w:t>
      </w:r>
      <w:r w:rsidR="00726F75">
        <w:rPr>
          <w:sz w:val="20"/>
          <w:szCs w:val="20"/>
        </w:rPr>
        <w:br/>
      </w:r>
    </w:p>
    <w:p w14:paraId="3F2A4079" w14:textId="00B8A1A7" w:rsidR="00F5625E" w:rsidRPr="00B36BDF" w:rsidRDefault="00FD3C67" w:rsidP="002239E2">
      <w:pPr>
        <w:numPr>
          <w:ilvl w:val="0"/>
          <w:numId w:val="1"/>
        </w:numPr>
        <w:tabs>
          <w:tab w:val="clear" w:pos="720"/>
          <w:tab w:val="left" w:pos="0"/>
        </w:tabs>
        <w:spacing w:after="240" w:line="288" w:lineRule="auto"/>
        <w:ind w:left="0"/>
      </w:pPr>
      <w:r>
        <w:t xml:space="preserve">Commission </w:t>
      </w:r>
      <w:r w:rsidR="002239E2">
        <w:t>S</w:t>
      </w:r>
      <w:r>
        <w:t>taff (</w:t>
      </w:r>
      <w:r w:rsidR="00352140">
        <w:t>Staff</w:t>
      </w:r>
      <w:r>
        <w:t>)</w:t>
      </w:r>
      <w:r w:rsidR="00352140">
        <w:t xml:space="preserve"> filed comments in this docket </w:t>
      </w:r>
      <w:r w:rsidR="00211ED8">
        <w:t>detailing</w:t>
      </w:r>
      <w:r w:rsidR="00352140">
        <w:t xml:space="preserve"> its evaluation of Pacific Power’s filing. </w:t>
      </w:r>
      <w:r w:rsidR="00ED7BFC" w:rsidRPr="00B36BDF">
        <w:t xml:space="preserve">Overall, </w:t>
      </w:r>
      <w:r w:rsidR="00EC3398" w:rsidRPr="004454CF">
        <w:t xml:space="preserve">Staff is </w:t>
      </w:r>
      <w:r w:rsidR="00EC3398">
        <w:t>satisfied with</w:t>
      </w:r>
      <w:r w:rsidR="00EC3398" w:rsidRPr="004454CF">
        <w:t xml:space="preserve"> Pacific Power’s 2016-2017 BCP, which demonstrates </w:t>
      </w:r>
      <w:r w:rsidR="00352140">
        <w:t>the Company’s</w:t>
      </w:r>
      <w:r w:rsidR="00EC3398" w:rsidRPr="004454CF">
        <w:t xml:space="preserve"> strong commitment to pursue all reliable, co</w:t>
      </w:r>
      <w:r w:rsidR="00352140">
        <w:t>st-effective conservation. The C</w:t>
      </w:r>
      <w:r w:rsidR="00EC3398" w:rsidRPr="004454CF">
        <w:t>ompany’s CPA appears to have followed the Council’s methodology</w:t>
      </w:r>
      <w:r w:rsidR="00211ED8">
        <w:t>,</w:t>
      </w:r>
      <w:r w:rsidR="00EC3398" w:rsidRPr="004454CF">
        <w:t xml:space="preserve"> accurately captured the rapidly evolving energy efficiency industry</w:t>
      </w:r>
      <w:r w:rsidR="00211ED8">
        <w:t>,</w:t>
      </w:r>
      <w:r w:rsidR="00EC3398" w:rsidRPr="004454CF">
        <w:t xml:space="preserve"> and identified new </w:t>
      </w:r>
      <w:r w:rsidR="00211ED8">
        <w:t>opportunities that allowed the C</w:t>
      </w:r>
      <w:r w:rsidR="00EC3398" w:rsidRPr="004454CF">
        <w:t>ompany to set a target for the upcoming biennium that is 17.5 percent higher than the current biennial target.</w:t>
      </w:r>
    </w:p>
    <w:p w14:paraId="52F8301B" w14:textId="11C8C603" w:rsidR="00A11CA7" w:rsidRPr="00B36BDF" w:rsidRDefault="00F84AC3" w:rsidP="002239E2">
      <w:pPr>
        <w:numPr>
          <w:ilvl w:val="0"/>
          <w:numId w:val="1"/>
        </w:numPr>
        <w:tabs>
          <w:tab w:val="clear" w:pos="720"/>
          <w:tab w:val="left" w:pos="0"/>
        </w:tabs>
        <w:spacing w:after="240" w:line="288" w:lineRule="auto"/>
        <w:ind w:left="0"/>
      </w:pPr>
      <w:r w:rsidRPr="00B36BDF">
        <w:t xml:space="preserve">Staff </w:t>
      </w:r>
      <w:r w:rsidR="00EC3398">
        <w:t xml:space="preserve">is concerned, however, with the Company’s lack of pilot programs. </w:t>
      </w:r>
      <w:r w:rsidR="00EC3398" w:rsidRPr="004454CF">
        <w:t>Pacific Power’s 2016-2017 plan includes only one such program –</w:t>
      </w:r>
      <w:r w:rsidR="00C5634F">
        <w:t xml:space="preserve"> Be </w:t>
      </w:r>
      <w:r w:rsidR="002239E2">
        <w:t>W</w:t>
      </w:r>
      <w:r w:rsidR="00C5634F">
        <w:t>attsmart, Begin at Home – which</w:t>
      </w:r>
      <w:r w:rsidR="00EC3398" w:rsidRPr="004454CF">
        <w:t xml:space="preserve"> accounts for just 0.5</w:t>
      </w:r>
      <w:r w:rsidR="00EC3398">
        <w:t xml:space="preserve"> percent of </w:t>
      </w:r>
      <w:r w:rsidR="00211ED8">
        <w:t>its</w:t>
      </w:r>
      <w:r w:rsidR="00EC3398">
        <w:t xml:space="preserve"> two-year budget</w:t>
      </w:r>
      <w:r w:rsidR="00211ED8">
        <w:t>,</w:t>
      </w:r>
      <w:r w:rsidR="00EC3398">
        <w:t xml:space="preserve"> despite the Commission’s authorization in the Company’s 2014-2015 BCP to spend up to 10 percent of its budget on pilot programs. </w:t>
      </w:r>
      <w:r w:rsidR="00352140">
        <w:t>Given that the C</w:t>
      </w:r>
      <w:r w:rsidR="00C5634F" w:rsidRPr="004454CF">
        <w:t xml:space="preserve">ompany has identified a significant amount of potential savings within the next </w:t>
      </w:r>
      <w:r w:rsidR="00352140">
        <w:t>ten</w:t>
      </w:r>
      <w:r w:rsidR="00C5634F" w:rsidRPr="004454CF">
        <w:t xml:space="preserve"> years associated with new measures such as organic Rankine cycles and steam system optimization, Staff strongly encourages the </w:t>
      </w:r>
      <w:r w:rsidR="00352140">
        <w:t>C</w:t>
      </w:r>
      <w:r w:rsidR="00C5634F" w:rsidRPr="004454CF">
        <w:t>ompany to begin developing pilot programs to pursue those savings. Staff will work with Pacific Power, through the advisory group process, to identify potential pilot programs that will help enable future, cost-effective savings. These</w:t>
      </w:r>
      <w:r w:rsidR="00211ED8">
        <w:t xml:space="preserve"> types</w:t>
      </w:r>
      <w:r w:rsidR="00C5634F" w:rsidRPr="004454CF">
        <w:t xml:space="preserve"> of programs should be proposed as part of the </w:t>
      </w:r>
      <w:r w:rsidR="00211ED8">
        <w:t xml:space="preserve">Company’s </w:t>
      </w:r>
      <w:r w:rsidR="00C5634F" w:rsidRPr="004454CF">
        <w:t>December 1, 2016, annual plan update</w:t>
      </w:r>
      <w:r w:rsidR="00211ED8">
        <w:t xml:space="preserve"> filing</w:t>
      </w:r>
      <w:r w:rsidR="00C5634F">
        <w:t>.</w:t>
      </w:r>
    </w:p>
    <w:p w14:paraId="165A66F5" w14:textId="259F7CCF" w:rsidR="00595C0A" w:rsidRPr="00B36BDF" w:rsidRDefault="00FD3C67" w:rsidP="002239E2">
      <w:pPr>
        <w:numPr>
          <w:ilvl w:val="0"/>
          <w:numId w:val="1"/>
        </w:numPr>
        <w:tabs>
          <w:tab w:val="clear" w:pos="720"/>
          <w:tab w:val="left" w:pos="0"/>
        </w:tabs>
        <w:spacing w:after="240" w:line="288" w:lineRule="auto"/>
        <w:ind w:left="0"/>
      </w:pPr>
      <w:r>
        <w:lastRenderedPageBreak/>
        <w:t>Other than S</w:t>
      </w:r>
      <w:r w:rsidR="00C5634F">
        <w:t>taff, Public Counsel was the only party to file comments. Public Counsel summarized its participation in Pacific Power’s advisory grou</w:t>
      </w:r>
      <w:r w:rsidR="00352140">
        <w:t>p and the process by which the C</w:t>
      </w:r>
      <w:r w:rsidR="00C5634F">
        <w:t xml:space="preserve">ompany and the advisory group arrived at the </w:t>
      </w:r>
      <w:r w:rsidR="00352140">
        <w:t>ten</w:t>
      </w:r>
      <w:r w:rsidR="00C5634F">
        <w:t>-year potential and</w:t>
      </w:r>
      <w:r>
        <w:t xml:space="preserve"> biennial target. The comments </w:t>
      </w:r>
      <w:r w:rsidR="00C5634F">
        <w:t>expressed Public Counsel’s preference for utilities to up</w:t>
      </w:r>
      <w:r w:rsidR="00583F5A">
        <w:t>date their UES values each year −</w:t>
      </w:r>
      <w:r w:rsidR="00C5634F">
        <w:t xml:space="preserve"> rather than using locked values</w:t>
      </w:r>
      <w:r w:rsidR="00583F5A">
        <w:t>,</w:t>
      </w:r>
      <w:r w:rsidR="00C5634F">
        <w:t xml:space="preserve"> as Pacific Power does</w:t>
      </w:r>
      <w:r w:rsidR="00583F5A">
        <w:t xml:space="preserve"> −</w:t>
      </w:r>
      <w:r w:rsidR="00C5634F">
        <w:t xml:space="preserve"> and </w:t>
      </w:r>
      <w:r>
        <w:t xml:space="preserve">its </w:t>
      </w:r>
      <w:r w:rsidR="00C5634F">
        <w:t xml:space="preserve">potential concerns with the cost-effectiveness of the </w:t>
      </w:r>
      <w:r w:rsidR="00583F5A">
        <w:t>C</w:t>
      </w:r>
      <w:r w:rsidR="00C5634F">
        <w:t xml:space="preserve">ompany’s recent Home Energy Reports expansion. Public Counsel </w:t>
      </w:r>
      <w:r w:rsidR="009754F3">
        <w:t>expressed</w:t>
      </w:r>
      <w:r w:rsidR="00C5634F">
        <w:t xml:space="preserve"> support for Pacific Power’s ten-year potential and biennial target</w:t>
      </w:r>
      <w:r w:rsidR="009754F3">
        <w:t>,</w:t>
      </w:r>
      <w:r w:rsidR="00C5634F">
        <w:t xml:space="preserve"> subject to</w:t>
      </w:r>
      <w:r w:rsidR="00583F5A">
        <w:t xml:space="preserve"> conditions agreed upon by the C</w:t>
      </w:r>
      <w:r w:rsidR="00C5634F">
        <w:t>ompany and advisory group</w:t>
      </w:r>
      <w:r w:rsidR="00E5705E">
        <w:t>, which are provided as Appendix A to this order</w:t>
      </w:r>
      <w:r w:rsidR="00C5634F">
        <w:t xml:space="preserve">. </w:t>
      </w:r>
    </w:p>
    <w:p w14:paraId="252C951B" w14:textId="77777777" w:rsidR="00665C6E" w:rsidRPr="00352140" w:rsidRDefault="00665C6E" w:rsidP="00665C6E">
      <w:pPr>
        <w:spacing w:after="240" w:line="288" w:lineRule="auto"/>
        <w:jc w:val="center"/>
        <w:rPr>
          <w:b/>
        </w:rPr>
      </w:pPr>
      <w:r w:rsidRPr="00352140">
        <w:rPr>
          <w:b/>
        </w:rPr>
        <w:t xml:space="preserve">DISCUSSION </w:t>
      </w:r>
    </w:p>
    <w:p w14:paraId="3A60E6F4" w14:textId="77777777" w:rsidR="00FD4E91" w:rsidRPr="00B36BDF" w:rsidRDefault="00FD4E91" w:rsidP="002239E2">
      <w:pPr>
        <w:numPr>
          <w:ilvl w:val="0"/>
          <w:numId w:val="1"/>
        </w:numPr>
        <w:tabs>
          <w:tab w:val="clear" w:pos="720"/>
          <w:tab w:val="left" w:pos="0"/>
        </w:tabs>
        <w:spacing w:after="240" w:line="288" w:lineRule="auto"/>
        <w:ind w:left="0"/>
      </w:pPr>
      <w:r w:rsidRPr="00B36BDF">
        <w:t>Under RCW 19.285.040(1)(e), the Commission has authority to “rely on its standard practice for review and approval of investor-owned utility conservation targets.”  WAC 480</w:t>
      </w:r>
      <w:r w:rsidRPr="00B36BDF">
        <w:noBreakHyphen/>
        <w:t>109</w:t>
      </w:r>
      <w:r w:rsidRPr="00B36BDF">
        <w:noBreakHyphen/>
        <w:t xml:space="preserve">010 guides investor-owned utilities’ compliance with RCW 19.285.040(1).  </w:t>
      </w:r>
      <w:r w:rsidR="00CC328D" w:rsidRPr="00B36BDF">
        <w:t>Specifically, WAC 480-109-010(4) (c) provides that:</w:t>
      </w:r>
    </w:p>
    <w:p w14:paraId="3288F6AF" w14:textId="77777777" w:rsidR="00CC328D" w:rsidRPr="00B36BDF" w:rsidRDefault="00CC328D" w:rsidP="00CC328D">
      <w:pPr>
        <w:spacing w:after="240" w:line="288" w:lineRule="auto"/>
        <w:ind w:left="720"/>
      </w:pPr>
      <w:r w:rsidRPr="00B36BDF">
        <w:t>Upon conclusion of the commission review, the commission will determine whether to approve, approve with co</w:t>
      </w:r>
      <w:r w:rsidR="00583F5A">
        <w:t>nditions, or reject the utility’</w:t>
      </w:r>
      <w:r w:rsidRPr="00B36BDF">
        <w:t>s ten-year achievable conservation potential and biennial conservation target.</w:t>
      </w:r>
    </w:p>
    <w:p w14:paraId="4B6C5B75" w14:textId="20C0B731" w:rsidR="00B30190" w:rsidRPr="00B36BDF" w:rsidRDefault="00D4218C" w:rsidP="002239E2">
      <w:pPr>
        <w:numPr>
          <w:ilvl w:val="0"/>
          <w:numId w:val="1"/>
        </w:numPr>
        <w:tabs>
          <w:tab w:val="clear" w:pos="720"/>
          <w:tab w:val="left" w:pos="0"/>
        </w:tabs>
        <w:spacing w:after="240" w:line="288" w:lineRule="auto"/>
        <w:ind w:left="0"/>
      </w:pPr>
      <w:r w:rsidRPr="00B36BDF">
        <w:t xml:space="preserve">The Commission agrees with </w:t>
      </w:r>
      <w:r w:rsidR="00352140">
        <w:t>Staff’s recommendation and</w:t>
      </w:r>
      <w:r w:rsidR="006F611D" w:rsidRPr="00B36BDF">
        <w:t xml:space="preserve"> approve</w:t>
      </w:r>
      <w:r w:rsidR="00352140">
        <w:t>s</w:t>
      </w:r>
      <w:r w:rsidR="006F611D" w:rsidRPr="00B36BDF">
        <w:t xml:space="preserve"> </w:t>
      </w:r>
      <w:r w:rsidR="00352140">
        <w:t>Pacific Power</w:t>
      </w:r>
      <w:r w:rsidR="00D036E8" w:rsidRPr="00B36BDF">
        <w:t>’</w:t>
      </w:r>
      <w:r w:rsidR="006F611D" w:rsidRPr="00B36BDF">
        <w:t>s 201</w:t>
      </w:r>
      <w:r w:rsidR="00352140">
        <w:t>6</w:t>
      </w:r>
      <w:r w:rsidR="006F611D" w:rsidRPr="00B36BDF">
        <w:t>-202</w:t>
      </w:r>
      <w:r w:rsidR="00352140">
        <w:t>5</w:t>
      </w:r>
      <w:r w:rsidR="006F611D" w:rsidRPr="00B36BDF">
        <w:t xml:space="preserve"> achievable conservation potential of </w:t>
      </w:r>
      <w:r w:rsidR="00352140" w:rsidRPr="00B36BDF">
        <w:t xml:space="preserve">457,530 </w:t>
      </w:r>
      <w:r w:rsidR="006F611D" w:rsidRPr="00B36BDF">
        <w:t>MWh and its 201</w:t>
      </w:r>
      <w:r w:rsidR="00FD3C67">
        <w:t>6</w:t>
      </w:r>
      <w:r w:rsidR="006F611D" w:rsidRPr="00B36BDF">
        <w:t>-201</w:t>
      </w:r>
      <w:r w:rsidR="00FD3C67">
        <w:t>7</w:t>
      </w:r>
      <w:r w:rsidR="006F611D" w:rsidRPr="00B36BDF">
        <w:t xml:space="preserve"> biennial conservation target of </w:t>
      </w:r>
      <w:r w:rsidR="00352140">
        <w:t>87</w:t>
      </w:r>
      <w:r w:rsidR="00D036E8" w:rsidRPr="00B36BDF">
        <w:t>,</w:t>
      </w:r>
      <w:r w:rsidR="00352140">
        <w:t>814</w:t>
      </w:r>
      <w:r w:rsidR="006F611D" w:rsidRPr="00B36BDF">
        <w:t xml:space="preserve"> MWh</w:t>
      </w:r>
      <w:r w:rsidR="00E5705E">
        <w:t xml:space="preserve">, subject to the conditions in Appendix A, which have been agreed upon by the Company, Staff, and the advisory group </w:t>
      </w:r>
      <w:r w:rsidR="00583F5A">
        <w:t>Finally, we encourage Pacific Power to work with Staff</w:t>
      </w:r>
      <w:r w:rsidR="00FD3C67">
        <w:t>,</w:t>
      </w:r>
      <w:r w:rsidR="00583F5A">
        <w:t xml:space="preserve"> </w:t>
      </w:r>
      <w:r w:rsidR="00583F5A" w:rsidRPr="004454CF">
        <w:t>through the advisory group process, to identify potential pilot programs that will help enable future, cost-effective savings.</w:t>
      </w:r>
      <w:r w:rsidR="00583F5A">
        <w:t xml:space="preserve"> </w:t>
      </w:r>
    </w:p>
    <w:p w14:paraId="16FD8713" w14:textId="77777777" w:rsidR="00AB4CD3" w:rsidRPr="00352140" w:rsidRDefault="00AB4CD3" w:rsidP="001D11B2">
      <w:pPr>
        <w:spacing w:after="240" w:line="288" w:lineRule="auto"/>
        <w:ind w:left="-360" w:firstLine="360"/>
        <w:jc w:val="center"/>
        <w:rPr>
          <w:b/>
        </w:rPr>
      </w:pPr>
      <w:r w:rsidRPr="00352140">
        <w:rPr>
          <w:b/>
        </w:rPr>
        <w:t>FINDINGS AND CONCLUSIONS</w:t>
      </w:r>
    </w:p>
    <w:p w14:paraId="1733A924" w14:textId="77777777" w:rsidR="00AB4CD3" w:rsidRPr="00B36BDF" w:rsidRDefault="00AB4CD3" w:rsidP="002239E2">
      <w:pPr>
        <w:numPr>
          <w:ilvl w:val="0"/>
          <w:numId w:val="1"/>
        </w:numPr>
        <w:tabs>
          <w:tab w:val="clear" w:pos="720"/>
          <w:tab w:val="left" w:pos="0"/>
        </w:tabs>
        <w:spacing w:after="240" w:line="288" w:lineRule="auto"/>
        <w:ind w:hanging="1440"/>
        <w:rPr>
          <w:b/>
        </w:rPr>
      </w:pPr>
      <w:r w:rsidRPr="00B36BDF">
        <w:t>(1)</w:t>
      </w:r>
      <w:r w:rsidRPr="00B36BDF">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sidRPr="00B36BDF">
        <w:rPr>
          <w:b/>
        </w:rPr>
        <w:t xml:space="preserve"> </w:t>
      </w:r>
      <w:r w:rsidRPr="00B36BDF">
        <w:t xml:space="preserve">companies.  </w:t>
      </w:r>
    </w:p>
    <w:p w14:paraId="33EC7743" w14:textId="4D146DBC" w:rsidR="00AB4CD3" w:rsidRPr="00B36BDF" w:rsidRDefault="00AB4CD3" w:rsidP="002239E2">
      <w:pPr>
        <w:numPr>
          <w:ilvl w:val="0"/>
          <w:numId w:val="1"/>
        </w:numPr>
        <w:tabs>
          <w:tab w:val="clear" w:pos="720"/>
          <w:tab w:val="left" w:pos="0"/>
        </w:tabs>
        <w:spacing w:after="240" w:line="288" w:lineRule="auto"/>
        <w:ind w:hanging="1440"/>
        <w:rPr>
          <w:b/>
        </w:rPr>
      </w:pPr>
      <w:r w:rsidRPr="00B36BDF">
        <w:t>(2)</w:t>
      </w:r>
      <w:r w:rsidRPr="00B36BDF">
        <w:tab/>
        <w:t>The Commission has authority to determine investor-owned utilities’ compliance with RCW 1</w:t>
      </w:r>
      <w:r w:rsidR="00DA46BD">
        <w:t xml:space="preserve">9.285.040(1). </w:t>
      </w:r>
      <w:r w:rsidRPr="00B36BDF">
        <w:t>The Commission has authority to review and decide whether to approve investor-owned</w:t>
      </w:r>
      <w:r w:rsidR="00DA46BD">
        <w:t xml:space="preserve"> utility conservation targets. </w:t>
      </w:r>
      <w:r w:rsidRPr="00B36BDF">
        <w:t xml:space="preserve">The Commission </w:t>
      </w:r>
      <w:r w:rsidRPr="00B36BDF">
        <w:lastRenderedPageBreak/>
        <w:t>may rely on its standard practice</w:t>
      </w:r>
      <w:r w:rsidR="00DA46BD">
        <w:t xml:space="preserve"> in exercising that authority. </w:t>
      </w:r>
      <w:r w:rsidRPr="00B36BDF">
        <w:t>The Commission has adopted WAC 480</w:t>
      </w:r>
      <w:r w:rsidRPr="00B36BDF">
        <w:noBreakHyphen/>
        <w:t>109</w:t>
      </w:r>
      <w:r w:rsidRPr="00B36BDF">
        <w:noBreakHyphen/>
        <w:t>010 to implement RCW 19.285.040(1).</w:t>
      </w:r>
    </w:p>
    <w:p w14:paraId="11A80D20" w14:textId="77777777" w:rsidR="00AB4CD3" w:rsidRPr="00B36BDF" w:rsidRDefault="00B02A59" w:rsidP="002239E2">
      <w:pPr>
        <w:numPr>
          <w:ilvl w:val="0"/>
          <w:numId w:val="1"/>
        </w:numPr>
        <w:tabs>
          <w:tab w:val="clear" w:pos="720"/>
          <w:tab w:val="left" w:pos="0"/>
        </w:tabs>
        <w:spacing w:after="240" w:line="288" w:lineRule="auto"/>
        <w:ind w:hanging="1440"/>
        <w:rPr>
          <w:b/>
        </w:rPr>
      </w:pPr>
      <w:r w:rsidRPr="00B36BDF">
        <w:t>(3</w:t>
      </w:r>
      <w:r w:rsidR="00AB4CD3" w:rsidRPr="00B36BDF">
        <w:t>)</w:t>
      </w:r>
      <w:r w:rsidR="00AB4CD3" w:rsidRPr="00B36BDF">
        <w:tab/>
      </w:r>
      <w:r w:rsidR="00D036E8" w:rsidRPr="00B36BDF">
        <w:t xml:space="preserve">Pacific Power </w:t>
      </w:r>
      <w:r w:rsidR="00AB4CD3" w:rsidRPr="00B36BDF">
        <w:t>is an</w:t>
      </w:r>
      <w:r w:rsidR="00AB4CD3" w:rsidRPr="00B36BDF">
        <w:rPr>
          <w:b/>
        </w:rPr>
        <w:t xml:space="preserve"> </w:t>
      </w:r>
      <w:r w:rsidR="00AB4CD3" w:rsidRPr="00B36BDF">
        <w:t xml:space="preserve">electric company and a public service company subject to Commission jurisdiction. </w:t>
      </w:r>
      <w:r w:rsidR="00583F5A" w:rsidRPr="00B36BDF">
        <w:t xml:space="preserve">Pacific Power </w:t>
      </w:r>
      <w:r w:rsidR="00AB4CD3" w:rsidRPr="00B36BDF">
        <w:t>is a qualifying investor-owned electric utility under RCW 19.285.030</w:t>
      </w:r>
      <w:r w:rsidR="00FF58D6" w:rsidRPr="00B36BDF">
        <w:t>(19)</w:t>
      </w:r>
      <w:r w:rsidR="00AB4CD3" w:rsidRPr="00B36BDF">
        <w:t>.</w:t>
      </w:r>
    </w:p>
    <w:p w14:paraId="770C388C" w14:textId="77777777" w:rsidR="00A3299A" w:rsidRPr="00B36BDF" w:rsidRDefault="00B02A59" w:rsidP="002239E2">
      <w:pPr>
        <w:numPr>
          <w:ilvl w:val="0"/>
          <w:numId w:val="1"/>
        </w:numPr>
        <w:tabs>
          <w:tab w:val="clear" w:pos="720"/>
          <w:tab w:val="left" w:pos="0"/>
        </w:tabs>
        <w:spacing w:after="240" w:line="288" w:lineRule="auto"/>
        <w:ind w:hanging="1440"/>
        <w:rPr>
          <w:b/>
        </w:rPr>
      </w:pPr>
      <w:r w:rsidRPr="00B36BDF">
        <w:t>(4</w:t>
      </w:r>
      <w:r w:rsidR="00A3299A" w:rsidRPr="00B36BDF">
        <w:t>)</w:t>
      </w:r>
      <w:r w:rsidR="00A3299A" w:rsidRPr="00B36BDF">
        <w:tab/>
      </w:r>
      <w:r w:rsidR="00583F5A">
        <w:t>On October 30</w:t>
      </w:r>
      <w:r w:rsidR="00A3299A" w:rsidRPr="00B36BDF">
        <w:t>, 201</w:t>
      </w:r>
      <w:r w:rsidR="00583F5A">
        <w:t>5</w:t>
      </w:r>
      <w:r w:rsidR="00A3299A" w:rsidRPr="00B36BDF">
        <w:t xml:space="preserve">, </w:t>
      </w:r>
      <w:r w:rsidR="00583F5A" w:rsidRPr="00B36BDF">
        <w:t>Pacific Power</w:t>
      </w:r>
      <w:r w:rsidR="00A3299A" w:rsidRPr="00B36BDF">
        <w:t xml:space="preserve"> filed with the </w:t>
      </w:r>
      <w:r w:rsidR="00BB60CD" w:rsidRPr="00B36BDF">
        <w:t xml:space="preserve">Commission its </w:t>
      </w:r>
      <w:r w:rsidR="006F611D" w:rsidRPr="00B36BDF">
        <w:t>201</w:t>
      </w:r>
      <w:r w:rsidR="00583F5A">
        <w:t>6-2017</w:t>
      </w:r>
      <w:r w:rsidR="006F611D" w:rsidRPr="00B36BDF">
        <w:t xml:space="preserve"> Biennial Conservation R</w:t>
      </w:r>
      <w:r w:rsidR="00BB60CD" w:rsidRPr="00B36BDF">
        <w:t>eport</w:t>
      </w:r>
      <w:r w:rsidR="006F611D" w:rsidRPr="00B36BDF">
        <w:t xml:space="preserve"> </w:t>
      </w:r>
      <w:r w:rsidR="00BB60CD" w:rsidRPr="00B36BDF">
        <w:t xml:space="preserve">identifying </w:t>
      </w:r>
      <w:r w:rsidR="006F611D" w:rsidRPr="00B36BDF">
        <w:t>the Company’s</w:t>
      </w:r>
      <w:r w:rsidR="00BB60CD" w:rsidRPr="00B36BDF">
        <w:t xml:space="preserve"> 201</w:t>
      </w:r>
      <w:r w:rsidR="00583F5A">
        <w:t>6</w:t>
      </w:r>
      <w:r w:rsidR="00BB60CD" w:rsidRPr="00B36BDF">
        <w:t>-202</w:t>
      </w:r>
      <w:r w:rsidR="00583F5A">
        <w:t>5</w:t>
      </w:r>
      <w:r w:rsidR="00BB60CD" w:rsidRPr="00B36BDF">
        <w:t xml:space="preserve"> ten-year achievable conservation potential and 201</w:t>
      </w:r>
      <w:r w:rsidR="00583F5A">
        <w:t>6</w:t>
      </w:r>
      <w:r w:rsidR="00BB60CD" w:rsidRPr="00B36BDF">
        <w:t>-201</w:t>
      </w:r>
      <w:r w:rsidR="00583F5A">
        <w:t>7</w:t>
      </w:r>
      <w:r w:rsidR="00BB60CD" w:rsidRPr="00B36BDF">
        <w:t xml:space="preserve"> biennial conservation target.</w:t>
      </w:r>
    </w:p>
    <w:p w14:paraId="2AE24E58" w14:textId="77777777" w:rsidR="001409E2" w:rsidRPr="00B36BDF" w:rsidRDefault="00B02A59" w:rsidP="002239E2">
      <w:pPr>
        <w:numPr>
          <w:ilvl w:val="0"/>
          <w:numId w:val="1"/>
        </w:numPr>
        <w:tabs>
          <w:tab w:val="clear" w:pos="720"/>
          <w:tab w:val="left" w:pos="0"/>
        </w:tabs>
        <w:spacing w:after="240" w:line="288" w:lineRule="auto"/>
        <w:ind w:hanging="1440"/>
      </w:pPr>
      <w:r w:rsidRPr="00B36BDF">
        <w:t>(5</w:t>
      </w:r>
      <w:r w:rsidR="00BB60CD" w:rsidRPr="00B36BDF">
        <w:t>)</w:t>
      </w:r>
      <w:r w:rsidR="00BB60CD" w:rsidRPr="00B36BDF">
        <w:tab/>
      </w:r>
      <w:r w:rsidR="00583F5A" w:rsidRPr="00B36BDF">
        <w:t>Pacific Power</w:t>
      </w:r>
      <w:r w:rsidR="001409E2" w:rsidRPr="00B36BDF">
        <w:t>’s 201</w:t>
      </w:r>
      <w:r w:rsidR="00583F5A">
        <w:t>6</w:t>
      </w:r>
      <w:r w:rsidR="001409E2" w:rsidRPr="00B36BDF">
        <w:t>-202</w:t>
      </w:r>
      <w:r w:rsidR="00583F5A">
        <w:t>5</w:t>
      </w:r>
      <w:r w:rsidR="001409E2" w:rsidRPr="00B36BDF">
        <w:t xml:space="preserve"> ten-year achievable conservation potential is consistent with RCW 19.285.040(1) and WAC 480-109-010(1). </w:t>
      </w:r>
      <w:r w:rsidR="00583F5A" w:rsidRPr="00B36BDF">
        <w:t>Pacific Power</w:t>
      </w:r>
      <w:r w:rsidR="009658A0" w:rsidRPr="00B36BDF">
        <w:t xml:space="preserve">’s </w:t>
      </w:r>
      <w:r w:rsidR="001409E2" w:rsidRPr="00B36BDF">
        <w:t>201</w:t>
      </w:r>
      <w:r w:rsidR="00583F5A">
        <w:t>6</w:t>
      </w:r>
      <w:r w:rsidR="001409E2" w:rsidRPr="00B36BDF">
        <w:t>-201</w:t>
      </w:r>
      <w:r w:rsidR="00583F5A">
        <w:t>7</w:t>
      </w:r>
      <w:r w:rsidR="001409E2" w:rsidRPr="00B36BDF">
        <w:t xml:space="preserve"> biennial conservation target</w:t>
      </w:r>
      <w:r w:rsidR="00BA1D52" w:rsidRPr="00B36BDF">
        <w:t xml:space="preserve"> </w:t>
      </w:r>
      <w:r w:rsidR="001409E2" w:rsidRPr="00B36BDF">
        <w:t xml:space="preserve">is consistent with RCW 19.285.040(1) and WAC 480-109-010(2).  </w:t>
      </w:r>
    </w:p>
    <w:p w14:paraId="46E446A2" w14:textId="77777777" w:rsidR="001409E2" w:rsidRPr="00B36BDF" w:rsidRDefault="00B02A59" w:rsidP="002239E2">
      <w:pPr>
        <w:numPr>
          <w:ilvl w:val="0"/>
          <w:numId w:val="1"/>
        </w:numPr>
        <w:tabs>
          <w:tab w:val="clear" w:pos="720"/>
          <w:tab w:val="left" w:pos="0"/>
        </w:tabs>
        <w:spacing w:after="240" w:line="288" w:lineRule="auto"/>
        <w:ind w:hanging="1440"/>
        <w:rPr>
          <w:b/>
        </w:rPr>
      </w:pPr>
      <w:r w:rsidRPr="00B36BDF">
        <w:t>(</w:t>
      </w:r>
      <w:r w:rsidR="00583F5A">
        <w:t>6</w:t>
      </w:r>
      <w:r w:rsidR="00AB4CD3" w:rsidRPr="00B36BDF">
        <w:t>)</w:t>
      </w:r>
      <w:r w:rsidR="00AB4CD3" w:rsidRPr="00B36BDF">
        <w:tab/>
      </w:r>
      <w:r w:rsidR="00583F5A" w:rsidRPr="00B36BDF">
        <w:t>Pacific Power</w:t>
      </w:r>
      <w:r w:rsidR="001409E2" w:rsidRPr="00B36BDF">
        <w:t>’s 201</w:t>
      </w:r>
      <w:r w:rsidR="00583F5A">
        <w:t>6</w:t>
      </w:r>
      <w:r w:rsidR="001409E2" w:rsidRPr="00B36BDF">
        <w:t>-202</w:t>
      </w:r>
      <w:r w:rsidR="00583F5A">
        <w:t>5</w:t>
      </w:r>
      <w:r w:rsidR="001409E2" w:rsidRPr="00B36BDF">
        <w:t xml:space="preserve"> ten-year achievable conservation potential of </w:t>
      </w:r>
      <w:r w:rsidR="00583F5A">
        <w:t xml:space="preserve">457,530 </w:t>
      </w:r>
      <w:r w:rsidR="001409E2" w:rsidRPr="00B36BDF">
        <w:t xml:space="preserve">megawatt-hours, and </w:t>
      </w:r>
      <w:r w:rsidR="00583F5A" w:rsidRPr="00B36BDF">
        <w:t>Pacific Power</w:t>
      </w:r>
      <w:r w:rsidR="001409E2" w:rsidRPr="00B36BDF">
        <w:t>’s 201</w:t>
      </w:r>
      <w:r w:rsidR="00583F5A">
        <w:t>6</w:t>
      </w:r>
      <w:r w:rsidR="001409E2" w:rsidRPr="00B36BDF">
        <w:t>-201</w:t>
      </w:r>
      <w:r w:rsidR="00583F5A">
        <w:t>7</w:t>
      </w:r>
      <w:r w:rsidR="001409E2" w:rsidRPr="00B36BDF">
        <w:t xml:space="preserve"> biennial conservation target of </w:t>
      </w:r>
      <w:r w:rsidR="00583F5A">
        <w:t xml:space="preserve">87,814 </w:t>
      </w:r>
      <w:r w:rsidR="001409E2" w:rsidRPr="00B36BDF">
        <w:t>megawatt-hours are appropriate</w:t>
      </w:r>
      <w:r w:rsidR="00583F5A">
        <w:t>.</w:t>
      </w:r>
      <w:r w:rsidR="001409E2" w:rsidRPr="00B36BDF">
        <w:t xml:space="preserve"> </w:t>
      </w:r>
    </w:p>
    <w:p w14:paraId="3E768553" w14:textId="7BC3F715" w:rsidR="00C54DED" w:rsidRPr="00B36BDF" w:rsidRDefault="00B02A59" w:rsidP="002239E2">
      <w:pPr>
        <w:numPr>
          <w:ilvl w:val="0"/>
          <w:numId w:val="1"/>
        </w:numPr>
        <w:tabs>
          <w:tab w:val="clear" w:pos="720"/>
          <w:tab w:val="left" w:pos="0"/>
        </w:tabs>
        <w:spacing w:after="240" w:line="288" w:lineRule="auto"/>
        <w:ind w:hanging="1440"/>
        <w:rPr>
          <w:b/>
        </w:rPr>
      </w:pPr>
      <w:r w:rsidRPr="00B36BDF">
        <w:t>(</w:t>
      </w:r>
      <w:r w:rsidR="00583F5A">
        <w:t>7</w:t>
      </w:r>
      <w:r w:rsidR="001409E2" w:rsidRPr="00B36BDF">
        <w:t>)</w:t>
      </w:r>
      <w:r w:rsidR="001409E2" w:rsidRPr="00B36BDF">
        <w:tab/>
      </w:r>
      <w:r w:rsidR="00132CF0" w:rsidRPr="00B36BDF">
        <w:t>I</w:t>
      </w:r>
      <w:r w:rsidR="001409E2" w:rsidRPr="00B36BDF">
        <w:t xml:space="preserve">t is in the public interest to approve </w:t>
      </w:r>
      <w:r w:rsidR="00583F5A">
        <w:t>Pacific Power</w:t>
      </w:r>
      <w:r w:rsidR="001409E2" w:rsidRPr="00B36BDF">
        <w:t>’s ten-year achievable conservation potential and biennial conservation target</w:t>
      </w:r>
      <w:r w:rsidR="0091549F">
        <w:t xml:space="preserve">, </w:t>
      </w:r>
      <w:r w:rsidR="001409E2" w:rsidRPr="00B36BDF">
        <w:t>as authorized by RCW 19.285.040(1)(e) and WAC 480-109-010(4)</w:t>
      </w:r>
      <w:r w:rsidR="0091549F">
        <w:t>,</w:t>
      </w:r>
      <w:r w:rsidR="0091549F" w:rsidRPr="00B36BDF">
        <w:t xml:space="preserve"> </w:t>
      </w:r>
      <w:r w:rsidR="0091549F">
        <w:t>subject to the conditions outlined in Appendix A attached to this Order</w:t>
      </w:r>
      <w:r w:rsidR="001409E2" w:rsidRPr="00B36BDF">
        <w:t xml:space="preserve">. </w:t>
      </w:r>
    </w:p>
    <w:p w14:paraId="63E59E23" w14:textId="77777777" w:rsidR="00AB4CD3" w:rsidRPr="00405186" w:rsidRDefault="00AB4CD3" w:rsidP="002239E2">
      <w:pPr>
        <w:tabs>
          <w:tab w:val="left" w:pos="0"/>
        </w:tabs>
        <w:spacing w:after="240" w:line="288" w:lineRule="auto"/>
        <w:ind w:left="720"/>
        <w:jc w:val="center"/>
      </w:pPr>
      <w:r w:rsidRPr="00405186">
        <w:rPr>
          <w:b/>
        </w:rPr>
        <w:t>ORDER</w:t>
      </w:r>
    </w:p>
    <w:p w14:paraId="7AF08E83" w14:textId="77777777" w:rsidR="00AB4CD3" w:rsidRPr="00B36BDF" w:rsidRDefault="00AB4CD3" w:rsidP="002239E2">
      <w:pPr>
        <w:tabs>
          <w:tab w:val="left" w:pos="0"/>
        </w:tabs>
        <w:spacing w:after="240" w:line="288" w:lineRule="auto"/>
        <w:rPr>
          <w:b/>
        </w:rPr>
      </w:pPr>
      <w:r w:rsidRPr="00B36BDF">
        <w:rPr>
          <w:b/>
        </w:rPr>
        <w:t>THE COMMISSION ORDERS:</w:t>
      </w:r>
    </w:p>
    <w:p w14:paraId="799823B5" w14:textId="7A4CCB47" w:rsidR="00985CC7" w:rsidRPr="00B36BDF" w:rsidRDefault="00AB4CD3" w:rsidP="002239E2">
      <w:pPr>
        <w:numPr>
          <w:ilvl w:val="0"/>
          <w:numId w:val="1"/>
        </w:numPr>
        <w:tabs>
          <w:tab w:val="clear" w:pos="720"/>
          <w:tab w:val="left" w:pos="0"/>
        </w:tabs>
        <w:spacing w:after="240" w:line="288" w:lineRule="auto"/>
        <w:ind w:hanging="1440"/>
        <w:rPr>
          <w:b/>
        </w:rPr>
      </w:pPr>
      <w:r w:rsidRPr="00B36BDF">
        <w:t>(1)</w:t>
      </w:r>
      <w:r w:rsidRPr="00B36BDF">
        <w:tab/>
      </w:r>
      <w:r w:rsidR="003A1B8D" w:rsidRPr="00B36BDF">
        <w:t>Pacific Power &amp; Light Company</w:t>
      </w:r>
      <w:r w:rsidR="00E5705E">
        <w:t>’s</w:t>
      </w:r>
      <w:r w:rsidR="00A61FB3" w:rsidRPr="00B36BDF">
        <w:t xml:space="preserve"> 201</w:t>
      </w:r>
      <w:r w:rsidR="00583F5A">
        <w:t>6</w:t>
      </w:r>
      <w:r w:rsidR="00A61FB3" w:rsidRPr="00B36BDF">
        <w:t>-202</w:t>
      </w:r>
      <w:r w:rsidR="00583F5A">
        <w:t>5</w:t>
      </w:r>
      <w:r w:rsidR="00A61FB3" w:rsidRPr="00B36BDF">
        <w:t xml:space="preserve"> ten-year achievable conservation potential of </w:t>
      </w:r>
      <w:r w:rsidR="00583F5A">
        <w:t xml:space="preserve">457,530 </w:t>
      </w:r>
      <w:r w:rsidR="00A61FB3" w:rsidRPr="00B36BDF">
        <w:t xml:space="preserve">megawatt-hours </w:t>
      </w:r>
      <w:r w:rsidR="00811077" w:rsidRPr="00B36BDF">
        <w:t>and its 201</w:t>
      </w:r>
      <w:r w:rsidR="00583F5A">
        <w:t>6</w:t>
      </w:r>
      <w:r w:rsidR="00811077" w:rsidRPr="00B36BDF">
        <w:t>-201</w:t>
      </w:r>
      <w:r w:rsidR="00583F5A">
        <w:t>7</w:t>
      </w:r>
      <w:r w:rsidR="00811077" w:rsidRPr="00B36BDF">
        <w:t xml:space="preserve"> biennial conservation target of </w:t>
      </w:r>
      <w:r w:rsidR="00583F5A">
        <w:t xml:space="preserve">87,814 </w:t>
      </w:r>
      <w:r w:rsidR="00811077" w:rsidRPr="00B36BDF">
        <w:t>megawatt-hours are approved</w:t>
      </w:r>
      <w:r w:rsidR="00E5705E">
        <w:t>, subject to the conditions contained within Appendix A attached to this order</w:t>
      </w:r>
      <w:r w:rsidR="00985CC7" w:rsidRPr="00B36BDF">
        <w:t>.</w:t>
      </w:r>
    </w:p>
    <w:p w14:paraId="5C9EDB27" w14:textId="34461195" w:rsidR="00DA46BD" w:rsidRDefault="00985CC7" w:rsidP="002239E2">
      <w:pPr>
        <w:numPr>
          <w:ilvl w:val="0"/>
          <w:numId w:val="1"/>
        </w:numPr>
        <w:tabs>
          <w:tab w:val="clear" w:pos="720"/>
          <w:tab w:val="left" w:pos="0"/>
        </w:tabs>
        <w:spacing w:after="240" w:line="288" w:lineRule="auto"/>
        <w:ind w:hanging="1440"/>
      </w:pPr>
      <w:r w:rsidRPr="00B36BDF">
        <w:t>(2)</w:t>
      </w:r>
      <w:r w:rsidRPr="00B36BDF">
        <w:tab/>
      </w:r>
      <w:r w:rsidR="00811077" w:rsidRPr="00B36BDF">
        <w:t>The Commission retains jurisdiction over this matter for purposes of effectuating this order.</w:t>
      </w:r>
    </w:p>
    <w:p w14:paraId="554A3F82" w14:textId="39A14861" w:rsidR="00AB4CD3" w:rsidRPr="00B36BDF" w:rsidRDefault="00DA46BD" w:rsidP="00DA46BD">
      <w:pPr>
        <w:tabs>
          <w:tab w:val="left" w:pos="0"/>
        </w:tabs>
        <w:spacing w:after="240" w:line="288" w:lineRule="auto"/>
        <w:ind w:left="720"/>
        <w:rPr>
          <w:b/>
        </w:rPr>
      </w:pPr>
      <w:r>
        <w:br w:type="page"/>
      </w:r>
      <w:r w:rsidR="00AB4CD3" w:rsidRPr="00B36BDF">
        <w:lastRenderedPageBreak/>
        <w:t xml:space="preserve">DATED at Olympia, Washington, and effective </w:t>
      </w:r>
      <w:r w:rsidR="00811077" w:rsidRPr="00B36BDF">
        <w:t>December 1</w:t>
      </w:r>
      <w:r w:rsidR="00583F5A">
        <w:t>7</w:t>
      </w:r>
      <w:r w:rsidR="00811077" w:rsidRPr="00B36BDF">
        <w:t>, 201</w:t>
      </w:r>
      <w:r w:rsidR="00583F5A">
        <w:t>5</w:t>
      </w:r>
      <w:r w:rsidR="00AB4CD3" w:rsidRPr="00B36BDF">
        <w:t>.</w:t>
      </w:r>
    </w:p>
    <w:p w14:paraId="1C733DFD" w14:textId="77777777" w:rsidR="00AB4CD3" w:rsidRPr="00B36BDF" w:rsidRDefault="00AB4CD3" w:rsidP="008012B9">
      <w:pPr>
        <w:spacing w:line="288" w:lineRule="auto"/>
        <w:rPr>
          <w:b/>
        </w:rPr>
      </w:pPr>
    </w:p>
    <w:p w14:paraId="0C1DCBA2" w14:textId="77777777" w:rsidR="00AB4CD3" w:rsidRPr="00B36BDF" w:rsidRDefault="00AB4CD3" w:rsidP="008012B9">
      <w:pPr>
        <w:spacing w:line="288" w:lineRule="auto"/>
        <w:jc w:val="center"/>
      </w:pPr>
      <w:r w:rsidRPr="00B36BDF">
        <w:t>WASHINGTON UTILITIES AND TRANSPORTATION COMMISSION</w:t>
      </w:r>
    </w:p>
    <w:p w14:paraId="6E19CC95" w14:textId="77777777" w:rsidR="00811077" w:rsidRPr="00B36BDF" w:rsidRDefault="00811077" w:rsidP="008012B9">
      <w:pPr>
        <w:spacing w:line="288" w:lineRule="auto"/>
        <w:jc w:val="center"/>
      </w:pPr>
    </w:p>
    <w:p w14:paraId="6ECA5BF3" w14:textId="77777777" w:rsidR="00AB4CD3" w:rsidRPr="00B36BDF" w:rsidRDefault="00AB4CD3" w:rsidP="008012B9">
      <w:pPr>
        <w:spacing w:line="288" w:lineRule="auto"/>
        <w:jc w:val="center"/>
      </w:pPr>
    </w:p>
    <w:p w14:paraId="643661CD" w14:textId="77777777" w:rsidR="00AB4CD3" w:rsidRPr="00B36BDF" w:rsidRDefault="00AB4CD3" w:rsidP="008012B9">
      <w:pPr>
        <w:spacing w:line="288" w:lineRule="auto"/>
        <w:jc w:val="center"/>
      </w:pPr>
    </w:p>
    <w:p w14:paraId="1552DE4D" w14:textId="77777777" w:rsidR="00811077" w:rsidRPr="00B36BDF" w:rsidRDefault="00811077" w:rsidP="00811077">
      <w:pPr>
        <w:ind w:firstLine="4320"/>
      </w:pPr>
      <w:r w:rsidRPr="00B36BDF">
        <w:t>DAVID W. DANNER, Chairman</w:t>
      </w:r>
    </w:p>
    <w:p w14:paraId="2726E7DF" w14:textId="77777777" w:rsidR="00811077" w:rsidRPr="00B36BDF" w:rsidRDefault="00811077" w:rsidP="00811077"/>
    <w:p w14:paraId="1A9A1CD2" w14:textId="77777777" w:rsidR="00525E13" w:rsidRPr="00B36BDF" w:rsidRDefault="00525E13" w:rsidP="00811077"/>
    <w:p w14:paraId="255070B8" w14:textId="77777777" w:rsidR="00811077" w:rsidRPr="00B36BDF" w:rsidRDefault="00811077" w:rsidP="00811077"/>
    <w:p w14:paraId="1A0100D0" w14:textId="77777777" w:rsidR="00811077" w:rsidRPr="00B36BDF" w:rsidRDefault="00811077" w:rsidP="00811077">
      <w:r w:rsidRPr="00B36BDF">
        <w:tab/>
      </w:r>
      <w:r w:rsidRPr="00B36BDF">
        <w:tab/>
      </w:r>
      <w:r w:rsidRPr="00B36BDF">
        <w:tab/>
      </w:r>
      <w:r w:rsidRPr="00B36BDF">
        <w:tab/>
      </w:r>
      <w:r w:rsidRPr="00B36BDF">
        <w:tab/>
      </w:r>
      <w:r w:rsidRPr="00B36BDF">
        <w:tab/>
        <w:t>PHILIP B. JONES, Commissioner</w:t>
      </w:r>
    </w:p>
    <w:p w14:paraId="3388E75B" w14:textId="77777777" w:rsidR="00811077" w:rsidRPr="00B36BDF" w:rsidRDefault="00811077" w:rsidP="00811077"/>
    <w:p w14:paraId="262065F4" w14:textId="77777777" w:rsidR="00525E13" w:rsidRPr="00B36BDF" w:rsidRDefault="00525E13" w:rsidP="00811077"/>
    <w:p w14:paraId="43F3F797" w14:textId="77777777" w:rsidR="00811077" w:rsidRPr="00B36BDF" w:rsidRDefault="00811077" w:rsidP="00811077"/>
    <w:p w14:paraId="016E2D4F" w14:textId="6B97CD06" w:rsidR="00811077" w:rsidRPr="00B36BDF" w:rsidRDefault="00DA46BD" w:rsidP="00DC0E37">
      <w:pPr>
        <w:ind w:firstLine="4320"/>
      </w:pPr>
      <w:r>
        <w:t>ANN E. RENDAHL</w:t>
      </w:r>
      <w:r w:rsidR="00811077" w:rsidRPr="00B36BDF">
        <w:t>, Commissioner</w:t>
      </w:r>
    </w:p>
    <w:p w14:paraId="7ACCCDD1" w14:textId="77777777" w:rsidR="00811077" w:rsidRPr="00B36BDF" w:rsidRDefault="00811077" w:rsidP="008012B9">
      <w:pPr>
        <w:spacing w:line="288" w:lineRule="auto"/>
      </w:pPr>
    </w:p>
    <w:p w14:paraId="1E00CBE2" w14:textId="77777777" w:rsidR="00811077" w:rsidRPr="00B36BDF" w:rsidRDefault="00811077" w:rsidP="008012B9">
      <w:pPr>
        <w:spacing w:line="288" w:lineRule="auto"/>
      </w:pPr>
    </w:p>
    <w:p w14:paraId="1F9A4CFC" w14:textId="77777777" w:rsidR="00811077" w:rsidRPr="00B36BDF" w:rsidRDefault="00811077" w:rsidP="008012B9">
      <w:pPr>
        <w:spacing w:line="288" w:lineRule="auto"/>
      </w:pPr>
    </w:p>
    <w:p w14:paraId="7D8815A4" w14:textId="77777777" w:rsidR="00811077" w:rsidRPr="00B36BDF" w:rsidRDefault="00811077" w:rsidP="008012B9">
      <w:pPr>
        <w:spacing w:line="288" w:lineRule="auto"/>
      </w:pPr>
    </w:p>
    <w:p w14:paraId="68B33A53" w14:textId="77777777" w:rsidR="00811077" w:rsidRPr="00B36BDF" w:rsidRDefault="00811077" w:rsidP="008012B9">
      <w:pPr>
        <w:spacing w:line="288" w:lineRule="auto"/>
      </w:pPr>
    </w:p>
    <w:sectPr w:rsidR="00811077" w:rsidRPr="00B36BDF" w:rsidSect="008C0042">
      <w:headerReference w:type="default" r:id="rId12"/>
      <w:headerReference w:type="first" r:id="rId13"/>
      <w:pgSz w:w="12240" w:h="15840" w:code="1"/>
      <w:pgMar w:top="1440"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6056" w14:textId="77777777" w:rsidR="001B03DA" w:rsidRDefault="001B03DA">
      <w:r>
        <w:separator/>
      </w:r>
    </w:p>
  </w:endnote>
  <w:endnote w:type="continuationSeparator" w:id="0">
    <w:p w14:paraId="6F899822" w14:textId="77777777" w:rsidR="001B03DA" w:rsidRDefault="001B03DA">
      <w:r>
        <w:continuationSeparator/>
      </w:r>
    </w:p>
  </w:endnote>
  <w:endnote w:type="continuationNotice" w:id="1">
    <w:p w14:paraId="213807A1" w14:textId="77777777" w:rsidR="001B03DA" w:rsidRDefault="001B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156B" w14:textId="77777777" w:rsidR="001B03DA" w:rsidRDefault="001B03DA">
      <w:r>
        <w:separator/>
      </w:r>
    </w:p>
  </w:footnote>
  <w:footnote w:type="continuationSeparator" w:id="0">
    <w:p w14:paraId="03C899E5" w14:textId="77777777" w:rsidR="001B03DA" w:rsidRDefault="001B03DA">
      <w:r>
        <w:continuationSeparator/>
      </w:r>
    </w:p>
  </w:footnote>
  <w:footnote w:type="continuationNotice" w:id="1">
    <w:p w14:paraId="773CBA2C" w14:textId="77777777" w:rsidR="001B03DA" w:rsidRDefault="001B03DA"/>
  </w:footnote>
  <w:footnote w:id="2">
    <w:p w14:paraId="6FBF1581" w14:textId="77777777" w:rsidR="00726F75" w:rsidRPr="00352140" w:rsidRDefault="009828BB" w:rsidP="00A11CA7">
      <w:pPr>
        <w:pStyle w:val="FootnoteText"/>
        <w:spacing w:after="120"/>
        <w:rPr>
          <w:sz w:val="22"/>
          <w:szCs w:val="22"/>
          <w:lang w:val="en-US"/>
        </w:rPr>
      </w:pPr>
      <w:r w:rsidRPr="00844847">
        <w:rPr>
          <w:rStyle w:val="FootnoteReference"/>
          <w:sz w:val="22"/>
        </w:rPr>
        <w:footnoteRef/>
      </w:r>
      <w:r w:rsidRPr="00844847">
        <w:rPr>
          <w:sz w:val="22"/>
        </w:rPr>
        <w:t xml:space="preserve"> </w:t>
      </w:r>
      <w:r>
        <w:rPr>
          <w:sz w:val="22"/>
        </w:rPr>
        <w:t>RCW 19.285.040</w:t>
      </w:r>
      <w:r w:rsidR="00726F75">
        <w:rPr>
          <w:sz w:val="22"/>
          <w:lang w:val="en-US"/>
        </w:rPr>
        <w:t xml:space="preserve">(a) requires each electric utility to identify its </w:t>
      </w:r>
      <w:r w:rsidR="00352140">
        <w:rPr>
          <w:sz w:val="22"/>
          <w:lang w:val="en-US"/>
        </w:rPr>
        <w:t xml:space="preserve">ten-year </w:t>
      </w:r>
      <w:r w:rsidR="00726F75">
        <w:rPr>
          <w:sz w:val="22"/>
          <w:lang w:val="en-US"/>
        </w:rPr>
        <w:t>achievable cost-effective conservation potential using methodologies consistent with those used by the Pacific Northwest Electric Power and Conservation Planning Council in its most recently published regional power plan</w:t>
      </w:r>
      <w:r>
        <w:rPr>
          <w:sz w:val="22"/>
        </w:rPr>
        <w:t>.</w:t>
      </w:r>
      <w:r w:rsidR="00726F75">
        <w:rPr>
          <w:sz w:val="22"/>
          <w:lang w:val="en-US"/>
        </w:rPr>
        <w:t xml:space="preserve"> At least every two years, </w:t>
      </w:r>
      <w:r w:rsidR="00352140">
        <w:rPr>
          <w:sz w:val="22"/>
          <w:lang w:val="en-US"/>
        </w:rPr>
        <w:t>a utility</w:t>
      </w:r>
      <w:r w:rsidR="00726F75">
        <w:rPr>
          <w:sz w:val="22"/>
          <w:lang w:val="en-US"/>
        </w:rPr>
        <w:t xml:space="preserve"> must</w:t>
      </w:r>
      <w:r w:rsidR="00352140">
        <w:rPr>
          <w:sz w:val="22"/>
          <w:lang w:val="en-US"/>
        </w:rPr>
        <w:t xml:space="preserve"> also</w:t>
      </w:r>
      <w:r w:rsidR="00726F75">
        <w:rPr>
          <w:sz w:val="22"/>
          <w:lang w:val="en-US"/>
        </w:rPr>
        <w:t xml:space="preserve"> review and update its assessment for the subsequent ten-year period. RCW 19.285.040(b) requires each qualifying utility to establish and make publicly available a biennial acquisition target for cost-effective conservation consistent with its identification of achievable opportunities in RCW</w:t>
      </w:r>
      <w:r w:rsidR="00B315B4">
        <w:rPr>
          <w:sz w:val="22"/>
          <w:lang w:val="en-US"/>
        </w:rPr>
        <w:t xml:space="preserve"> 19.285.040(a) and meet that target during the subsequent two-year period. At a minimum, each biennial target must be no lower than the qualifying utility’s pro-rata share for that two-year period of its cost-effective conservation potential for the subsequent two-year period. </w:t>
      </w:r>
    </w:p>
  </w:footnote>
  <w:footnote w:id="3">
    <w:p w14:paraId="10A8E8E2" w14:textId="77777777" w:rsidR="009828BB" w:rsidRPr="00B315B4" w:rsidRDefault="009828BB" w:rsidP="00A11CA7">
      <w:pPr>
        <w:pStyle w:val="FootnoteText"/>
        <w:spacing w:after="120"/>
        <w:rPr>
          <w:sz w:val="22"/>
          <w:szCs w:val="22"/>
        </w:rPr>
      </w:pPr>
      <w:r w:rsidRPr="00B315B4">
        <w:rPr>
          <w:rStyle w:val="FootnoteReference"/>
          <w:sz w:val="22"/>
          <w:szCs w:val="22"/>
        </w:rPr>
        <w:footnoteRef/>
      </w:r>
      <w:r w:rsidRPr="00B315B4">
        <w:rPr>
          <w:sz w:val="22"/>
          <w:szCs w:val="22"/>
        </w:rPr>
        <w:t xml:space="preserve"> WAC 480-109-010(3).</w:t>
      </w:r>
    </w:p>
  </w:footnote>
  <w:footnote w:id="4">
    <w:p w14:paraId="3AFAD2AF" w14:textId="77777777" w:rsidR="009828BB" w:rsidRDefault="009828BB" w:rsidP="00A11CA7">
      <w:pPr>
        <w:spacing w:after="120"/>
      </w:pPr>
      <w:r w:rsidRPr="00B315B4">
        <w:rPr>
          <w:rStyle w:val="FootnoteReference"/>
          <w:sz w:val="22"/>
          <w:szCs w:val="22"/>
        </w:rPr>
        <w:footnoteRef/>
      </w:r>
      <w:r w:rsidRPr="00B315B4">
        <w:rPr>
          <w:sz w:val="22"/>
          <w:szCs w:val="22"/>
        </w:rPr>
        <w:t xml:space="preserve"> </w:t>
      </w:r>
      <w:r w:rsidR="00B315B4" w:rsidRPr="00B315B4">
        <w:rPr>
          <w:sz w:val="22"/>
          <w:szCs w:val="22"/>
        </w:rPr>
        <w:t>In preparation for setting its biennial target, Pacific Power made a number of adjustments, most of which related to unit energy savings (UES) values – the assumed savings attributable to a given measure – updated based on new information provided by the Regional Technical Forum (RTF) or the Company’s own program evaluations. Another adjustment was made to add in potential associated with waste heat-to-power technologies that were not considered in the Conservation Potential Assessment (CPA). No adjustments were made for distribution or</w:t>
      </w:r>
      <w:r w:rsidR="00211ED8">
        <w:rPr>
          <w:sz w:val="22"/>
          <w:szCs w:val="22"/>
        </w:rPr>
        <w:t xml:space="preserve"> production efficiency, as the C</w:t>
      </w:r>
      <w:r w:rsidR="00B315B4" w:rsidRPr="00B315B4">
        <w:rPr>
          <w:sz w:val="22"/>
          <w:szCs w:val="22"/>
        </w:rPr>
        <w:t xml:space="preserve">ompany’s evaluations have not identified any additional cost-effective savings in those areas. The net effect of the adjustments increased the </w:t>
      </w:r>
      <w:r w:rsidR="00352140">
        <w:rPr>
          <w:sz w:val="22"/>
          <w:szCs w:val="22"/>
        </w:rPr>
        <w:t>ten</w:t>
      </w:r>
      <w:r w:rsidR="00B315B4" w:rsidRPr="00B315B4">
        <w:rPr>
          <w:sz w:val="22"/>
          <w:szCs w:val="22"/>
        </w:rPr>
        <w:t xml:space="preserve">-year potential by about </w:t>
      </w:r>
      <w:r w:rsidR="00352140">
        <w:rPr>
          <w:sz w:val="22"/>
          <w:szCs w:val="22"/>
        </w:rPr>
        <w:t>eight</w:t>
      </w:r>
      <w:r w:rsidR="00B315B4" w:rsidRPr="00B315B4">
        <w:rPr>
          <w:sz w:val="22"/>
          <w:szCs w:val="22"/>
        </w:rPr>
        <w:t xml:space="preserve">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21B0" w14:textId="77777777" w:rsidR="009828BB" w:rsidRPr="008F794C" w:rsidRDefault="009828BB">
    <w:pPr>
      <w:pStyle w:val="Header"/>
      <w:tabs>
        <w:tab w:val="clear" w:pos="4320"/>
        <w:tab w:val="clear" w:pos="8640"/>
        <w:tab w:val="right" w:pos="8500"/>
      </w:tabs>
      <w:rPr>
        <w:rStyle w:val="PageNumber"/>
        <w:bCs/>
        <w:szCs w:val="20"/>
        <w:lang w:val="fr-FR"/>
      </w:rPr>
    </w:pPr>
    <w:r w:rsidRPr="008F794C">
      <w:rPr>
        <w:b/>
        <w:bCs/>
        <w:sz w:val="20"/>
      </w:rPr>
      <w:t>DOCKET</w:t>
    </w:r>
    <w:r>
      <w:rPr>
        <w:b/>
        <w:bCs/>
        <w:sz w:val="20"/>
      </w:rPr>
      <w:t xml:space="preserve"> UE-1</w:t>
    </w:r>
    <w:r w:rsidR="00352140">
      <w:rPr>
        <w:b/>
        <w:bCs/>
        <w:sz w:val="20"/>
        <w:lang w:val="en-US"/>
      </w:rPr>
      <w:t>52072</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EE26F6">
      <w:rPr>
        <w:rStyle w:val="PageNumber"/>
        <w:bCs/>
        <w:noProof/>
        <w:szCs w:val="20"/>
        <w:lang w:val="fr-FR"/>
      </w:rPr>
      <w:t>3</w:t>
    </w:r>
    <w:r w:rsidRPr="008F794C">
      <w:rPr>
        <w:rStyle w:val="PageNumber"/>
        <w:bCs/>
        <w:szCs w:val="20"/>
        <w:lang w:val="fr-FR"/>
      </w:rPr>
      <w:fldChar w:fldCharType="end"/>
    </w:r>
  </w:p>
  <w:p w14:paraId="26171C67" w14:textId="77777777" w:rsidR="009828BB" w:rsidRDefault="009828BB">
    <w:pPr>
      <w:pStyle w:val="Header"/>
      <w:tabs>
        <w:tab w:val="left" w:pos="7000"/>
      </w:tabs>
      <w:rPr>
        <w:rStyle w:val="PageNumber"/>
        <w:bCs/>
        <w:szCs w:val="20"/>
        <w:lang w:val="fr-FR"/>
      </w:rPr>
    </w:pPr>
    <w:r w:rsidRPr="008F794C">
      <w:rPr>
        <w:rStyle w:val="PageNumber"/>
        <w:bCs/>
        <w:szCs w:val="20"/>
        <w:lang w:val="fr-FR"/>
      </w:rPr>
      <w:t>ORDER 01</w:t>
    </w:r>
  </w:p>
  <w:p w14:paraId="5FA96F7D" w14:textId="77777777" w:rsidR="009828BB" w:rsidRPr="008F794C" w:rsidRDefault="009828BB">
    <w:pPr>
      <w:pStyle w:val="Header"/>
      <w:tabs>
        <w:tab w:val="left" w:pos="7000"/>
      </w:tabs>
      <w:rPr>
        <w:rStyle w:val="PageNumber"/>
        <w:bCs/>
        <w:szCs w:val="20"/>
        <w:lang w:val="fr-FR"/>
      </w:rPr>
    </w:pPr>
  </w:p>
  <w:p w14:paraId="0226F79D" w14:textId="77777777" w:rsidR="009828BB" w:rsidRPr="00C35B68" w:rsidRDefault="009828BB">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F2B7" w14:textId="77777777" w:rsidR="009828BB" w:rsidRPr="00662B7F" w:rsidRDefault="009828BB" w:rsidP="00AA0F7A">
    <w:pPr>
      <w:pStyle w:val="Header"/>
      <w:tabs>
        <w:tab w:val="clear" w:pos="4320"/>
      </w:tabs>
      <w:rPr>
        <w:b/>
        <w:sz w:val="22"/>
        <w:szCs w:val="22"/>
      </w:rPr>
    </w:pPr>
    <w:r>
      <w:rPr>
        <w:b/>
        <w:sz w:val="22"/>
        <w:szCs w:val="22"/>
      </w:rPr>
      <w:tab/>
    </w:r>
    <w:r w:rsidR="009D5BD7">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0338"/>
    <w:multiLevelType w:val="hybridMultilevel"/>
    <w:tmpl w:val="D502589C"/>
    <w:lvl w:ilvl="0" w:tplc="729AF5B6">
      <w:start w:val="1"/>
      <w:numFmt w:val="decimal"/>
      <w:lvlText w:val="%1"/>
      <w:lvlJc w:val="righ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D56AD1"/>
    <w:multiLevelType w:val="hybridMultilevel"/>
    <w:tmpl w:val="73EEDBAC"/>
    <w:lvl w:ilvl="0" w:tplc="17E27A2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38DD"/>
    <w:multiLevelType w:val="hybridMultilevel"/>
    <w:tmpl w:val="C7DCB5C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2C0"/>
    <w:rsid w:val="00005431"/>
    <w:rsid w:val="0000562B"/>
    <w:rsid w:val="00006BD8"/>
    <w:rsid w:val="000107E5"/>
    <w:rsid w:val="00013FD6"/>
    <w:rsid w:val="0001553F"/>
    <w:rsid w:val="00015EAA"/>
    <w:rsid w:val="0002068B"/>
    <w:rsid w:val="00024049"/>
    <w:rsid w:val="000242EB"/>
    <w:rsid w:val="000264FD"/>
    <w:rsid w:val="00026D9F"/>
    <w:rsid w:val="00026F37"/>
    <w:rsid w:val="00030F63"/>
    <w:rsid w:val="0003479D"/>
    <w:rsid w:val="00034998"/>
    <w:rsid w:val="00044075"/>
    <w:rsid w:val="00044B4C"/>
    <w:rsid w:val="0004560A"/>
    <w:rsid w:val="00045AF8"/>
    <w:rsid w:val="00045B0B"/>
    <w:rsid w:val="00051879"/>
    <w:rsid w:val="000533CC"/>
    <w:rsid w:val="0005397D"/>
    <w:rsid w:val="000550D9"/>
    <w:rsid w:val="0006064E"/>
    <w:rsid w:val="00060A7A"/>
    <w:rsid w:val="0006112A"/>
    <w:rsid w:val="0006222D"/>
    <w:rsid w:val="00062232"/>
    <w:rsid w:val="000647E6"/>
    <w:rsid w:val="0006496C"/>
    <w:rsid w:val="00066E2F"/>
    <w:rsid w:val="000702B8"/>
    <w:rsid w:val="00071A3C"/>
    <w:rsid w:val="00072495"/>
    <w:rsid w:val="00073A4E"/>
    <w:rsid w:val="0007415F"/>
    <w:rsid w:val="0007470B"/>
    <w:rsid w:val="00075FB2"/>
    <w:rsid w:val="00076E46"/>
    <w:rsid w:val="0007712A"/>
    <w:rsid w:val="00077D78"/>
    <w:rsid w:val="00082A66"/>
    <w:rsid w:val="0008597D"/>
    <w:rsid w:val="00090758"/>
    <w:rsid w:val="00090F98"/>
    <w:rsid w:val="000910B4"/>
    <w:rsid w:val="00091DA8"/>
    <w:rsid w:val="000951E1"/>
    <w:rsid w:val="00095CB7"/>
    <w:rsid w:val="000A1B6E"/>
    <w:rsid w:val="000A5FA7"/>
    <w:rsid w:val="000B1A8D"/>
    <w:rsid w:val="000B1ACC"/>
    <w:rsid w:val="000B2854"/>
    <w:rsid w:val="000B3526"/>
    <w:rsid w:val="000B554C"/>
    <w:rsid w:val="000B6047"/>
    <w:rsid w:val="000B73D8"/>
    <w:rsid w:val="000B7C12"/>
    <w:rsid w:val="000C011A"/>
    <w:rsid w:val="000C0224"/>
    <w:rsid w:val="000C1C5A"/>
    <w:rsid w:val="000C5FA8"/>
    <w:rsid w:val="000D071A"/>
    <w:rsid w:val="000D22ED"/>
    <w:rsid w:val="000D4317"/>
    <w:rsid w:val="000D6936"/>
    <w:rsid w:val="000D7B17"/>
    <w:rsid w:val="000E30B4"/>
    <w:rsid w:val="000E361E"/>
    <w:rsid w:val="000E485A"/>
    <w:rsid w:val="000E53A0"/>
    <w:rsid w:val="000E5C07"/>
    <w:rsid w:val="000E76E0"/>
    <w:rsid w:val="000F04DE"/>
    <w:rsid w:val="000F0EF7"/>
    <w:rsid w:val="000F4793"/>
    <w:rsid w:val="000F48F4"/>
    <w:rsid w:val="000F4FAB"/>
    <w:rsid w:val="000F5AD5"/>
    <w:rsid w:val="000F61B3"/>
    <w:rsid w:val="001009DB"/>
    <w:rsid w:val="00101CA7"/>
    <w:rsid w:val="00106149"/>
    <w:rsid w:val="001071C2"/>
    <w:rsid w:val="0011015E"/>
    <w:rsid w:val="001112D2"/>
    <w:rsid w:val="00111398"/>
    <w:rsid w:val="00111D76"/>
    <w:rsid w:val="001130BB"/>
    <w:rsid w:val="001142B4"/>
    <w:rsid w:val="00123198"/>
    <w:rsid w:val="00127063"/>
    <w:rsid w:val="00127B89"/>
    <w:rsid w:val="00132CF0"/>
    <w:rsid w:val="00134157"/>
    <w:rsid w:val="00135940"/>
    <w:rsid w:val="001409E2"/>
    <w:rsid w:val="00140C90"/>
    <w:rsid w:val="00144F75"/>
    <w:rsid w:val="00145A43"/>
    <w:rsid w:val="00147072"/>
    <w:rsid w:val="00150BD8"/>
    <w:rsid w:val="00150FB6"/>
    <w:rsid w:val="001518F1"/>
    <w:rsid w:val="00151E90"/>
    <w:rsid w:val="00154FFC"/>
    <w:rsid w:val="00155860"/>
    <w:rsid w:val="00155CAA"/>
    <w:rsid w:val="001567C2"/>
    <w:rsid w:val="00160B01"/>
    <w:rsid w:val="00161127"/>
    <w:rsid w:val="001670B8"/>
    <w:rsid w:val="00170124"/>
    <w:rsid w:val="00170B86"/>
    <w:rsid w:val="00173151"/>
    <w:rsid w:val="00173D52"/>
    <w:rsid w:val="00173E10"/>
    <w:rsid w:val="001752D0"/>
    <w:rsid w:val="00175A16"/>
    <w:rsid w:val="001761E1"/>
    <w:rsid w:val="001803BB"/>
    <w:rsid w:val="00180DDC"/>
    <w:rsid w:val="00184315"/>
    <w:rsid w:val="00185A6E"/>
    <w:rsid w:val="00186229"/>
    <w:rsid w:val="00191021"/>
    <w:rsid w:val="00191472"/>
    <w:rsid w:val="0019217E"/>
    <w:rsid w:val="00192B7C"/>
    <w:rsid w:val="00192D1C"/>
    <w:rsid w:val="00192F4F"/>
    <w:rsid w:val="00193655"/>
    <w:rsid w:val="001967CA"/>
    <w:rsid w:val="001A0AF2"/>
    <w:rsid w:val="001A5537"/>
    <w:rsid w:val="001A5643"/>
    <w:rsid w:val="001A6E15"/>
    <w:rsid w:val="001A7906"/>
    <w:rsid w:val="001B03DA"/>
    <w:rsid w:val="001B3B17"/>
    <w:rsid w:val="001B5A82"/>
    <w:rsid w:val="001B62FB"/>
    <w:rsid w:val="001C3C72"/>
    <w:rsid w:val="001C5186"/>
    <w:rsid w:val="001C53E0"/>
    <w:rsid w:val="001C6A40"/>
    <w:rsid w:val="001D11B2"/>
    <w:rsid w:val="001D29D6"/>
    <w:rsid w:val="001D3F43"/>
    <w:rsid w:val="001D4796"/>
    <w:rsid w:val="001D5B2F"/>
    <w:rsid w:val="001D6CE4"/>
    <w:rsid w:val="001D6E70"/>
    <w:rsid w:val="001D711F"/>
    <w:rsid w:val="001E1185"/>
    <w:rsid w:val="001E1AD4"/>
    <w:rsid w:val="001E20E5"/>
    <w:rsid w:val="001E3CE3"/>
    <w:rsid w:val="001F100C"/>
    <w:rsid w:val="001F27BC"/>
    <w:rsid w:val="001F28C0"/>
    <w:rsid w:val="001F30EB"/>
    <w:rsid w:val="001F50A1"/>
    <w:rsid w:val="001F7BBF"/>
    <w:rsid w:val="00201595"/>
    <w:rsid w:val="0020449D"/>
    <w:rsid w:val="00204511"/>
    <w:rsid w:val="00204B69"/>
    <w:rsid w:val="002051DF"/>
    <w:rsid w:val="00207E01"/>
    <w:rsid w:val="00207E0B"/>
    <w:rsid w:val="00211B79"/>
    <w:rsid w:val="00211ED8"/>
    <w:rsid w:val="00214BEA"/>
    <w:rsid w:val="002157D9"/>
    <w:rsid w:val="00221A8B"/>
    <w:rsid w:val="00221E97"/>
    <w:rsid w:val="0022269E"/>
    <w:rsid w:val="002239E2"/>
    <w:rsid w:val="00224AE4"/>
    <w:rsid w:val="0022778D"/>
    <w:rsid w:val="00231F52"/>
    <w:rsid w:val="00233FF1"/>
    <w:rsid w:val="00236AA6"/>
    <w:rsid w:val="00237325"/>
    <w:rsid w:val="0023755C"/>
    <w:rsid w:val="002377ED"/>
    <w:rsid w:val="00240E5A"/>
    <w:rsid w:val="00241817"/>
    <w:rsid w:val="00244C15"/>
    <w:rsid w:val="002451BE"/>
    <w:rsid w:val="00250009"/>
    <w:rsid w:val="002516C7"/>
    <w:rsid w:val="00251AE6"/>
    <w:rsid w:val="00252258"/>
    <w:rsid w:val="00252781"/>
    <w:rsid w:val="0025308A"/>
    <w:rsid w:val="00254283"/>
    <w:rsid w:val="00262ACB"/>
    <w:rsid w:val="002639C1"/>
    <w:rsid w:val="002648B8"/>
    <w:rsid w:val="002724F4"/>
    <w:rsid w:val="00273479"/>
    <w:rsid w:val="00273AA3"/>
    <w:rsid w:val="00274FE8"/>
    <w:rsid w:val="00274FEA"/>
    <w:rsid w:val="002751AB"/>
    <w:rsid w:val="00277DD8"/>
    <w:rsid w:val="00280198"/>
    <w:rsid w:val="002803B7"/>
    <w:rsid w:val="002833EE"/>
    <w:rsid w:val="00285DAC"/>
    <w:rsid w:val="0028680E"/>
    <w:rsid w:val="0028760B"/>
    <w:rsid w:val="00287DC8"/>
    <w:rsid w:val="00290181"/>
    <w:rsid w:val="00290582"/>
    <w:rsid w:val="00291095"/>
    <w:rsid w:val="002929FA"/>
    <w:rsid w:val="00293BB6"/>
    <w:rsid w:val="00293D20"/>
    <w:rsid w:val="00293D21"/>
    <w:rsid w:val="00294DDC"/>
    <w:rsid w:val="00294EAB"/>
    <w:rsid w:val="00295177"/>
    <w:rsid w:val="0029682B"/>
    <w:rsid w:val="002A0CB7"/>
    <w:rsid w:val="002A5DCB"/>
    <w:rsid w:val="002A6ED0"/>
    <w:rsid w:val="002B0488"/>
    <w:rsid w:val="002B06A0"/>
    <w:rsid w:val="002B0C47"/>
    <w:rsid w:val="002B2D5E"/>
    <w:rsid w:val="002B4258"/>
    <w:rsid w:val="002B5165"/>
    <w:rsid w:val="002B68B4"/>
    <w:rsid w:val="002B6B6D"/>
    <w:rsid w:val="002B7C90"/>
    <w:rsid w:val="002C03F0"/>
    <w:rsid w:val="002C0D2D"/>
    <w:rsid w:val="002C2836"/>
    <w:rsid w:val="002C30FA"/>
    <w:rsid w:val="002C464A"/>
    <w:rsid w:val="002C5883"/>
    <w:rsid w:val="002C5F96"/>
    <w:rsid w:val="002C7946"/>
    <w:rsid w:val="002C796B"/>
    <w:rsid w:val="002D1183"/>
    <w:rsid w:val="002D12A9"/>
    <w:rsid w:val="002D2ACF"/>
    <w:rsid w:val="002D48C9"/>
    <w:rsid w:val="002D5581"/>
    <w:rsid w:val="002D7259"/>
    <w:rsid w:val="002D7C89"/>
    <w:rsid w:val="002E07AD"/>
    <w:rsid w:val="002E0D1F"/>
    <w:rsid w:val="002E419F"/>
    <w:rsid w:val="002E585F"/>
    <w:rsid w:val="002F1395"/>
    <w:rsid w:val="002F29A3"/>
    <w:rsid w:val="002F4E87"/>
    <w:rsid w:val="002F5C66"/>
    <w:rsid w:val="002F6695"/>
    <w:rsid w:val="0030656E"/>
    <w:rsid w:val="00306FE5"/>
    <w:rsid w:val="00306FFD"/>
    <w:rsid w:val="00307F55"/>
    <w:rsid w:val="00310AB0"/>
    <w:rsid w:val="003122B5"/>
    <w:rsid w:val="00312FE8"/>
    <w:rsid w:val="003150FC"/>
    <w:rsid w:val="00315BF6"/>
    <w:rsid w:val="00315CE2"/>
    <w:rsid w:val="00315DBC"/>
    <w:rsid w:val="003177F9"/>
    <w:rsid w:val="00321203"/>
    <w:rsid w:val="0032347B"/>
    <w:rsid w:val="0032597E"/>
    <w:rsid w:val="00331A49"/>
    <w:rsid w:val="00332F53"/>
    <w:rsid w:val="00333CDE"/>
    <w:rsid w:val="0033566C"/>
    <w:rsid w:val="0033725D"/>
    <w:rsid w:val="00341EB2"/>
    <w:rsid w:val="003436C7"/>
    <w:rsid w:val="00344448"/>
    <w:rsid w:val="00345D20"/>
    <w:rsid w:val="00346318"/>
    <w:rsid w:val="00346BD1"/>
    <w:rsid w:val="00350ED4"/>
    <w:rsid w:val="00351E5C"/>
    <w:rsid w:val="00352140"/>
    <w:rsid w:val="00352245"/>
    <w:rsid w:val="003552F2"/>
    <w:rsid w:val="003559A7"/>
    <w:rsid w:val="00355CAE"/>
    <w:rsid w:val="003572E0"/>
    <w:rsid w:val="003602B9"/>
    <w:rsid w:val="003623BF"/>
    <w:rsid w:val="003633ED"/>
    <w:rsid w:val="00367167"/>
    <w:rsid w:val="003723BC"/>
    <w:rsid w:val="00372634"/>
    <w:rsid w:val="003732E0"/>
    <w:rsid w:val="00373BCB"/>
    <w:rsid w:val="00373DF4"/>
    <w:rsid w:val="00376CEA"/>
    <w:rsid w:val="003806F3"/>
    <w:rsid w:val="0038111E"/>
    <w:rsid w:val="00382E4E"/>
    <w:rsid w:val="00387EED"/>
    <w:rsid w:val="003924B6"/>
    <w:rsid w:val="0039724D"/>
    <w:rsid w:val="003A1B8D"/>
    <w:rsid w:val="003A26D7"/>
    <w:rsid w:val="003A2DCC"/>
    <w:rsid w:val="003A45DC"/>
    <w:rsid w:val="003A5C8D"/>
    <w:rsid w:val="003A66D4"/>
    <w:rsid w:val="003A674D"/>
    <w:rsid w:val="003A7248"/>
    <w:rsid w:val="003A7A58"/>
    <w:rsid w:val="003B26A7"/>
    <w:rsid w:val="003B3185"/>
    <w:rsid w:val="003B4B12"/>
    <w:rsid w:val="003B6C81"/>
    <w:rsid w:val="003C1387"/>
    <w:rsid w:val="003C1AD3"/>
    <w:rsid w:val="003C1AE6"/>
    <w:rsid w:val="003C1D3B"/>
    <w:rsid w:val="003C507B"/>
    <w:rsid w:val="003D0085"/>
    <w:rsid w:val="003D03EB"/>
    <w:rsid w:val="003D0748"/>
    <w:rsid w:val="003D1387"/>
    <w:rsid w:val="003D4066"/>
    <w:rsid w:val="003D6165"/>
    <w:rsid w:val="003D63B1"/>
    <w:rsid w:val="003D711A"/>
    <w:rsid w:val="003D7B44"/>
    <w:rsid w:val="003E0514"/>
    <w:rsid w:val="003E0D83"/>
    <w:rsid w:val="003E16F9"/>
    <w:rsid w:val="003E29B3"/>
    <w:rsid w:val="003E36F6"/>
    <w:rsid w:val="003E3ABA"/>
    <w:rsid w:val="003E3BB0"/>
    <w:rsid w:val="003E4098"/>
    <w:rsid w:val="003E40CD"/>
    <w:rsid w:val="003E57F7"/>
    <w:rsid w:val="003E5A76"/>
    <w:rsid w:val="003E5D99"/>
    <w:rsid w:val="003E7331"/>
    <w:rsid w:val="003F175A"/>
    <w:rsid w:val="003F1869"/>
    <w:rsid w:val="003F2FC9"/>
    <w:rsid w:val="003F32D5"/>
    <w:rsid w:val="003F45E8"/>
    <w:rsid w:val="003F469B"/>
    <w:rsid w:val="003F5E3D"/>
    <w:rsid w:val="00402B7F"/>
    <w:rsid w:val="00402F92"/>
    <w:rsid w:val="00404977"/>
    <w:rsid w:val="00404BF7"/>
    <w:rsid w:val="00405186"/>
    <w:rsid w:val="0040659E"/>
    <w:rsid w:val="00407AFC"/>
    <w:rsid w:val="004100E9"/>
    <w:rsid w:val="004111FC"/>
    <w:rsid w:val="00413897"/>
    <w:rsid w:val="004148BF"/>
    <w:rsid w:val="004150E6"/>
    <w:rsid w:val="004161A8"/>
    <w:rsid w:val="0042051F"/>
    <w:rsid w:val="004251ED"/>
    <w:rsid w:val="00425663"/>
    <w:rsid w:val="004256EF"/>
    <w:rsid w:val="0042663F"/>
    <w:rsid w:val="0042693A"/>
    <w:rsid w:val="0042706D"/>
    <w:rsid w:val="0042727A"/>
    <w:rsid w:val="00427FDA"/>
    <w:rsid w:val="0043066E"/>
    <w:rsid w:val="00433D41"/>
    <w:rsid w:val="00434612"/>
    <w:rsid w:val="00435A50"/>
    <w:rsid w:val="00436639"/>
    <w:rsid w:val="004411CC"/>
    <w:rsid w:val="00445D57"/>
    <w:rsid w:val="00445FC1"/>
    <w:rsid w:val="00447297"/>
    <w:rsid w:val="0045071A"/>
    <w:rsid w:val="00450CBE"/>
    <w:rsid w:val="004521C2"/>
    <w:rsid w:val="00456D32"/>
    <w:rsid w:val="00456E88"/>
    <w:rsid w:val="004601D7"/>
    <w:rsid w:val="0046027F"/>
    <w:rsid w:val="00460848"/>
    <w:rsid w:val="00463BF8"/>
    <w:rsid w:val="00464AA9"/>
    <w:rsid w:val="00464ECD"/>
    <w:rsid w:val="004656D4"/>
    <w:rsid w:val="0046706F"/>
    <w:rsid w:val="00471A62"/>
    <w:rsid w:val="00472803"/>
    <w:rsid w:val="00474854"/>
    <w:rsid w:val="00474BBE"/>
    <w:rsid w:val="00475E98"/>
    <w:rsid w:val="00476FC5"/>
    <w:rsid w:val="00483B64"/>
    <w:rsid w:val="00484D20"/>
    <w:rsid w:val="00485A63"/>
    <w:rsid w:val="004900A3"/>
    <w:rsid w:val="00490446"/>
    <w:rsid w:val="004910C8"/>
    <w:rsid w:val="0049264B"/>
    <w:rsid w:val="004953AD"/>
    <w:rsid w:val="00495B3A"/>
    <w:rsid w:val="004965F7"/>
    <w:rsid w:val="004A13B7"/>
    <w:rsid w:val="004A32BF"/>
    <w:rsid w:val="004A5139"/>
    <w:rsid w:val="004A5147"/>
    <w:rsid w:val="004A60F4"/>
    <w:rsid w:val="004B116A"/>
    <w:rsid w:val="004B4F25"/>
    <w:rsid w:val="004B5731"/>
    <w:rsid w:val="004C218C"/>
    <w:rsid w:val="004C33BF"/>
    <w:rsid w:val="004C4B3A"/>
    <w:rsid w:val="004C4DD9"/>
    <w:rsid w:val="004C52DB"/>
    <w:rsid w:val="004C6389"/>
    <w:rsid w:val="004C6C2F"/>
    <w:rsid w:val="004D01A4"/>
    <w:rsid w:val="004D10AF"/>
    <w:rsid w:val="004D3A99"/>
    <w:rsid w:val="004D5C97"/>
    <w:rsid w:val="004D7309"/>
    <w:rsid w:val="004E0112"/>
    <w:rsid w:val="004E0255"/>
    <w:rsid w:val="004E2FAE"/>
    <w:rsid w:val="004E63AE"/>
    <w:rsid w:val="004E6829"/>
    <w:rsid w:val="004F1C60"/>
    <w:rsid w:val="004F338E"/>
    <w:rsid w:val="004F798B"/>
    <w:rsid w:val="005043B8"/>
    <w:rsid w:val="005057C4"/>
    <w:rsid w:val="00505D20"/>
    <w:rsid w:val="00506580"/>
    <w:rsid w:val="00506ED9"/>
    <w:rsid w:val="00507770"/>
    <w:rsid w:val="00510085"/>
    <w:rsid w:val="00511AA3"/>
    <w:rsid w:val="00513CA1"/>
    <w:rsid w:val="005207EA"/>
    <w:rsid w:val="00521DCB"/>
    <w:rsid w:val="00525E13"/>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45A"/>
    <w:rsid w:val="00563B5A"/>
    <w:rsid w:val="0056449B"/>
    <w:rsid w:val="00564B80"/>
    <w:rsid w:val="005715DA"/>
    <w:rsid w:val="00573585"/>
    <w:rsid w:val="005749B1"/>
    <w:rsid w:val="00574E9C"/>
    <w:rsid w:val="00574FA1"/>
    <w:rsid w:val="005754FD"/>
    <w:rsid w:val="005757DF"/>
    <w:rsid w:val="00577985"/>
    <w:rsid w:val="005779D5"/>
    <w:rsid w:val="00581C41"/>
    <w:rsid w:val="00583F5A"/>
    <w:rsid w:val="00585328"/>
    <w:rsid w:val="00585F8F"/>
    <w:rsid w:val="005876E9"/>
    <w:rsid w:val="00593DD0"/>
    <w:rsid w:val="00594BDA"/>
    <w:rsid w:val="00595A30"/>
    <w:rsid w:val="00595C0A"/>
    <w:rsid w:val="0059778F"/>
    <w:rsid w:val="005A28D4"/>
    <w:rsid w:val="005A290F"/>
    <w:rsid w:val="005A30B2"/>
    <w:rsid w:val="005B403F"/>
    <w:rsid w:val="005B46E6"/>
    <w:rsid w:val="005B4A1B"/>
    <w:rsid w:val="005B7BC1"/>
    <w:rsid w:val="005C0CA5"/>
    <w:rsid w:val="005C0D17"/>
    <w:rsid w:val="005C25BD"/>
    <w:rsid w:val="005C4047"/>
    <w:rsid w:val="005C58AB"/>
    <w:rsid w:val="005C58F9"/>
    <w:rsid w:val="005C7EB8"/>
    <w:rsid w:val="005D651D"/>
    <w:rsid w:val="005E09C4"/>
    <w:rsid w:val="005E1058"/>
    <w:rsid w:val="005E3611"/>
    <w:rsid w:val="005F070A"/>
    <w:rsid w:val="005F2305"/>
    <w:rsid w:val="005F5A66"/>
    <w:rsid w:val="005F6240"/>
    <w:rsid w:val="005F66F7"/>
    <w:rsid w:val="005F6B34"/>
    <w:rsid w:val="006019C9"/>
    <w:rsid w:val="006020B7"/>
    <w:rsid w:val="00602A5D"/>
    <w:rsid w:val="00602E7E"/>
    <w:rsid w:val="006033CC"/>
    <w:rsid w:val="00604FE0"/>
    <w:rsid w:val="0060583B"/>
    <w:rsid w:val="006061DA"/>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2002"/>
    <w:rsid w:val="006401C0"/>
    <w:rsid w:val="00640F0A"/>
    <w:rsid w:val="0064198D"/>
    <w:rsid w:val="00641B66"/>
    <w:rsid w:val="00644482"/>
    <w:rsid w:val="0064561F"/>
    <w:rsid w:val="006456BC"/>
    <w:rsid w:val="00646FEB"/>
    <w:rsid w:val="0065105B"/>
    <w:rsid w:val="0065525E"/>
    <w:rsid w:val="00655514"/>
    <w:rsid w:val="006578D2"/>
    <w:rsid w:val="0066080A"/>
    <w:rsid w:val="00661539"/>
    <w:rsid w:val="00661CA5"/>
    <w:rsid w:val="00662B7F"/>
    <w:rsid w:val="00664748"/>
    <w:rsid w:val="00664F6A"/>
    <w:rsid w:val="00665C6E"/>
    <w:rsid w:val="00671A56"/>
    <w:rsid w:val="0067260C"/>
    <w:rsid w:val="00673AEA"/>
    <w:rsid w:val="00673DD9"/>
    <w:rsid w:val="006756A1"/>
    <w:rsid w:val="00675E74"/>
    <w:rsid w:val="006763AC"/>
    <w:rsid w:val="006776E7"/>
    <w:rsid w:val="00677DF3"/>
    <w:rsid w:val="00682BBB"/>
    <w:rsid w:val="00683864"/>
    <w:rsid w:val="00683D06"/>
    <w:rsid w:val="00683EFA"/>
    <w:rsid w:val="00684DA1"/>
    <w:rsid w:val="0068677A"/>
    <w:rsid w:val="00686B96"/>
    <w:rsid w:val="00687CA9"/>
    <w:rsid w:val="006916E2"/>
    <w:rsid w:val="00692950"/>
    <w:rsid w:val="00694627"/>
    <w:rsid w:val="00694A21"/>
    <w:rsid w:val="006975DC"/>
    <w:rsid w:val="006A0DA7"/>
    <w:rsid w:val="006A40CB"/>
    <w:rsid w:val="006A6A46"/>
    <w:rsid w:val="006A7AC4"/>
    <w:rsid w:val="006B02E9"/>
    <w:rsid w:val="006B51C5"/>
    <w:rsid w:val="006B59A9"/>
    <w:rsid w:val="006B6870"/>
    <w:rsid w:val="006C0185"/>
    <w:rsid w:val="006C0391"/>
    <w:rsid w:val="006C1F68"/>
    <w:rsid w:val="006C499E"/>
    <w:rsid w:val="006C614A"/>
    <w:rsid w:val="006C6BAE"/>
    <w:rsid w:val="006D0E8B"/>
    <w:rsid w:val="006D1291"/>
    <w:rsid w:val="006D17BD"/>
    <w:rsid w:val="006D4F36"/>
    <w:rsid w:val="006D6BBC"/>
    <w:rsid w:val="006E0DBD"/>
    <w:rsid w:val="006E299E"/>
    <w:rsid w:val="006E368D"/>
    <w:rsid w:val="006E47C9"/>
    <w:rsid w:val="006F04BB"/>
    <w:rsid w:val="006F13A6"/>
    <w:rsid w:val="006F321C"/>
    <w:rsid w:val="006F3CCB"/>
    <w:rsid w:val="006F4B87"/>
    <w:rsid w:val="006F4FF7"/>
    <w:rsid w:val="006F611D"/>
    <w:rsid w:val="00700555"/>
    <w:rsid w:val="00700A4E"/>
    <w:rsid w:val="007011F8"/>
    <w:rsid w:val="00701DCE"/>
    <w:rsid w:val="00704427"/>
    <w:rsid w:val="00705159"/>
    <w:rsid w:val="00706DA1"/>
    <w:rsid w:val="00711A6C"/>
    <w:rsid w:val="00711B02"/>
    <w:rsid w:val="00711CB7"/>
    <w:rsid w:val="007123AB"/>
    <w:rsid w:val="00713071"/>
    <w:rsid w:val="00713CBC"/>
    <w:rsid w:val="00713F6C"/>
    <w:rsid w:val="0071533E"/>
    <w:rsid w:val="00720DB6"/>
    <w:rsid w:val="0072155B"/>
    <w:rsid w:val="0072370B"/>
    <w:rsid w:val="00723803"/>
    <w:rsid w:val="0072386D"/>
    <w:rsid w:val="00724C18"/>
    <w:rsid w:val="00726F75"/>
    <w:rsid w:val="007275A7"/>
    <w:rsid w:val="00730514"/>
    <w:rsid w:val="0073185E"/>
    <w:rsid w:val="00732329"/>
    <w:rsid w:val="00734229"/>
    <w:rsid w:val="00734B90"/>
    <w:rsid w:val="007361DA"/>
    <w:rsid w:val="007373AB"/>
    <w:rsid w:val="00737DF1"/>
    <w:rsid w:val="00737FA7"/>
    <w:rsid w:val="007408E9"/>
    <w:rsid w:val="00740B10"/>
    <w:rsid w:val="00744E7F"/>
    <w:rsid w:val="0074503F"/>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67227"/>
    <w:rsid w:val="00770024"/>
    <w:rsid w:val="00772966"/>
    <w:rsid w:val="00772C57"/>
    <w:rsid w:val="00774401"/>
    <w:rsid w:val="00774D4A"/>
    <w:rsid w:val="007769C2"/>
    <w:rsid w:val="00785CBD"/>
    <w:rsid w:val="00787045"/>
    <w:rsid w:val="00787B24"/>
    <w:rsid w:val="00790963"/>
    <w:rsid w:val="00794E95"/>
    <w:rsid w:val="00795FFF"/>
    <w:rsid w:val="00796F3E"/>
    <w:rsid w:val="007A0E8D"/>
    <w:rsid w:val="007A7524"/>
    <w:rsid w:val="007A7A75"/>
    <w:rsid w:val="007A7F21"/>
    <w:rsid w:val="007B13AF"/>
    <w:rsid w:val="007B1634"/>
    <w:rsid w:val="007B1930"/>
    <w:rsid w:val="007B24C3"/>
    <w:rsid w:val="007B73F3"/>
    <w:rsid w:val="007C1816"/>
    <w:rsid w:val="007C18C4"/>
    <w:rsid w:val="007C1907"/>
    <w:rsid w:val="007C22E1"/>
    <w:rsid w:val="007C24C0"/>
    <w:rsid w:val="007C382A"/>
    <w:rsid w:val="007C4C35"/>
    <w:rsid w:val="007C4F62"/>
    <w:rsid w:val="007C4F8A"/>
    <w:rsid w:val="007C543A"/>
    <w:rsid w:val="007C7932"/>
    <w:rsid w:val="007D1628"/>
    <w:rsid w:val="007D3D72"/>
    <w:rsid w:val="007D3E86"/>
    <w:rsid w:val="007D4D48"/>
    <w:rsid w:val="007D616A"/>
    <w:rsid w:val="007D73E7"/>
    <w:rsid w:val="007E0463"/>
    <w:rsid w:val="007E0B71"/>
    <w:rsid w:val="007E3271"/>
    <w:rsid w:val="007E3388"/>
    <w:rsid w:val="007E5C3F"/>
    <w:rsid w:val="007F061A"/>
    <w:rsid w:val="007F0F23"/>
    <w:rsid w:val="007F0F41"/>
    <w:rsid w:val="007F0F8D"/>
    <w:rsid w:val="007F14AA"/>
    <w:rsid w:val="007F1690"/>
    <w:rsid w:val="007F192D"/>
    <w:rsid w:val="007F35F4"/>
    <w:rsid w:val="007F4849"/>
    <w:rsid w:val="007F4994"/>
    <w:rsid w:val="0080033F"/>
    <w:rsid w:val="008010CC"/>
    <w:rsid w:val="008012B9"/>
    <w:rsid w:val="00803263"/>
    <w:rsid w:val="008053E1"/>
    <w:rsid w:val="00805585"/>
    <w:rsid w:val="0080643C"/>
    <w:rsid w:val="00806ED3"/>
    <w:rsid w:val="00810916"/>
    <w:rsid w:val="00810EDF"/>
    <w:rsid w:val="00811077"/>
    <w:rsid w:val="00812499"/>
    <w:rsid w:val="008135A6"/>
    <w:rsid w:val="0081417D"/>
    <w:rsid w:val="00814BC4"/>
    <w:rsid w:val="00817023"/>
    <w:rsid w:val="0082234F"/>
    <w:rsid w:val="00822422"/>
    <w:rsid w:val="008225F7"/>
    <w:rsid w:val="00822CDD"/>
    <w:rsid w:val="0083377F"/>
    <w:rsid w:val="00835D41"/>
    <w:rsid w:val="0083656B"/>
    <w:rsid w:val="0083773F"/>
    <w:rsid w:val="0084319D"/>
    <w:rsid w:val="00844075"/>
    <w:rsid w:val="008440D2"/>
    <w:rsid w:val="00844847"/>
    <w:rsid w:val="008457A3"/>
    <w:rsid w:val="00852A6E"/>
    <w:rsid w:val="00852F37"/>
    <w:rsid w:val="00853416"/>
    <w:rsid w:val="00855C40"/>
    <w:rsid w:val="00861F8D"/>
    <w:rsid w:val="008620B6"/>
    <w:rsid w:val="0086591B"/>
    <w:rsid w:val="00866988"/>
    <w:rsid w:val="00870BF1"/>
    <w:rsid w:val="00871DAD"/>
    <w:rsid w:val="0087356E"/>
    <w:rsid w:val="0087616B"/>
    <w:rsid w:val="00880E69"/>
    <w:rsid w:val="00881E06"/>
    <w:rsid w:val="00882255"/>
    <w:rsid w:val="00883DDC"/>
    <w:rsid w:val="008847B9"/>
    <w:rsid w:val="00885A65"/>
    <w:rsid w:val="00885C2C"/>
    <w:rsid w:val="00886196"/>
    <w:rsid w:val="008866BA"/>
    <w:rsid w:val="00890C1F"/>
    <w:rsid w:val="008917AF"/>
    <w:rsid w:val="00895CA2"/>
    <w:rsid w:val="0089650D"/>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4BF7"/>
    <w:rsid w:val="008C5C26"/>
    <w:rsid w:val="008C6DF8"/>
    <w:rsid w:val="008E0778"/>
    <w:rsid w:val="008E0FBE"/>
    <w:rsid w:val="008E3372"/>
    <w:rsid w:val="008E339A"/>
    <w:rsid w:val="008E71B8"/>
    <w:rsid w:val="008F0AD2"/>
    <w:rsid w:val="008F0B3A"/>
    <w:rsid w:val="008F19D9"/>
    <w:rsid w:val="008F59D1"/>
    <w:rsid w:val="008F6FD1"/>
    <w:rsid w:val="008F794C"/>
    <w:rsid w:val="008F7EE0"/>
    <w:rsid w:val="009018A2"/>
    <w:rsid w:val="00901DFE"/>
    <w:rsid w:val="00901EF1"/>
    <w:rsid w:val="00903154"/>
    <w:rsid w:val="00905811"/>
    <w:rsid w:val="00905A4E"/>
    <w:rsid w:val="00905CD2"/>
    <w:rsid w:val="009064BC"/>
    <w:rsid w:val="009129EF"/>
    <w:rsid w:val="0091549F"/>
    <w:rsid w:val="00916580"/>
    <w:rsid w:val="00917457"/>
    <w:rsid w:val="00917819"/>
    <w:rsid w:val="00917E5C"/>
    <w:rsid w:val="0092192D"/>
    <w:rsid w:val="00921A95"/>
    <w:rsid w:val="0092438E"/>
    <w:rsid w:val="0092544D"/>
    <w:rsid w:val="00925DDC"/>
    <w:rsid w:val="00927A04"/>
    <w:rsid w:val="00927C86"/>
    <w:rsid w:val="009320F4"/>
    <w:rsid w:val="00932EF4"/>
    <w:rsid w:val="00933149"/>
    <w:rsid w:val="009356B6"/>
    <w:rsid w:val="009358D9"/>
    <w:rsid w:val="00936E9C"/>
    <w:rsid w:val="0093747A"/>
    <w:rsid w:val="009378CC"/>
    <w:rsid w:val="00940413"/>
    <w:rsid w:val="009415D1"/>
    <w:rsid w:val="00945EA3"/>
    <w:rsid w:val="0094664F"/>
    <w:rsid w:val="00947A47"/>
    <w:rsid w:val="00947E59"/>
    <w:rsid w:val="00950332"/>
    <w:rsid w:val="009539CC"/>
    <w:rsid w:val="0095490E"/>
    <w:rsid w:val="009550A8"/>
    <w:rsid w:val="00955110"/>
    <w:rsid w:val="0096077A"/>
    <w:rsid w:val="00961C56"/>
    <w:rsid w:val="00962E04"/>
    <w:rsid w:val="00963EDE"/>
    <w:rsid w:val="009653A9"/>
    <w:rsid w:val="009658A0"/>
    <w:rsid w:val="0096592A"/>
    <w:rsid w:val="00966600"/>
    <w:rsid w:val="00966908"/>
    <w:rsid w:val="00971ACE"/>
    <w:rsid w:val="00971F7F"/>
    <w:rsid w:val="00972C5F"/>
    <w:rsid w:val="00974497"/>
    <w:rsid w:val="009754F3"/>
    <w:rsid w:val="00975A8F"/>
    <w:rsid w:val="00976246"/>
    <w:rsid w:val="009769E5"/>
    <w:rsid w:val="00980B04"/>
    <w:rsid w:val="00980D15"/>
    <w:rsid w:val="0098214F"/>
    <w:rsid w:val="009828BB"/>
    <w:rsid w:val="00985CC7"/>
    <w:rsid w:val="00990776"/>
    <w:rsid w:val="009920F4"/>
    <w:rsid w:val="00993069"/>
    <w:rsid w:val="009965DC"/>
    <w:rsid w:val="00996B1F"/>
    <w:rsid w:val="00996D10"/>
    <w:rsid w:val="009A0C2D"/>
    <w:rsid w:val="009A0F52"/>
    <w:rsid w:val="009A118C"/>
    <w:rsid w:val="009A1CD7"/>
    <w:rsid w:val="009A278A"/>
    <w:rsid w:val="009A3C66"/>
    <w:rsid w:val="009A3E7B"/>
    <w:rsid w:val="009A4885"/>
    <w:rsid w:val="009A66D8"/>
    <w:rsid w:val="009A7A66"/>
    <w:rsid w:val="009B15EA"/>
    <w:rsid w:val="009B7118"/>
    <w:rsid w:val="009C02E6"/>
    <w:rsid w:val="009C063E"/>
    <w:rsid w:val="009C06F2"/>
    <w:rsid w:val="009C1EEB"/>
    <w:rsid w:val="009C2788"/>
    <w:rsid w:val="009C2C17"/>
    <w:rsid w:val="009C68DB"/>
    <w:rsid w:val="009D2E17"/>
    <w:rsid w:val="009D3A11"/>
    <w:rsid w:val="009D598B"/>
    <w:rsid w:val="009D5BD7"/>
    <w:rsid w:val="009D5E39"/>
    <w:rsid w:val="009D5E70"/>
    <w:rsid w:val="009E0422"/>
    <w:rsid w:val="009E07CB"/>
    <w:rsid w:val="009E3E20"/>
    <w:rsid w:val="009F05E4"/>
    <w:rsid w:val="009F0EFB"/>
    <w:rsid w:val="009F174D"/>
    <w:rsid w:val="009F250D"/>
    <w:rsid w:val="009F668C"/>
    <w:rsid w:val="00A01D4E"/>
    <w:rsid w:val="00A07584"/>
    <w:rsid w:val="00A10B0E"/>
    <w:rsid w:val="00A11CA7"/>
    <w:rsid w:val="00A1496D"/>
    <w:rsid w:val="00A14C6C"/>
    <w:rsid w:val="00A14D38"/>
    <w:rsid w:val="00A151C5"/>
    <w:rsid w:val="00A16D2B"/>
    <w:rsid w:val="00A17669"/>
    <w:rsid w:val="00A20C87"/>
    <w:rsid w:val="00A26F89"/>
    <w:rsid w:val="00A26F96"/>
    <w:rsid w:val="00A27DA7"/>
    <w:rsid w:val="00A27E95"/>
    <w:rsid w:val="00A303CC"/>
    <w:rsid w:val="00A30A60"/>
    <w:rsid w:val="00A310A7"/>
    <w:rsid w:val="00A31857"/>
    <w:rsid w:val="00A3238F"/>
    <w:rsid w:val="00A3299A"/>
    <w:rsid w:val="00A333C4"/>
    <w:rsid w:val="00A34747"/>
    <w:rsid w:val="00A36396"/>
    <w:rsid w:val="00A37555"/>
    <w:rsid w:val="00A376C2"/>
    <w:rsid w:val="00A3772E"/>
    <w:rsid w:val="00A41DE7"/>
    <w:rsid w:val="00A424DB"/>
    <w:rsid w:val="00A42664"/>
    <w:rsid w:val="00A439B4"/>
    <w:rsid w:val="00A4422E"/>
    <w:rsid w:val="00A4498B"/>
    <w:rsid w:val="00A4588F"/>
    <w:rsid w:val="00A458D4"/>
    <w:rsid w:val="00A47A22"/>
    <w:rsid w:val="00A50749"/>
    <w:rsid w:val="00A508B9"/>
    <w:rsid w:val="00A50935"/>
    <w:rsid w:val="00A518D7"/>
    <w:rsid w:val="00A51D4B"/>
    <w:rsid w:val="00A51F71"/>
    <w:rsid w:val="00A52D06"/>
    <w:rsid w:val="00A52DB4"/>
    <w:rsid w:val="00A53844"/>
    <w:rsid w:val="00A543A8"/>
    <w:rsid w:val="00A61109"/>
    <w:rsid w:val="00A61D07"/>
    <w:rsid w:val="00A61FB3"/>
    <w:rsid w:val="00A646EB"/>
    <w:rsid w:val="00A64B56"/>
    <w:rsid w:val="00A662FC"/>
    <w:rsid w:val="00A67966"/>
    <w:rsid w:val="00A714A2"/>
    <w:rsid w:val="00A7183F"/>
    <w:rsid w:val="00A7382E"/>
    <w:rsid w:val="00A73890"/>
    <w:rsid w:val="00A7447D"/>
    <w:rsid w:val="00A7566B"/>
    <w:rsid w:val="00A756D4"/>
    <w:rsid w:val="00A7641A"/>
    <w:rsid w:val="00A76BCC"/>
    <w:rsid w:val="00A779F4"/>
    <w:rsid w:val="00A8029B"/>
    <w:rsid w:val="00A8033E"/>
    <w:rsid w:val="00A81CD5"/>
    <w:rsid w:val="00A82D24"/>
    <w:rsid w:val="00A877CE"/>
    <w:rsid w:val="00A93C1E"/>
    <w:rsid w:val="00A945BC"/>
    <w:rsid w:val="00AA0F7A"/>
    <w:rsid w:val="00AA2271"/>
    <w:rsid w:val="00AA4528"/>
    <w:rsid w:val="00AA4FDB"/>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44D5"/>
    <w:rsid w:val="00AC5186"/>
    <w:rsid w:val="00AD037C"/>
    <w:rsid w:val="00AD0FAD"/>
    <w:rsid w:val="00AD1B6D"/>
    <w:rsid w:val="00AD2818"/>
    <w:rsid w:val="00AD314E"/>
    <w:rsid w:val="00AD4E8E"/>
    <w:rsid w:val="00AD5EC6"/>
    <w:rsid w:val="00AD68AE"/>
    <w:rsid w:val="00AD6BC0"/>
    <w:rsid w:val="00AD7908"/>
    <w:rsid w:val="00AE0828"/>
    <w:rsid w:val="00AE0C3A"/>
    <w:rsid w:val="00AE18D4"/>
    <w:rsid w:val="00AE2667"/>
    <w:rsid w:val="00AE3B2E"/>
    <w:rsid w:val="00AE3EE8"/>
    <w:rsid w:val="00AE4DAC"/>
    <w:rsid w:val="00AE5473"/>
    <w:rsid w:val="00AE5948"/>
    <w:rsid w:val="00AF1413"/>
    <w:rsid w:val="00AF27DA"/>
    <w:rsid w:val="00AF4B4D"/>
    <w:rsid w:val="00B002A6"/>
    <w:rsid w:val="00B01C5A"/>
    <w:rsid w:val="00B02A59"/>
    <w:rsid w:val="00B02F5E"/>
    <w:rsid w:val="00B03172"/>
    <w:rsid w:val="00B031EC"/>
    <w:rsid w:val="00B033E9"/>
    <w:rsid w:val="00B03BDB"/>
    <w:rsid w:val="00B04E89"/>
    <w:rsid w:val="00B06C9D"/>
    <w:rsid w:val="00B123D9"/>
    <w:rsid w:val="00B128A5"/>
    <w:rsid w:val="00B16A20"/>
    <w:rsid w:val="00B17BFD"/>
    <w:rsid w:val="00B21DC4"/>
    <w:rsid w:val="00B25C9A"/>
    <w:rsid w:val="00B30190"/>
    <w:rsid w:val="00B315B4"/>
    <w:rsid w:val="00B33DC4"/>
    <w:rsid w:val="00B33FE9"/>
    <w:rsid w:val="00B35A44"/>
    <w:rsid w:val="00B36255"/>
    <w:rsid w:val="00B36BDF"/>
    <w:rsid w:val="00B378B0"/>
    <w:rsid w:val="00B405F5"/>
    <w:rsid w:val="00B42EB3"/>
    <w:rsid w:val="00B44077"/>
    <w:rsid w:val="00B45046"/>
    <w:rsid w:val="00B45D24"/>
    <w:rsid w:val="00B46C69"/>
    <w:rsid w:val="00B478E8"/>
    <w:rsid w:val="00B5040C"/>
    <w:rsid w:val="00B50A0C"/>
    <w:rsid w:val="00B532D5"/>
    <w:rsid w:val="00B543C0"/>
    <w:rsid w:val="00B55F30"/>
    <w:rsid w:val="00B573E5"/>
    <w:rsid w:val="00B6042B"/>
    <w:rsid w:val="00B621D8"/>
    <w:rsid w:val="00B6312E"/>
    <w:rsid w:val="00B6477E"/>
    <w:rsid w:val="00B64B2E"/>
    <w:rsid w:val="00B65C90"/>
    <w:rsid w:val="00B674BC"/>
    <w:rsid w:val="00B67A70"/>
    <w:rsid w:val="00B74228"/>
    <w:rsid w:val="00B75A40"/>
    <w:rsid w:val="00B777C9"/>
    <w:rsid w:val="00B815F8"/>
    <w:rsid w:val="00B850B6"/>
    <w:rsid w:val="00B92951"/>
    <w:rsid w:val="00B94E46"/>
    <w:rsid w:val="00B95403"/>
    <w:rsid w:val="00B95B34"/>
    <w:rsid w:val="00B961C1"/>
    <w:rsid w:val="00BA0213"/>
    <w:rsid w:val="00BA1B88"/>
    <w:rsid w:val="00BA1D52"/>
    <w:rsid w:val="00BA212E"/>
    <w:rsid w:val="00BA49EB"/>
    <w:rsid w:val="00BA4C42"/>
    <w:rsid w:val="00BA54CC"/>
    <w:rsid w:val="00BA6D46"/>
    <w:rsid w:val="00BA70B5"/>
    <w:rsid w:val="00BA7251"/>
    <w:rsid w:val="00BB2590"/>
    <w:rsid w:val="00BB282E"/>
    <w:rsid w:val="00BB2FAD"/>
    <w:rsid w:val="00BB325A"/>
    <w:rsid w:val="00BB3478"/>
    <w:rsid w:val="00BB3856"/>
    <w:rsid w:val="00BB60CD"/>
    <w:rsid w:val="00BC0A68"/>
    <w:rsid w:val="00BC145A"/>
    <w:rsid w:val="00BC1F4C"/>
    <w:rsid w:val="00BC224C"/>
    <w:rsid w:val="00BC2903"/>
    <w:rsid w:val="00BC2BAC"/>
    <w:rsid w:val="00BC41FD"/>
    <w:rsid w:val="00BC5613"/>
    <w:rsid w:val="00BC5BB9"/>
    <w:rsid w:val="00BC6EDC"/>
    <w:rsid w:val="00BC71E7"/>
    <w:rsid w:val="00BD0E09"/>
    <w:rsid w:val="00BD155B"/>
    <w:rsid w:val="00BD2341"/>
    <w:rsid w:val="00BD30DA"/>
    <w:rsid w:val="00BE3367"/>
    <w:rsid w:val="00BE3EB9"/>
    <w:rsid w:val="00BE4847"/>
    <w:rsid w:val="00BE4A86"/>
    <w:rsid w:val="00BE7A38"/>
    <w:rsid w:val="00BF36C4"/>
    <w:rsid w:val="00BF3C53"/>
    <w:rsid w:val="00BF40FD"/>
    <w:rsid w:val="00BF4D5D"/>
    <w:rsid w:val="00C009FC"/>
    <w:rsid w:val="00C057C5"/>
    <w:rsid w:val="00C05E49"/>
    <w:rsid w:val="00C06571"/>
    <w:rsid w:val="00C075F2"/>
    <w:rsid w:val="00C10297"/>
    <w:rsid w:val="00C10406"/>
    <w:rsid w:val="00C1046A"/>
    <w:rsid w:val="00C120A6"/>
    <w:rsid w:val="00C132B3"/>
    <w:rsid w:val="00C13AA5"/>
    <w:rsid w:val="00C14840"/>
    <w:rsid w:val="00C2128A"/>
    <w:rsid w:val="00C22951"/>
    <w:rsid w:val="00C233B3"/>
    <w:rsid w:val="00C23652"/>
    <w:rsid w:val="00C24639"/>
    <w:rsid w:val="00C25890"/>
    <w:rsid w:val="00C3241B"/>
    <w:rsid w:val="00C33424"/>
    <w:rsid w:val="00C34774"/>
    <w:rsid w:val="00C35B68"/>
    <w:rsid w:val="00C35D6C"/>
    <w:rsid w:val="00C35E59"/>
    <w:rsid w:val="00C37BD6"/>
    <w:rsid w:val="00C37FE7"/>
    <w:rsid w:val="00C40B19"/>
    <w:rsid w:val="00C417B7"/>
    <w:rsid w:val="00C41E52"/>
    <w:rsid w:val="00C433B7"/>
    <w:rsid w:val="00C455D9"/>
    <w:rsid w:val="00C4575B"/>
    <w:rsid w:val="00C45A98"/>
    <w:rsid w:val="00C461AC"/>
    <w:rsid w:val="00C47DB6"/>
    <w:rsid w:val="00C51205"/>
    <w:rsid w:val="00C51B2D"/>
    <w:rsid w:val="00C54B41"/>
    <w:rsid w:val="00C54DED"/>
    <w:rsid w:val="00C55630"/>
    <w:rsid w:val="00C5634F"/>
    <w:rsid w:val="00C565CE"/>
    <w:rsid w:val="00C63441"/>
    <w:rsid w:val="00C63B7C"/>
    <w:rsid w:val="00C64FA1"/>
    <w:rsid w:val="00C65509"/>
    <w:rsid w:val="00C677D5"/>
    <w:rsid w:val="00C76069"/>
    <w:rsid w:val="00C764CE"/>
    <w:rsid w:val="00C76750"/>
    <w:rsid w:val="00C76BAD"/>
    <w:rsid w:val="00C82920"/>
    <w:rsid w:val="00C860FF"/>
    <w:rsid w:val="00C929E0"/>
    <w:rsid w:val="00C9433A"/>
    <w:rsid w:val="00C95D87"/>
    <w:rsid w:val="00C97714"/>
    <w:rsid w:val="00C97A09"/>
    <w:rsid w:val="00CA36AC"/>
    <w:rsid w:val="00CA3F47"/>
    <w:rsid w:val="00CA40CE"/>
    <w:rsid w:val="00CA6300"/>
    <w:rsid w:val="00CB1E88"/>
    <w:rsid w:val="00CB37ED"/>
    <w:rsid w:val="00CB4348"/>
    <w:rsid w:val="00CB5687"/>
    <w:rsid w:val="00CB5B12"/>
    <w:rsid w:val="00CB5CB6"/>
    <w:rsid w:val="00CB6047"/>
    <w:rsid w:val="00CC2816"/>
    <w:rsid w:val="00CC328D"/>
    <w:rsid w:val="00CC3E58"/>
    <w:rsid w:val="00CC4363"/>
    <w:rsid w:val="00CD0208"/>
    <w:rsid w:val="00CD429B"/>
    <w:rsid w:val="00CD586D"/>
    <w:rsid w:val="00CD5DAD"/>
    <w:rsid w:val="00CD799C"/>
    <w:rsid w:val="00CE5DFC"/>
    <w:rsid w:val="00CE6CA6"/>
    <w:rsid w:val="00CF32A7"/>
    <w:rsid w:val="00CF45FF"/>
    <w:rsid w:val="00CF5815"/>
    <w:rsid w:val="00CF68F4"/>
    <w:rsid w:val="00CF7F96"/>
    <w:rsid w:val="00D000EF"/>
    <w:rsid w:val="00D0052B"/>
    <w:rsid w:val="00D00AFA"/>
    <w:rsid w:val="00D0193F"/>
    <w:rsid w:val="00D022A0"/>
    <w:rsid w:val="00D036E8"/>
    <w:rsid w:val="00D052DC"/>
    <w:rsid w:val="00D10B63"/>
    <w:rsid w:val="00D11CB8"/>
    <w:rsid w:val="00D14632"/>
    <w:rsid w:val="00D14691"/>
    <w:rsid w:val="00D14D06"/>
    <w:rsid w:val="00D16A16"/>
    <w:rsid w:val="00D2050A"/>
    <w:rsid w:val="00D211A0"/>
    <w:rsid w:val="00D21631"/>
    <w:rsid w:val="00D225C4"/>
    <w:rsid w:val="00D309AE"/>
    <w:rsid w:val="00D3106C"/>
    <w:rsid w:val="00D33A6D"/>
    <w:rsid w:val="00D34D99"/>
    <w:rsid w:val="00D35B12"/>
    <w:rsid w:val="00D3638B"/>
    <w:rsid w:val="00D36AB1"/>
    <w:rsid w:val="00D37B3A"/>
    <w:rsid w:val="00D411F9"/>
    <w:rsid w:val="00D41BFA"/>
    <w:rsid w:val="00D4218C"/>
    <w:rsid w:val="00D42640"/>
    <w:rsid w:val="00D42AB1"/>
    <w:rsid w:val="00D46169"/>
    <w:rsid w:val="00D46E88"/>
    <w:rsid w:val="00D46EEB"/>
    <w:rsid w:val="00D47DD9"/>
    <w:rsid w:val="00D50126"/>
    <w:rsid w:val="00D50D76"/>
    <w:rsid w:val="00D51517"/>
    <w:rsid w:val="00D52815"/>
    <w:rsid w:val="00D5341B"/>
    <w:rsid w:val="00D56CE1"/>
    <w:rsid w:val="00D57E1E"/>
    <w:rsid w:val="00D60733"/>
    <w:rsid w:val="00D60C72"/>
    <w:rsid w:val="00D635C0"/>
    <w:rsid w:val="00D63900"/>
    <w:rsid w:val="00D63E11"/>
    <w:rsid w:val="00D64110"/>
    <w:rsid w:val="00D66629"/>
    <w:rsid w:val="00D675E1"/>
    <w:rsid w:val="00D71F7B"/>
    <w:rsid w:val="00D723EA"/>
    <w:rsid w:val="00D75407"/>
    <w:rsid w:val="00D7627C"/>
    <w:rsid w:val="00D76378"/>
    <w:rsid w:val="00D80056"/>
    <w:rsid w:val="00D82C86"/>
    <w:rsid w:val="00D840D9"/>
    <w:rsid w:val="00D8444B"/>
    <w:rsid w:val="00D84F9E"/>
    <w:rsid w:val="00D85294"/>
    <w:rsid w:val="00D92A65"/>
    <w:rsid w:val="00D934F5"/>
    <w:rsid w:val="00D95267"/>
    <w:rsid w:val="00DA46BD"/>
    <w:rsid w:val="00DA49AB"/>
    <w:rsid w:val="00DA4D9B"/>
    <w:rsid w:val="00DA74A1"/>
    <w:rsid w:val="00DB2EB6"/>
    <w:rsid w:val="00DB5A8A"/>
    <w:rsid w:val="00DB5EB2"/>
    <w:rsid w:val="00DC0688"/>
    <w:rsid w:val="00DC0E37"/>
    <w:rsid w:val="00DC2583"/>
    <w:rsid w:val="00DC2F42"/>
    <w:rsid w:val="00DC506A"/>
    <w:rsid w:val="00DC585E"/>
    <w:rsid w:val="00DC6257"/>
    <w:rsid w:val="00DC7370"/>
    <w:rsid w:val="00DC7383"/>
    <w:rsid w:val="00DD20A1"/>
    <w:rsid w:val="00DD284F"/>
    <w:rsid w:val="00DD4945"/>
    <w:rsid w:val="00DD5C4A"/>
    <w:rsid w:val="00DD651F"/>
    <w:rsid w:val="00DD7F62"/>
    <w:rsid w:val="00DE1E27"/>
    <w:rsid w:val="00DE1F14"/>
    <w:rsid w:val="00DE2BB0"/>
    <w:rsid w:val="00DE4DFA"/>
    <w:rsid w:val="00DE5DD3"/>
    <w:rsid w:val="00DE75EE"/>
    <w:rsid w:val="00DF42CE"/>
    <w:rsid w:val="00DF64EA"/>
    <w:rsid w:val="00DF6E10"/>
    <w:rsid w:val="00E0174A"/>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5705E"/>
    <w:rsid w:val="00E60758"/>
    <w:rsid w:val="00E6084B"/>
    <w:rsid w:val="00E612DC"/>
    <w:rsid w:val="00E6137F"/>
    <w:rsid w:val="00E61531"/>
    <w:rsid w:val="00E6192B"/>
    <w:rsid w:val="00E62DED"/>
    <w:rsid w:val="00E6434E"/>
    <w:rsid w:val="00E65987"/>
    <w:rsid w:val="00E66894"/>
    <w:rsid w:val="00E7054C"/>
    <w:rsid w:val="00E72FE3"/>
    <w:rsid w:val="00E730AF"/>
    <w:rsid w:val="00E76954"/>
    <w:rsid w:val="00E779E9"/>
    <w:rsid w:val="00E811E3"/>
    <w:rsid w:val="00E81C36"/>
    <w:rsid w:val="00E82A7D"/>
    <w:rsid w:val="00E82BA4"/>
    <w:rsid w:val="00E841BB"/>
    <w:rsid w:val="00E849C5"/>
    <w:rsid w:val="00E85305"/>
    <w:rsid w:val="00E860F1"/>
    <w:rsid w:val="00E862DA"/>
    <w:rsid w:val="00E87615"/>
    <w:rsid w:val="00E87B8C"/>
    <w:rsid w:val="00E919A0"/>
    <w:rsid w:val="00E92FB3"/>
    <w:rsid w:val="00E952BB"/>
    <w:rsid w:val="00EA0A96"/>
    <w:rsid w:val="00EA1B87"/>
    <w:rsid w:val="00EA240D"/>
    <w:rsid w:val="00EA2573"/>
    <w:rsid w:val="00EA3C1F"/>
    <w:rsid w:val="00EA759B"/>
    <w:rsid w:val="00EA7A84"/>
    <w:rsid w:val="00EB15EA"/>
    <w:rsid w:val="00EB1D6C"/>
    <w:rsid w:val="00EB27B6"/>
    <w:rsid w:val="00EB368D"/>
    <w:rsid w:val="00EB6826"/>
    <w:rsid w:val="00EB7502"/>
    <w:rsid w:val="00EC033A"/>
    <w:rsid w:val="00EC3398"/>
    <w:rsid w:val="00EC4921"/>
    <w:rsid w:val="00EC6D60"/>
    <w:rsid w:val="00EC774D"/>
    <w:rsid w:val="00ED0DF6"/>
    <w:rsid w:val="00ED1682"/>
    <w:rsid w:val="00ED19F2"/>
    <w:rsid w:val="00ED57B1"/>
    <w:rsid w:val="00ED6913"/>
    <w:rsid w:val="00ED78C0"/>
    <w:rsid w:val="00ED7A30"/>
    <w:rsid w:val="00ED7BFC"/>
    <w:rsid w:val="00EE060A"/>
    <w:rsid w:val="00EE0D99"/>
    <w:rsid w:val="00EE1FB5"/>
    <w:rsid w:val="00EE20CB"/>
    <w:rsid w:val="00EE20FD"/>
    <w:rsid w:val="00EE26F6"/>
    <w:rsid w:val="00EF161F"/>
    <w:rsid w:val="00EF18B8"/>
    <w:rsid w:val="00EF31C8"/>
    <w:rsid w:val="00EF45F7"/>
    <w:rsid w:val="00EF506B"/>
    <w:rsid w:val="00EF57E7"/>
    <w:rsid w:val="00F02BF9"/>
    <w:rsid w:val="00F045F5"/>
    <w:rsid w:val="00F05EDD"/>
    <w:rsid w:val="00F071F9"/>
    <w:rsid w:val="00F13E7D"/>
    <w:rsid w:val="00F141FF"/>
    <w:rsid w:val="00F14B9F"/>
    <w:rsid w:val="00F17188"/>
    <w:rsid w:val="00F21BC7"/>
    <w:rsid w:val="00F21C2C"/>
    <w:rsid w:val="00F22F61"/>
    <w:rsid w:val="00F238ED"/>
    <w:rsid w:val="00F248BE"/>
    <w:rsid w:val="00F25CBE"/>
    <w:rsid w:val="00F27473"/>
    <w:rsid w:val="00F274BF"/>
    <w:rsid w:val="00F275D4"/>
    <w:rsid w:val="00F35C98"/>
    <w:rsid w:val="00F35D5D"/>
    <w:rsid w:val="00F379EF"/>
    <w:rsid w:val="00F402EC"/>
    <w:rsid w:val="00F40850"/>
    <w:rsid w:val="00F4212A"/>
    <w:rsid w:val="00F42B76"/>
    <w:rsid w:val="00F43198"/>
    <w:rsid w:val="00F43899"/>
    <w:rsid w:val="00F43CFA"/>
    <w:rsid w:val="00F447B3"/>
    <w:rsid w:val="00F45EDA"/>
    <w:rsid w:val="00F46453"/>
    <w:rsid w:val="00F475E4"/>
    <w:rsid w:val="00F47D37"/>
    <w:rsid w:val="00F517EA"/>
    <w:rsid w:val="00F5455C"/>
    <w:rsid w:val="00F5625E"/>
    <w:rsid w:val="00F56495"/>
    <w:rsid w:val="00F5670C"/>
    <w:rsid w:val="00F62802"/>
    <w:rsid w:val="00F63A56"/>
    <w:rsid w:val="00F65662"/>
    <w:rsid w:val="00F673D8"/>
    <w:rsid w:val="00F70724"/>
    <w:rsid w:val="00F7138F"/>
    <w:rsid w:val="00F73D8F"/>
    <w:rsid w:val="00F74C2D"/>
    <w:rsid w:val="00F75386"/>
    <w:rsid w:val="00F77CE8"/>
    <w:rsid w:val="00F81501"/>
    <w:rsid w:val="00F83139"/>
    <w:rsid w:val="00F83EE6"/>
    <w:rsid w:val="00F84AA6"/>
    <w:rsid w:val="00F84AC3"/>
    <w:rsid w:val="00F85866"/>
    <w:rsid w:val="00F85ADB"/>
    <w:rsid w:val="00F905EF"/>
    <w:rsid w:val="00F9133D"/>
    <w:rsid w:val="00F976DA"/>
    <w:rsid w:val="00FA1A8B"/>
    <w:rsid w:val="00FA32C4"/>
    <w:rsid w:val="00FA3439"/>
    <w:rsid w:val="00FA6AD3"/>
    <w:rsid w:val="00FA6DBD"/>
    <w:rsid w:val="00FA7C5A"/>
    <w:rsid w:val="00FB0743"/>
    <w:rsid w:val="00FB0D7C"/>
    <w:rsid w:val="00FB162D"/>
    <w:rsid w:val="00FB1B19"/>
    <w:rsid w:val="00FB1C2E"/>
    <w:rsid w:val="00FB4196"/>
    <w:rsid w:val="00FB61AC"/>
    <w:rsid w:val="00FB63AE"/>
    <w:rsid w:val="00FB6841"/>
    <w:rsid w:val="00FC00F4"/>
    <w:rsid w:val="00FC0B83"/>
    <w:rsid w:val="00FC1B12"/>
    <w:rsid w:val="00FC2E8B"/>
    <w:rsid w:val="00FC3C57"/>
    <w:rsid w:val="00FC6942"/>
    <w:rsid w:val="00FD0C94"/>
    <w:rsid w:val="00FD243B"/>
    <w:rsid w:val="00FD2488"/>
    <w:rsid w:val="00FD26C8"/>
    <w:rsid w:val="00FD28D5"/>
    <w:rsid w:val="00FD29CC"/>
    <w:rsid w:val="00FD3C67"/>
    <w:rsid w:val="00FD4E91"/>
    <w:rsid w:val="00FD5EDE"/>
    <w:rsid w:val="00FD7AF2"/>
    <w:rsid w:val="00FE0CA3"/>
    <w:rsid w:val="00FE2166"/>
    <w:rsid w:val="00FE2179"/>
    <w:rsid w:val="00FE2B64"/>
    <w:rsid w:val="00FE3571"/>
    <w:rsid w:val="00FE67B4"/>
    <w:rsid w:val="00FE7D3D"/>
    <w:rsid w:val="00FF1B59"/>
    <w:rsid w:val="00FF2F43"/>
    <w:rsid w:val="00FF3B77"/>
    <w:rsid w:val="00FF58D6"/>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96C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F75386"/>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75386"/>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F75386"/>
    <w:pPr>
      <w:keepNext/>
      <w:keepLines/>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75386"/>
    <w:pPr>
      <w:keepNext/>
      <w:keepLines/>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F75386"/>
    <w:pPr>
      <w:keepNext/>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F75386"/>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F75386"/>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F75386"/>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rPr>
      <w:lang w:val="x-none" w:eastAsia="x-none"/>
    </w:r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rPr>
      <w:lang w:val="x-none" w:eastAsia="x-none"/>
    </w:r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rPr>
      <w:lang w:val="x-none" w:eastAsia="x-none"/>
    </w:r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rPr>
      <w:lang w:val="x-none" w:eastAsia="x-none"/>
    </w:r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lang w:val="x-none" w:eastAsia="x-none"/>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sz w:val="16"/>
      <w:szCs w:val="16"/>
      <w:lang w:val="x-none" w:eastAsia="x-none"/>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rPr>
      <w:lang w:val="x-none" w:eastAsia="x-none"/>
    </w:r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lang w:val="x-none" w:eastAsia="x-none"/>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rPr>
      <w:lang w:val="x-none" w:eastAsia="x-none"/>
    </w:rPr>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rPr>
      <w:lang w:val="x-none" w:eastAsia="x-none"/>
    </w:rPr>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lang w:val="x-none" w:eastAsia="x-none"/>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rsid w:val="00F75386"/>
    <w:rPr>
      <w:sz w:val="20"/>
      <w:szCs w:val="20"/>
      <w:lang w:val="x-none" w:eastAsia="x-none"/>
    </w:rPr>
  </w:style>
  <w:style w:type="character" w:customStyle="1" w:styleId="FootnoteTextChar">
    <w:name w:val="Footnote Text Char"/>
    <w:link w:val="FootnoteText"/>
    <w:uiPriority w:val="99"/>
    <w:locked/>
    <w:rsid w:val="007B1930"/>
    <w:rPr>
      <w:rFonts w:cs="Times New Roman"/>
    </w:rPr>
  </w:style>
  <w:style w:type="paragraph" w:styleId="HTMLAddress">
    <w:name w:val="HTML Address"/>
    <w:basedOn w:val="Normal"/>
    <w:link w:val="HTMLAddressChar"/>
    <w:uiPriority w:val="99"/>
    <w:rsid w:val="00F75386"/>
    <w:rPr>
      <w:i/>
      <w:iCs/>
      <w:lang w:val="x-none" w:eastAsia="x-none"/>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rPr>
      <w:lang w:val="x-none" w:eastAsia="x-none"/>
    </w:rPr>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sz w:val="20"/>
      <w:szCs w:val="20"/>
      <w:lang w:val="x-none" w:eastAsia="x-none"/>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rPr>
      <w:lang w:val="x-none" w:eastAsia="x-none"/>
    </w:rPr>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rPr>
      <w:lang w:val="x-none" w:eastAsia="x-none"/>
    </w:r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sz w:val="2"/>
      <w:szCs w:val="20"/>
      <w:lang w:val="x-none" w:eastAsia="x-none"/>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34"/>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unhideWhenUsed/>
    <w:locked/>
    <w:rsid w:val="00EF45F7"/>
    <w:rPr>
      <w:color w:val="800080"/>
      <w:u w:val="single"/>
    </w:rPr>
  </w:style>
  <w:style w:type="paragraph" w:customStyle="1" w:styleId="Findings">
    <w:name w:val="Findings"/>
    <w:basedOn w:val="Normal"/>
    <w:rsid w:val="00B30190"/>
    <w:pPr>
      <w:numPr>
        <w:numId w:val="2"/>
      </w:numPr>
      <w:tabs>
        <w:tab w:val="clear" w:pos="720"/>
        <w:tab w:val="num"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5FBC-A5FD-4AAE-BE8F-9A4864187075}"/>
</file>

<file path=customXml/itemProps2.xml><?xml version="1.0" encoding="utf-8"?>
<ds:datastoreItem xmlns:ds="http://schemas.openxmlformats.org/officeDocument/2006/customXml" ds:itemID="{1550D170-1D59-4E1F-BA7B-98F22BA2EE25}"/>
</file>

<file path=customXml/itemProps3.xml><?xml version="1.0" encoding="utf-8"?>
<ds:datastoreItem xmlns:ds="http://schemas.openxmlformats.org/officeDocument/2006/customXml" ds:itemID="{A37E4FAA-9309-4B5A-AE18-0ACE83F23A4B}"/>
</file>

<file path=customXml/itemProps4.xml><?xml version="1.0" encoding="utf-8"?>
<ds:datastoreItem xmlns:ds="http://schemas.openxmlformats.org/officeDocument/2006/customXml" ds:itemID="{DCD7A442-A18B-4D62-A04F-FB9CBB9DC1CA}"/>
</file>

<file path=customXml/itemProps5.xml><?xml version="1.0" encoding="utf-8"?>
<ds:datastoreItem xmlns:ds="http://schemas.openxmlformats.org/officeDocument/2006/customXml" ds:itemID="{32D430D7-485C-40E6-81EF-8D8612FEF1F2}"/>
</file>

<file path=customXml/itemProps6.xml><?xml version="1.0" encoding="utf-8"?>
<ds:datastoreItem xmlns:ds="http://schemas.openxmlformats.org/officeDocument/2006/customXml" ds:itemID="{9916CA8E-8A10-4824-8CF6-1195FD6515B9}"/>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UE-152072 - Order 01</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UE-152072 - Order 01</dc:title>
  <dc:subject> </dc:subject>
  <dc:creator/>
  <cp:keywords> </cp:keywords>
  <cp:lastModifiedBy/>
  <cp:revision>1</cp:revision>
  <dcterms:created xsi:type="dcterms:W3CDTF">2015-12-17T00:23:00Z</dcterms:created>
  <dcterms:modified xsi:type="dcterms:W3CDTF">2015-12-17T00:23:00Z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0x0101006E56B4D1795A2E4DB2F0B01679ED314A00D9D2FE07C0AA5C4E814A8CE6D7513F53</vt:lpwstr>
  </property>
</Properties>
</file>