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46198A" w:rsidP="00F45919">
      <w:pPr>
        <w:pStyle w:val="NoSpacing"/>
        <w:ind w:right="-270"/>
        <w:jc w:val="both"/>
        <w:rPr>
          <w:rFonts w:ascii="Times New Roman" w:hAnsi="Times New Roman"/>
          <w:sz w:val="24"/>
          <w:szCs w:val="24"/>
        </w:rPr>
      </w:pPr>
      <w:r>
        <w:rPr>
          <w:rFonts w:ascii="Times New Roman" w:hAnsi="Times New Roman"/>
          <w:sz w:val="24"/>
          <w:szCs w:val="24"/>
        </w:rPr>
        <w:t>December 2</w:t>
      </w:r>
      <w:r w:rsidR="00F45919">
        <w:rPr>
          <w:rFonts w:ascii="Times New Roman" w:hAnsi="Times New Roman"/>
          <w:sz w:val="24"/>
          <w:szCs w:val="24"/>
        </w:rPr>
        <w:t>, 2013</w:t>
      </w:r>
    </w:p>
    <w:p w:rsidR="00F45919" w:rsidRDefault="00F45919" w:rsidP="00F45919">
      <w:pPr>
        <w:pStyle w:val="NoSpacing"/>
        <w:ind w:right="-270"/>
        <w:jc w:val="both"/>
        <w:rPr>
          <w:rFonts w:ascii="Times New Roman" w:hAnsi="Times New Roman"/>
          <w:sz w:val="24"/>
          <w:szCs w:val="24"/>
        </w:rPr>
      </w:pPr>
    </w:p>
    <w:p w:rsidR="001975BD" w:rsidRPr="00C4686F" w:rsidRDefault="001975BD"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w:t>
      </w:r>
      <w:r w:rsidR="0046198A">
        <w:rPr>
          <w:rFonts w:ascii="Times New Roman" w:hAnsi="Times New Roman"/>
          <w:b/>
          <w:i/>
          <w:sz w:val="24"/>
          <w:szCs w:val="24"/>
        </w:rPr>
        <w:t>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0E756F" w:rsidRDefault="00F45919" w:rsidP="00D84B4F">
      <w:pPr>
        <w:pStyle w:val="Default"/>
        <w:ind w:left="720" w:hanging="720"/>
      </w:pPr>
      <w:r w:rsidRPr="004E6D17">
        <w:t>Re:</w:t>
      </w:r>
      <w:r w:rsidRPr="004E6D17">
        <w:tab/>
      </w:r>
      <w:r w:rsidR="00D96E8B" w:rsidRPr="00F45919">
        <w:t xml:space="preserve">Docket </w:t>
      </w:r>
      <w:r w:rsidR="00D96E8B">
        <w:t xml:space="preserve">No. </w:t>
      </w:r>
      <w:r w:rsidR="00D96E8B" w:rsidRPr="00F45919">
        <w:t>U</w:t>
      </w:r>
      <w:r w:rsidR="000E756F">
        <w:t>E-131</w:t>
      </w:r>
      <w:r w:rsidR="0046198A">
        <w:t>723</w:t>
      </w:r>
      <w:r w:rsidR="00D96E8B">
        <w:t xml:space="preserve"> - </w:t>
      </w:r>
      <w:r w:rsidRPr="004E6D17">
        <w:t xml:space="preserve">Comments of Avista Utilities on </w:t>
      </w:r>
      <w:r w:rsidRPr="00F45919">
        <w:t xml:space="preserve">the </w:t>
      </w:r>
      <w:r w:rsidRPr="000E756F">
        <w:t>“</w:t>
      </w:r>
      <w:r w:rsidR="0046198A">
        <w:t>Rulemaking For Energy Independence Act, WAC 480-109</w:t>
      </w:r>
      <w:r w:rsidR="000E756F">
        <w:t>.”</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AB0867" w:rsidRDefault="00F45919" w:rsidP="00D84B4F">
      <w:pPr>
        <w:pStyle w:val="NoSpacing"/>
        <w:spacing w:line="360" w:lineRule="auto"/>
        <w:ind w:firstLine="720"/>
        <w:jc w:val="both"/>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sidR="000E756F">
        <w:rPr>
          <w:rFonts w:ascii="Times New Roman" w:hAnsi="Times New Roman"/>
          <w:sz w:val="24"/>
          <w:szCs w:val="24"/>
        </w:rPr>
        <w:t>File</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0E756F">
        <w:rPr>
          <w:rFonts w:ascii="Times New Roman" w:hAnsi="Times New Roman"/>
          <w:sz w:val="24"/>
          <w:szCs w:val="24"/>
        </w:rPr>
        <w:t>otice) issued in Docket U-131</w:t>
      </w:r>
      <w:r w:rsidR="0046198A">
        <w:rPr>
          <w:rFonts w:ascii="Times New Roman" w:hAnsi="Times New Roman"/>
          <w:sz w:val="24"/>
          <w:szCs w:val="24"/>
        </w:rPr>
        <w:t>723</w:t>
      </w:r>
      <w:r w:rsidR="00D84B4F">
        <w:rPr>
          <w:rFonts w:ascii="Times New Roman" w:hAnsi="Times New Roman"/>
          <w:sz w:val="24"/>
          <w:szCs w:val="24"/>
        </w:rPr>
        <w:t xml:space="preserve"> dated </w:t>
      </w:r>
      <w:r w:rsidR="0046198A">
        <w:rPr>
          <w:rFonts w:ascii="Times New Roman" w:hAnsi="Times New Roman"/>
          <w:sz w:val="24"/>
          <w:szCs w:val="24"/>
        </w:rPr>
        <w:t>October 4</w:t>
      </w:r>
      <w:r w:rsidRPr="00D84B4F">
        <w:rPr>
          <w:rFonts w:ascii="Times New Roman" w:hAnsi="Times New Roman"/>
          <w:sz w:val="24"/>
          <w:szCs w:val="24"/>
        </w:rPr>
        <w:t>, 2013</w:t>
      </w:r>
      <w:r w:rsidR="00D84B4F">
        <w:t>.</w:t>
      </w:r>
    </w:p>
    <w:p w:rsidR="001975BD" w:rsidRDefault="00BA4B9B" w:rsidP="0046198A">
      <w:pPr>
        <w:spacing w:line="360" w:lineRule="auto"/>
        <w:ind w:firstLine="720"/>
        <w:jc w:val="both"/>
        <w:rPr>
          <w:rFonts w:ascii="Times New Roman" w:hAnsi="Times New Roman" w:cs="Times New Roman"/>
        </w:rPr>
      </w:pPr>
      <w:r>
        <w:rPr>
          <w:rFonts w:ascii="Times New Roman" w:hAnsi="Times New Roman" w:cs="Times New Roman"/>
        </w:rPr>
        <w:t xml:space="preserve">The Notice states that </w:t>
      </w:r>
      <w:r w:rsidRPr="0046198A">
        <w:rPr>
          <w:rFonts w:ascii="Times New Roman" w:hAnsi="Times New Roman" w:cs="Times New Roman"/>
        </w:rPr>
        <w:t>“</w:t>
      </w:r>
      <w:r w:rsidR="0046198A" w:rsidRPr="0046198A">
        <w:rPr>
          <w:rFonts w:ascii="Times New Roman" w:hAnsi="Times New Roman" w:cs="Times New Roman"/>
        </w:rPr>
        <w:t>The Commission’s primary objective in this rulemaking is to propose rule revisions necessary to promote effective, efficient, and practical implementation of the EIA as amended since this C</w:t>
      </w:r>
      <w:r w:rsidR="0046198A">
        <w:rPr>
          <w:rFonts w:ascii="Times New Roman" w:hAnsi="Times New Roman" w:cs="Times New Roman"/>
        </w:rPr>
        <w:t>ommission adopted rules in 2007</w:t>
      </w:r>
      <w:r w:rsidR="00D84B4F" w:rsidRPr="0046198A">
        <w:rPr>
          <w:rFonts w:ascii="Times New Roman" w:hAnsi="Times New Roman" w:cs="Times New Roman"/>
        </w:rPr>
        <w:t xml:space="preserve">.” </w:t>
      </w:r>
      <w:r w:rsidR="00D84B4F">
        <w:rPr>
          <w:rFonts w:ascii="Times New Roman" w:hAnsi="Times New Roman" w:cs="Times New Roman"/>
        </w:rPr>
        <w:t xml:space="preserve">It also states that the Commission </w:t>
      </w:r>
      <w:r w:rsidR="0046198A">
        <w:rPr>
          <w:rFonts w:ascii="Times New Roman" w:hAnsi="Times New Roman" w:cs="Times New Roman"/>
        </w:rPr>
        <w:t>will</w:t>
      </w:r>
      <w:r w:rsidR="00D84B4F">
        <w:rPr>
          <w:rFonts w:ascii="Times New Roman" w:hAnsi="Times New Roman" w:cs="Times New Roman"/>
        </w:rPr>
        <w:t xml:space="preserve"> “</w:t>
      </w:r>
      <w:r w:rsidR="0046198A" w:rsidRPr="0046198A">
        <w:rPr>
          <w:rFonts w:ascii="Times New Roman" w:hAnsi="Times New Roman" w:cs="Times New Roman"/>
        </w:rPr>
        <w:t>examine its policy and interpretive statements to determine if any rule revisions are necessary with regard to those interpretations</w:t>
      </w:r>
      <w:r w:rsidR="00D84B4F" w:rsidRPr="0046198A">
        <w:rPr>
          <w:rFonts w:ascii="Times New Roman" w:hAnsi="Times New Roman" w:cs="Times New Roman"/>
        </w:rPr>
        <w:t xml:space="preserve">.” </w:t>
      </w:r>
    </w:p>
    <w:p w:rsidR="0046198A" w:rsidRDefault="0046198A" w:rsidP="0046198A">
      <w:pPr>
        <w:spacing w:line="360" w:lineRule="auto"/>
        <w:ind w:firstLine="720"/>
        <w:jc w:val="both"/>
        <w:rPr>
          <w:rFonts w:ascii="Times New Roman" w:hAnsi="Times New Roman" w:cs="Times New Roman"/>
        </w:rPr>
      </w:pPr>
      <w:r>
        <w:rPr>
          <w:rFonts w:ascii="Times New Roman" w:hAnsi="Times New Roman" w:cs="Times New Roman"/>
        </w:rPr>
        <w:t>To assist in its investigation, the Commission asked the following three questions regarding existing rules related to conservation targets and performance:</w:t>
      </w:r>
    </w:p>
    <w:p w:rsidR="0046198A" w:rsidRPr="0046198A" w:rsidRDefault="0046198A" w:rsidP="0046198A">
      <w:pPr>
        <w:pStyle w:val="Default"/>
        <w:ind w:left="1080" w:hanging="360"/>
        <w:jc w:val="both"/>
      </w:pPr>
      <w:r w:rsidRPr="0046198A">
        <w:t>1).</w:t>
      </w:r>
      <w:r w:rsidRPr="0046198A">
        <w:tab/>
        <w:t xml:space="preserve">RCW 19.285.040(1)(a) requires companies to develop a 10-year conservation assessment and RCW 19.285.040(1)(b) requires the establishment of a biennial </w:t>
      </w:r>
      <w:r w:rsidRPr="0046198A">
        <w:lastRenderedPageBreak/>
        <w:t>conservation target. WAC 480-109-010(1)(a)(ii) allows the 10-year conservation potential assessment to be calculated based on a proportionate share of Washington retail sales and the Northwest Power and Conservation Council’s (Council’s) projected conservation resource target for Washington, informally referred to as the Council calculator. Through current practice, the utilities under the Commission’s jurisdiction adapt the Council’s methodology to their service territories and conduct the conservation potential assessment through their integrated resource plans. Is it appropriate for the Commission to eliminate, in rule, the option for utilities under its jurisdiction to use the Council calculator?</w:t>
      </w:r>
    </w:p>
    <w:p w:rsidR="0046198A" w:rsidRDefault="0046198A" w:rsidP="00F7387B">
      <w:pPr>
        <w:ind w:firstLine="720"/>
        <w:jc w:val="both"/>
        <w:rPr>
          <w:rFonts w:ascii="Times New Roman" w:hAnsi="Times New Roman" w:cs="Times New Roman"/>
        </w:rPr>
      </w:pPr>
    </w:p>
    <w:p w:rsidR="0046198A" w:rsidRDefault="001C13E3" w:rsidP="001C13E3">
      <w:pPr>
        <w:spacing w:line="360" w:lineRule="auto"/>
        <w:ind w:left="1080"/>
        <w:jc w:val="both"/>
        <w:rPr>
          <w:rFonts w:ascii="Times New Roman" w:hAnsi="Times New Roman" w:cs="Times New Roman"/>
        </w:rPr>
      </w:pPr>
      <w:r>
        <w:rPr>
          <w:rFonts w:ascii="Times New Roman" w:hAnsi="Times New Roman" w:cs="Times New Roman"/>
        </w:rPr>
        <w:t>Avista Response:</w:t>
      </w:r>
    </w:p>
    <w:p w:rsidR="001C13E3" w:rsidRPr="001C13E3" w:rsidRDefault="001C13E3" w:rsidP="001C13E3">
      <w:pPr>
        <w:ind w:left="1080"/>
        <w:jc w:val="both"/>
        <w:rPr>
          <w:rFonts w:ascii="Times New Roman" w:hAnsi="Times New Roman" w:cs="Times New Roman"/>
        </w:rPr>
      </w:pPr>
      <w:r w:rsidRPr="001C13E3">
        <w:rPr>
          <w:rFonts w:ascii="Times New Roman" w:hAnsi="Times New Roman" w:cs="Times New Roman"/>
        </w:rPr>
        <w:t xml:space="preserve">Avista has chosen to use its 2013 Electric Integrated Resource Plan (IRP) centered on its recently completed Conservation Potential Assessment (CPA), as the basis for its 2014-2015 biennial acquisition target. </w:t>
      </w:r>
      <w:r>
        <w:rPr>
          <w:rFonts w:ascii="Times New Roman" w:hAnsi="Times New Roman" w:cs="Times New Roman"/>
        </w:rPr>
        <w:t>However, the Company takes no position regarding the option for the Commission to eliminate the option to use the Council calculator by rule.</w:t>
      </w:r>
    </w:p>
    <w:p w:rsidR="001C13E3" w:rsidRDefault="001C13E3" w:rsidP="001C13E3">
      <w:pPr>
        <w:ind w:left="1080"/>
        <w:jc w:val="both"/>
        <w:rPr>
          <w:rFonts w:ascii="Times New Roman" w:hAnsi="Times New Roman" w:cs="Times New Roman"/>
        </w:rPr>
      </w:pPr>
    </w:p>
    <w:p w:rsidR="001C13E3" w:rsidRDefault="001C13E3" w:rsidP="001C13E3">
      <w:pPr>
        <w:ind w:left="108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C13E3">
        <w:rPr>
          <w:rFonts w:ascii="Times New Roman" w:hAnsi="Times New Roman" w:cs="Times New Roman"/>
        </w:rPr>
        <w:t>WAC 480-109-010(2)(a) requires utilities to establish biennial conservation targets and “identify all achievable conservation opportunities.” Conservation opportunities can include: traditional utility-run programs of end-user conservation measures, regional market transformation programs, behavior change, transmission and distribution efficiency, and generation site conservation programs. Should the rule address how these different resources factor into the conservation target setting process?</w:t>
      </w:r>
    </w:p>
    <w:p w:rsidR="001C13E3" w:rsidRDefault="001C13E3" w:rsidP="001C13E3">
      <w:pPr>
        <w:ind w:left="1080" w:hanging="360"/>
        <w:jc w:val="both"/>
        <w:rPr>
          <w:rFonts w:ascii="Times New Roman" w:hAnsi="Times New Roman" w:cs="Times New Roman"/>
        </w:rPr>
      </w:pPr>
    </w:p>
    <w:p w:rsidR="001C13E3" w:rsidRDefault="001C13E3" w:rsidP="001C13E3">
      <w:pPr>
        <w:ind w:left="1080" w:hanging="360"/>
        <w:jc w:val="both"/>
        <w:rPr>
          <w:rFonts w:ascii="Times New Roman" w:hAnsi="Times New Roman" w:cs="Times New Roman"/>
        </w:rPr>
      </w:pPr>
      <w:r>
        <w:rPr>
          <w:rFonts w:ascii="Times New Roman" w:hAnsi="Times New Roman" w:cs="Times New Roman"/>
        </w:rPr>
        <w:tab/>
        <w:t>Avista Response:</w:t>
      </w:r>
    </w:p>
    <w:p w:rsidR="001C13E3" w:rsidRDefault="001C13E3" w:rsidP="001C13E3">
      <w:pPr>
        <w:ind w:left="1080" w:hanging="360"/>
        <w:jc w:val="both"/>
        <w:rPr>
          <w:rFonts w:ascii="Times New Roman" w:hAnsi="Times New Roman" w:cs="Times New Roman"/>
        </w:rPr>
      </w:pPr>
      <w:r>
        <w:rPr>
          <w:rFonts w:ascii="Times New Roman" w:hAnsi="Times New Roman" w:cs="Times New Roman"/>
        </w:rPr>
        <w:tab/>
      </w:r>
    </w:p>
    <w:p w:rsidR="0081329B" w:rsidRPr="00C46D90" w:rsidRDefault="0081329B" w:rsidP="0081329B">
      <w:pPr>
        <w:ind w:left="1080"/>
        <w:jc w:val="both"/>
        <w:rPr>
          <w:rFonts w:ascii="Times New Roman" w:hAnsi="Times New Roman" w:cs="Times New Roman"/>
        </w:rPr>
      </w:pPr>
      <w:r w:rsidRPr="0081329B">
        <w:rPr>
          <w:rFonts w:ascii="Times New Roman" w:hAnsi="Times New Roman" w:cs="Times New Roman"/>
        </w:rPr>
        <w:t>The Washington electric investor-owned utilities have submitted a methodology, in response to the Commission’s request in, for establishing a BCP target based upon local acquisition only (excluding regional market transformation programs).  Comparable revisions have been made to the acquisition qualifying towards achieving the BCP target</w:t>
      </w:r>
      <w:r>
        <w:rPr>
          <w:rFonts w:ascii="Times New Roman" w:hAnsi="Times New Roman" w:cs="Times New Roman"/>
        </w:rPr>
        <w:t>.</w:t>
      </w:r>
      <w:r w:rsidR="00C46D90" w:rsidRPr="00C46D90">
        <w:rPr>
          <w:color w:val="FF0000"/>
        </w:rPr>
        <w:t xml:space="preserve"> </w:t>
      </w:r>
      <w:r w:rsidR="00C46D90" w:rsidRPr="00C46D90">
        <w:rPr>
          <w:rFonts w:ascii="Times New Roman" w:hAnsi="Times New Roman" w:cs="Times New Roman"/>
        </w:rPr>
        <w:t>The individual resource categories contributing towards the BCP target are interpreted as a single aggregate target to be achieved by all resources in combination with the recognition that the success or failure of individual components are not subject to penalty</w:t>
      </w:r>
    </w:p>
    <w:p w:rsidR="0081329B" w:rsidRPr="00C46D90" w:rsidRDefault="0081329B" w:rsidP="0081329B">
      <w:pPr>
        <w:ind w:left="1080"/>
        <w:jc w:val="both"/>
        <w:rPr>
          <w:rFonts w:ascii="Times New Roman" w:hAnsi="Times New Roman" w:cs="Times New Roman"/>
        </w:rPr>
      </w:pPr>
    </w:p>
    <w:p w:rsidR="001C13E3" w:rsidRDefault="00F7387B" w:rsidP="00F7387B">
      <w:pPr>
        <w:ind w:left="108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7387B">
        <w:rPr>
          <w:rFonts w:ascii="Times New Roman" w:hAnsi="Times New Roman" w:cs="Times New Roman"/>
        </w:rPr>
        <w:t>Annual Reporting on conservation achievement is required at WAC 480-109-040(1)(a). Should the Commission adopt more explicit standards for reporting conservation achievements?</w:t>
      </w:r>
    </w:p>
    <w:p w:rsidR="00F7387B" w:rsidRDefault="00F7387B" w:rsidP="00F7387B">
      <w:pPr>
        <w:ind w:left="1080" w:hanging="360"/>
        <w:jc w:val="both"/>
        <w:rPr>
          <w:rFonts w:ascii="Times New Roman" w:hAnsi="Times New Roman" w:cs="Times New Roman"/>
        </w:rPr>
      </w:pPr>
    </w:p>
    <w:p w:rsidR="00F7387B" w:rsidRDefault="00F7387B" w:rsidP="00F7387B">
      <w:pPr>
        <w:ind w:left="1080" w:hanging="360"/>
        <w:jc w:val="both"/>
        <w:rPr>
          <w:rFonts w:ascii="Times New Roman" w:hAnsi="Times New Roman" w:cs="Times New Roman"/>
        </w:rPr>
      </w:pPr>
      <w:r>
        <w:rPr>
          <w:rFonts w:ascii="Times New Roman" w:hAnsi="Times New Roman" w:cs="Times New Roman"/>
        </w:rPr>
        <w:tab/>
        <w:t>Avista Response:</w:t>
      </w:r>
    </w:p>
    <w:p w:rsidR="00F7387B" w:rsidRDefault="00F7387B" w:rsidP="00F7387B">
      <w:pPr>
        <w:ind w:left="1080" w:hanging="360"/>
        <w:jc w:val="both"/>
        <w:rPr>
          <w:rFonts w:ascii="Times New Roman" w:hAnsi="Times New Roman" w:cs="Times New Roman"/>
        </w:rPr>
      </w:pPr>
      <w:r>
        <w:rPr>
          <w:rFonts w:ascii="Times New Roman" w:hAnsi="Times New Roman" w:cs="Times New Roman"/>
        </w:rPr>
        <w:tab/>
      </w:r>
    </w:p>
    <w:p w:rsidR="00C46D90" w:rsidRPr="00C46D90" w:rsidRDefault="00C46D90" w:rsidP="00C46D90">
      <w:pPr>
        <w:ind w:left="1080"/>
        <w:jc w:val="both"/>
        <w:rPr>
          <w:rFonts w:ascii="Times New Roman" w:hAnsi="Times New Roman" w:cs="Times New Roman"/>
        </w:rPr>
      </w:pPr>
      <w:r w:rsidRPr="00C46D90">
        <w:rPr>
          <w:rFonts w:ascii="Times New Roman" w:hAnsi="Times New Roman" w:cs="Times New Roman"/>
        </w:rPr>
        <w:t xml:space="preserve">The Washington electric investor-owned utilities have worked in close cooperation with </w:t>
      </w:r>
      <w:r>
        <w:rPr>
          <w:rFonts w:ascii="Times New Roman" w:hAnsi="Times New Roman" w:cs="Times New Roman"/>
        </w:rPr>
        <w:t xml:space="preserve">Commission </w:t>
      </w:r>
      <w:r w:rsidRPr="00C46D90">
        <w:rPr>
          <w:rFonts w:ascii="Times New Roman" w:hAnsi="Times New Roman" w:cs="Times New Roman"/>
        </w:rPr>
        <w:t xml:space="preserve">Staff and other stakeholders to develop standardized reporting formats.  These formats seem to be meeting all regulatory </w:t>
      </w:r>
      <w:r>
        <w:rPr>
          <w:rFonts w:ascii="Times New Roman" w:hAnsi="Times New Roman" w:cs="Times New Roman"/>
        </w:rPr>
        <w:t>requirements</w:t>
      </w:r>
      <w:r w:rsidRPr="00C46D90">
        <w:rPr>
          <w:rFonts w:ascii="Times New Roman" w:hAnsi="Times New Roman" w:cs="Times New Roman"/>
        </w:rPr>
        <w:t xml:space="preserve">.  Avista does </w:t>
      </w:r>
      <w:r w:rsidRPr="00C46D90">
        <w:rPr>
          <w:rFonts w:ascii="Times New Roman" w:hAnsi="Times New Roman" w:cs="Times New Roman"/>
        </w:rPr>
        <w:lastRenderedPageBreak/>
        <w:t>not see any additional customer value in engaging in a process to codify</w:t>
      </w:r>
      <w:r>
        <w:rPr>
          <w:rFonts w:ascii="Times New Roman" w:hAnsi="Times New Roman" w:cs="Times New Roman"/>
        </w:rPr>
        <w:t xml:space="preserve"> this existing agreement into a</w:t>
      </w:r>
      <w:r w:rsidRPr="00C46D90">
        <w:rPr>
          <w:rFonts w:ascii="Times New Roman" w:hAnsi="Times New Roman" w:cs="Times New Roman"/>
        </w:rPr>
        <w:t xml:space="preserve"> more explicit standard</w:t>
      </w:r>
      <w:r>
        <w:rPr>
          <w:rFonts w:ascii="Times New Roman" w:hAnsi="Times New Roman" w:cs="Times New Roman"/>
        </w:rPr>
        <w:t>.</w:t>
      </w:r>
    </w:p>
    <w:p w:rsidR="00F7387B" w:rsidRDefault="00F7387B" w:rsidP="00F7387B">
      <w:pPr>
        <w:ind w:left="1080" w:hanging="360"/>
        <w:jc w:val="both"/>
        <w:rPr>
          <w:rFonts w:ascii="Times New Roman" w:hAnsi="Times New Roman" w:cs="Times New Roman"/>
        </w:rPr>
      </w:pPr>
    </w:p>
    <w:p w:rsidR="00F7387B" w:rsidRDefault="00F7387B" w:rsidP="00F7387B">
      <w:pPr>
        <w:ind w:firstLine="720"/>
        <w:jc w:val="both"/>
        <w:rPr>
          <w:rFonts w:ascii="Times New Roman" w:hAnsi="Times New Roman" w:cs="Times New Roman"/>
        </w:rPr>
      </w:pPr>
      <w:r>
        <w:rPr>
          <w:rFonts w:ascii="Times New Roman" w:hAnsi="Times New Roman" w:cs="Times New Roman"/>
        </w:rPr>
        <w:t>The Notice asked the following two questions related to renewable resource target and performance:</w:t>
      </w:r>
    </w:p>
    <w:p w:rsidR="00F7387B" w:rsidRDefault="00F7387B" w:rsidP="00F7387B">
      <w:pPr>
        <w:ind w:firstLine="720"/>
        <w:jc w:val="both"/>
        <w:rPr>
          <w:rFonts w:ascii="Times New Roman" w:hAnsi="Times New Roman" w:cs="Times New Roman"/>
        </w:rPr>
      </w:pPr>
    </w:p>
    <w:p w:rsidR="00F7387B" w:rsidRPr="00F7387B" w:rsidRDefault="00F7387B" w:rsidP="00F7387B">
      <w:pPr>
        <w:pStyle w:val="ListParagraph"/>
        <w:numPr>
          <w:ilvl w:val="0"/>
          <w:numId w:val="5"/>
        </w:numPr>
        <w:jc w:val="both"/>
      </w:pPr>
      <w:r w:rsidRPr="00F7387B">
        <w:t>What verification of contracts for renewable resources, system dispatch data, or other information should the Commission require regulated utilities to file when requesting an order of compliance with renewable portfolio standards?</w:t>
      </w:r>
    </w:p>
    <w:p w:rsidR="00F7387B" w:rsidRDefault="00F7387B" w:rsidP="00F7387B">
      <w:pPr>
        <w:ind w:left="1080" w:hanging="360"/>
        <w:jc w:val="both"/>
        <w:rPr>
          <w:rFonts w:ascii="Times New Roman" w:hAnsi="Times New Roman" w:cs="Times New Roman"/>
        </w:rPr>
      </w:pPr>
    </w:p>
    <w:p w:rsidR="00F7387B" w:rsidRDefault="00F7387B" w:rsidP="00F7387B">
      <w:pPr>
        <w:ind w:left="1440" w:hanging="360"/>
        <w:jc w:val="both"/>
        <w:rPr>
          <w:rFonts w:ascii="Times New Roman" w:hAnsi="Times New Roman" w:cs="Times New Roman"/>
        </w:rPr>
      </w:pPr>
      <w:r>
        <w:rPr>
          <w:rFonts w:ascii="Times New Roman" w:hAnsi="Times New Roman" w:cs="Times New Roman"/>
        </w:rPr>
        <w:t>Avista Response:</w:t>
      </w:r>
    </w:p>
    <w:p w:rsidR="00F7387B" w:rsidRDefault="00F7387B" w:rsidP="00F7387B">
      <w:pPr>
        <w:ind w:left="1440" w:hanging="360"/>
        <w:jc w:val="both"/>
        <w:rPr>
          <w:rFonts w:ascii="Times New Roman" w:hAnsi="Times New Roman" w:cs="Times New Roman"/>
        </w:rPr>
      </w:pPr>
    </w:p>
    <w:p w:rsidR="00F7387B" w:rsidRDefault="00F7387B" w:rsidP="00F7387B">
      <w:pPr>
        <w:ind w:left="1080"/>
        <w:jc w:val="both"/>
        <w:rPr>
          <w:rFonts w:ascii="Times New Roman" w:hAnsi="Times New Roman" w:cs="Times New Roman"/>
        </w:rPr>
      </w:pPr>
      <w:r w:rsidRPr="005602BC">
        <w:rPr>
          <w:rFonts w:ascii="Times New Roman" w:hAnsi="Times New Roman" w:cs="Times New Roman"/>
        </w:rPr>
        <w:t xml:space="preserve">Avista believes that </w:t>
      </w:r>
      <w:r>
        <w:rPr>
          <w:rFonts w:ascii="Times New Roman" w:hAnsi="Times New Roman" w:cs="Times New Roman"/>
        </w:rPr>
        <w:t xml:space="preserve">it should be required to submit, as part of the compliance filing, </w:t>
      </w:r>
      <w:r w:rsidRPr="005602BC">
        <w:rPr>
          <w:rFonts w:ascii="Times New Roman" w:hAnsi="Times New Roman" w:cs="Times New Roman"/>
        </w:rPr>
        <w:t xml:space="preserve">a list of renewable resources, WREGIS certificate numbers, and </w:t>
      </w:r>
      <w:r>
        <w:rPr>
          <w:rFonts w:ascii="Times New Roman" w:hAnsi="Times New Roman" w:cs="Times New Roman"/>
        </w:rPr>
        <w:t xml:space="preserve">the </w:t>
      </w:r>
      <w:r w:rsidRPr="005602BC">
        <w:rPr>
          <w:rFonts w:ascii="Times New Roman" w:hAnsi="Times New Roman" w:cs="Times New Roman"/>
        </w:rPr>
        <w:t>appropriate documentation form outlining REC’s it is receiving f</w:t>
      </w:r>
      <w:r>
        <w:rPr>
          <w:rFonts w:ascii="Times New Roman" w:hAnsi="Times New Roman" w:cs="Times New Roman"/>
        </w:rPr>
        <w:t xml:space="preserve">rom contractual relationships. </w:t>
      </w:r>
      <w:r w:rsidRPr="005602BC">
        <w:rPr>
          <w:rFonts w:ascii="Times New Roman" w:hAnsi="Times New Roman" w:cs="Times New Roman"/>
        </w:rPr>
        <w:t xml:space="preserve">  Contracts, system dispatch data, and further detail can be made available upon request and is available for Commission Staff to audit at the Company’s offices.</w:t>
      </w:r>
    </w:p>
    <w:p w:rsidR="00F7387B" w:rsidRDefault="00F7387B" w:rsidP="00F7387B">
      <w:pPr>
        <w:ind w:left="1080"/>
        <w:jc w:val="both"/>
        <w:rPr>
          <w:rFonts w:ascii="Times New Roman" w:hAnsi="Times New Roman" w:cs="Times New Roman"/>
        </w:rPr>
      </w:pPr>
    </w:p>
    <w:p w:rsidR="00F7387B" w:rsidRPr="00F7387B" w:rsidRDefault="00F7387B" w:rsidP="00F7387B">
      <w:pPr>
        <w:pStyle w:val="ListParagraph"/>
        <w:numPr>
          <w:ilvl w:val="0"/>
          <w:numId w:val="5"/>
        </w:numPr>
        <w:jc w:val="both"/>
      </w:pPr>
      <w:r w:rsidRPr="008C43CB">
        <w:t>The definition of an eligible renewable resource at RCW 19.285.030(11)(b) includes electricity produced by incremental efficiency improvements to Northwest hydroelectric plants. What methods and documentation should the Commission require of an electric utility that is claiming incremental hydroelectric generation efficiency improvements as eligible renewable resources?</w:t>
      </w:r>
    </w:p>
    <w:p w:rsidR="001C13E3" w:rsidRDefault="001C13E3" w:rsidP="001C13E3">
      <w:pPr>
        <w:ind w:left="720"/>
        <w:jc w:val="both"/>
        <w:rPr>
          <w:rFonts w:ascii="Times New Roman" w:hAnsi="Times New Roman" w:cs="Times New Roman"/>
        </w:rPr>
      </w:pPr>
    </w:p>
    <w:p w:rsidR="00F7387B" w:rsidRDefault="00F7387B" w:rsidP="00F7387B">
      <w:pPr>
        <w:ind w:left="1080"/>
        <w:jc w:val="both"/>
        <w:rPr>
          <w:rFonts w:ascii="Times New Roman" w:hAnsi="Times New Roman" w:cs="Times New Roman"/>
        </w:rPr>
      </w:pPr>
      <w:r>
        <w:rPr>
          <w:rFonts w:ascii="Times New Roman" w:hAnsi="Times New Roman" w:cs="Times New Roman"/>
        </w:rPr>
        <w:t>Avista Response:</w:t>
      </w:r>
    </w:p>
    <w:p w:rsidR="00F7387B" w:rsidRDefault="00F7387B" w:rsidP="001C13E3">
      <w:pPr>
        <w:ind w:left="720"/>
        <w:jc w:val="both"/>
        <w:rPr>
          <w:rFonts w:ascii="Times New Roman" w:hAnsi="Times New Roman" w:cs="Times New Roman"/>
        </w:rPr>
      </w:pPr>
    </w:p>
    <w:p w:rsidR="00F7387B" w:rsidRPr="00F7387B" w:rsidRDefault="00F7387B" w:rsidP="00F7387B">
      <w:pPr>
        <w:ind w:left="1080"/>
        <w:jc w:val="both"/>
        <w:rPr>
          <w:rFonts w:ascii="Times New Roman" w:hAnsi="Times New Roman" w:cs="Times New Roman"/>
        </w:rPr>
      </w:pPr>
      <w:r w:rsidRPr="00F7387B">
        <w:rPr>
          <w:rFonts w:ascii="Times New Roman" w:hAnsi="Times New Roman" w:cs="Times New Roman"/>
        </w:rPr>
        <w:t>As outlined in previous Commission orders and agreed upon by the RPS workgroup convened under Docket</w:t>
      </w:r>
      <w:r>
        <w:rPr>
          <w:rFonts w:ascii="Times New Roman" w:hAnsi="Times New Roman" w:cs="Times New Roman"/>
        </w:rPr>
        <w:t xml:space="preserve"> No.</w:t>
      </w:r>
      <w:r w:rsidRPr="00F7387B">
        <w:rPr>
          <w:rFonts w:ascii="Times New Roman" w:hAnsi="Times New Roman" w:cs="Times New Roman"/>
        </w:rPr>
        <w:t xml:space="preserve"> UE-110523, the Company believes that the three methodologies are adequate and shall continue to be allowed for calculating incremental hydro for compliance.</w:t>
      </w:r>
    </w:p>
    <w:p w:rsidR="00F7387B" w:rsidRPr="00F7387B" w:rsidRDefault="00F7387B" w:rsidP="00F7387B">
      <w:pPr>
        <w:ind w:left="1080"/>
        <w:jc w:val="both"/>
        <w:rPr>
          <w:rFonts w:ascii="Times New Roman" w:hAnsi="Times New Roman" w:cs="Times New Roman"/>
        </w:rPr>
      </w:pPr>
    </w:p>
    <w:p w:rsidR="00F7387B" w:rsidRPr="00F7387B" w:rsidRDefault="00F7387B" w:rsidP="00F7387B">
      <w:pPr>
        <w:ind w:left="1080"/>
        <w:jc w:val="both"/>
        <w:rPr>
          <w:rFonts w:ascii="Times New Roman" w:hAnsi="Times New Roman" w:cs="Times New Roman"/>
        </w:rPr>
      </w:pPr>
      <w:r w:rsidRPr="00F7387B">
        <w:rPr>
          <w:rFonts w:ascii="Times New Roman" w:hAnsi="Times New Roman" w:cs="Times New Roman"/>
        </w:rPr>
        <w:t>Avista agrees with Commission Staff and others that it is acceptable to have a look back calculation every five years to verify the chosen method is properly accounting for the incremental hydro.  However, there should be no financial penalty for any changes compare</w:t>
      </w:r>
      <w:r>
        <w:rPr>
          <w:rFonts w:ascii="Times New Roman" w:hAnsi="Times New Roman" w:cs="Times New Roman"/>
        </w:rPr>
        <w:t>d</w:t>
      </w:r>
      <w:r w:rsidRPr="00F7387B">
        <w:rPr>
          <w:rFonts w:ascii="Times New Roman" w:hAnsi="Times New Roman" w:cs="Times New Roman"/>
        </w:rPr>
        <w:t xml:space="preserve"> to historical averages.</w:t>
      </w:r>
    </w:p>
    <w:p w:rsidR="00F7387B" w:rsidRPr="00F7387B" w:rsidRDefault="00F7387B" w:rsidP="00F7387B">
      <w:pPr>
        <w:ind w:left="1080"/>
        <w:jc w:val="both"/>
        <w:rPr>
          <w:rFonts w:ascii="Times New Roman" w:hAnsi="Times New Roman" w:cs="Times New Roman"/>
        </w:rPr>
      </w:pPr>
    </w:p>
    <w:p w:rsidR="00F7387B" w:rsidRPr="00F7387B" w:rsidRDefault="00F7387B" w:rsidP="00F7387B">
      <w:pPr>
        <w:ind w:left="1080"/>
        <w:jc w:val="both"/>
        <w:rPr>
          <w:rFonts w:ascii="Times New Roman" w:hAnsi="Times New Roman" w:cs="Times New Roman"/>
        </w:rPr>
      </w:pPr>
      <w:r w:rsidRPr="00F7387B">
        <w:rPr>
          <w:rFonts w:ascii="Times New Roman" w:hAnsi="Times New Roman" w:cs="Times New Roman"/>
        </w:rPr>
        <w:t>Company’s claiming incremental hydro to meet compliance shall make their models available for Commission Staff to audit upon request.  After the 2012 filing, Avista met with Commission Staff to demonstrate the Company’s model and address any questions at the time.  The Company believes this interaction with Commission Staff is the proper way to address any questions or concerns.</w:t>
      </w:r>
    </w:p>
    <w:p w:rsidR="001C13E3" w:rsidRPr="00F7387B" w:rsidRDefault="001C13E3" w:rsidP="00F7387B">
      <w:pPr>
        <w:ind w:left="1080"/>
        <w:jc w:val="both"/>
        <w:rPr>
          <w:rFonts w:ascii="Times New Roman" w:hAnsi="Times New Roman" w:cs="Times New Roman"/>
        </w:rPr>
      </w:pPr>
    </w:p>
    <w:p w:rsidR="00C46D90" w:rsidRDefault="00C46D90" w:rsidP="00BA4B9B">
      <w:pPr>
        <w:spacing w:line="360" w:lineRule="auto"/>
        <w:ind w:firstLine="720"/>
        <w:jc w:val="both"/>
        <w:rPr>
          <w:rFonts w:ascii="Times New Roman" w:hAnsi="Times New Roman" w:cs="Times New Roman"/>
        </w:rPr>
      </w:pPr>
    </w:p>
    <w:p w:rsidR="00F45919" w:rsidRPr="00D84B4F" w:rsidRDefault="00F7387B" w:rsidP="00C46D90">
      <w:pPr>
        <w:spacing w:line="360" w:lineRule="auto"/>
        <w:ind w:firstLine="720"/>
        <w:jc w:val="both"/>
        <w:rPr>
          <w:rFonts w:ascii="Times New Roman" w:hAnsi="Times New Roman" w:cs="Times New Roman"/>
        </w:rPr>
      </w:pPr>
      <w:r>
        <w:rPr>
          <w:rFonts w:ascii="Times New Roman" w:hAnsi="Times New Roman" w:cs="Times New Roman"/>
        </w:rPr>
        <w:lastRenderedPageBreak/>
        <w:t>T</w:t>
      </w:r>
      <w:r w:rsidR="00AB0605">
        <w:rPr>
          <w:rFonts w:ascii="Times New Roman" w:hAnsi="Times New Roman" w:cs="Times New Roman"/>
        </w:rPr>
        <w:t xml:space="preserve">he Company appreciates the opportunity to provide </w:t>
      </w:r>
      <w:r w:rsidR="0012246A">
        <w:rPr>
          <w:rFonts w:ascii="Times New Roman" w:hAnsi="Times New Roman" w:cs="Times New Roman"/>
        </w:rPr>
        <w:t xml:space="preserve">these </w:t>
      </w:r>
      <w:r w:rsidR="00AB0605">
        <w:rPr>
          <w:rFonts w:ascii="Times New Roman" w:hAnsi="Times New Roman" w:cs="Times New Roman"/>
        </w:rPr>
        <w:t>comments</w:t>
      </w:r>
      <w:r w:rsidR="00F45919" w:rsidRPr="00D84B4F">
        <w:rPr>
          <w:rFonts w:ascii="Times New Roman" w:hAnsi="Times New Roman" w:cs="Times New Roman"/>
        </w:rPr>
        <w:t>.</w:t>
      </w:r>
      <w:r w:rsidR="00314A4A">
        <w:rPr>
          <w:rFonts w:ascii="Times New Roman" w:hAnsi="Times New Roman" w:cs="Times New Roman"/>
        </w:rPr>
        <w:t xml:space="preserve"> In addition to the comments provided above, attached is the Commission’s “Comment Form for Energy Independence Act Rulemaking” reflecting the Company’s proposed changes to WAC 480-109. </w:t>
      </w:r>
      <w:r w:rsidR="00F45919" w:rsidRPr="00D84B4F">
        <w:rPr>
          <w:rFonts w:ascii="Times New Roman" w:hAnsi="Times New Roman" w:cs="Times New Roman"/>
        </w:rPr>
        <w:t xml:space="preserve">If you have any questions regarding these comments, please contact </w:t>
      </w:r>
      <w:r w:rsidR="00F8014E" w:rsidRPr="00D84B4F">
        <w:rPr>
          <w:rFonts w:ascii="Times New Roman" w:hAnsi="Times New Roman" w:cs="Times New Roman"/>
        </w:rPr>
        <w:t>me</w:t>
      </w:r>
      <w:r w:rsidR="00F45919" w:rsidRPr="00D84B4F">
        <w:rPr>
          <w:rFonts w:ascii="Times New Roman" w:hAnsi="Times New Roman" w:cs="Times New Roman"/>
        </w:rPr>
        <w:t xml:space="preserve"> </w:t>
      </w:r>
      <w:r w:rsidR="001B29A5" w:rsidRPr="00D84B4F">
        <w:rPr>
          <w:rFonts w:ascii="Times New Roman" w:hAnsi="Times New Roman" w:cs="Times New Roman"/>
        </w:rPr>
        <w:t>at 509-495-4975</w:t>
      </w:r>
      <w:r w:rsidR="00DA1C41" w:rsidRPr="00D84B4F">
        <w:rPr>
          <w:rFonts w:ascii="Times New Roman" w:hAnsi="Times New Roman" w:cs="Times New Roman"/>
        </w:rPr>
        <w:t xml:space="preserve"> or at </w:t>
      </w:r>
      <w:hyperlink r:id="rId9" w:history="1">
        <w:r w:rsidR="00DA1C41" w:rsidRPr="00D84B4F">
          <w:rPr>
            <w:rStyle w:val="Hyperlink"/>
            <w:rFonts w:ascii="Times New Roman" w:hAnsi="Times New Roman" w:cs="Times New Roman"/>
          </w:rPr>
          <w:t>linda.gervais@avistacorp.com</w:t>
        </w:r>
      </w:hyperlink>
      <w:r w:rsidR="00DA1C41" w:rsidRPr="00D84B4F">
        <w:rPr>
          <w:rFonts w:ascii="Times New Roman" w:hAnsi="Times New Roman" w:cs="Times New Roman"/>
        </w:rPr>
        <w:t>.</w:t>
      </w:r>
    </w:p>
    <w:p w:rsidR="001B29A5" w:rsidRPr="00D84B4F" w:rsidRDefault="001B29A5" w:rsidP="00D84B4F">
      <w:pPr>
        <w:spacing w:line="360" w:lineRule="auto"/>
        <w:jc w:val="both"/>
        <w:rPr>
          <w:rFonts w:ascii="Times New Roman" w:hAnsi="Times New Roman" w:cs="Times New Roman"/>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056EBB" w:rsidP="00337F64">
      <w:pPr>
        <w:jc w:val="both"/>
        <w:rPr>
          <w:rFonts w:ascii="Times New Roman" w:hAnsi="Times New Roman" w:cs="Times New Roman"/>
          <w:lang w:val="fr-FR"/>
        </w:rPr>
      </w:pPr>
      <w:hyperlink r:id="rId10"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1E0DB9" w:rsidRDefault="00337F64" w:rsidP="00F45919">
      <w:pPr>
        <w:pStyle w:val="NoSpacing"/>
        <w:spacing w:line="360" w:lineRule="auto"/>
        <w:ind w:right="-270" w:firstLine="720"/>
        <w:jc w:val="both"/>
        <w:rPr>
          <w:rFonts w:ascii="Times New Roman" w:hAnsi="Times New Roman"/>
          <w:sz w:val="24"/>
          <w:szCs w:val="24"/>
          <w:lang w:val="fr-FR"/>
        </w:rPr>
      </w:pPr>
    </w:p>
    <w:p w:rsidR="00F45919" w:rsidRPr="001E0DB9" w:rsidRDefault="00F45919" w:rsidP="00F45919">
      <w:pPr>
        <w:pStyle w:val="NoSpacing"/>
        <w:spacing w:line="360" w:lineRule="auto"/>
        <w:ind w:right="-270"/>
        <w:jc w:val="both"/>
        <w:rPr>
          <w:rFonts w:ascii="Times New Roman" w:hAnsi="Times New Roman"/>
          <w:sz w:val="24"/>
          <w:szCs w:val="24"/>
          <w:lang w:val="fr-FR"/>
        </w:rPr>
      </w:pPr>
    </w:p>
    <w:sectPr w:rsidR="00F45919" w:rsidRPr="001E0DB9" w:rsidSect="003D0502">
      <w:headerReference w:type="default" r:id="rId11"/>
      <w:footerReference w:type="default" r:id="rId12"/>
      <w:headerReference w:type="first" r:id="rId1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BB" w:rsidRDefault="00056EBB" w:rsidP="002A1126">
      <w:r>
        <w:separator/>
      </w:r>
    </w:p>
  </w:endnote>
  <w:endnote w:type="continuationSeparator" w:id="0">
    <w:p w:rsidR="00056EBB" w:rsidRDefault="00056EBB"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37208"/>
      <w:docPartObj>
        <w:docPartGallery w:val="Page Numbers (Bottom of Page)"/>
        <w:docPartUnique/>
      </w:docPartObj>
    </w:sdtPr>
    <w:sdtEndPr>
      <w:rPr>
        <w:color w:val="7F7F7F" w:themeColor="background1" w:themeShade="7F"/>
        <w:spacing w:val="60"/>
      </w:rPr>
    </w:sdtEndPr>
    <w:sdtContent>
      <w:p w:rsidR="0081329B" w:rsidRDefault="00056EBB">
        <w:pPr>
          <w:pStyle w:val="Footer"/>
          <w:pBdr>
            <w:top w:val="single" w:sz="4" w:space="1" w:color="D9D9D9" w:themeColor="background1" w:themeShade="D9"/>
          </w:pBdr>
          <w:rPr>
            <w:b/>
          </w:rPr>
        </w:pPr>
        <w:r>
          <w:fldChar w:fldCharType="begin"/>
        </w:r>
        <w:r>
          <w:instrText xml:space="preserve"> PAGE   \* MERGEFORMAT </w:instrText>
        </w:r>
        <w:r>
          <w:fldChar w:fldCharType="separate"/>
        </w:r>
        <w:r w:rsidR="00624CC0" w:rsidRPr="00624CC0">
          <w:rPr>
            <w:b/>
            <w:noProof/>
          </w:rPr>
          <w:t>4</w:t>
        </w:r>
        <w:r>
          <w:rPr>
            <w:b/>
            <w:noProof/>
          </w:rPr>
          <w:fldChar w:fldCharType="end"/>
        </w:r>
        <w:r w:rsidR="0081329B">
          <w:rPr>
            <w:b/>
          </w:rPr>
          <w:t xml:space="preserve"> | </w:t>
        </w:r>
        <w:r w:rsidR="0081329B">
          <w:rPr>
            <w:color w:val="7F7F7F" w:themeColor="background1" w:themeShade="7F"/>
            <w:spacing w:val="60"/>
          </w:rPr>
          <w:t>Page</w:t>
        </w:r>
      </w:p>
    </w:sdtContent>
  </w:sdt>
  <w:p w:rsidR="0081329B" w:rsidRDefault="0081329B"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BB" w:rsidRDefault="00056EBB" w:rsidP="002A1126">
      <w:r>
        <w:separator/>
      </w:r>
    </w:p>
  </w:footnote>
  <w:footnote w:type="continuationSeparator" w:id="0">
    <w:p w:rsidR="00056EBB" w:rsidRDefault="00056EBB"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9B" w:rsidRDefault="0081329B"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9B" w:rsidRDefault="0081329B"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65463"/>
    <w:multiLevelType w:val="hybridMultilevel"/>
    <w:tmpl w:val="57F02EAC"/>
    <w:lvl w:ilvl="0" w:tplc="9A961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774782"/>
    <w:multiLevelType w:val="hybridMultilevel"/>
    <w:tmpl w:val="D4EE67E8"/>
    <w:lvl w:ilvl="0" w:tplc="E9DA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174A25"/>
    <w:multiLevelType w:val="hybridMultilevel"/>
    <w:tmpl w:val="AEDE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02"/>
    <w:rsid w:val="000020B9"/>
    <w:rsid w:val="0000774D"/>
    <w:rsid w:val="00045758"/>
    <w:rsid w:val="00056EBB"/>
    <w:rsid w:val="0009474B"/>
    <w:rsid w:val="000C3036"/>
    <w:rsid w:val="000E756F"/>
    <w:rsid w:val="000F46FA"/>
    <w:rsid w:val="000F4873"/>
    <w:rsid w:val="00114E77"/>
    <w:rsid w:val="0012246A"/>
    <w:rsid w:val="00143B20"/>
    <w:rsid w:val="00161957"/>
    <w:rsid w:val="00174CE6"/>
    <w:rsid w:val="001975BD"/>
    <w:rsid w:val="001A63BD"/>
    <w:rsid w:val="001B29A5"/>
    <w:rsid w:val="001C13E3"/>
    <w:rsid w:val="001E0DB9"/>
    <w:rsid w:val="001E2AB9"/>
    <w:rsid w:val="00271646"/>
    <w:rsid w:val="002A1126"/>
    <w:rsid w:val="00314A4A"/>
    <w:rsid w:val="00323F90"/>
    <w:rsid w:val="00337F64"/>
    <w:rsid w:val="00355E5A"/>
    <w:rsid w:val="003B43FB"/>
    <w:rsid w:val="003D0502"/>
    <w:rsid w:val="003D5D7D"/>
    <w:rsid w:val="003D6C8A"/>
    <w:rsid w:val="00421E87"/>
    <w:rsid w:val="0046198A"/>
    <w:rsid w:val="004656C8"/>
    <w:rsid w:val="004733C0"/>
    <w:rsid w:val="004A393A"/>
    <w:rsid w:val="004A6346"/>
    <w:rsid w:val="004B0F10"/>
    <w:rsid w:val="005011E0"/>
    <w:rsid w:val="00527CD1"/>
    <w:rsid w:val="00530675"/>
    <w:rsid w:val="005510A0"/>
    <w:rsid w:val="0061555D"/>
    <w:rsid w:val="00624CC0"/>
    <w:rsid w:val="006260C5"/>
    <w:rsid w:val="00651A83"/>
    <w:rsid w:val="00657990"/>
    <w:rsid w:val="006722CD"/>
    <w:rsid w:val="0067498C"/>
    <w:rsid w:val="00694FC3"/>
    <w:rsid w:val="006A2183"/>
    <w:rsid w:val="00702BA9"/>
    <w:rsid w:val="00706C17"/>
    <w:rsid w:val="0077043A"/>
    <w:rsid w:val="007B73D2"/>
    <w:rsid w:val="007F6DBA"/>
    <w:rsid w:val="00807809"/>
    <w:rsid w:val="0081329B"/>
    <w:rsid w:val="00824A63"/>
    <w:rsid w:val="008633E7"/>
    <w:rsid w:val="008C1322"/>
    <w:rsid w:val="00971839"/>
    <w:rsid w:val="0098158F"/>
    <w:rsid w:val="009B0B7D"/>
    <w:rsid w:val="00A20AF2"/>
    <w:rsid w:val="00A464D3"/>
    <w:rsid w:val="00A56024"/>
    <w:rsid w:val="00A87384"/>
    <w:rsid w:val="00AA2DEC"/>
    <w:rsid w:val="00AB0605"/>
    <w:rsid w:val="00AB0867"/>
    <w:rsid w:val="00AD2DBE"/>
    <w:rsid w:val="00B156C5"/>
    <w:rsid w:val="00B17074"/>
    <w:rsid w:val="00B36800"/>
    <w:rsid w:val="00B3771B"/>
    <w:rsid w:val="00B44B40"/>
    <w:rsid w:val="00B75184"/>
    <w:rsid w:val="00BA4B9B"/>
    <w:rsid w:val="00BB40AB"/>
    <w:rsid w:val="00BC5615"/>
    <w:rsid w:val="00C17CA7"/>
    <w:rsid w:val="00C23EA6"/>
    <w:rsid w:val="00C46D90"/>
    <w:rsid w:val="00C91D37"/>
    <w:rsid w:val="00C950B4"/>
    <w:rsid w:val="00CA3409"/>
    <w:rsid w:val="00CF6B1C"/>
    <w:rsid w:val="00D64EBE"/>
    <w:rsid w:val="00D72B62"/>
    <w:rsid w:val="00D84B4F"/>
    <w:rsid w:val="00D96E8B"/>
    <w:rsid w:val="00DA1C41"/>
    <w:rsid w:val="00DC294F"/>
    <w:rsid w:val="00DC2F78"/>
    <w:rsid w:val="00DD17D4"/>
    <w:rsid w:val="00E15441"/>
    <w:rsid w:val="00E3352F"/>
    <w:rsid w:val="00E4016E"/>
    <w:rsid w:val="00E72C00"/>
    <w:rsid w:val="00E83AF0"/>
    <w:rsid w:val="00EE4F08"/>
    <w:rsid w:val="00F00311"/>
    <w:rsid w:val="00F31804"/>
    <w:rsid w:val="00F349D1"/>
    <w:rsid w:val="00F3627B"/>
    <w:rsid w:val="00F402D4"/>
    <w:rsid w:val="00F45919"/>
    <w:rsid w:val="00F6459F"/>
    <w:rsid w:val="00F7387B"/>
    <w:rsid w:val="00F8014E"/>
    <w:rsid w:val="00F86C06"/>
    <w:rsid w:val="00FD44D5"/>
    <w:rsid w:val="00FE7331"/>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character" w:styleId="CommentReference">
    <w:name w:val="annotation reference"/>
    <w:basedOn w:val="DefaultParagraphFont"/>
    <w:uiPriority w:val="99"/>
    <w:semiHidden/>
    <w:unhideWhenUsed/>
    <w:rsid w:val="003D5D7D"/>
    <w:rPr>
      <w:sz w:val="16"/>
      <w:szCs w:val="16"/>
    </w:rPr>
  </w:style>
  <w:style w:type="paragraph" w:styleId="CommentText">
    <w:name w:val="annotation text"/>
    <w:basedOn w:val="Normal"/>
    <w:link w:val="CommentTextChar"/>
    <w:uiPriority w:val="99"/>
    <w:semiHidden/>
    <w:unhideWhenUsed/>
    <w:rsid w:val="003D5D7D"/>
    <w:rPr>
      <w:sz w:val="20"/>
      <w:szCs w:val="20"/>
    </w:rPr>
  </w:style>
  <w:style w:type="character" w:customStyle="1" w:styleId="CommentTextChar">
    <w:name w:val="Comment Text Char"/>
    <w:basedOn w:val="DefaultParagraphFont"/>
    <w:link w:val="CommentText"/>
    <w:uiPriority w:val="99"/>
    <w:semiHidden/>
    <w:rsid w:val="003D5D7D"/>
    <w:rPr>
      <w:rFonts w:ascii="Arial" w:hAnsi="Arial"/>
    </w:rPr>
  </w:style>
  <w:style w:type="paragraph" w:styleId="CommentSubject">
    <w:name w:val="annotation subject"/>
    <w:basedOn w:val="CommentText"/>
    <w:next w:val="CommentText"/>
    <w:link w:val="CommentSubjectChar"/>
    <w:uiPriority w:val="99"/>
    <w:semiHidden/>
    <w:unhideWhenUsed/>
    <w:rsid w:val="003D5D7D"/>
    <w:rPr>
      <w:b/>
      <w:bCs/>
    </w:rPr>
  </w:style>
  <w:style w:type="character" w:customStyle="1" w:styleId="CommentSubjectChar">
    <w:name w:val="Comment Subject Char"/>
    <w:basedOn w:val="CommentTextChar"/>
    <w:link w:val="CommentSubject"/>
    <w:uiPriority w:val="99"/>
    <w:semiHidden/>
    <w:rsid w:val="003D5D7D"/>
    <w:rPr>
      <w:rFonts w:ascii="Arial" w:hAnsi="Arial"/>
      <w:b/>
      <w:bCs/>
    </w:rPr>
  </w:style>
  <w:style w:type="paragraph" w:styleId="FootnoteText">
    <w:name w:val="footnote text"/>
    <w:basedOn w:val="Normal"/>
    <w:link w:val="FootnoteTextChar"/>
    <w:uiPriority w:val="99"/>
    <w:semiHidden/>
    <w:unhideWhenUsed/>
    <w:rsid w:val="00CF6B1C"/>
    <w:rPr>
      <w:sz w:val="20"/>
      <w:szCs w:val="20"/>
    </w:rPr>
  </w:style>
  <w:style w:type="character" w:customStyle="1" w:styleId="FootnoteTextChar">
    <w:name w:val="Footnote Text Char"/>
    <w:basedOn w:val="DefaultParagraphFont"/>
    <w:link w:val="FootnoteText"/>
    <w:uiPriority w:val="99"/>
    <w:semiHidden/>
    <w:rsid w:val="00CF6B1C"/>
    <w:rPr>
      <w:rFonts w:ascii="Arial" w:hAnsi="Arial"/>
    </w:rPr>
  </w:style>
  <w:style w:type="character" w:styleId="FootnoteReference">
    <w:name w:val="footnote reference"/>
    <w:basedOn w:val="DefaultParagraphFont"/>
    <w:uiPriority w:val="99"/>
    <w:semiHidden/>
    <w:unhideWhenUsed/>
    <w:rsid w:val="00CF6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5307">
      <w:bodyDiv w:val="1"/>
      <w:marLeft w:val="0"/>
      <w:marRight w:val="0"/>
      <w:marTop w:val="0"/>
      <w:marBottom w:val="0"/>
      <w:divBdr>
        <w:top w:val="none" w:sz="0" w:space="0" w:color="auto"/>
        <w:left w:val="none" w:sz="0" w:space="0" w:color="auto"/>
        <w:bottom w:val="none" w:sz="0" w:space="0" w:color="auto"/>
        <w:right w:val="none" w:sz="0" w:space="0" w:color="auto"/>
      </w:divBdr>
    </w:div>
    <w:div w:id="369381935">
      <w:bodyDiv w:val="1"/>
      <w:marLeft w:val="0"/>
      <w:marRight w:val="0"/>
      <w:marTop w:val="0"/>
      <w:marBottom w:val="0"/>
      <w:divBdr>
        <w:top w:val="none" w:sz="0" w:space="0" w:color="auto"/>
        <w:left w:val="none" w:sz="0" w:space="0" w:color="auto"/>
        <w:bottom w:val="none" w:sz="0" w:space="0" w:color="auto"/>
        <w:right w:val="none" w:sz="0" w:space="0" w:color="auto"/>
      </w:divBdr>
    </w:div>
    <w:div w:id="839007903">
      <w:bodyDiv w:val="1"/>
      <w:marLeft w:val="0"/>
      <w:marRight w:val="0"/>
      <w:marTop w:val="0"/>
      <w:marBottom w:val="0"/>
      <w:divBdr>
        <w:top w:val="none" w:sz="0" w:space="0" w:color="auto"/>
        <w:left w:val="none" w:sz="0" w:space="0" w:color="auto"/>
        <w:bottom w:val="none" w:sz="0" w:space="0" w:color="auto"/>
        <w:right w:val="none" w:sz="0" w:space="0" w:color="auto"/>
      </w:divBdr>
    </w:div>
    <w:div w:id="1056658313">
      <w:bodyDiv w:val="1"/>
      <w:marLeft w:val="0"/>
      <w:marRight w:val="0"/>
      <w:marTop w:val="0"/>
      <w:marBottom w:val="0"/>
      <w:divBdr>
        <w:top w:val="none" w:sz="0" w:space="0" w:color="auto"/>
        <w:left w:val="none" w:sz="0" w:space="0" w:color="auto"/>
        <w:bottom w:val="none" w:sz="0" w:space="0" w:color="auto"/>
        <w:right w:val="none" w:sz="0" w:space="0" w:color="auto"/>
      </w:divBdr>
    </w:div>
    <w:div w:id="1397242749">
      <w:bodyDiv w:val="1"/>
      <w:marLeft w:val="0"/>
      <w:marRight w:val="0"/>
      <w:marTop w:val="0"/>
      <w:marBottom w:val="0"/>
      <w:divBdr>
        <w:top w:val="none" w:sz="0" w:space="0" w:color="auto"/>
        <w:left w:val="none" w:sz="0" w:space="0" w:color="auto"/>
        <w:bottom w:val="none" w:sz="0" w:space="0" w:color="auto"/>
        <w:right w:val="none" w:sz="0" w:space="0" w:color="auto"/>
      </w:divBdr>
    </w:div>
    <w:div w:id="1609778262">
      <w:bodyDiv w:val="1"/>
      <w:marLeft w:val="0"/>
      <w:marRight w:val="0"/>
      <w:marTop w:val="0"/>
      <w:marBottom w:val="0"/>
      <w:divBdr>
        <w:top w:val="none" w:sz="0" w:space="0" w:color="auto"/>
        <w:left w:val="none" w:sz="0" w:space="0" w:color="auto"/>
        <w:bottom w:val="none" w:sz="0" w:space="0" w:color="auto"/>
        <w:right w:val="none" w:sz="0" w:space="0" w:color="auto"/>
      </w:divBdr>
    </w:div>
    <w:div w:id="1818303168">
      <w:bodyDiv w:val="1"/>
      <w:marLeft w:val="0"/>
      <w:marRight w:val="0"/>
      <w:marTop w:val="0"/>
      <w:marBottom w:val="0"/>
      <w:divBdr>
        <w:top w:val="none" w:sz="0" w:space="0" w:color="auto"/>
        <w:left w:val="none" w:sz="0" w:space="0" w:color="auto"/>
        <w:bottom w:val="none" w:sz="0" w:space="0" w:color="auto"/>
        <w:right w:val="none" w:sz="0" w:space="0" w:color="auto"/>
      </w:divBdr>
    </w:div>
    <w:div w:id="204073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nda.gervais@avistacorp.com"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linda.gervais@avistacor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E3D17C-287D-487C-963A-C4CDD5F6DBC9}"/>
</file>

<file path=customXml/itemProps2.xml><?xml version="1.0" encoding="utf-8"?>
<ds:datastoreItem xmlns:ds="http://schemas.openxmlformats.org/officeDocument/2006/customXml" ds:itemID="{E1429D6F-05A9-4BA3-87C0-D250C67936C1}"/>
</file>

<file path=customXml/itemProps3.xml><?xml version="1.0" encoding="utf-8"?>
<ds:datastoreItem xmlns:ds="http://schemas.openxmlformats.org/officeDocument/2006/customXml" ds:itemID="{D9CB4CFA-A078-4633-881E-D03D70AE8934}"/>
</file>

<file path=customXml/itemProps4.xml><?xml version="1.0" encoding="utf-8"?>
<ds:datastoreItem xmlns:ds="http://schemas.openxmlformats.org/officeDocument/2006/customXml" ds:itemID="{69A8D652-41BF-459A-AA0D-876B43D4E4AF}"/>
</file>

<file path=customXml/itemProps5.xml><?xml version="1.0" encoding="utf-8"?>
<ds:datastoreItem xmlns:ds="http://schemas.openxmlformats.org/officeDocument/2006/customXml" ds:itemID="{F6F8248B-741E-4C5C-B3E4-522D7FC7C0DD}"/>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Lisa Wyse</cp:lastModifiedBy>
  <cp:revision>2</cp:revision>
  <cp:lastPrinted>2013-07-31T23:27:00Z</cp:lastPrinted>
  <dcterms:created xsi:type="dcterms:W3CDTF">2013-12-03T00:30:00Z</dcterms:created>
  <dcterms:modified xsi:type="dcterms:W3CDTF">2013-12-03T00:30:00Z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