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D81F" w14:textId="55C0D566" w:rsidR="0018597D" w:rsidRPr="00C727AC" w:rsidRDefault="00EE31E5" w:rsidP="00882E5C">
      <w:pPr>
        <w:jc w:val="center"/>
        <w:rPr>
          <w:b/>
          <w:i/>
          <w:sz w:val="28"/>
          <w:szCs w:val="28"/>
        </w:rPr>
      </w:pPr>
      <w:r>
        <w:rPr>
          <w:b/>
          <w:i/>
          <w:sz w:val="28"/>
          <w:szCs w:val="28"/>
        </w:rPr>
        <w:t>Attachment</w:t>
      </w:r>
    </w:p>
    <w:p w14:paraId="6BE4F8E6" w14:textId="77777777" w:rsidR="00920E26" w:rsidRPr="000A28EB" w:rsidRDefault="00920E26" w:rsidP="00882E5C">
      <w:pPr>
        <w:jc w:val="center"/>
        <w:rPr>
          <w:sz w:val="24"/>
          <w:szCs w:val="24"/>
        </w:rPr>
      </w:pPr>
    </w:p>
    <w:p w14:paraId="4A2D6F03" w14:textId="46894870" w:rsidR="003E077C" w:rsidRPr="00C727AC" w:rsidRDefault="005A00B6" w:rsidP="004D7A3E">
      <w:pPr>
        <w:jc w:val="center"/>
        <w:rPr>
          <w:b/>
          <w:sz w:val="28"/>
          <w:szCs w:val="28"/>
        </w:rPr>
      </w:pPr>
      <w:r w:rsidRPr="00C727AC">
        <w:rPr>
          <w:b/>
          <w:sz w:val="28"/>
          <w:szCs w:val="28"/>
        </w:rPr>
        <w:t>Avista</w:t>
      </w:r>
      <w:r w:rsidR="00920E26" w:rsidRPr="00C727AC">
        <w:rPr>
          <w:b/>
          <w:sz w:val="28"/>
          <w:szCs w:val="28"/>
        </w:rPr>
        <w:t xml:space="preserve"> </w:t>
      </w:r>
      <w:r w:rsidR="00E82765" w:rsidRPr="00C727AC">
        <w:rPr>
          <w:b/>
          <w:sz w:val="28"/>
          <w:szCs w:val="28"/>
        </w:rPr>
        <w:t>20</w:t>
      </w:r>
      <w:bookmarkStart w:id="0" w:name="_GoBack"/>
      <w:bookmarkEnd w:id="0"/>
      <w:r w:rsidR="00E82765" w:rsidRPr="00C727AC">
        <w:rPr>
          <w:b/>
          <w:sz w:val="28"/>
          <w:szCs w:val="28"/>
        </w:rPr>
        <w:t>14</w:t>
      </w:r>
      <w:r w:rsidR="007B3296" w:rsidRPr="00C727AC">
        <w:rPr>
          <w:b/>
          <w:sz w:val="28"/>
          <w:szCs w:val="28"/>
        </w:rPr>
        <w:t xml:space="preserve"> </w:t>
      </w:r>
      <w:r w:rsidR="00E82765" w:rsidRPr="00C727AC">
        <w:rPr>
          <w:b/>
          <w:sz w:val="28"/>
          <w:szCs w:val="28"/>
        </w:rPr>
        <w:t xml:space="preserve">Natural Gas </w:t>
      </w:r>
      <w:r w:rsidR="007B3296" w:rsidRPr="00C727AC">
        <w:rPr>
          <w:b/>
          <w:sz w:val="28"/>
          <w:szCs w:val="28"/>
        </w:rPr>
        <w:t>Integrated Resource Plan</w:t>
      </w:r>
      <w:r w:rsidR="00920E26" w:rsidRPr="00C727AC">
        <w:rPr>
          <w:b/>
          <w:sz w:val="28"/>
          <w:szCs w:val="28"/>
        </w:rPr>
        <w:t xml:space="preserve"> </w:t>
      </w:r>
    </w:p>
    <w:p w14:paraId="4C08AFAA" w14:textId="172F3996" w:rsidR="007B3296" w:rsidRPr="00C727AC" w:rsidRDefault="007A147B" w:rsidP="004D7A3E">
      <w:pPr>
        <w:jc w:val="center"/>
        <w:rPr>
          <w:b/>
          <w:sz w:val="28"/>
          <w:szCs w:val="28"/>
        </w:rPr>
      </w:pPr>
      <w:r w:rsidRPr="00C727AC">
        <w:rPr>
          <w:b/>
          <w:sz w:val="28"/>
          <w:szCs w:val="28"/>
        </w:rPr>
        <w:t xml:space="preserve">Docket </w:t>
      </w:r>
      <w:r w:rsidR="00E82765" w:rsidRPr="00C727AC">
        <w:rPr>
          <w:b/>
          <w:sz w:val="28"/>
          <w:szCs w:val="28"/>
        </w:rPr>
        <w:t>UG-131621</w:t>
      </w:r>
    </w:p>
    <w:p w14:paraId="0447E3FA" w14:textId="77777777" w:rsidR="007B3296" w:rsidRDefault="007B3296" w:rsidP="008E5FDC">
      <w:pPr>
        <w:rPr>
          <w:sz w:val="24"/>
          <w:szCs w:val="24"/>
        </w:rPr>
      </w:pPr>
    </w:p>
    <w:p w14:paraId="4626BDAC" w14:textId="77777777" w:rsidR="00C727AC" w:rsidRPr="000A28EB" w:rsidRDefault="00C727AC" w:rsidP="008E5FDC">
      <w:pPr>
        <w:rPr>
          <w:sz w:val="24"/>
          <w:szCs w:val="24"/>
        </w:rPr>
      </w:pPr>
    </w:p>
    <w:p w14:paraId="6C3A6C4D" w14:textId="178503A1" w:rsidR="0060348E" w:rsidRPr="00CB371A" w:rsidRDefault="0060348E" w:rsidP="008E5FDC">
      <w:pPr>
        <w:rPr>
          <w:b/>
          <w:u w:val="single"/>
        </w:rPr>
      </w:pPr>
      <w:r w:rsidRPr="00CB371A">
        <w:rPr>
          <w:b/>
          <w:u w:val="single"/>
        </w:rPr>
        <w:t>Introduction</w:t>
      </w:r>
    </w:p>
    <w:p w14:paraId="5EA5BE5E" w14:textId="77777777" w:rsidR="0060348E" w:rsidRPr="00CB371A" w:rsidRDefault="0060348E" w:rsidP="008E5FDC">
      <w:pPr>
        <w:rPr>
          <w:b/>
          <w:u w:val="single"/>
        </w:rPr>
      </w:pPr>
    </w:p>
    <w:p w14:paraId="5501B1C8" w14:textId="09DE8151" w:rsidR="004B5C26" w:rsidRPr="00CB371A" w:rsidRDefault="00E82765" w:rsidP="008E5FDC">
      <w:r w:rsidRPr="00CB371A">
        <w:t>WAC 480-90</w:t>
      </w:r>
      <w:r w:rsidR="00DB1C40" w:rsidRPr="00CB371A">
        <w:t xml:space="preserve">-238 </w:t>
      </w:r>
      <w:r w:rsidR="00E47BFA" w:rsidRPr="00CB371A">
        <w:t xml:space="preserve">directs </w:t>
      </w:r>
      <w:r w:rsidR="007F2FB0" w:rsidRPr="00CB371A">
        <w:t>investor-owned</w:t>
      </w:r>
      <w:r w:rsidR="00A61C8E" w:rsidRPr="00CB371A">
        <w:t xml:space="preserve"> </w:t>
      </w:r>
      <w:r w:rsidR="00E47BFA" w:rsidRPr="00CB371A">
        <w:t>utilit</w:t>
      </w:r>
      <w:r w:rsidR="00A61C8E" w:rsidRPr="00CB371A">
        <w:t>ies</w:t>
      </w:r>
      <w:r w:rsidR="007833BF" w:rsidRPr="00CB371A">
        <w:t xml:space="preserve"> (IOUs)</w:t>
      </w:r>
      <w:r w:rsidR="00E47BFA" w:rsidRPr="00CB371A">
        <w:t xml:space="preserve"> to </w:t>
      </w:r>
      <w:r w:rsidRPr="00CB371A">
        <w:t xml:space="preserve">describe the mix of natural gas </w:t>
      </w:r>
      <w:r w:rsidR="00724E3C" w:rsidRPr="00CB371A">
        <w:t>supply resources and conservation that will meet current and future needs at the lowest reasonable cost to the utilities and its ratepayers.</w:t>
      </w:r>
      <w:r w:rsidR="00724E3C" w:rsidRPr="00CB371A">
        <w:rPr>
          <w:rStyle w:val="FootnoteReference"/>
        </w:rPr>
        <w:footnoteReference w:id="1"/>
      </w:r>
      <w:r w:rsidR="00DF6673" w:rsidRPr="00CB371A">
        <w:t xml:space="preserve"> </w:t>
      </w:r>
      <w:r w:rsidR="00816227">
        <w:t xml:space="preserve"> </w:t>
      </w:r>
      <w:r w:rsidR="00DF6673" w:rsidRPr="00CB371A">
        <w:t>In determining the lowest reasonable cost mix of resources, a util</w:t>
      </w:r>
      <w:r w:rsidR="00796DF6" w:rsidRPr="00CB371A">
        <w:t>ity must consider such factors as</w:t>
      </w:r>
      <w:r w:rsidR="00DF6673" w:rsidRPr="00CB371A">
        <w:t xml:space="preserve"> resource cost, market-volatility</w:t>
      </w:r>
      <w:r w:rsidR="00116891" w:rsidRPr="00CB371A">
        <w:t xml:space="preserve"> risks, </w:t>
      </w:r>
      <w:r w:rsidR="00DF6673" w:rsidRPr="00CB371A">
        <w:t xml:space="preserve">public policies regarding resource preference </w:t>
      </w:r>
      <w:r w:rsidR="00897879">
        <w:t>contemplated or</w:t>
      </w:r>
      <w:r w:rsidR="00E90233">
        <w:t xml:space="preserve"> </w:t>
      </w:r>
      <w:r w:rsidR="00DF6673" w:rsidRPr="00CB371A">
        <w:t>adopted by Washington State or the federal government and the cost of risks associated with environmental effects including emissions of carbon dioxide.</w:t>
      </w:r>
      <w:r w:rsidR="00DF6673" w:rsidRPr="00CB371A">
        <w:rPr>
          <w:rStyle w:val="FootnoteReference"/>
        </w:rPr>
        <w:footnoteReference w:id="2"/>
      </w:r>
      <w:r w:rsidR="00B512D0" w:rsidRPr="00CB371A">
        <w:t xml:space="preserve"> </w:t>
      </w:r>
      <w:r w:rsidR="00816227">
        <w:t xml:space="preserve"> </w:t>
      </w:r>
      <w:r w:rsidR="007833BF" w:rsidRPr="00CB371A">
        <w:t xml:space="preserve">The rule </w:t>
      </w:r>
      <w:r w:rsidR="0066619C" w:rsidRPr="00CB371A">
        <w:t>necessitates</w:t>
      </w:r>
      <w:r w:rsidR="00B512D0" w:rsidRPr="00CB371A">
        <w:t xml:space="preserve"> IOUs conduct</w:t>
      </w:r>
      <w:r w:rsidR="00E47BFA" w:rsidRPr="00CB371A">
        <w:t xml:space="preserve"> </w:t>
      </w:r>
      <w:r w:rsidR="00116891" w:rsidRPr="00CB371A">
        <w:t>a comprehensive</w:t>
      </w:r>
      <w:r w:rsidR="00DB1C40" w:rsidRPr="00CB371A">
        <w:t xml:space="preserve"> analysis of the costs and benefits</w:t>
      </w:r>
      <w:r w:rsidR="00B512D0" w:rsidRPr="00CB371A">
        <w:t>, including risk mitigation benefits,</w:t>
      </w:r>
      <w:r w:rsidR="0066619C" w:rsidRPr="00CB371A">
        <w:t xml:space="preserve"> of various approaches for</w:t>
      </w:r>
      <w:r w:rsidR="00DB1C40" w:rsidRPr="00CB371A">
        <w:t xml:space="preserve"> meeting future resource needs</w:t>
      </w:r>
      <w:r w:rsidR="00FD733A" w:rsidRPr="00CB371A">
        <w:t xml:space="preserve"> </w:t>
      </w:r>
      <w:r w:rsidR="00882625" w:rsidRPr="00CB371A">
        <w:t>using</w:t>
      </w:r>
      <w:r w:rsidR="00FD733A" w:rsidRPr="00CB371A">
        <w:t xml:space="preserve"> the best available information</w:t>
      </w:r>
      <w:r w:rsidR="00637A50" w:rsidRPr="00CB371A">
        <w:t xml:space="preserve">.  </w:t>
      </w:r>
    </w:p>
    <w:p w14:paraId="1C71AEB2" w14:textId="77777777" w:rsidR="00FA039F" w:rsidRPr="00CB371A" w:rsidRDefault="00FA039F" w:rsidP="008E5FDC"/>
    <w:p w14:paraId="5047A6EC" w14:textId="461A3CB1" w:rsidR="0017029C" w:rsidRPr="00CB371A" w:rsidRDefault="00F127F8" w:rsidP="008E5FDC">
      <w:r>
        <w:t xml:space="preserve">On August 29, 2014, </w:t>
      </w:r>
      <w:r w:rsidR="00816227">
        <w:t>Avista Corporation db</w:t>
      </w:r>
      <w:r w:rsidRPr="00CB371A">
        <w:t>a Avista Utilities (Avista or Company)</w:t>
      </w:r>
      <w:r>
        <w:t xml:space="preserve"> filed</w:t>
      </w:r>
      <w:r w:rsidR="0082077F">
        <w:t xml:space="preserve"> with the Commission its</w:t>
      </w:r>
      <w:r w:rsidR="00E638DA" w:rsidRPr="00CB371A">
        <w:t xml:space="preserve"> 2014</w:t>
      </w:r>
      <w:r w:rsidR="00A61C8E" w:rsidRPr="00CB371A">
        <w:t xml:space="preserve"> </w:t>
      </w:r>
      <w:r w:rsidR="00E638DA" w:rsidRPr="00CB371A">
        <w:t xml:space="preserve">Natural Gas </w:t>
      </w:r>
      <w:r w:rsidR="00A61C8E" w:rsidRPr="00CB371A">
        <w:t>Integrated Resource Plan</w:t>
      </w:r>
      <w:r w:rsidR="00E90233">
        <w:t xml:space="preserve"> (IRP)</w:t>
      </w:r>
      <w:r>
        <w:t xml:space="preserve">. </w:t>
      </w:r>
      <w:r w:rsidR="00816227">
        <w:t xml:space="preserve"> </w:t>
      </w:r>
      <w:r>
        <w:t>In this IRP, Avista</w:t>
      </w:r>
      <w:r w:rsidR="00C21F7F" w:rsidRPr="00CB371A">
        <w:t xml:space="preserve"> </w:t>
      </w:r>
      <w:r w:rsidR="0066619C" w:rsidRPr="00CB371A">
        <w:t>describes</w:t>
      </w:r>
      <w:r w:rsidR="00AE2A55" w:rsidRPr="00CB371A">
        <w:t xml:space="preserve"> </w:t>
      </w:r>
      <w:r w:rsidR="0060348E" w:rsidRPr="00CB371A">
        <w:t>its</w:t>
      </w:r>
      <w:r w:rsidR="00AE2A55" w:rsidRPr="00CB371A">
        <w:t xml:space="preserve"> eval</w:t>
      </w:r>
      <w:r w:rsidR="007629E2" w:rsidRPr="00CB371A">
        <w:t>uation of</w:t>
      </w:r>
      <w:r w:rsidR="009D01E1" w:rsidRPr="00CB371A">
        <w:t xml:space="preserve"> </w:t>
      </w:r>
      <w:r w:rsidR="00EE04CC" w:rsidRPr="00CB371A">
        <w:t>potential</w:t>
      </w:r>
      <w:r w:rsidR="00AE2A55" w:rsidRPr="00CB371A">
        <w:t xml:space="preserve"> resource strateg</w:t>
      </w:r>
      <w:r w:rsidR="00EE04CC" w:rsidRPr="00CB371A">
        <w:t>ies</w:t>
      </w:r>
      <w:r w:rsidR="00AE2A55" w:rsidRPr="00CB371A">
        <w:t xml:space="preserve"> for meeting resource need over the </w:t>
      </w:r>
      <w:r w:rsidR="00296FA8" w:rsidRPr="00CB371A">
        <w:t xml:space="preserve">next 20 </w:t>
      </w:r>
      <w:r w:rsidR="00AE2A55" w:rsidRPr="00CB371A">
        <w:t>year</w:t>
      </w:r>
      <w:r w:rsidR="00296FA8" w:rsidRPr="00CB371A">
        <w:t>s</w:t>
      </w:r>
      <w:r w:rsidR="0066619C" w:rsidRPr="00CB371A">
        <w:t xml:space="preserve">. </w:t>
      </w:r>
    </w:p>
    <w:p w14:paraId="67DB97C7" w14:textId="77777777" w:rsidR="008D5535" w:rsidRPr="00CB371A" w:rsidRDefault="008D5535" w:rsidP="008E5FDC"/>
    <w:p w14:paraId="6E5AAAA5" w14:textId="3CA9746F" w:rsidR="002A5569" w:rsidRPr="00CB371A" w:rsidRDefault="00944C9C" w:rsidP="002A5569">
      <w:pPr>
        <w:pStyle w:val="Heading1"/>
        <w:spacing w:before="0"/>
        <w:rPr>
          <w:rFonts w:cs="Times New Roman"/>
          <w:sz w:val="25"/>
          <w:szCs w:val="25"/>
        </w:rPr>
      </w:pPr>
      <w:bookmarkStart w:id="1" w:name="_Toc376255995"/>
      <w:r w:rsidRPr="00CB371A">
        <w:rPr>
          <w:rFonts w:cs="Times New Roman"/>
          <w:sz w:val="25"/>
          <w:szCs w:val="25"/>
        </w:rPr>
        <w:t>Summary</w:t>
      </w:r>
      <w:r w:rsidR="002A5569" w:rsidRPr="00CB371A">
        <w:rPr>
          <w:rFonts w:cs="Times New Roman"/>
          <w:sz w:val="25"/>
          <w:szCs w:val="25"/>
        </w:rPr>
        <w:t xml:space="preserve"> </w:t>
      </w:r>
      <w:bookmarkEnd w:id="1"/>
    </w:p>
    <w:p w14:paraId="275177BA" w14:textId="77777777" w:rsidR="002A5569" w:rsidRPr="00CB371A" w:rsidRDefault="002A5569" w:rsidP="004D7A3E"/>
    <w:p w14:paraId="604C8491" w14:textId="7DCA2FA5" w:rsidR="00000734" w:rsidRPr="00CB371A" w:rsidRDefault="00F42B18" w:rsidP="004D7A3E">
      <w:r w:rsidRPr="00CB371A">
        <w:t>Avista projects its Washin</w:t>
      </w:r>
      <w:r w:rsidR="009A5860" w:rsidRPr="00CB371A">
        <w:t>gton/Idaho demand to grow at 0.7</w:t>
      </w:r>
      <w:r w:rsidR="00944C9C" w:rsidRPr="00CB371A">
        <w:t xml:space="preserve"> percent annuall</w:t>
      </w:r>
      <w:r w:rsidR="005021A7" w:rsidRPr="00CB371A">
        <w:t>y while expecting</w:t>
      </w:r>
      <w:r w:rsidR="00BF3F68" w:rsidRPr="00CB371A">
        <w:t xml:space="preserve"> its peak day demand to</w:t>
      </w:r>
      <w:r w:rsidR="00944C9C" w:rsidRPr="00CB371A">
        <w:t xml:space="preserve"> grow at </w:t>
      </w:r>
      <w:r w:rsidR="00FA78DC" w:rsidRPr="00CB371A">
        <w:t>0.6 percent</w:t>
      </w:r>
      <w:r w:rsidR="00944C9C" w:rsidRPr="00CB371A">
        <w:t xml:space="preserve">. </w:t>
      </w:r>
      <w:r w:rsidR="00816227">
        <w:t xml:space="preserve"> </w:t>
      </w:r>
      <w:r w:rsidR="005021A7" w:rsidRPr="00CB371A">
        <w:t>Given these</w:t>
      </w:r>
      <w:r w:rsidR="009D357C" w:rsidRPr="00CB371A">
        <w:t xml:space="preserve"> rate</w:t>
      </w:r>
      <w:r w:rsidR="005021A7" w:rsidRPr="00CB371A">
        <w:t>s</w:t>
      </w:r>
      <w:r w:rsidR="009D357C" w:rsidRPr="00CB371A">
        <w:t xml:space="preserve"> of growth, </w:t>
      </w:r>
      <w:r w:rsidR="00F21B4A" w:rsidRPr="00CB371A">
        <w:t>Avista does</w:t>
      </w:r>
      <w:r w:rsidR="00000734" w:rsidRPr="00CB371A">
        <w:t xml:space="preserve"> not </w:t>
      </w:r>
      <w:r w:rsidR="00F21B4A" w:rsidRPr="00CB371A">
        <w:t xml:space="preserve">project to be </w:t>
      </w:r>
      <w:r w:rsidR="00000734" w:rsidRPr="00CB371A">
        <w:t>resource d</w:t>
      </w:r>
      <w:r w:rsidR="005021A7" w:rsidRPr="00CB371A">
        <w:t>eficient in</w:t>
      </w:r>
      <w:r w:rsidR="00000734" w:rsidRPr="00CB371A">
        <w:t xml:space="preserve"> the 20-year planning horizon.</w:t>
      </w:r>
      <w:r w:rsidR="00816227">
        <w:t xml:space="preserve"> </w:t>
      </w:r>
      <w:r w:rsidR="00FA78DC" w:rsidRPr="00CB371A">
        <w:t xml:space="preserve"> </w:t>
      </w:r>
      <w:r w:rsidR="005021A7" w:rsidRPr="00CB371A">
        <w:t>Even in its</w:t>
      </w:r>
      <w:r w:rsidR="00000734" w:rsidRPr="00CB371A">
        <w:t xml:space="preserve"> </w:t>
      </w:r>
      <w:r w:rsidR="00F21B4A" w:rsidRPr="00CB371A">
        <w:t xml:space="preserve">high growth scenario, Avista </w:t>
      </w:r>
      <w:r w:rsidR="0020392C" w:rsidRPr="00CB371A">
        <w:t xml:space="preserve">has sufficient resources to meet load in </w:t>
      </w:r>
      <w:r w:rsidR="00F21B4A" w:rsidRPr="00CB371A">
        <w:t>its Washington/Idaho</w:t>
      </w:r>
      <w:r w:rsidR="0060348E" w:rsidRPr="00CB371A">
        <w:t xml:space="preserve"> system through 2029</w:t>
      </w:r>
      <w:r w:rsidR="00000734" w:rsidRPr="00CB371A">
        <w:t>.</w:t>
      </w:r>
    </w:p>
    <w:p w14:paraId="7DEC3617" w14:textId="77777777" w:rsidR="00FF7314" w:rsidRPr="00CB371A" w:rsidRDefault="00FF7314" w:rsidP="004D7A3E"/>
    <w:p w14:paraId="1D0D82E9" w14:textId="27767CFD" w:rsidR="00D16D1F" w:rsidRPr="00CB371A" w:rsidRDefault="00B51CA9" w:rsidP="004D7A3E">
      <w:r w:rsidRPr="00CB371A">
        <w:t xml:space="preserve">Over the 20-year planning horizon, </w:t>
      </w:r>
      <w:r w:rsidR="0082077F">
        <w:t>Avista’s</w:t>
      </w:r>
      <w:r w:rsidR="002A5569" w:rsidRPr="00CB371A">
        <w:t xml:space="preserve"> resource strategy </w:t>
      </w:r>
      <w:r w:rsidR="00D16D1F" w:rsidRPr="00CB371A">
        <w:t>will consi</w:t>
      </w:r>
      <w:r w:rsidR="00F870B3" w:rsidRPr="00CB371A">
        <w:t xml:space="preserve">st of </w:t>
      </w:r>
      <w:r w:rsidR="0002045D" w:rsidRPr="00CB371A">
        <w:t>management of its surplus</w:t>
      </w:r>
      <w:r w:rsidR="0060348E" w:rsidRPr="00CB371A">
        <w:t xml:space="preserve"> capacity</w:t>
      </w:r>
      <w:r w:rsidR="005021A7" w:rsidRPr="00CB371A">
        <w:t xml:space="preserve"> along with</w:t>
      </w:r>
      <w:r w:rsidR="00F21B4A" w:rsidRPr="00CB371A">
        <w:t xml:space="preserve"> </w:t>
      </w:r>
      <w:r w:rsidR="00F870B3" w:rsidRPr="00CB371A">
        <w:t>investment</w:t>
      </w:r>
      <w:r w:rsidR="00B56689" w:rsidRPr="00CB371A">
        <w:t>s</w:t>
      </w:r>
      <w:r w:rsidR="00F870B3" w:rsidRPr="00CB371A">
        <w:t xml:space="preserve"> </w:t>
      </w:r>
      <w:r w:rsidR="00D16D1F" w:rsidRPr="00CB371A">
        <w:t xml:space="preserve">in conservation resources and </w:t>
      </w:r>
      <w:r w:rsidR="0082077F">
        <w:t xml:space="preserve">select </w:t>
      </w:r>
      <w:r w:rsidR="00D16D1F" w:rsidRPr="00CB371A">
        <w:t xml:space="preserve">distribution system enhancements. </w:t>
      </w:r>
      <w:r w:rsidR="00816227">
        <w:t xml:space="preserve"> </w:t>
      </w:r>
      <w:r w:rsidR="00DE550C" w:rsidRPr="00CB371A">
        <w:t xml:space="preserve">Avista intends to further develop its distribution system </w:t>
      </w:r>
      <w:r w:rsidR="005021A7" w:rsidRPr="00CB371A">
        <w:t xml:space="preserve">in Washington </w:t>
      </w:r>
      <w:r w:rsidR="00E1730E" w:rsidRPr="00CB371A">
        <w:t>by</w:t>
      </w:r>
      <w:r w:rsidR="00B56689" w:rsidRPr="00CB371A">
        <w:t xml:space="preserve"> install</w:t>
      </w:r>
      <w:r w:rsidR="00DE550C" w:rsidRPr="00CB371A">
        <w:t>ing</w:t>
      </w:r>
      <w:r w:rsidR="00B56689" w:rsidRPr="00CB371A">
        <w:t xml:space="preserve"> 8,000 feet of high pressure steel gas distribution pipeline north of Spokane along U.S. Highway 2</w:t>
      </w:r>
      <w:r w:rsidR="00F870B3" w:rsidRPr="00CB371A">
        <w:t xml:space="preserve"> in 2015</w:t>
      </w:r>
      <w:r w:rsidR="00E1730E" w:rsidRPr="00CB371A">
        <w:t>, and</w:t>
      </w:r>
      <w:r w:rsidR="00B56689" w:rsidRPr="00CB371A">
        <w:t xml:space="preserve"> up</w:t>
      </w:r>
      <w:r w:rsidR="00DE550C" w:rsidRPr="00CB371A">
        <w:t>grading</w:t>
      </w:r>
      <w:r w:rsidR="00F870B3" w:rsidRPr="00CB371A">
        <w:t xml:space="preserve"> a</w:t>
      </w:r>
      <w:r w:rsidR="00B56689" w:rsidRPr="00CB371A">
        <w:t xml:space="preserve"> city gate station in </w:t>
      </w:r>
      <w:r w:rsidR="00E1730E" w:rsidRPr="00CB371A">
        <w:t xml:space="preserve">the town of </w:t>
      </w:r>
      <w:r w:rsidR="00897879">
        <w:t>Colton, Washington,</w:t>
      </w:r>
      <w:r w:rsidR="00E1730E" w:rsidRPr="00CB371A">
        <w:t xml:space="preserve"> projected to need additional</w:t>
      </w:r>
      <w:r w:rsidR="00F870B3" w:rsidRPr="00CB371A">
        <w:t xml:space="preserve"> capacity in 2019. </w:t>
      </w:r>
      <w:r w:rsidR="00816227">
        <w:t xml:space="preserve"> </w:t>
      </w:r>
      <w:r w:rsidR="00306780" w:rsidRPr="00CB371A">
        <w:t>Conservation is expected to offset 75 percent</w:t>
      </w:r>
      <w:r w:rsidR="00873678" w:rsidRPr="00CB371A">
        <w:t xml:space="preserve"> of Avista’s</w:t>
      </w:r>
      <w:r w:rsidR="00306780" w:rsidRPr="00CB371A">
        <w:t xml:space="preserve"> projected growth in demand over the 20-year planning horizon. </w:t>
      </w:r>
    </w:p>
    <w:p w14:paraId="5911625B" w14:textId="77777777" w:rsidR="00A45651" w:rsidRPr="00CB371A" w:rsidRDefault="00A45651" w:rsidP="004D7A3E"/>
    <w:p w14:paraId="7B6AD0BD" w14:textId="7F0FB727" w:rsidR="002A5569" w:rsidRPr="00CB371A" w:rsidRDefault="00E1730E" w:rsidP="004D7A3E">
      <w:r w:rsidRPr="00CB371A">
        <w:lastRenderedPageBreak/>
        <w:t xml:space="preserve">A plot of </w:t>
      </w:r>
      <w:r w:rsidR="002A5569" w:rsidRPr="00CB371A">
        <w:t xml:space="preserve">Avista’s </w:t>
      </w:r>
      <w:r w:rsidR="00A479F8">
        <w:t xml:space="preserve">supply-side </w:t>
      </w:r>
      <w:r w:rsidRPr="00CB371A">
        <w:t xml:space="preserve">resources against projected peak day demand </w:t>
      </w:r>
      <w:r w:rsidR="0093352E" w:rsidRPr="00CB371A">
        <w:t xml:space="preserve">is shown in </w:t>
      </w:r>
      <w:r w:rsidRPr="00CB371A">
        <w:t xml:space="preserve">the IRP’s </w:t>
      </w:r>
      <w:r w:rsidR="0093352E" w:rsidRPr="00CB371A">
        <w:t>Figure</w:t>
      </w:r>
      <w:r w:rsidR="00DE550C" w:rsidRPr="00CB371A">
        <w:t xml:space="preserve"> 5 below.</w:t>
      </w:r>
    </w:p>
    <w:p w14:paraId="548B0593" w14:textId="77777777" w:rsidR="002A5569" w:rsidRPr="00CB371A" w:rsidRDefault="002A5569" w:rsidP="004D7A3E"/>
    <w:p w14:paraId="611EFED0" w14:textId="059D5B33" w:rsidR="00D01CE3" w:rsidRPr="00CB371A" w:rsidRDefault="00E828A7" w:rsidP="004D7A3E">
      <w:r w:rsidRPr="00CB371A">
        <w:drawing>
          <wp:inline distT="0" distB="0" distL="0" distR="0" wp14:anchorId="1A958C19" wp14:editId="3642FE9D">
            <wp:extent cx="5943600" cy="36465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46557"/>
                    </a:xfrm>
                    <a:prstGeom prst="rect">
                      <a:avLst/>
                    </a:prstGeom>
                    <a:noFill/>
                    <a:ln>
                      <a:noFill/>
                    </a:ln>
                  </pic:spPr>
                </pic:pic>
              </a:graphicData>
            </a:graphic>
          </wp:inline>
        </w:drawing>
      </w:r>
    </w:p>
    <w:p w14:paraId="7D22640D" w14:textId="77777777" w:rsidR="00D01CE3" w:rsidRPr="00CB371A" w:rsidRDefault="00D01CE3" w:rsidP="004D7A3E"/>
    <w:p w14:paraId="3EEB9495" w14:textId="77777777" w:rsidR="00DE550C" w:rsidRPr="00CB371A" w:rsidRDefault="00DE550C" w:rsidP="004D7A3E"/>
    <w:p w14:paraId="6EAFF350" w14:textId="77777777" w:rsidR="00DE550C" w:rsidRPr="00CB371A" w:rsidRDefault="00DE550C" w:rsidP="004D7A3E"/>
    <w:p w14:paraId="574739F6" w14:textId="77777777" w:rsidR="00C727AC" w:rsidRPr="00CB371A" w:rsidRDefault="00C727AC" w:rsidP="004D7A3E"/>
    <w:p w14:paraId="62878156" w14:textId="77777777" w:rsidR="00C727AC" w:rsidRPr="00CB371A" w:rsidRDefault="00C727AC" w:rsidP="004D7A3E"/>
    <w:p w14:paraId="03799A76" w14:textId="77777777" w:rsidR="00C727AC" w:rsidRPr="00CB371A" w:rsidRDefault="00C727AC" w:rsidP="004D7A3E"/>
    <w:p w14:paraId="6B2748A7" w14:textId="77777777" w:rsidR="00C727AC" w:rsidRPr="00CB371A" w:rsidRDefault="00C727AC" w:rsidP="004D7A3E"/>
    <w:p w14:paraId="5D1B19D0" w14:textId="77777777" w:rsidR="00C727AC" w:rsidRPr="00CB371A" w:rsidRDefault="00C727AC" w:rsidP="004D7A3E"/>
    <w:p w14:paraId="73BA372C" w14:textId="77777777" w:rsidR="00C727AC" w:rsidRPr="00CB371A" w:rsidRDefault="00C727AC" w:rsidP="004D7A3E"/>
    <w:p w14:paraId="49E3816E" w14:textId="77777777" w:rsidR="00C727AC" w:rsidRPr="00CB371A" w:rsidRDefault="00C727AC" w:rsidP="004D7A3E"/>
    <w:p w14:paraId="37E928E9" w14:textId="77777777" w:rsidR="00C727AC" w:rsidRPr="00CB371A" w:rsidRDefault="00C727AC" w:rsidP="004D7A3E"/>
    <w:p w14:paraId="105D56A8" w14:textId="77777777" w:rsidR="0082077F" w:rsidRDefault="0082077F" w:rsidP="004D7A3E"/>
    <w:p w14:paraId="67D22EFD" w14:textId="77777777" w:rsidR="0082077F" w:rsidRDefault="0082077F" w:rsidP="004D7A3E"/>
    <w:p w14:paraId="05619673" w14:textId="77777777" w:rsidR="0082077F" w:rsidRDefault="0082077F" w:rsidP="004D7A3E"/>
    <w:p w14:paraId="0BD57AE5" w14:textId="77777777" w:rsidR="0082077F" w:rsidRDefault="0082077F" w:rsidP="004D7A3E"/>
    <w:p w14:paraId="64C3E1D9" w14:textId="0FFB201A" w:rsidR="00D01CE3" w:rsidRPr="00CB371A" w:rsidRDefault="00E62B8C" w:rsidP="004D7A3E">
      <w:r w:rsidRPr="00CB371A">
        <w:lastRenderedPageBreak/>
        <w:t>Shown in Figure 10 below are the</w:t>
      </w:r>
      <w:r w:rsidR="00E60AE3" w:rsidRPr="00CB371A">
        <w:t xml:space="preserve"> results of Avista’s analysis of </w:t>
      </w:r>
      <w:r w:rsidRPr="00CB371A">
        <w:t>the first year in which</w:t>
      </w:r>
      <w:r w:rsidR="00E60AE3" w:rsidRPr="00CB371A">
        <w:t xml:space="preserve"> peak demand </w:t>
      </w:r>
      <w:r w:rsidRPr="00CB371A">
        <w:t xml:space="preserve">is </w:t>
      </w:r>
      <w:r w:rsidR="00E60AE3" w:rsidRPr="00CB371A">
        <w:t>not met under a variety of s</w:t>
      </w:r>
      <w:r w:rsidR="00DE550C" w:rsidRPr="00CB371A">
        <w:t>cena</w:t>
      </w:r>
      <w:r w:rsidRPr="00CB371A">
        <w:t>rios</w:t>
      </w:r>
      <w:r w:rsidR="00E60AE3" w:rsidRPr="00CB371A">
        <w:t xml:space="preserve">. </w:t>
      </w:r>
    </w:p>
    <w:p w14:paraId="432E9CAF" w14:textId="77777777" w:rsidR="00E828A7" w:rsidRPr="00CB371A" w:rsidRDefault="00E828A7" w:rsidP="004D7A3E"/>
    <w:p w14:paraId="5260B19E" w14:textId="0EC490EF" w:rsidR="00E828A7" w:rsidRPr="00CB371A" w:rsidRDefault="00E828A7" w:rsidP="004D7A3E">
      <w:r w:rsidRPr="00CB371A">
        <w:drawing>
          <wp:inline distT="0" distB="0" distL="0" distR="0" wp14:anchorId="388FF79C" wp14:editId="1AA141CF">
            <wp:extent cx="5943600" cy="42503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250332"/>
                    </a:xfrm>
                    <a:prstGeom prst="rect">
                      <a:avLst/>
                    </a:prstGeom>
                    <a:noFill/>
                    <a:ln>
                      <a:noFill/>
                    </a:ln>
                  </pic:spPr>
                </pic:pic>
              </a:graphicData>
            </a:graphic>
          </wp:inline>
        </w:drawing>
      </w:r>
    </w:p>
    <w:p w14:paraId="628AE279" w14:textId="77777777" w:rsidR="00E828A7" w:rsidRPr="00CB371A" w:rsidRDefault="00E828A7" w:rsidP="004D7A3E"/>
    <w:p w14:paraId="10D7E73C" w14:textId="66A79A68" w:rsidR="003A5DD6" w:rsidRPr="00CB371A" w:rsidRDefault="000F553C" w:rsidP="00E83458">
      <w:r w:rsidRPr="00CB371A">
        <w:t xml:space="preserve">Avista’s analysis of its resource needs over the 20-year planning horizon </w:t>
      </w:r>
      <w:r w:rsidR="009414A6">
        <w:t>presented in this IRP</w:t>
      </w:r>
      <w:r w:rsidR="00A53A77">
        <w:t xml:space="preserve"> is comprehensive.</w:t>
      </w:r>
      <w:r w:rsidRPr="00CB371A">
        <w:t xml:space="preserve"> </w:t>
      </w:r>
      <w:r w:rsidR="00816227">
        <w:t xml:space="preserve"> </w:t>
      </w:r>
      <w:r w:rsidR="00873678" w:rsidRPr="00CB371A">
        <w:t>The Commission</w:t>
      </w:r>
      <w:r w:rsidR="002A5569" w:rsidRPr="00CB371A">
        <w:t xml:space="preserve"> is satisfied with Avista’s gen</w:t>
      </w:r>
      <w:r w:rsidR="003A5DD6" w:rsidRPr="00CB371A">
        <w:t xml:space="preserve">eral analytical approach and with the </w:t>
      </w:r>
      <w:r w:rsidR="007F7B99" w:rsidRPr="00CB371A">
        <w:t xml:space="preserve">overall </w:t>
      </w:r>
      <w:r w:rsidR="003A5DD6" w:rsidRPr="00CB371A">
        <w:t>presentation of</w:t>
      </w:r>
      <w:r w:rsidR="007B175A" w:rsidRPr="00CB371A">
        <w:t xml:space="preserve"> the analysis in the IRP</w:t>
      </w:r>
      <w:r w:rsidR="001428D5" w:rsidRPr="00CB371A">
        <w:t>.</w:t>
      </w:r>
      <w:r w:rsidR="00816227">
        <w:t xml:space="preserve"> </w:t>
      </w:r>
      <w:r w:rsidR="001428D5" w:rsidRPr="00CB371A">
        <w:t xml:space="preserve"> However, </w:t>
      </w:r>
      <w:r w:rsidR="00873678" w:rsidRPr="00CB371A">
        <w:t>the Commission</w:t>
      </w:r>
      <w:r w:rsidR="0065300E" w:rsidRPr="00CB371A">
        <w:t xml:space="preserve"> has</w:t>
      </w:r>
      <w:r w:rsidR="002A5569" w:rsidRPr="00CB371A">
        <w:t xml:space="preserve"> </w:t>
      </w:r>
      <w:r w:rsidR="00873678" w:rsidRPr="00CB371A">
        <w:t>a number of</w:t>
      </w:r>
      <w:r w:rsidR="0065300E" w:rsidRPr="00CB371A">
        <w:t xml:space="preserve"> </w:t>
      </w:r>
      <w:r w:rsidR="0047651A">
        <w:t>expectations</w:t>
      </w:r>
      <w:r w:rsidR="007B175A" w:rsidRPr="00CB371A">
        <w:t xml:space="preserve"> it</w:t>
      </w:r>
      <w:r w:rsidR="00B03591" w:rsidRPr="00CB371A">
        <w:t xml:space="preserve"> believe</w:t>
      </w:r>
      <w:r w:rsidR="007B175A" w:rsidRPr="00CB371A">
        <w:t>s</w:t>
      </w:r>
      <w:r w:rsidR="00B03591" w:rsidRPr="00CB371A">
        <w:t xml:space="preserve"> w</w:t>
      </w:r>
      <w:r w:rsidR="007F7B99" w:rsidRPr="00CB371A">
        <w:t xml:space="preserve">ill make for a stronger </w:t>
      </w:r>
      <w:r w:rsidR="00873678" w:rsidRPr="00CB371A">
        <w:t xml:space="preserve">analysis and </w:t>
      </w:r>
      <w:r w:rsidR="007F7B99" w:rsidRPr="00CB371A">
        <w:t>presentation</w:t>
      </w:r>
      <w:r w:rsidR="009414A6">
        <w:t xml:space="preserve"> for</w:t>
      </w:r>
      <w:r w:rsidR="00B03591" w:rsidRPr="00CB371A">
        <w:t xml:space="preserve"> the 2016 IRP.</w:t>
      </w:r>
      <w:r w:rsidR="001428D5" w:rsidRPr="00CB371A">
        <w:t xml:space="preserve"> </w:t>
      </w:r>
      <w:r w:rsidR="00816227">
        <w:t xml:space="preserve"> </w:t>
      </w:r>
      <w:r w:rsidR="001428D5" w:rsidRPr="00CB371A">
        <w:t>T</w:t>
      </w:r>
      <w:r w:rsidR="007657AA" w:rsidRPr="00CB371A">
        <w:t>he</w:t>
      </w:r>
      <w:r w:rsidR="0047651A">
        <w:t xml:space="preserve"> expectations</w:t>
      </w:r>
      <w:r w:rsidR="00873678" w:rsidRPr="00CB371A">
        <w:t xml:space="preserve"> are as follows:</w:t>
      </w:r>
    </w:p>
    <w:p w14:paraId="37E733B7" w14:textId="77777777" w:rsidR="00CA78E7" w:rsidRDefault="00CA78E7" w:rsidP="00CA78E7">
      <w:pPr>
        <w:pStyle w:val="ListParagraph"/>
        <w:numPr>
          <w:ilvl w:val="0"/>
          <w:numId w:val="37"/>
        </w:numPr>
      </w:pPr>
      <w:r w:rsidRPr="00CB371A">
        <w:t>In the 2016 IRP</w:t>
      </w:r>
      <w:r>
        <w:t>:</w:t>
      </w:r>
      <w:r w:rsidRPr="00CB371A">
        <w:t xml:space="preserve"> </w:t>
      </w:r>
    </w:p>
    <w:p w14:paraId="3BB7D7A9" w14:textId="77777777" w:rsidR="00CA78E7" w:rsidRPr="00CB371A" w:rsidRDefault="00CA78E7" w:rsidP="00CA78E7">
      <w:pPr>
        <w:pStyle w:val="ListParagraph"/>
        <w:numPr>
          <w:ilvl w:val="1"/>
          <w:numId w:val="37"/>
        </w:numPr>
      </w:pPr>
      <w:r>
        <w:t>I</w:t>
      </w:r>
      <w:r w:rsidRPr="00CB371A">
        <w:t>nclude a section that discusses the ongoing management of Avista’s surplus capacity;</w:t>
      </w:r>
    </w:p>
    <w:p w14:paraId="16D9429E" w14:textId="77777777" w:rsidR="00CA78E7" w:rsidRPr="00CB371A" w:rsidRDefault="00CA78E7" w:rsidP="00CA78E7">
      <w:pPr>
        <w:pStyle w:val="ListParagraph"/>
        <w:numPr>
          <w:ilvl w:val="1"/>
          <w:numId w:val="37"/>
        </w:numPr>
      </w:pPr>
      <w:r>
        <w:t>P</w:t>
      </w:r>
      <w:r w:rsidRPr="00CB371A">
        <w:t xml:space="preserve">rovide more detail on the distribution model results and analysis that identify specific distribution system needs; </w:t>
      </w:r>
    </w:p>
    <w:p w14:paraId="27DD612C" w14:textId="77777777" w:rsidR="00CA78E7" w:rsidRDefault="00CA78E7" w:rsidP="00CA78E7">
      <w:pPr>
        <w:pStyle w:val="ListParagraph"/>
        <w:numPr>
          <w:ilvl w:val="1"/>
          <w:numId w:val="37"/>
        </w:numPr>
      </w:pPr>
      <w:r>
        <w:t>P</w:t>
      </w:r>
      <w:r w:rsidRPr="00CB371A">
        <w:t>rovide the resource portfolio solution that fills any demand not served for each scenario;</w:t>
      </w:r>
      <w:r>
        <w:t xml:space="preserve"> and</w:t>
      </w:r>
    </w:p>
    <w:p w14:paraId="72E58A2E" w14:textId="1644592D" w:rsidR="00CA78E7" w:rsidRPr="00CB371A" w:rsidRDefault="00CA78E7" w:rsidP="00CA78E7">
      <w:pPr>
        <w:pStyle w:val="ListParagraph"/>
        <w:numPr>
          <w:ilvl w:val="1"/>
          <w:numId w:val="37"/>
        </w:numPr>
        <w:spacing w:after="120"/>
        <w:contextualSpacing w:val="0"/>
      </w:pPr>
      <w:r>
        <w:lastRenderedPageBreak/>
        <w:t>Ensure tha</w:t>
      </w:r>
      <w:r w:rsidR="003B7EB0">
        <w:t>t the entity performing the</w:t>
      </w:r>
      <w:r>
        <w:t xml:space="preserve"> Conservation Potential Assessment </w:t>
      </w:r>
      <w:r w:rsidR="003B7EB0">
        <w:t>(CPA) evaluates the effect of the temporary operation under a Utility Cost Test (UCT) cost-effectiveness metric on near-term, achievable conservation potential</w:t>
      </w:r>
      <w:r w:rsidR="003C3AF3">
        <w:t>, whi</w:t>
      </w:r>
      <w:r w:rsidR="003B7EB0">
        <w:t>le maintaining the longer-term assumption that Avista will eventually be reverting back to a TRC test cost-effectiveness metric.</w:t>
      </w:r>
    </w:p>
    <w:p w14:paraId="6AF30590" w14:textId="77777777" w:rsidR="00CA78E7" w:rsidRDefault="00CA78E7" w:rsidP="00CA78E7">
      <w:pPr>
        <w:pStyle w:val="ListParagraph"/>
        <w:numPr>
          <w:ilvl w:val="0"/>
          <w:numId w:val="37"/>
        </w:numPr>
        <w:contextualSpacing w:val="0"/>
      </w:pPr>
      <w:r w:rsidRPr="00CB371A">
        <w:t>Di</w:t>
      </w:r>
      <w:r>
        <w:t>scuss with the TAC:</w:t>
      </w:r>
    </w:p>
    <w:p w14:paraId="08295316" w14:textId="77777777" w:rsidR="00CA78E7" w:rsidRPr="00CB371A" w:rsidRDefault="00CA78E7" w:rsidP="00CA78E7">
      <w:pPr>
        <w:pStyle w:val="ListParagraph"/>
        <w:numPr>
          <w:ilvl w:val="1"/>
          <w:numId w:val="37"/>
        </w:numPr>
        <w:contextualSpacing w:val="0"/>
      </w:pPr>
      <w:r>
        <w:t>Evaluation of</w:t>
      </w:r>
      <w:r w:rsidRPr="00CB371A">
        <w:t xml:space="preserve"> state-specific resource needs when a resour</w:t>
      </w:r>
      <w:r>
        <w:t>ce deficiency is identified;</w:t>
      </w:r>
    </w:p>
    <w:p w14:paraId="34652A84" w14:textId="2EE56D71" w:rsidR="00CA78E7" w:rsidRPr="00CB371A" w:rsidRDefault="00CA78E7" w:rsidP="00CA78E7">
      <w:pPr>
        <w:pStyle w:val="ListParagraph"/>
        <w:numPr>
          <w:ilvl w:val="1"/>
          <w:numId w:val="37"/>
        </w:numPr>
      </w:pPr>
      <w:r>
        <w:t>T</w:t>
      </w:r>
      <w:r w:rsidR="00524413">
        <w:t>he appropriateness of using a one-</w:t>
      </w:r>
      <w:r w:rsidRPr="00CB371A">
        <w:t>in</w:t>
      </w:r>
      <w:r w:rsidR="00524413">
        <w:t>-</w:t>
      </w:r>
      <w:r w:rsidRPr="00CB371A">
        <w:t>572 event for peak day planning;</w:t>
      </w:r>
      <w:r>
        <w:t xml:space="preserve"> and</w:t>
      </w:r>
    </w:p>
    <w:p w14:paraId="281CD449" w14:textId="45751E11" w:rsidR="00CA78E7" w:rsidRDefault="00CA78E7" w:rsidP="00CA78E7">
      <w:pPr>
        <w:pStyle w:val="ListParagraph"/>
        <w:numPr>
          <w:ilvl w:val="1"/>
          <w:numId w:val="37"/>
        </w:numPr>
      </w:pPr>
      <w:r>
        <w:t>T</w:t>
      </w:r>
      <w:r w:rsidRPr="00CB371A">
        <w:t xml:space="preserve">he need for stress-testing the </w:t>
      </w:r>
      <w:r w:rsidR="000F69E0">
        <w:t>C</w:t>
      </w:r>
      <w:r w:rsidRPr="00CB371A">
        <w:t xml:space="preserve">ompany’s storage resources during a peak </w:t>
      </w:r>
      <w:r>
        <w:t xml:space="preserve">event in a high-demand year. </w:t>
      </w:r>
    </w:p>
    <w:p w14:paraId="59AE0DBC" w14:textId="77777777" w:rsidR="007F7B99" w:rsidRDefault="007F7B99" w:rsidP="00E83458"/>
    <w:p w14:paraId="17D850C0" w14:textId="77777777" w:rsidR="0082077F" w:rsidRPr="00CB371A" w:rsidRDefault="0082077F" w:rsidP="00E83458"/>
    <w:p w14:paraId="020943B5" w14:textId="77777777" w:rsidR="000A28EB" w:rsidRPr="00CB371A" w:rsidRDefault="000A28EB" w:rsidP="00E83458">
      <w:pPr>
        <w:rPr>
          <w:b/>
          <w:u w:val="single"/>
        </w:rPr>
      </w:pPr>
      <w:r w:rsidRPr="00CB371A">
        <w:rPr>
          <w:b/>
          <w:u w:val="single"/>
        </w:rPr>
        <w:t>Discussion</w:t>
      </w:r>
    </w:p>
    <w:p w14:paraId="507355E6" w14:textId="77777777" w:rsidR="000A28EB" w:rsidRPr="00CB371A" w:rsidRDefault="000A28EB" w:rsidP="00E83458"/>
    <w:p w14:paraId="17329913" w14:textId="326998BA" w:rsidR="00A36C9E" w:rsidRPr="00CB371A" w:rsidRDefault="0002045D" w:rsidP="00E83458">
      <w:r w:rsidRPr="00CB371A">
        <w:rPr>
          <w:b/>
        </w:rPr>
        <w:t>Surplus</w:t>
      </w:r>
      <w:r w:rsidR="00F825DB" w:rsidRPr="00CB371A">
        <w:rPr>
          <w:b/>
        </w:rPr>
        <w:t xml:space="preserve"> Capacity</w:t>
      </w:r>
    </w:p>
    <w:p w14:paraId="760D655B" w14:textId="77777777" w:rsidR="00A36C9E" w:rsidRPr="00CB371A" w:rsidRDefault="00A36C9E" w:rsidP="00E83458"/>
    <w:p w14:paraId="7AF65A67" w14:textId="254A72A0" w:rsidR="00A36C9E" w:rsidRPr="00CB371A" w:rsidRDefault="00A36C9E" w:rsidP="00E83458">
      <w:r w:rsidRPr="00CB371A">
        <w:t>In this IRP, Avista has demonstrated that</w:t>
      </w:r>
      <w:r w:rsidR="00526A2F" w:rsidRPr="00CB371A">
        <w:t xml:space="preserve"> it has sufficient resources to meet demand through 2033. </w:t>
      </w:r>
      <w:r w:rsidR="00816227">
        <w:t xml:space="preserve"> </w:t>
      </w:r>
      <w:r w:rsidR="00526A2F" w:rsidRPr="00CB371A">
        <w:t xml:space="preserve">The corollary </w:t>
      </w:r>
      <w:r w:rsidR="00011908" w:rsidRPr="00CB371A">
        <w:t xml:space="preserve">to this statement is that Avista </w:t>
      </w:r>
      <w:r w:rsidR="00F825DB" w:rsidRPr="00CB371A">
        <w:t xml:space="preserve">currently </w:t>
      </w:r>
      <w:r w:rsidR="00011908" w:rsidRPr="00CB371A">
        <w:t>has</w:t>
      </w:r>
      <w:r w:rsidR="00E77060" w:rsidRPr="00CB371A">
        <w:t xml:space="preserve"> firm rights to</w:t>
      </w:r>
      <w:r w:rsidR="00F825DB" w:rsidRPr="00CB371A">
        <w:t xml:space="preserve"> substantial </w:t>
      </w:r>
      <w:r w:rsidR="0002045D" w:rsidRPr="00CB371A">
        <w:t>surplus</w:t>
      </w:r>
      <w:r w:rsidR="00F825DB" w:rsidRPr="00CB371A">
        <w:t xml:space="preserve"> capacity</w:t>
      </w:r>
      <w:r w:rsidR="00DC4BE8" w:rsidRPr="00CB371A">
        <w:t>.</w:t>
      </w:r>
      <w:r w:rsidR="00816227">
        <w:t xml:space="preserve"> </w:t>
      </w:r>
      <w:r w:rsidR="00DC4BE8" w:rsidRPr="00CB371A">
        <w:t xml:space="preserve"> However, Avista provides</w:t>
      </w:r>
      <w:r w:rsidR="006867A5" w:rsidRPr="00CB371A">
        <w:t xml:space="preserve"> little</w:t>
      </w:r>
      <w:r w:rsidR="00011908" w:rsidRPr="00CB371A">
        <w:t xml:space="preserve"> detail</w:t>
      </w:r>
      <w:r w:rsidR="00E77060" w:rsidRPr="00CB371A">
        <w:t xml:space="preserve"> on how it manages</w:t>
      </w:r>
      <w:r w:rsidR="0002045D" w:rsidRPr="00CB371A">
        <w:t xml:space="preserve"> this surplus</w:t>
      </w:r>
      <w:r w:rsidR="00F825DB" w:rsidRPr="00CB371A">
        <w:t xml:space="preserve"> capacity</w:t>
      </w:r>
      <w:r w:rsidR="00A725E5" w:rsidRPr="00CB371A">
        <w:t xml:space="preserve"> to reduce costs to customers.</w:t>
      </w:r>
      <w:r w:rsidR="00816227">
        <w:t xml:space="preserve"> </w:t>
      </w:r>
      <w:r w:rsidR="00A725E5" w:rsidRPr="00CB371A">
        <w:t xml:space="preserve"> </w:t>
      </w:r>
      <w:r w:rsidR="00AC1692" w:rsidRPr="00CB371A">
        <w:t>The</w:t>
      </w:r>
      <w:r w:rsidR="00F825DB" w:rsidRPr="00CB371A">
        <w:t xml:space="preserve"> only discussion of the Company’s “underutilized resources”</w:t>
      </w:r>
      <w:r w:rsidR="002C6484" w:rsidRPr="00CB371A">
        <w:t xml:space="preserve"> </w:t>
      </w:r>
      <w:r w:rsidR="00F825DB" w:rsidRPr="00CB371A">
        <w:t>is</w:t>
      </w:r>
      <w:r w:rsidR="002C6484" w:rsidRPr="00CB371A">
        <w:t xml:space="preserve"> in three </w:t>
      </w:r>
      <w:r w:rsidR="002F4BEA" w:rsidRPr="00CB371A">
        <w:t>paragraphs on pages 105</w:t>
      </w:r>
      <w:r w:rsidR="002C6484" w:rsidRPr="00CB371A">
        <w:t>-107</w:t>
      </w:r>
      <w:r w:rsidR="006F4764" w:rsidRPr="00CB371A">
        <w:t xml:space="preserve">. </w:t>
      </w:r>
      <w:r w:rsidR="00816227">
        <w:t xml:space="preserve"> </w:t>
      </w:r>
      <w:r w:rsidR="00E543FF" w:rsidRPr="00CB371A">
        <w:t>Avista’s</w:t>
      </w:r>
      <w:r w:rsidR="00A725E5" w:rsidRPr="00CB371A">
        <w:t xml:space="preserve"> </w:t>
      </w:r>
      <w:r w:rsidR="00F825DB" w:rsidRPr="00CB371A">
        <w:t>management of existing surplus capacity</w:t>
      </w:r>
      <w:r w:rsidR="00A725E5" w:rsidRPr="00CB371A">
        <w:t xml:space="preserve"> will be </w:t>
      </w:r>
      <w:r w:rsidR="00816227">
        <w:t>a significant component of the C</w:t>
      </w:r>
      <w:r w:rsidR="00A725E5" w:rsidRPr="00CB371A">
        <w:t xml:space="preserve">ompany’s resource </w:t>
      </w:r>
      <w:r w:rsidR="00E543FF" w:rsidRPr="00CB371A">
        <w:t>planning over th</w:t>
      </w:r>
      <w:r w:rsidR="00557FF9" w:rsidRPr="00CB371A">
        <w:t xml:space="preserve">e next 20 years. </w:t>
      </w:r>
      <w:r w:rsidR="00816227">
        <w:t xml:space="preserve"> </w:t>
      </w:r>
      <w:r w:rsidR="00557FF9" w:rsidRPr="00CB371A">
        <w:t>Therefore, the Commission</w:t>
      </w:r>
      <w:r w:rsidR="00524413">
        <w:t xml:space="preserve"> expects that</w:t>
      </w:r>
      <w:r w:rsidR="00E543FF" w:rsidRPr="00CB371A">
        <w:t xml:space="preserve"> Avista </w:t>
      </w:r>
      <w:r w:rsidR="00524413">
        <w:t xml:space="preserve">will </w:t>
      </w:r>
      <w:r w:rsidR="00E543FF" w:rsidRPr="00CB371A">
        <w:t>include a comprehensive discussion of its ong</w:t>
      </w:r>
      <w:r w:rsidR="00557FF9" w:rsidRPr="00CB371A">
        <w:t>oing management of its surplus capacity in the</w:t>
      </w:r>
      <w:r w:rsidR="00E543FF" w:rsidRPr="00CB371A">
        <w:t xml:space="preserve"> 2016 and all future IRPs. </w:t>
      </w:r>
      <w:r w:rsidR="00E77060" w:rsidRPr="00CB371A">
        <w:t xml:space="preserve"> </w:t>
      </w:r>
    </w:p>
    <w:p w14:paraId="35472E9C" w14:textId="77777777" w:rsidR="00B52286" w:rsidRPr="00CB371A" w:rsidRDefault="00B52286" w:rsidP="00E83458"/>
    <w:p w14:paraId="4C3A3ED2" w14:textId="77777777" w:rsidR="00EA1A8E" w:rsidRPr="00CB371A" w:rsidRDefault="00EA1A8E" w:rsidP="00EA1A8E">
      <w:pPr>
        <w:pStyle w:val="NoSpacing"/>
        <w:spacing w:line="264" w:lineRule="auto"/>
        <w:rPr>
          <w:sz w:val="25"/>
          <w:szCs w:val="25"/>
        </w:rPr>
      </w:pPr>
      <w:r w:rsidRPr="00CB371A">
        <w:rPr>
          <w:b/>
          <w:sz w:val="25"/>
          <w:szCs w:val="25"/>
        </w:rPr>
        <w:t>Distribution System Enhancements</w:t>
      </w:r>
    </w:p>
    <w:p w14:paraId="7188E457" w14:textId="77777777" w:rsidR="00EA1A8E" w:rsidRPr="00CB371A" w:rsidRDefault="00EA1A8E" w:rsidP="00EA1A8E">
      <w:pPr>
        <w:pStyle w:val="NoSpacing"/>
        <w:spacing w:line="264" w:lineRule="auto"/>
        <w:rPr>
          <w:sz w:val="25"/>
          <w:szCs w:val="25"/>
        </w:rPr>
      </w:pPr>
    </w:p>
    <w:p w14:paraId="2BACC695" w14:textId="36F1A15B" w:rsidR="00EA1A8E" w:rsidRPr="00CB371A" w:rsidRDefault="00EA1A8E" w:rsidP="00EA1A8E">
      <w:pPr>
        <w:pStyle w:val="NoSpacing"/>
        <w:spacing w:line="264" w:lineRule="auto"/>
        <w:rPr>
          <w:sz w:val="25"/>
          <w:szCs w:val="25"/>
        </w:rPr>
      </w:pPr>
      <w:r w:rsidRPr="00CB371A">
        <w:rPr>
          <w:sz w:val="25"/>
          <w:szCs w:val="25"/>
        </w:rPr>
        <w:t>Avista</w:t>
      </w:r>
      <w:r w:rsidR="00524413">
        <w:rPr>
          <w:sz w:val="25"/>
          <w:szCs w:val="25"/>
        </w:rPr>
        <w:t xml:space="preserve"> uses the commercially available</w:t>
      </w:r>
      <w:r w:rsidRPr="00CB371A">
        <w:rPr>
          <w:sz w:val="25"/>
          <w:szCs w:val="25"/>
        </w:rPr>
        <w:t xml:space="preserve"> planning model </w:t>
      </w:r>
      <w:r w:rsidR="00524413">
        <w:rPr>
          <w:sz w:val="25"/>
          <w:szCs w:val="25"/>
        </w:rPr>
        <w:t xml:space="preserve">SENDOUT </w:t>
      </w:r>
      <w:r w:rsidRPr="00CB371A">
        <w:rPr>
          <w:sz w:val="25"/>
          <w:szCs w:val="25"/>
        </w:rPr>
        <w:t>to perform its natural gas supply, storage and transportation optimization calculations.</w:t>
      </w:r>
      <w:r w:rsidR="00816227">
        <w:rPr>
          <w:sz w:val="25"/>
          <w:szCs w:val="25"/>
        </w:rPr>
        <w:t xml:space="preserve"> </w:t>
      </w:r>
      <w:r w:rsidRPr="00CB371A">
        <w:rPr>
          <w:sz w:val="25"/>
          <w:szCs w:val="25"/>
        </w:rPr>
        <w:t xml:space="preserve"> Due to the aggregated, system-wide methodology employed by SENDOUT, the model does not readily solve for, or even uncover, city-gate level resource deficiencies. </w:t>
      </w:r>
      <w:r w:rsidR="00816227">
        <w:rPr>
          <w:sz w:val="25"/>
          <w:szCs w:val="25"/>
        </w:rPr>
        <w:t xml:space="preserve"> </w:t>
      </w:r>
      <w:r w:rsidRPr="00CB371A">
        <w:rPr>
          <w:sz w:val="25"/>
          <w:szCs w:val="25"/>
        </w:rPr>
        <w:t>To address this shortcoming, Avista models each of its city gates outside of SENDOUT.</w:t>
      </w:r>
      <w:r w:rsidR="00816227">
        <w:rPr>
          <w:sz w:val="25"/>
          <w:szCs w:val="25"/>
        </w:rPr>
        <w:t xml:space="preserve"> </w:t>
      </w:r>
      <w:r w:rsidRPr="00CB371A">
        <w:rPr>
          <w:sz w:val="25"/>
          <w:szCs w:val="25"/>
        </w:rPr>
        <w:t xml:space="preserve"> If forecasted city gate demand exceeds operational capacities, a higher-resolution analysis is performed in SynerGEE software.</w:t>
      </w:r>
      <w:r w:rsidRPr="00CB371A">
        <w:rPr>
          <w:rStyle w:val="FootnoteReference"/>
          <w:sz w:val="25"/>
          <w:szCs w:val="25"/>
        </w:rPr>
        <w:footnoteReference w:id="3"/>
      </w:r>
    </w:p>
    <w:p w14:paraId="1E4B080A" w14:textId="77777777" w:rsidR="00EA1A8E" w:rsidRPr="00CB371A" w:rsidRDefault="00EA1A8E" w:rsidP="00EA1A8E">
      <w:pPr>
        <w:pStyle w:val="NoSpacing"/>
        <w:spacing w:line="264" w:lineRule="auto"/>
        <w:rPr>
          <w:sz w:val="25"/>
          <w:szCs w:val="25"/>
        </w:rPr>
      </w:pPr>
    </w:p>
    <w:p w14:paraId="5B9B3182" w14:textId="3A2BC248" w:rsidR="00EA1A8E" w:rsidRPr="00CB371A" w:rsidRDefault="00EA1A8E" w:rsidP="00EA1A8E">
      <w:pPr>
        <w:pStyle w:val="NoSpacing"/>
        <w:spacing w:line="264" w:lineRule="auto"/>
        <w:rPr>
          <w:sz w:val="25"/>
          <w:szCs w:val="25"/>
        </w:rPr>
      </w:pPr>
      <w:r w:rsidRPr="00CB371A">
        <w:rPr>
          <w:sz w:val="25"/>
          <w:szCs w:val="25"/>
        </w:rPr>
        <w:lastRenderedPageBreak/>
        <w:t xml:space="preserve">However, Avista does not describe the analysis of any of these SynerGEE runs in its IRP. </w:t>
      </w:r>
      <w:r w:rsidR="00816227">
        <w:rPr>
          <w:sz w:val="25"/>
          <w:szCs w:val="25"/>
        </w:rPr>
        <w:t xml:space="preserve"> </w:t>
      </w:r>
      <w:r w:rsidRPr="00CB371A">
        <w:rPr>
          <w:sz w:val="25"/>
          <w:szCs w:val="25"/>
        </w:rPr>
        <w:t xml:space="preserve">Although Avista does provide a description of the modeling process in Appendix 7.1, a description and analysis of the model runs that produced the reported distribution system needs found on Table 7.1 were not provided. In future IRPs, the </w:t>
      </w:r>
      <w:r w:rsidR="00816227">
        <w:rPr>
          <w:sz w:val="25"/>
          <w:szCs w:val="25"/>
        </w:rPr>
        <w:t>Commission recommends that the C</w:t>
      </w:r>
      <w:r w:rsidRPr="00CB371A">
        <w:rPr>
          <w:sz w:val="25"/>
          <w:szCs w:val="25"/>
        </w:rPr>
        <w:t xml:space="preserve">ompany provide more discussion on the analyses that identify </w:t>
      </w:r>
      <w:r w:rsidR="00BF55D1">
        <w:rPr>
          <w:sz w:val="25"/>
          <w:szCs w:val="25"/>
        </w:rPr>
        <w:t xml:space="preserve">such </w:t>
      </w:r>
      <w:r w:rsidRPr="00CB371A">
        <w:rPr>
          <w:sz w:val="25"/>
          <w:szCs w:val="25"/>
        </w:rPr>
        <w:t xml:space="preserve">specific distribution system needs. </w:t>
      </w:r>
    </w:p>
    <w:p w14:paraId="6BC72403" w14:textId="77777777" w:rsidR="00EA1A8E" w:rsidRPr="00CB371A" w:rsidRDefault="00EA1A8E" w:rsidP="00EA1A8E">
      <w:pPr>
        <w:pStyle w:val="NoSpacing"/>
        <w:spacing w:line="264" w:lineRule="auto"/>
        <w:rPr>
          <w:sz w:val="25"/>
          <w:szCs w:val="25"/>
        </w:rPr>
      </w:pPr>
    </w:p>
    <w:p w14:paraId="20179327" w14:textId="77777777" w:rsidR="00EA1A8E" w:rsidRPr="00CB371A" w:rsidRDefault="00EA1A8E" w:rsidP="00EA1A8E">
      <w:pPr>
        <w:rPr>
          <w:b/>
        </w:rPr>
      </w:pPr>
      <w:r w:rsidRPr="00CB371A">
        <w:rPr>
          <w:b/>
        </w:rPr>
        <w:t>Unsolved Models</w:t>
      </w:r>
    </w:p>
    <w:p w14:paraId="437513D6" w14:textId="77777777" w:rsidR="00EA1A8E" w:rsidRPr="00CB371A" w:rsidRDefault="00EA1A8E" w:rsidP="00EA1A8E">
      <w:pPr>
        <w:rPr>
          <w:b/>
        </w:rPr>
      </w:pPr>
    </w:p>
    <w:p w14:paraId="7D86DC52" w14:textId="31E8DF7B" w:rsidR="00EA1A8E" w:rsidRPr="00CB371A" w:rsidRDefault="00EA1A8E" w:rsidP="00EA1A8E">
      <w:r w:rsidRPr="00CB371A">
        <w:t xml:space="preserve">Although Avista’s high-growth scenario </w:t>
      </w:r>
      <w:r w:rsidR="00314E70">
        <w:t>(which does not represent the most likely future)</w:t>
      </w:r>
      <w:r w:rsidR="00314E70" w:rsidRPr="00CB371A">
        <w:t xml:space="preserve"> </w:t>
      </w:r>
      <w:r w:rsidRPr="00CB371A">
        <w:t xml:space="preserve">shows the </w:t>
      </w:r>
      <w:r w:rsidR="00816227">
        <w:t>C</w:t>
      </w:r>
      <w:r w:rsidRPr="00CB371A">
        <w:t>ompany’s Washington/Idaho system becoming resource deficient in 2030, Avista did not allow SENDOUT to select specific resources to fill the projected resource deficiency.</w:t>
      </w:r>
      <w:r w:rsidR="00816227">
        <w:t xml:space="preserve"> </w:t>
      </w:r>
      <w:r w:rsidRPr="00CB371A">
        <w:t xml:space="preserve"> As a result, the high-growth model remains unsolved for 2030. </w:t>
      </w:r>
      <w:r w:rsidR="00816227">
        <w:t xml:space="preserve"> </w:t>
      </w:r>
      <w:r w:rsidRPr="00CB371A">
        <w:t xml:space="preserve">The most basic of purposes of an IRP is to generate a resource plan that meets load across the full planning horizon under a variety of scenarios. </w:t>
      </w:r>
      <w:r w:rsidR="00816227">
        <w:t xml:space="preserve"> </w:t>
      </w:r>
      <w:r w:rsidRPr="00CB371A">
        <w:t xml:space="preserve">If a company does not solve for a resource mix given unmet load during the planning horizon, it has not fulfilled the primary purpose of planning. </w:t>
      </w:r>
      <w:r w:rsidR="00816227">
        <w:t xml:space="preserve"> </w:t>
      </w:r>
      <w:r w:rsidRPr="00CB371A">
        <w:t>Although Avista only projec</w:t>
      </w:r>
      <w:r w:rsidR="00314E70">
        <w:t>ted a resource deficiency in its</w:t>
      </w:r>
      <w:r w:rsidRPr="00CB371A">
        <w:t xml:space="preserve"> high-growth scenario</w:t>
      </w:r>
      <w:r w:rsidR="00314E70">
        <w:t>,</w:t>
      </w:r>
      <w:r w:rsidR="00BF55D1">
        <w:t xml:space="preserve"> </w:t>
      </w:r>
      <w:r w:rsidR="00314E70">
        <w:t>it is still</w:t>
      </w:r>
      <w:r w:rsidR="00BF55D1">
        <w:t xml:space="preserve"> </w:t>
      </w:r>
      <w:r w:rsidR="00314E70">
        <w:t>necessary</w:t>
      </w:r>
      <w:r w:rsidR="00BF55D1">
        <w:t xml:space="preserve"> </w:t>
      </w:r>
      <w:r w:rsidRPr="00CB371A">
        <w:t>to sho</w:t>
      </w:r>
      <w:r w:rsidR="00BF55D1">
        <w:t xml:space="preserve">w how the </w:t>
      </w:r>
      <w:r w:rsidR="00816227">
        <w:t>C</w:t>
      </w:r>
      <w:r w:rsidR="00BF55D1">
        <w:t>ompany would choose to fill such a</w:t>
      </w:r>
      <w:r w:rsidRPr="00CB371A">
        <w:t xml:space="preserve"> deficienc</w:t>
      </w:r>
      <w:r w:rsidR="00BF55D1">
        <w:t>y</w:t>
      </w:r>
      <w:r w:rsidRPr="00CB371A">
        <w:t xml:space="preserve">.  </w:t>
      </w:r>
    </w:p>
    <w:p w14:paraId="39BF1EFD" w14:textId="77777777" w:rsidR="00EA1A8E" w:rsidRPr="00CB371A" w:rsidRDefault="00EA1A8E" w:rsidP="00EA1A8E"/>
    <w:p w14:paraId="7414AAA5" w14:textId="77777777" w:rsidR="00EA1A8E" w:rsidRPr="00CB371A" w:rsidRDefault="00EA1A8E" w:rsidP="00EA1A8E">
      <w:r w:rsidRPr="00CB371A">
        <w:t xml:space="preserve">For the coming 2016 IRP, the Commission requests that Avista solve for the resource portfolio meeting any load not served across the 20-year planning horizon for any modeled scenario. </w:t>
      </w:r>
    </w:p>
    <w:p w14:paraId="57E37ADE" w14:textId="77777777" w:rsidR="00EA1A8E" w:rsidRPr="00CB371A" w:rsidRDefault="00EA1A8E" w:rsidP="00E83458">
      <w:pPr>
        <w:rPr>
          <w:b/>
        </w:rPr>
      </w:pPr>
    </w:p>
    <w:p w14:paraId="6F3E3D87" w14:textId="77777777" w:rsidR="00EA1A8E" w:rsidRPr="00CB371A" w:rsidRDefault="00EA1A8E" w:rsidP="00EA1A8E">
      <w:pPr>
        <w:rPr>
          <w:b/>
        </w:rPr>
      </w:pPr>
      <w:r w:rsidRPr="00CB371A">
        <w:rPr>
          <w:b/>
        </w:rPr>
        <w:t>Washington-Specific Resource Needs</w:t>
      </w:r>
    </w:p>
    <w:p w14:paraId="41CB558F" w14:textId="77777777" w:rsidR="00EA1A8E" w:rsidRPr="00CB371A" w:rsidRDefault="00EA1A8E" w:rsidP="00EA1A8E">
      <w:pPr>
        <w:rPr>
          <w:b/>
        </w:rPr>
      </w:pPr>
    </w:p>
    <w:p w14:paraId="309E2FFC" w14:textId="017EBA9A" w:rsidR="00EA1A8E" w:rsidRPr="00CB371A" w:rsidRDefault="00EA1A8E" w:rsidP="00EA1A8E">
      <w:r w:rsidRPr="00CB371A">
        <w:t xml:space="preserve">In Avista’s high-growth scenario, the Company’s Washington/Idaho system becomes resource deficient in 2030. </w:t>
      </w:r>
      <w:r w:rsidR="00816227">
        <w:t xml:space="preserve"> </w:t>
      </w:r>
      <w:r w:rsidRPr="00CB371A">
        <w:t xml:space="preserve">However, because Avista models its Washington and Idaho service territories as a single system, it is not clear where load is not met nor is it clear whether it is Washington or Idaho that is the primary contributer to the resource deficiency in 2030.  From a regulatory standpoint, it is helpful to understand the resource requirements specific to each jurisdiction being regulated. </w:t>
      </w:r>
      <w:r w:rsidR="00816227">
        <w:t xml:space="preserve"> </w:t>
      </w:r>
      <w:r w:rsidRPr="00CB371A">
        <w:t xml:space="preserve">The Commission understands that Avista operates its Washington and Idaho service territories as one continuous system. </w:t>
      </w:r>
      <w:r w:rsidR="00816227">
        <w:t xml:space="preserve"> </w:t>
      </w:r>
      <w:r w:rsidRPr="00CB371A">
        <w:t>However, Avista indicates that Idaho demand is growing much faster than Washington demand.</w:t>
      </w:r>
      <w:r w:rsidRPr="00CB371A">
        <w:rPr>
          <w:rStyle w:val="FootnoteReference"/>
        </w:rPr>
        <w:footnoteReference w:id="4"/>
      </w:r>
      <w:r w:rsidRPr="00CB371A">
        <w:t xml:space="preserve"> </w:t>
      </w:r>
      <w:r w:rsidR="00816227">
        <w:t xml:space="preserve"> </w:t>
      </w:r>
      <w:r w:rsidRPr="00CB371A">
        <w:t xml:space="preserve">Also, insofar as a resource deficiency is identifiable to a specific jurisdiction, it is essential that this information is reported in the IRP. </w:t>
      </w:r>
    </w:p>
    <w:p w14:paraId="3FA392A4" w14:textId="77777777" w:rsidR="00EA1A8E" w:rsidRPr="00CB371A" w:rsidRDefault="00EA1A8E" w:rsidP="00EA1A8E"/>
    <w:p w14:paraId="013D6AFC" w14:textId="77777777" w:rsidR="00EA1A8E" w:rsidRPr="00CB371A" w:rsidRDefault="00EA1A8E" w:rsidP="00EA1A8E">
      <w:r w:rsidRPr="00CB371A">
        <w:lastRenderedPageBreak/>
        <w:t xml:space="preserve">For the 2016 IRP, the Commission encourages Avista to discuss with the TAC conducting an analysis of its state-specific resource needs and the extent to which each state contributes to any projected resource deficiency. </w:t>
      </w:r>
    </w:p>
    <w:p w14:paraId="5E6DA509" w14:textId="77777777" w:rsidR="00EA1A8E" w:rsidRPr="00CB371A" w:rsidRDefault="00EA1A8E" w:rsidP="00E83458">
      <w:pPr>
        <w:rPr>
          <w:b/>
        </w:rPr>
      </w:pPr>
    </w:p>
    <w:p w14:paraId="06D3E726" w14:textId="0A57536E" w:rsidR="00B52286" w:rsidRPr="00CB371A" w:rsidRDefault="00B52286" w:rsidP="00E83458">
      <w:r w:rsidRPr="00CB371A">
        <w:rPr>
          <w:b/>
        </w:rPr>
        <w:t>Weather Design Criteria</w:t>
      </w:r>
    </w:p>
    <w:p w14:paraId="53286665" w14:textId="77777777" w:rsidR="00B52286" w:rsidRPr="00CB371A" w:rsidRDefault="00B52286" w:rsidP="00E83458"/>
    <w:p w14:paraId="1D32FB21" w14:textId="684F7D61" w:rsidR="00267194" w:rsidRPr="00CB371A" w:rsidRDefault="00267194" w:rsidP="00E83458">
      <w:pPr>
        <w:rPr>
          <w:i/>
        </w:rPr>
      </w:pPr>
      <w:r w:rsidRPr="00CB371A">
        <w:rPr>
          <w:i/>
        </w:rPr>
        <w:t>Peak day planning</w:t>
      </w:r>
    </w:p>
    <w:p w14:paraId="47D8EED7" w14:textId="77777777" w:rsidR="00267194" w:rsidRPr="00CB371A" w:rsidRDefault="00267194" w:rsidP="00E83458"/>
    <w:p w14:paraId="4FED1CD0" w14:textId="7AF782D9" w:rsidR="00B52286" w:rsidRPr="00CB371A" w:rsidRDefault="00B52286" w:rsidP="00E83458">
      <w:r w:rsidRPr="00CB371A">
        <w:t>In the 2014 IRP, Avista uses a coldest day on record</w:t>
      </w:r>
      <w:r w:rsidR="00913033" w:rsidRPr="00CB371A">
        <w:t xml:space="preserve"> to plan</w:t>
      </w:r>
      <w:r w:rsidR="00F7772C" w:rsidRPr="00CB371A">
        <w:t xml:space="preserve"> for its Washington/Idaho peak. </w:t>
      </w:r>
      <w:r w:rsidR="00816227">
        <w:t xml:space="preserve"> </w:t>
      </w:r>
      <w:r w:rsidR="00DC1BE9" w:rsidRPr="00CB371A">
        <w:t>However</w:t>
      </w:r>
      <w:r w:rsidR="00E82A71" w:rsidRPr="00CB371A">
        <w:t>, Avista models this coldest day on record to occu</w:t>
      </w:r>
      <w:r w:rsidR="001669DA" w:rsidRPr="00CB371A">
        <w:t>r once every 572 years</w:t>
      </w:r>
      <w:r w:rsidR="00E82A71" w:rsidRPr="00CB371A">
        <w:t>.</w:t>
      </w:r>
      <w:r w:rsidR="001669DA" w:rsidRPr="00CB371A">
        <w:rPr>
          <w:rStyle w:val="FootnoteReference"/>
        </w:rPr>
        <w:footnoteReference w:id="5"/>
      </w:r>
      <w:r w:rsidR="00E82A71" w:rsidRPr="00CB371A">
        <w:t xml:space="preserve"> </w:t>
      </w:r>
      <w:r w:rsidR="00816227">
        <w:t xml:space="preserve"> </w:t>
      </w:r>
      <w:r w:rsidR="00774FFF" w:rsidRPr="00CB371A">
        <w:t>This corresponds to a temperature of -17º F on December 30, 1968.</w:t>
      </w:r>
      <w:r w:rsidR="001669DA" w:rsidRPr="00CB371A">
        <w:rPr>
          <w:rStyle w:val="FootnoteReference"/>
        </w:rPr>
        <w:footnoteReference w:id="6"/>
      </w:r>
      <w:r w:rsidR="00774FFF" w:rsidRPr="00CB371A">
        <w:t xml:space="preserve"> </w:t>
      </w:r>
      <w:r w:rsidR="00816227">
        <w:t xml:space="preserve"> </w:t>
      </w:r>
      <w:r w:rsidR="00C94E4F" w:rsidRPr="00CB371A">
        <w:t>The Commission</w:t>
      </w:r>
      <w:r w:rsidR="00C04650" w:rsidRPr="00CB371A">
        <w:t xml:space="preserve"> understands that Avista needs to maintai</w:t>
      </w:r>
      <w:r w:rsidR="00307EB2">
        <w:t>n a reliable system, but a one-in-</w:t>
      </w:r>
      <w:r w:rsidR="00C04650" w:rsidRPr="00CB371A">
        <w:t xml:space="preserve">572 event is potentially too remote of a possibility to use as a </w:t>
      </w:r>
      <w:r w:rsidR="00106154" w:rsidRPr="00CB371A">
        <w:t>reasonable planning standard</w:t>
      </w:r>
      <w:r w:rsidR="00C04650" w:rsidRPr="00CB371A">
        <w:t>.</w:t>
      </w:r>
      <w:r w:rsidR="00816227">
        <w:t xml:space="preserve"> </w:t>
      </w:r>
      <w:r w:rsidR="00C04650" w:rsidRPr="00CB371A">
        <w:t xml:space="preserve"> Having said that, Avista does evaluate trends in </w:t>
      </w:r>
      <w:r w:rsidR="00E543FF" w:rsidRPr="00CB371A">
        <w:t>winter temperatures and</w:t>
      </w:r>
      <w:r w:rsidR="009D2D6A" w:rsidRPr="00CB371A">
        <w:t xml:space="preserve"> found no </w:t>
      </w:r>
      <w:r w:rsidR="00E543FF" w:rsidRPr="00CB371A">
        <w:t>winter warming trend (although</w:t>
      </w:r>
      <w:r w:rsidR="009D2D6A" w:rsidRPr="00CB371A">
        <w:t xml:space="preserve"> it has identified a warming trend in summer temperatures</w:t>
      </w:r>
      <w:r w:rsidR="00E543FF" w:rsidRPr="00CB371A">
        <w:t>)</w:t>
      </w:r>
      <w:r w:rsidR="00D612E2" w:rsidRPr="00CB371A">
        <w:t>.</w:t>
      </w:r>
      <w:r w:rsidR="00816227">
        <w:t xml:space="preserve"> </w:t>
      </w:r>
      <w:r w:rsidR="00D612E2" w:rsidRPr="00CB371A">
        <w:t xml:space="preserve"> If there is</w:t>
      </w:r>
      <w:r w:rsidR="009D2D6A" w:rsidRPr="00CB371A">
        <w:t xml:space="preserve"> no increase in winter minimum temperatures, plannin</w:t>
      </w:r>
      <w:r w:rsidR="00DC4BE8" w:rsidRPr="00CB371A">
        <w:t>g fo</w:t>
      </w:r>
      <w:r w:rsidR="00D612E2" w:rsidRPr="00CB371A">
        <w:t>r a coldest day on record is</w:t>
      </w:r>
      <w:r w:rsidR="009D2D6A" w:rsidRPr="00CB371A">
        <w:t xml:space="preserve"> reasonable.</w:t>
      </w:r>
      <w:r w:rsidR="00816227">
        <w:t xml:space="preserve"> </w:t>
      </w:r>
      <w:r w:rsidR="009D2D6A" w:rsidRPr="00CB371A">
        <w:t xml:space="preserve"> However, if future analysis identifies the presense of a warming trend in winter minimum temperatures, </w:t>
      </w:r>
      <w:r w:rsidR="00D612E2" w:rsidRPr="00CB371A">
        <w:t>planning for the</w:t>
      </w:r>
      <w:r w:rsidR="00307EB2">
        <w:t xml:space="preserve"> one-in-</w:t>
      </w:r>
      <w:r w:rsidR="00575078" w:rsidRPr="00CB371A">
        <w:t xml:space="preserve">572 event should be re-evaluated. </w:t>
      </w:r>
    </w:p>
    <w:p w14:paraId="56CF5B5E" w14:textId="77777777" w:rsidR="00575078" w:rsidRPr="00CB371A" w:rsidRDefault="00575078" w:rsidP="00E83458"/>
    <w:p w14:paraId="1B6C93CE" w14:textId="296E531F" w:rsidR="00575078" w:rsidRPr="00CB371A" w:rsidRDefault="00557FF9" w:rsidP="00E83458">
      <w:r w:rsidRPr="00CB371A">
        <w:t>The Commission</w:t>
      </w:r>
      <w:r w:rsidR="00CA1B75">
        <w:t xml:space="preserve"> expects</w:t>
      </w:r>
      <w:r w:rsidR="00575078" w:rsidRPr="00CB371A">
        <w:t xml:space="preserve"> that Avista </w:t>
      </w:r>
      <w:r w:rsidR="00CA1B75">
        <w:t xml:space="preserve">will </w:t>
      </w:r>
      <w:r w:rsidR="00575078" w:rsidRPr="00CB371A">
        <w:t>continue to monitor trends in peak day temperatures and pe</w:t>
      </w:r>
      <w:r w:rsidRPr="00CB371A">
        <w:t>ak day usage an</w:t>
      </w:r>
      <w:r w:rsidR="00CA1B75">
        <w:t>d</w:t>
      </w:r>
      <w:r w:rsidR="00575078" w:rsidRPr="00CB371A">
        <w:t xml:space="preserve"> discuss wit</w:t>
      </w:r>
      <w:r w:rsidR="00D612E2" w:rsidRPr="00CB371A">
        <w:t>h the TAC</w:t>
      </w:r>
      <w:r w:rsidR="00DC4BE8" w:rsidRPr="00CB371A">
        <w:t xml:space="preserve"> the appropriateness of using</w:t>
      </w:r>
      <w:r w:rsidR="00307EB2">
        <w:t xml:space="preserve"> a one-in-</w:t>
      </w:r>
      <w:r w:rsidR="00575078" w:rsidRPr="00CB371A">
        <w:t xml:space="preserve">572 event for peak day planning. </w:t>
      </w:r>
    </w:p>
    <w:p w14:paraId="57F7157B" w14:textId="77777777" w:rsidR="00A36C9E" w:rsidRPr="00CB371A" w:rsidRDefault="00A36C9E" w:rsidP="00E83458"/>
    <w:p w14:paraId="4A1F8E73" w14:textId="1D2557AB" w:rsidR="00D3092A" w:rsidRPr="00CB371A" w:rsidRDefault="00D11C85" w:rsidP="00E83458">
      <w:r w:rsidRPr="00CB371A">
        <w:rPr>
          <w:i/>
        </w:rPr>
        <w:t xml:space="preserve">Storage Resources </w:t>
      </w:r>
      <w:r w:rsidR="004E0C16">
        <w:rPr>
          <w:i/>
        </w:rPr>
        <w:t>“</w:t>
      </w:r>
      <w:r w:rsidRPr="00CB371A">
        <w:rPr>
          <w:i/>
        </w:rPr>
        <w:t>Stress Test</w:t>
      </w:r>
      <w:r w:rsidR="004E0C16">
        <w:rPr>
          <w:i/>
        </w:rPr>
        <w:t>”</w:t>
      </w:r>
    </w:p>
    <w:p w14:paraId="1F58CDDB" w14:textId="77777777" w:rsidR="00D3092A" w:rsidRPr="00CB371A" w:rsidRDefault="00D3092A" w:rsidP="00E83458"/>
    <w:p w14:paraId="350D43E4" w14:textId="681CE097" w:rsidR="005B6D85" w:rsidRPr="00CB371A" w:rsidRDefault="00D158BE" w:rsidP="00E83458">
      <w:r w:rsidRPr="00CB371A">
        <w:t>In addition to designing its system to meet a coldest-day-on-record planning standard, Avista also plans its system to meet annual shaped loads for an aver</w:t>
      </w:r>
      <w:r w:rsidR="006E2A91" w:rsidRPr="00CB371A">
        <w:t xml:space="preserve">age year. </w:t>
      </w:r>
      <w:r w:rsidR="00816227">
        <w:t xml:space="preserve"> </w:t>
      </w:r>
      <w:r w:rsidR="006E2A91" w:rsidRPr="00CB371A">
        <w:t>The Commission</w:t>
      </w:r>
      <w:r w:rsidR="001574E6" w:rsidRPr="00CB371A">
        <w:t xml:space="preserve"> has</w:t>
      </w:r>
      <w:r w:rsidRPr="00CB371A">
        <w:t xml:space="preserve"> concerns</w:t>
      </w:r>
      <w:r w:rsidR="001574E6" w:rsidRPr="00CB371A">
        <w:t xml:space="preserve"> that using an average year planning standard does not adequately </w:t>
      </w:r>
      <w:r w:rsidR="004E0C16">
        <w:t>“</w:t>
      </w:r>
      <w:r w:rsidR="001574E6" w:rsidRPr="00CB371A">
        <w:t>stress test</w:t>
      </w:r>
      <w:r w:rsidR="004E0C16">
        <w:t>”</w:t>
      </w:r>
      <w:r w:rsidR="001574E6" w:rsidRPr="00CB371A">
        <w:t xml:space="preserve"> the Company’s storage resources.</w:t>
      </w:r>
      <w:r w:rsidR="00816227">
        <w:t xml:space="preserve"> </w:t>
      </w:r>
      <w:r w:rsidR="001574E6" w:rsidRPr="00CB371A">
        <w:t xml:space="preserve"> For example</w:t>
      </w:r>
      <w:r w:rsidR="00E97627" w:rsidRPr="00CB371A">
        <w:t xml:space="preserve">, in a high-load year, </w:t>
      </w:r>
      <w:r w:rsidR="00876E3A" w:rsidRPr="00CB371A">
        <w:t>it is not clear over what time frame, or whether,</w:t>
      </w:r>
      <w:r w:rsidR="005B6D85" w:rsidRPr="00CB371A">
        <w:t xml:space="preserve"> Avista’s Jackson</w:t>
      </w:r>
      <w:r w:rsidR="00876E3A" w:rsidRPr="00CB371A">
        <w:t xml:space="preserve"> Prairie storage resources will be able to</w:t>
      </w:r>
      <w:r w:rsidR="005B6D85" w:rsidRPr="00CB371A">
        <w:t xml:space="preserve"> withst</w:t>
      </w:r>
      <w:r w:rsidR="00476A73" w:rsidRPr="00CB371A">
        <w:t>and a 5-day peak event</w:t>
      </w:r>
      <w:r w:rsidR="00D11C85" w:rsidRPr="00CB371A">
        <w:t xml:space="preserve"> and</w:t>
      </w:r>
      <w:r w:rsidR="005B6D85" w:rsidRPr="00CB371A">
        <w:t xml:space="preserve"> how Avista would meet its peak-load obligations</w:t>
      </w:r>
      <w:r w:rsidR="00476A73" w:rsidRPr="00CB371A">
        <w:t xml:space="preserve"> under such a scenario</w:t>
      </w:r>
      <w:r w:rsidR="005B6D85" w:rsidRPr="00CB371A">
        <w:t>.</w:t>
      </w:r>
    </w:p>
    <w:p w14:paraId="4BC75307" w14:textId="77777777" w:rsidR="005B6D85" w:rsidRPr="00CB371A" w:rsidRDefault="005B6D85" w:rsidP="00E83458"/>
    <w:p w14:paraId="1546CC70" w14:textId="36E0FEBC" w:rsidR="005B6D85" w:rsidRDefault="005B6D85" w:rsidP="00E83458">
      <w:r w:rsidRPr="00CB371A">
        <w:t>Given that Avista has ample resources to meet load for the next 20 years, it is not lik</w:t>
      </w:r>
      <w:r w:rsidR="00C205A6" w:rsidRPr="00CB371A">
        <w:t>ely that this will become an</w:t>
      </w:r>
      <w:r w:rsidR="006E2A91" w:rsidRPr="00CB371A">
        <w:t xml:space="preserve"> issue in the near future.</w:t>
      </w:r>
      <w:r w:rsidR="00816227">
        <w:t xml:space="preserve"> </w:t>
      </w:r>
      <w:r w:rsidR="006E2A91" w:rsidRPr="00CB371A">
        <w:t xml:space="preserve"> The Commission</w:t>
      </w:r>
      <w:r w:rsidR="00C205A6" w:rsidRPr="00CB371A">
        <w:t xml:space="preserve"> does, however, recommend that Av</w:t>
      </w:r>
      <w:r w:rsidR="006E2A91" w:rsidRPr="00CB371A">
        <w:t xml:space="preserve">ista </w:t>
      </w:r>
      <w:r w:rsidR="006E2A91" w:rsidRPr="00CB371A">
        <w:lastRenderedPageBreak/>
        <w:t>discuss with the TAC</w:t>
      </w:r>
      <w:r w:rsidR="00C205A6" w:rsidRPr="00CB371A">
        <w:t xml:space="preserve"> the value of perform</w:t>
      </w:r>
      <w:r w:rsidR="00D11C85" w:rsidRPr="00CB371A">
        <w:t>ing additional analysis of the C</w:t>
      </w:r>
      <w:r w:rsidR="00C205A6" w:rsidRPr="00CB371A">
        <w:t xml:space="preserve">ompany’s resource adequacy </w:t>
      </w:r>
      <w:r w:rsidR="0007426C" w:rsidRPr="00CB371A">
        <w:t>under</w:t>
      </w:r>
      <w:r w:rsidR="00C205A6" w:rsidRPr="00CB371A">
        <w:t xml:space="preserve"> a </w:t>
      </w:r>
      <w:r w:rsidR="00876E3A" w:rsidRPr="00CB371A">
        <w:t>more aggressive</w:t>
      </w:r>
      <w:r w:rsidR="0007426C" w:rsidRPr="00CB371A">
        <w:t xml:space="preserve"> </w:t>
      </w:r>
      <w:r w:rsidR="00C205A6" w:rsidRPr="00CB371A">
        <w:t>annual planning standard.</w:t>
      </w:r>
    </w:p>
    <w:p w14:paraId="24854B0C" w14:textId="77777777" w:rsidR="00AD1F20" w:rsidRDefault="00AD1F20" w:rsidP="00E83458"/>
    <w:p w14:paraId="335D9CD2" w14:textId="552F978C" w:rsidR="00AD1F20" w:rsidRDefault="0038010F" w:rsidP="00AD1F20">
      <w:pPr>
        <w:rPr>
          <w:b/>
        </w:rPr>
      </w:pPr>
      <w:r>
        <w:rPr>
          <w:b/>
        </w:rPr>
        <w:t>Conservation Potential Assessment</w:t>
      </w:r>
    </w:p>
    <w:p w14:paraId="5EF83837" w14:textId="77777777" w:rsidR="00AD1F20" w:rsidRDefault="00AD1F20" w:rsidP="00AD1F20">
      <w:pPr>
        <w:rPr>
          <w:b/>
        </w:rPr>
      </w:pPr>
    </w:p>
    <w:p w14:paraId="239C2386" w14:textId="52CE4805" w:rsidR="00AD1F20" w:rsidRDefault="0038010F" w:rsidP="00AD1F20">
      <w:r>
        <w:t>Avista filed its</w:t>
      </w:r>
      <w:r w:rsidR="004E0C16">
        <w:t xml:space="preserve"> natural gas CPA</w:t>
      </w:r>
      <w:r w:rsidR="00AD1F20">
        <w:t xml:space="preserve"> on August 29, 2014, with its 2014 IRP in Docket UG-131621. </w:t>
      </w:r>
      <w:r w:rsidR="00816227">
        <w:t xml:space="preserve"> </w:t>
      </w:r>
      <w:r w:rsidR="00AD1F20">
        <w:t xml:space="preserve">Typically, a CPA informs the </w:t>
      </w:r>
      <w:r w:rsidR="00816227">
        <w:t>C</w:t>
      </w:r>
      <w:r w:rsidR="00AD1F20">
        <w:t xml:space="preserve">ompany on the quantity of </w:t>
      </w:r>
      <w:r>
        <w:t xml:space="preserve">cost-effective </w:t>
      </w:r>
      <w:r w:rsidR="00AD1F20">
        <w:t xml:space="preserve">conservation savings that is achievable in its service territory. </w:t>
      </w:r>
      <w:r w:rsidR="00816227">
        <w:t xml:space="preserve"> </w:t>
      </w:r>
      <w:r w:rsidR="00AD1F20">
        <w:t xml:space="preserve">The </w:t>
      </w:r>
      <w:r w:rsidR="00816227">
        <w:t>C</w:t>
      </w:r>
      <w:r w:rsidR="00AD1F20">
        <w:t>ompany will then design an annual portfolio in pursuit of all cost-effective conservation which should be in alignment with the annual, pro rata level of conservation determined to be achievable in the C</w:t>
      </w:r>
      <w:r w:rsidR="00A11C07">
        <w:t xml:space="preserve">PA. </w:t>
      </w:r>
      <w:r w:rsidR="00816227">
        <w:t xml:space="preserve"> </w:t>
      </w:r>
      <w:r w:rsidR="00A11C07">
        <w:t>However, while Avista’s CPA</w:t>
      </w:r>
      <w:r w:rsidR="004D7717">
        <w:t xml:space="preserve"> </w:t>
      </w:r>
      <w:r w:rsidR="00AD1F20">
        <w:t>determined the achievable potential for 2015 to be 1,287,000</w:t>
      </w:r>
      <w:r w:rsidR="00AD1F20" w:rsidRPr="00E3641A">
        <w:t xml:space="preserve"> therms</w:t>
      </w:r>
      <w:r w:rsidR="00A11C07">
        <w:t>, its</w:t>
      </w:r>
      <w:r w:rsidR="004D7717">
        <w:t xml:space="preserve"> 2015 Business Plan </w:t>
      </w:r>
      <w:r w:rsidR="00AD1F20">
        <w:t>projects to achieve only 602,011 therms in 2015.</w:t>
      </w:r>
      <w:r w:rsidR="004D7717">
        <w:rPr>
          <w:rStyle w:val="FootnoteReference"/>
        </w:rPr>
        <w:footnoteReference w:id="7"/>
      </w:r>
    </w:p>
    <w:p w14:paraId="380B92DD" w14:textId="77777777" w:rsidR="00AD1F20" w:rsidRDefault="00AD1F20" w:rsidP="00AD1F20"/>
    <w:p w14:paraId="5A30291D" w14:textId="6A39B99A" w:rsidR="00704BED" w:rsidRDefault="00704BED" w:rsidP="00704BED">
      <w:r>
        <w:t>This misalignment</w:t>
      </w:r>
      <w:r w:rsidR="004E0C16">
        <w:t xml:space="preserve"> appears to stem from</w:t>
      </w:r>
      <w:r>
        <w:t xml:space="preserve"> difference</w:t>
      </w:r>
      <w:r w:rsidR="00627C41">
        <w:t>s</w:t>
      </w:r>
      <w:r>
        <w:t xml:space="preserve"> between the customer participation assumptions in the CPA and the expected customer participation used for business planning under a UCT cost-effectiveness metric.</w:t>
      </w:r>
      <w:r w:rsidR="00816227">
        <w:t xml:space="preserve"> </w:t>
      </w:r>
      <w:r>
        <w:t xml:space="preserve"> Under a UCT cost-effectiveness metric, the relatively high personal expense necessitated by a relatively</w:t>
      </w:r>
      <w:r w:rsidR="00353EF1">
        <w:t xml:space="preserve"> low incentive level</w:t>
      </w:r>
      <w:r w:rsidR="0001286B">
        <w:t xml:space="preserve"> will contribute to diminished</w:t>
      </w:r>
      <w:r>
        <w:t xml:space="preserve"> participation levels.</w:t>
      </w:r>
      <w:r w:rsidR="00816227">
        <w:t xml:space="preserve"> </w:t>
      </w:r>
      <w:r>
        <w:t xml:space="preserve"> However, the CPA did not take this effect into consideration when estimating Avista’s achievable potential. </w:t>
      </w:r>
      <w:r w:rsidR="00816227">
        <w:t xml:space="preserve"> </w:t>
      </w:r>
      <w:r w:rsidR="00627C41">
        <w:t>Therefore, the Commission</w:t>
      </w:r>
      <w:r>
        <w:t xml:space="preserve"> believes that the expected acquisition in the </w:t>
      </w:r>
      <w:r w:rsidR="00816227">
        <w:t>C</w:t>
      </w:r>
      <w:r>
        <w:t xml:space="preserve">ompany’s 2015 Business Plan is a much more accurate calculation of achievable potential in 2015 than the pro rata level of achievable potential in the CPA, and represents a close approximation to what would have been the achievable potential in </w:t>
      </w:r>
      <w:r w:rsidR="00852290">
        <w:t>the CPA had the CPA</w:t>
      </w:r>
      <w:r>
        <w:t xml:space="preserve"> accounted for the effect of lower incentive levels.</w:t>
      </w:r>
      <w:r w:rsidR="00816227">
        <w:t xml:space="preserve"> </w:t>
      </w:r>
      <w:r>
        <w:t xml:space="preserve"> </w:t>
      </w:r>
      <w:r w:rsidR="0001286B">
        <w:t>However</w:t>
      </w:r>
      <w:r w:rsidR="00353EF1">
        <w:t>, without alignment of assumptions in the CPA with assumptions for business planning, the third-party</w:t>
      </w:r>
      <w:r w:rsidR="00D95FBE">
        <w:t xml:space="preserve"> CPA loses its value as an independent tool for evaluating the level of conservation the </w:t>
      </w:r>
      <w:r w:rsidR="00816227">
        <w:t>C</w:t>
      </w:r>
      <w:r w:rsidR="00D95FBE">
        <w:t>ompany plans to acquire.</w:t>
      </w:r>
    </w:p>
    <w:p w14:paraId="04A63127" w14:textId="77777777" w:rsidR="00704BED" w:rsidRDefault="00704BED" w:rsidP="00704BED"/>
    <w:p w14:paraId="2692A1C2" w14:textId="21AD748C" w:rsidR="00D95FBE" w:rsidRDefault="0001286B" w:rsidP="00D95FBE">
      <w:r>
        <w:t>T</w:t>
      </w:r>
      <w:r w:rsidR="00D95FBE">
        <w:t xml:space="preserve">he Commission reiterates here its preference for use of a properly balanced TRC test when calculating the </w:t>
      </w:r>
      <w:r w:rsidR="00D350BE">
        <w:t xml:space="preserve">economic potential and when </w:t>
      </w:r>
      <w:r w:rsidR="00D95FBE">
        <w:t>evaluating the c</w:t>
      </w:r>
      <w:r w:rsidR="00D350BE">
        <w:t>ost effectiveness of a</w:t>
      </w:r>
      <w:r w:rsidR="00D95FBE">
        <w:t xml:space="preserve"> conservation portfolio.</w:t>
      </w:r>
      <w:r w:rsidR="00D95FBE">
        <w:rPr>
          <w:rStyle w:val="FootnoteReference"/>
        </w:rPr>
        <w:footnoteReference w:id="8"/>
      </w:r>
      <w:r w:rsidR="00D95FBE">
        <w:t xml:space="preserve"> </w:t>
      </w:r>
      <w:r w:rsidR="00816227">
        <w:t xml:space="preserve"> </w:t>
      </w:r>
      <w:r w:rsidR="00D95FBE">
        <w:t>The Commission expects Avista to continue to cooperate with regional efforts to quantify the non-energy benefits</w:t>
      </w:r>
      <w:r w:rsidR="00D95FBE">
        <w:rPr>
          <w:rStyle w:val="FootnoteReference"/>
        </w:rPr>
        <w:footnoteReference w:id="9"/>
      </w:r>
      <w:r w:rsidR="00D95FBE">
        <w:t xml:space="preserve"> associated with natural gas conservation measures and incorporate these benefits into the </w:t>
      </w:r>
      <w:r w:rsidR="00816227">
        <w:t>C</w:t>
      </w:r>
      <w:r w:rsidR="00D95FBE">
        <w:t>ompany’s TRC tests.</w:t>
      </w:r>
      <w:r w:rsidR="00D350BE">
        <w:t xml:space="preserve"> </w:t>
      </w:r>
      <w:r w:rsidR="00816227">
        <w:t xml:space="preserve"> </w:t>
      </w:r>
      <w:r w:rsidR="00D350BE">
        <w:t xml:space="preserve">The Commission fully expects a </w:t>
      </w:r>
      <w:r w:rsidR="00D350BE">
        <w:lastRenderedPageBreak/>
        <w:t xml:space="preserve">reversion to a TRC cost-effectiveness metric within the IRP planning horizon and, indeed, within the ten years over which </w:t>
      </w:r>
      <w:r w:rsidR="003C7710">
        <w:t xml:space="preserve">the CPA generates the ten-year potential. </w:t>
      </w:r>
      <w:r w:rsidR="00816227">
        <w:t xml:space="preserve"> </w:t>
      </w:r>
      <w:r w:rsidR="003C7710">
        <w:t>Therefore, it is appropriate to evaluate the ten year conservation potential using TRC-based economic assumptions and TRC-based ramp r</w:t>
      </w:r>
      <w:r>
        <w:t xml:space="preserve">ates. </w:t>
      </w:r>
      <w:r w:rsidR="00816227">
        <w:t xml:space="preserve"> </w:t>
      </w:r>
      <w:r>
        <w:t>However, it is also appropriate</w:t>
      </w:r>
      <w:r w:rsidR="0004538F">
        <w:t xml:space="preserve"> that companies temporarily operating under a UCT will</w:t>
      </w:r>
      <w:r w:rsidR="003C7710">
        <w:t xml:space="preserve"> also evaluate the annual (or biennial) conservation potential </w:t>
      </w:r>
      <w:r w:rsidR="0004538F">
        <w:t>using a UCT-based economic</w:t>
      </w:r>
      <w:r>
        <w:t xml:space="preserve"> screen and UCT-based ramp rate assumptions</w:t>
      </w:r>
      <w:r w:rsidR="0004538F">
        <w:t xml:space="preserve">. </w:t>
      </w:r>
    </w:p>
    <w:p w14:paraId="1C38E3E6" w14:textId="7BF95083" w:rsidR="00D95FBE" w:rsidRDefault="00D95FBE" w:rsidP="00704BED"/>
    <w:p w14:paraId="4561AC5F" w14:textId="3460EB0A" w:rsidR="0033077D" w:rsidRDefault="0001286B" w:rsidP="00D66C66">
      <w:pPr>
        <w:spacing w:after="120"/>
      </w:pPr>
      <w:r>
        <w:t>Fo</w:t>
      </w:r>
      <w:r w:rsidR="00B3569A">
        <w:t>r</w:t>
      </w:r>
      <w:r w:rsidR="0033077D">
        <w:t xml:space="preserve"> the 201</w:t>
      </w:r>
      <w:r w:rsidR="000E010A">
        <w:t>6 IRP,</w:t>
      </w:r>
      <w:r w:rsidR="00B3569A">
        <w:t xml:space="preserve"> in the event that Avista has no other choice but to continue using a UCT cost-effectiveness metric,</w:t>
      </w:r>
      <w:r w:rsidR="000E010A">
        <w:t xml:space="preserve"> the Commission expects</w:t>
      </w:r>
      <w:r w:rsidR="008179A5">
        <w:t xml:space="preserve"> that</w:t>
      </w:r>
      <w:r w:rsidR="00B3569A">
        <w:t xml:space="preserve"> the entity performing the CPA</w:t>
      </w:r>
      <w:r w:rsidR="008179A5">
        <w:t xml:space="preserve"> </w:t>
      </w:r>
      <w:r w:rsidR="0055340D">
        <w:t xml:space="preserve">will </w:t>
      </w:r>
      <w:r w:rsidR="008179A5">
        <w:t xml:space="preserve">evaluate the effect of </w:t>
      </w:r>
      <w:r w:rsidR="0055340D">
        <w:t>the temporary operation under a UCT</w:t>
      </w:r>
      <w:r w:rsidR="008179A5">
        <w:t xml:space="preserve"> </w:t>
      </w:r>
      <w:r w:rsidR="0055340D">
        <w:t xml:space="preserve">cost-effectiveness metric </w:t>
      </w:r>
      <w:r w:rsidR="004E4378">
        <w:t>on near-term, achievable conservation potential</w:t>
      </w:r>
      <w:r w:rsidR="006E6AB4">
        <w:t>, whi</w:t>
      </w:r>
      <w:r w:rsidR="0098659A">
        <w:t>le mainta</w:t>
      </w:r>
      <w:r w:rsidR="00D66C66">
        <w:t>ining the longer-term assumption that Avista will eventually be</w:t>
      </w:r>
      <w:r w:rsidR="0098659A">
        <w:t xml:space="preserve"> reverting back to a TRC test cost-effectiveness metric</w:t>
      </w:r>
      <w:r w:rsidR="004E4378">
        <w:t xml:space="preserve">. </w:t>
      </w:r>
    </w:p>
    <w:p w14:paraId="44EAB486" w14:textId="77777777" w:rsidR="00AD1F20" w:rsidRDefault="00AD1F20" w:rsidP="00AD1F20"/>
    <w:p w14:paraId="5110EA94" w14:textId="703322EB" w:rsidR="0075213F" w:rsidRPr="00CB371A" w:rsidRDefault="00851223" w:rsidP="002A5569">
      <w:pPr>
        <w:pStyle w:val="NoSpacing"/>
        <w:spacing w:line="264" w:lineRule="auto"/>
        <w:rPr>
          <w:b/>
          <w:sz w:val="25"/>
          <w:szCs w:val="25"/>
          <w:u w:val="single"/>
        </w:rPr>
      </w:pPr>
      <w:r w:rsidRPr="00CB371A">
        <w:rPr>
          <w:b/>
          <w:sz w:val="25"/>
          <w:szCs w:val="25"/>
          <w:u w:val="single"/>
        </w:rPr>
        <w:t>Conclusion</w:t>
      </w:r>
    </w:p>
    <w:p w14:paraId="77CF8BCD" w14:textId="77777777" w:rsidR="00851223" w:rsidRPr="00CB371A" w:rsidRDefault="00851223" w:rsidP="002A5569">
      <w:pPr>
        <w:pStyle w:val="NoSpacing"/>
        <w:spacing w:line="264" w:lineRule="auto"/>
        <w:rPr>
          <w:b/>
          <w:sz w:val="25"/>
          <w:szCs w:val="25"/>
        </w:rPr>
      </w:pPr>
    </w:p>
    <w:p w14:paraId="3BA78B5A" w14:textId="54E694AF" w:rsidR="0099571A" w:rsidRPr="00CB371A" w:rsidRDefault="0099571A" w:rsidP="002A5569">
      <w:pPr>
        <w:pStyle w:val="NoSpacing"/>
        <w:spacing w:line="264" w:lineRule="auto"/>
        <w:rPr>
          <w:sz w:val="25"/>
          <w:szCs w:val="25"/>
        </w:rPr>
      </w:pPr>
      <w:r w:rsidRPr="00CB371A">
        <w:rPr>
          <w:sz w:val="25"/>
          <w:szCs w:val="25"/>
        </w:rPr>
        <w:t>The Commi</w:t>
      </w:r>
      <w:r w:rsidR="00925ADE" w:rsidRPr="00CB371A">
        <w:rPr>
          <w:sz w:val="25"/>
          <w:szCs w:val="25"/>
        </w:rPr>
        <w:t>ssion</w:t>
      </w:r>
      <w:r w:rsidR="00851223" w:rsidRPr="00CB371A">
        <w:rPr>
          <w:sz w:val="25"/>
          <w:szCs w:val="25"/>
        </w:rPr>
        <w:t xml:space="preserve"> acknowledge</w:t>
      </w:r>
      <w:r w:rsidRPr="00CB371A">
        <w:rPr>
          <w:sz w:val="25"/>
          <w:szCs w:val="25"/>
        </w:rPr>
        <w:t>s that</w:t>
      </w:r>
      <w:r w:rsidR="00851223" w:rsidRPr="00CB371A">
        <w:rPr>
          <w:sz w:val="25"/>
          <w:szCs w:val="25"/>
        </w:rPr>
        <w:t xml:space="preserve"> Av</w:t>
      </w:r>
      <w:r w:rsidR="006C39DB" w:rsidRPr="00CB371A">
        <w:rPr>
          <w:sz w:val="25"/>
          <w:szCs w:val="25"/>
        </w:rPr>
        <w:t>ista’s 2014 Natural Gas Integrated Resource Plan</w:t>
      </w:r>
      <w:r w:rsidRPr="00CB371A">
        <w:rPr>
          <w:sz w:val="25"/>
          <w:szCs w:val="25"/>
        </w:rPr>
        <w:t xml:space="preserve"> complies with WAC 480-90-238</w:t>
      </w:r>
      <w:r w:rsidR="0068216F">
        <w:rPr>
          <w:sz w:val="25"/>
          <w:szCs w:val="25"/>
        </w:rPr>
        <w:t>, on the condition that the recommendations made herein are addressed prior to the submission of the 2016 Integrated Resource Plan</w:t>
      </w:r>
      <w:r w:rsidRPr="00CB371A">
        <w:rPr>
          <w:sz w:val="25"/>
          <w:szCs w:val="25"/>
        </w:rPr>
        <w:t>.</w:t>
      </w:r>
    </w:p>
    <w:p w14:paraId="74CF7D7D" w14:textId="0BC53299" w:rsidR="00851223" w:rsidRPr="000A28EB" w:rsidRDefault="00851223" w:rsidP="002A5569">
      <w:pPr>
        <w:pStyle w:val="NoSpacing"/>
        <w:spacing w:line="264" w:lineRule="auto"/>
      </w:pPr>
    </w:p>
    <w:sectPr w:rsidR="00851223" w:rsidRPr="000A28EB" w:rsidSect="00457591">
      <w:headerReference w:type="default" r:id="rId14"/>
      <w:pgSz w:w="12240" w:h="15840"/>
      <w:pgMar w:top="1440" w:right="1440" w:bottom="1440" w:left="144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629B5" w14:textId="77777777" w:rsidR="00275580" w:rsidRDefault="00275580" w:rsidP="00300415">
      <w:r>
        <w:separator/>
      </w:r>
    </w:p>
  </w:endnote>
  <w:endnote w:type="continuationSeparator" w:id="0">
    <w:p w14:paraId="28F676D1" w14:textId="77777777" w:rsidR="00275580" w:rsidRDefault="00275580" w:rsidP="0030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C8D62" w14:textId="77777777" w:rsidR="00275580" w:rsidRDefault="00275580" w:rsidP="008E5FDC">
      <w:r>
        <w:separator/>
      </w:r>
    </w:p>
  </w:footnote>
  <w:footnote w:type="continuationSeparator" w:id="0">
    <w:p w14:paraId="5D4EE8D1" w14:textId="77777777" w:rsidR="00275580" w:rsidRDefault="00275580" w:rsidP="00300415">
      <w:r>
        <w:continuationSeparator/>
      </w:r>
    </w:p>
  </w:footnote>
  <w:footnote w:id="1">
    <w:p w14:paraId="00320B27" w14:textId="77C07FF2" w:rsidR="00F0623D" w:rsidRPr="00DD0ADE" w:rsidRDefault="00F0623D" w:rsidP="00882E5C">
      <w:pPr>
        <w:pStyle w:val="FootnoteText"/>
        <w:spacing w:after="120"/>
      </w:pPr>
      <w:r w:rsidRPr="00DD0ADE">
        <w:rPr>
          <w:rStyle w:val="FootnoteReference"/>
        </w:rPr>
        <w:footnoteRef/>
      </w:r>
      <w:r w:rsidR="00E82765" w:rsidRPr="00DD0ADE">
        <w:t xml:space="preserve"> WAC 480-90</w:t>
      </w:r>
      <w:r w:rsidRPr="00DD0ADE">
        <w:t>-238(2)(a).</w:t>
      </w:r>
    </w:p>
  </w:footnote>
  <w:footnote w:id="2">
    <w:p w14:paraId="1AE28194" w14:textId="30B67E7E" w:rsidR="00F0623D" w:rsidRPr="00DD0ADE" w:rsidRDefault="00F0623D" w:rsidP="00882E5C">
      <w:pPr>
        <w:pStyle w:val="FootnoteText"/>
        <w:spacing w:after="120"/>
      </w:pPr>
      <w:r w:rsidRPr="00DD0ADE">
        <w:rPr>
          <w:rStyle w:val="FootnoteReference"/>
        </w:rPr>
        <w:footnoteRef/>
      </w:r>
      <w:r w:rsidR="00E82765" w:rsidRPr="00DD0ADE">
        <w:t xml:space="preserve"> WAC 480-90</w:t>
      </w:r>
      <w:r w:rsidRPr="00DD0ADE">
        <w:t>-238(2)(b).</w:t>
      </w:r>
    </w:p>
  </w:footnote>
  <w:footnote w:id="3">
    <w:p w14:paraId="51BD747C" w14:textId="77777777" w:rsidR="00EA1A8E" w:rsidRDefault="00EA1A8E" w:rsidP="00EA1A8E">
      <w:pPr>
        <w:pStyle w:val="FootnoteText"/>
      </w:pPr>
      <w:r w:rsidRPr="00DD0ADE">
        <w:rPr>
          <w:rStyle w:val="FootnoteReference"/>
        </w:rPr>
        <w:footnoteRef/>
      </w:r>
      <w:r w:rsidRPr="00DD0ADE">
        <w:t xml:space="preserve"> GL Noble Denton’s SynerG</w:t>
      </w:r>
      <w:r>
        <w:t>EE is a software tool used for modeling distribution network loads.</w:t>
      </w:r>
    </w:p>
  </w:footnote>
  <w:footnote w:id="4">
    <w:p w14:paraId="2C3DEB03" w14:textId="42D598EC" w:rsidR="00EA1A8E" w:rsidRDefault="00EA1A8E" w:rsidP="003F54D6">
      <w:pPr>
        <w:pStyle w:val="FootnoteText"/>
      </w:pPr>
      <w:r>
        <w:rPr>
          <w:rStyle w:val="FootnoteReference"/>
        </w:rPr>
        <w:footnoteRef/>
      </w:r>
      <w:r>
        <w:t xml:space="preserve"> </w:t>
      </w:r>
      <w:r w:rsidR="00F92F85">
        <w:rPr>
          <w:i/>
        </w:rPr>
        <w:t xml:space="preserve">Avista Corporation, </w:t>
      </w:r>
      <w:r w:rsidR="00F92F85">
        <w:t>2014 Natural Gas Integrated Resource Plan (August 29, 2014)</w:t>
      </w:r>
      <w:r w:rsidR="00917B4B">
        <w:t>, Table 3.1, at page</w:t>
      </w:r>
      <w:r>
        <w:t xml:space="preserve"> 48.</w:t>
      </w:r>
    </w:p>
  </w:footnote>
  <w:footnote w:id="5">
    <w:p w14:paraId="567D53EB" w14:textId="310D4456" w:rsidR="001669DA" w:rsidRPr="00DD0ADE" w:rsidRDefault="001669DA" w:rsidP="003F54D6">
      <w:pPr>
        <w:pStyle w:val="FootnoteText"/>
      </w:pPr>
      <w:r w:rsidRPr="00DD0ADE">
        <w:rPr>
          <w:rStyle w:val="FootnoteReference"/>
        </w:rPr>
        <w:footnoteRef/>
      </w:r>
      <w:r w:rsidR="009F78B9" w:rsidRPr="00DD0ADE">
        <w:t xml:space="preserve"> </w:t>
      </w:r>
      <w:r w:rsidR="003F54D6">
        <w:rPr>
          <w:i/>
        </w:rPr>
        <w:t xml:space="preserve">Id. </w:t>
      </w:r>
      <w:r w:rsidR="003F54D6" w:rsidRPr="00917B4B">
        <w:t>at page 118.</w:t>
      </w:r>
      <w:r w:rsidR="003F54D6">
        <w:rPr>
          <w:i/>
        </w:rPr>
        <w:t xml:space="preserve"> </w:t>
      </w:r>
      <w:r w:rsidR="009F78B9" w:rsidRPr="00DD0ADE">
        <w:t xml:space="preserve"> </w:t>
      </w:r>
      <w:r w:rsidR="003F54D6">
        <w:t>Figure 6.4</w:t>
      </w:r>
      <w:r w:rsidR="004E0C16">
        <w:t xml:space="preserve"> shows seven</w:t>
      </w:r>
      <w:r w:rsidR="00720BF9" w:rsidRPr="00DD0ADE">
        <w:t xml:space="preserve"> peak events drawn from the 4000 years modeled</w:t>
      </w:r>
      <w:r w:rsidR="000A0ED2">
        <w:t xml:space="preserve"> or, equivalently, seven peak events in two hundred</w:t>
      </w:r>
      <w:r w:rsidR="00943F32">
        <w:t xml:space="preserve"> 20-year stochastic runs</w:t>
      </w:r>
      <w:r w:rsidR="00720BF9" w:rsidRPr="00DD0ADE">
        <w:t>.</w:t>
      </w:r>
    </w:p>
  </w:footnote>
  <w:footnote w:id="6">
    <w:p w14:paraId="24688AE7" w14:textId="7DAAF6CA" w:rsidR="001669DA" w:rsidRPr="00DD0ADE" w:rsidRDefault="001669DA" w:rsidP="003F54D6">
      <w:pPr>
        <w:pStyle w:val="FootnoteText"/>
      </w:pPr>
      <w:r w:rsidRPr="00DD0ADE">
        <w:rPr>
          <w:rStyle w:val="FootnoteReference"/>
        </w:rPr>
        <w:footnoteRef/>
      </w:r>
      <w:r w:rsidR="00F524C1">
        <w:t xml:space="preserve"> </w:t>
      </w:r>
      <w:r w:rsidR="00F524C1">
        <w:rPr>
          <w:i/>
        </w:rPr>
        <w:t xml:space="preserve">Id. </w:t>
      </w:r>
      <w:r w:rsidR="00F524C1" w:rsidRPr="003F54D6">
        <w:t>at</w:t>
      </w:r>
      <w:r w:rsidRPr="00DD0ADE">
        <w:t xml:space="preserve"> </w:t>
      </w:r>
      <w:r w:rsidR="003F54D6">
        <w:t xml:space="preserve">page </w:t>
      </w:r>
      <w:r w:rsidRPr="00DD0ADE">
        <w:t>31</w:t>
      </w:r>
      <w:r w:rsidR="00F524C1">
        <w:t>.</w:t>
      </w:r>
    </w:p>
  </w:footnote>
  <w:footnote w:id="7">
    <w:p w14:paraId="37E94435" w14:textId="70E4D903" w:rsidR="004D7717" w:rsidRPr="004D7717" w:rsidRDefault="004D7717">
      <w:pPr>
        <w:pStyle w:val="FootnoteText"/>
      </w:pPr>
      <w:r>
        <w:rPr>
          <w:rStyle w:val="FootnoteReference"/>
        </w:rPr>
        <w:footnoteRef/>
      </w:r>
      <w:r>
        <w:t xml:space="preserve"> </w:t>
      </w:r>
      <w:r>
        <w:rPr>
          <w:i/>
        </w:rPr>
        <w:t xml:space="preserve">Avista Corporation, </w:t>
      </w:r>
      <w:r>
        <w:t>Docket UG-143917, 2015 DSM Business Plan</w:t>
      </w:r>
      <w:r w:rsidR="00990750">
        <w:t xml:space="preserve"> (October 31, 2014). </w:t>
      </w:r>
    </w:p>
  </w:footnote>
  <w:footnote w:id="8">
    <w:p w14:paraId="6254662B" w14:textId="77777777" w:rsidR="00D95FBE" w:rsidRPr="00E8257B" w:rsidRDefault="00D95FBE" w:rsidP="00D95FBE">
      <w:pPr>
        <w:pStyle w:val="FootnoteText"/>
        <w:rPr>
          <w:i/>
        </w:rPr>
      </w:pPr>
      <w:r>
        <w:rPr>
          <w:rStyle w:val="FootnoteReference"/>
        </w:rPr>
        <w:footnoteRef/>
      </w:r>
      <w:r>
        <w:t xml:space="preserve"> </w:t>
      </w:r>
      <w:r>
        <w:rPr>
          <w:i/>
        </w:rPr>
        <w:t xml:space="preserve">Washington Utilities and Transportation Commission, </w:t>
      </w:r>
      <w:r>
        <w:t xml:space="preserve">Docket UG-121207, </w:t>
      </w:r>
      <w:r w:rsidRPr="00F801A7">
        <w:t>Policy Statemen</w:t>
      </w:r>
      <w:r>
        <w:t xml:space="preserve">t on the Evaluation of the Cost </w:t>
      </w:r>
      <w:r w:rsidRPr="00F801A7">
        <w:t>Effectiveness of Natural</w:t>
      </w:r>
      <w:r>
        <w:t xml:space="preserve"> Gas Conservation Programs (October 9, 2013) at ¶ 35.</w:t>
      </w:r>
      <w:r>
        <w:rPr>
          <w:i/>
        </w:rPr>
        <w:t xml:space="preserve"> </w:t>
      </w:r>
    </w:p>
  </w:footnote>
  <w:footnote w:id="9">
    <w:p w14:paraId="5AE05F87" w14:textId="77777777" w:rsidR="00D95FBE" w:rsidRDefault="00D95FBE" w:rsidP="00D95FBE">
      <w:pPr>
        <w:pStyle w:val="FootnoteText"/>
      </w:pPr>
      <w:r>
        <w:rPr>
          <w:rStyle w:val="FootnoteReference"/>
        </w:rPr>
        <w:footnoteRef/>
      </w:r>
      <w:r>
        <w:t xml:space="preserve"> For example, a non-energy benefit of an energy-efficient clothes washer is the reduction in water expenses related to relatively low water 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8F94F" w14:textId="20146926" w:rsidR="00F0623D" w:rsidRPr="006C39DB" w:rsidRDefault="006C39DB" w:rsidP="004D7A3E">
    <w:pPr>
      <w:pStyle w:val="Header"/>
      <w:rPr>
        <w:sz w:val="24"/>
        <w:szCs w:val="24"/>
      </w:rPr>
    </w:pPr>
    <w:r w:rsidRPr="006C39DB">
      <w:rPr>
        <w:sz w:val="24"/>
        <w:szCs w:val="24"/>
      </w:rPr>
      <w:t>Attachment</w:t>
    </w:r>
  </w:p>
  <w:p w14:paraId="4BC11D39" w14:textId="3AE649BD" w:rsidR="00F0623D" w:rsidRPr="006C39DB" w:rsidRDefault="00B56689" w:rsidP="004D7A3E">
    <w:pPr>
      <w:pStyle w:val="Header"/>
      <w:rPr>
        <w:sz w:val="24"/>
        <w:szCs w:val="24"/>
      </w:rPr>
    </w:pPr>
    <w:r w:rsidRPr="006C39DB">
      <w:rPr>
        <w:sz w:val="24"/>
        <w:szCs w:val="24"/>
      </w:rPr>
      <w:t>Docket UG-131621</w:t>
    </w:r>
  </w:p>
  <w:p w14:paraId="4A8ADF29" w14:textId="77777777" w:rsidR="00F0623D" w:rsidRPr="006C39DB" w:rsidRDefault="00F0623D" w:rsidP="004D7A3E">
    <w:pPr>
      <w:pStyle w:val="Header"/>
      <w:rPr>
        <w:sz w:val="24"/>
        <w:szCs w:val="24"/>
      </w:rPr>
    </w:pPr>
    <w:r w:rsidRPr="006C39DB">
      <w:rPr>
        <w:sz w:val="24"/>
        <w:szCs w:val="24"/>
      </w:rPr>
      <w:t xml:space="preserve">Page </w:t>
    </w:r>
    <w:r w:rsidRPr="006C39DB">
      <w:rPr>
        <w:sz w:val="24"/>
        <w:szCs w:val="24"/>
      </w:rPr>
      <w:fldChar w:fldCharType="begin"/>
    </w:r>
    <w:r w:rsidRPr="006C39DB">
      <w:rPr>
        <w:sz w:val="24"/>
        <w:szCs w:val="24"/>
      </w:rPr>
      <w:instrText xml:space="preserve"> PAGE  \* Arabic  \* MERGEFORMAT </w:instrText>
    </w:r>
    <w:r w:rsidRPr="006C39DB">
      <w:rPr>
        <w:sz w:val="24"/>
        <w:szCs w:val="24"/>
      </w:rPr>
      <w:fldChar w:fldCharType="separate"/>
    </w:r>
    <w:r w:rsidR="00661E09">
      <w:rPr>
        <w:sz w:val="24"/>
        <w:szCs w:val="24"/>
      </w:rPr>
      <w:t>8</w:t>
    </w:r>
    <w:r w:rsidRPr="006C39DB">
      <w:rPr>
        <w:sz w:val="24"/>
        <w:szCs w:val="24"/>
      </w:rPr>
      <w:fldChar w:fldCharType="end"/>
    </w:r>
    <w:r w:rsidRPr="006C39DB">
      <w:rPr>
        <w:sz w:val="24"/>
        <w:szCs w:val="24"/>
      </w:rPr>
      <w:t xml:space="preserve"> of </w:t>
    </w:r>
    <w:r w:rsidR="00E421C6" w:rsidRPr="006C39DB">
      <w:rPr>
        <w:sz w:val="24"/>
        <w:szCs w:val="24"/>
      </w:rPr>
      <w:fldChar w:fldCharType="begin"/>
    </w:r>
    <w:r w:rsidR="00E421C6" w:rsidRPr="006C39DB">
      <w:rPr>
        <w:sz w:val="24"/>
        <w:szCs w:val="24"/>
      </w:rPr>
      <w:instrText xml:space="preserve"> NUMPAGES  \* Arabic  \* MERGEFORMAT </w:instrText>
    </w:r>
    <w:r w:rsidR="00E421C6" w:rsidRPr="006C39DB">
      <w:rPr>
        <w:sz w:val="24"/>
        <w:szCs w:val="24"/>
      </w:rPr>
      <w:fldChar w:fldCharType="separate"/>
    </w:r>
    <w:r w:rsidR="00661E09">
      <w:rPr>
        <w:sz w:val="24"/>
        <w:szCs w:val="24"/>
      </w:rPr>
      <w:t>8</w:t>
    </w:r>
    <w:r w:rsidR="00E421C6" w:rsidRPr="006C39DB">
      <w:rPr>
        <w:sz w:val="24"/>
        <w:szCs w:val="24"/>
      </w:rPr>
      <w:fldChar w:fldCharType="end"/>
    </w:r>
  </w:p>
  <w:p w14:paraId="4C9FFE5D" w14:textId="77777777" w:rsidR="00F0623D" w:rsidRPr="009F59D7" w:rsidRDefault="00F0623D" w:rsidP="004D7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0523"/>
    <w:multiLevelType w:val="hybridMultilevel"/>
    <w:tmpl w:val="7E66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B566A"/>
    <w:multiLevelType w:val="hybridMultilevel"/>
    <w:tmpl w:val="7110E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C1182"/>
    <w:multiLevelType w:val="hybridMultilevel"/>
    <w:tmpl w:val="B208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3231E"/>
    <w:multiLevelType w:val="hybridMultilevel"/>
    <w:tmpl w:val="8852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24D3B"/>
    <w:multiLevelType w:val="hybridMultilevel"/>
    <w:tmpl w:val="200A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C458B"/>
    <w:multiLevelType w:val="hybridMultilevel"/>
    <w:tmpl w:val="3842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5E3ECB"/>
    <w:multiLevelType w:val="hybridMultilevel"/>
    <w:tmpl w:val="F48C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14723"/>
    <w:multiLevelType w:val="hybridMultilevel"/>
    <w:tmpl w:val="79E4B4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0364C7"/>
    <w:multiLevelType w:val="hybridMultilevel"/>
    <w:tmpl w:val="07B0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F3FFC"/>
    <w:multiLevelType w:val="hybridMultilevel"/>
    <w:tmpl w:val="C28CF1BA"/>
    <w:lvl w:ilvl="0" w:tplc="F88CDA28">
      <w:start w:val="20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400ED"/>
    <w:multiLevelType w:val="hybridMultilevel"/>
    <w:tmpl w:val="55E22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16B3D"/>
    <w:multiLevelType w:val="hybridMultilevel"/>
    <w:tmpl w:val="9CD2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15720"/>
    <w:multiLevelType w:val="hybridMultilevel"/>
    <w:tmpl w:val="5E36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226E9"/>
    <w:multiLevelType w:val="hybridMultilevel"/>
    <w:tmpl w:val="0756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D60F5"/>
    <w:multiLevelType w:val="hybridMultilevel"/>
    <w:tmpl w:val="B936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F34C2"/>
    <w:multiLevelType w:val="hybridMultilevel"/>
    <w:tmpl w:val="8852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66453"/>
    <w:multiLevelType w:val="hybridMultilevel"/>
    <w:tmpl w:val="14B8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F6C89"/>
    <w:multiLevelType w:val="hybridMultilevel"/>
    <w:tmpl w:val="1116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C317A"/>
    <w:multiLevelType w:val="hybridMultilevel"/>
    <w:tmpl w:val="E2A22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B7AA6"/>
    <w:multiLevelType w:val="hybridMultilevel"/>
    <w:tmpl w:val="0B4A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D22CEE"/>
    <w:multiLevelType w:val="hybridMultilevel"/>
    <w:tmpl w:val="98B6E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E76B7B"/>
    <w:multiLevelType w:val="hybridMultilevel"/>
    <w:tmpl w:val="2C80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DF199A"/>
    <w:multiLevelType w:val="hybridMultilevel"/>
    <w:tmpl w:val="AFD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9F3871"/>
    <w:multiLevelType w:val="hybridMultilevel"/>
    <w:tmpl w:val="7F2C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25008"/>
    <w:multiLevelType w:val="hybridMultilevel"/>
    <w:tmpl w:val="60F4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B423B"/>
    <w:multiLevelType w:val="hybridMultilevel"/>
    <w:tmpl w:val="240071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66C7E83"/>
    <w:multiLevelType w:val="hybridMultilevel"/>
    <w:tmpl w:val="88523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9D052C"/>
    <w:multiLevelType w:val="hybridMultilevel"/>
    <w:tmpl w:val="53B23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081E1B"/>
    <w:multiLevelType w:val="hybridMultilevel"/>
    <w:tmpl w:val="40BE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622799"/>
    <w:multiLevelType w:val="hybridMultilevel"/>
    <w:tmpl w:val="97681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7D055E"/>
    <w:multiLevelType w:val="hybridMultilevel"/>
    <w:tmpl w:val="099A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F3574F"/>
    <w:multiLevelType w:val="hybridMultilevel"/>
    <w:tmpl w:val="BE6C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53D0A"/>
    <w:multiLevelType w:val="hybridMultilevel"/>
    <w:tmpl w:val="E140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2154AE"/>
    <w:multiLevelType w:val="hybridMultilevel"/>
    <w:tmpl w:val="D32E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AC20CE"/>
    <w:multiLevelType w:val="hybridMultilevel"/>
    <w:tmpl w:val="669E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1A0020"/>
    <w:multiLevelType w:val="hybridMultilevel"/>
    <w:tmpl w:val="F3AEE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2D519B"/>
    <w:multiLevelType w:val="hybridMultilevel"/>
    <w:tmpl w:val="AE100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BEC5820"/>
    <w:multiLevelType w:val="hybridMultilevel"/>
    <w:tmpl w:val="09B0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266BD"/>
    <w:multiLevelType w:val="hybridMultilevel"/>
    <w:tmpl w:val="43DA5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7B18C7"/>
    <w:multiLevelType w:val="hybridMultilevel"/>
    <w:tmpl w:val="98A6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1"/>
  </w:num>
  <w:num w:numId="4">
    <w:abstractNumId w:val="7"/>
  </w:num>
  <w:num w:numId="5">
    <w:abstractNumId w:val="35"/>
  </w:num>
  <w:num w:numId="6">
    <w:abstractNumId w:val="34"/>
  </w:num>
  <w:num w:numId="7">
    <w:abstractNumId w:val="29"/>
  </w:num>
  <w:num w:numId="8">
    <w:abstractNumId w:val="38"/>
  </w:num>
  <w:num w:numId="9">
    <w:abstractNumId w:val="37"/>
  </w:num>
  <w:num w:numId="10">
    <w:abstractNumId w:val="12"/>
  </w:num>
  <w:num w:numId="11">
    <w:abstractNumId w:val="19"/>
  </w:num>
  <w:num w:numId="12">
    <w:abstractNumId w:val="5"/>
  </w:num>
  <w:num w:numId="13">
    <w:abstractNumId w:val="0"/>
  </w:num>
  <w:num w:numId="14">
    <w:abstractNumId w:val="13"/>
  </w:num>
  <w:num w:numId="15">
    <w:abstractNumId w:val="32"/>
  </w:num>
  <w:num w:numId="16">
    <w:abstractNumId w:val="27"/>
  </w:num>
  <w:num w:numId="17">
    <w:abstractNumId w:val="2"/>
  </w:num>
  <w:num w:numId="18">
    <w:abstractNumId w:val="14"/>
  </w:num>
  <w:num w:numId="19">
    <w:abstractNumId w:val="33"/>
  </w:num>
  <w:num w:numId="20">
    <w:abstractNumId w:val="16"/>
  </w:num>
  <w:num w:numId="21">
    <w:abstractNumId w:val="39"/>
  </w:num>
  <w:num w:numId="22">
    <w:abstractNumId w:val="11"/>
  </w:num>
  <w:num w:numId="23">
    <w:abstractNumId w:val="24"/>
  </w:num>
  <w:num w:numId="24">
    <w:abstractNumId w:val="30"/>
  </w:num>
  <w:num w:numId="25">
    <w:abstractNumId w:val="22"/>
  </w:num>
  <w:num w:numId="26">
    <w:abstractNumId w:val="4"/>
  </w:num>
  <w:num w:numId="27">
    <w:abstractNumId w:val="10"/>
  </w:num>
  <w:num w:numId="28">
    <w:abstractNumId w:val="21"/>
  </w:num>
  <w:num w:numId="29">
    <w:abstractNumId w:val="23"/>
  </w:num>
  <w:num w:numId="30">
    <w:abstractNumId w:val="20"/>
  </w:num>
  <w:num w:numId="31">
    <w:abstractNumId w:val="28"/>
  </w:num>
  <w:num w:numId="32">
    <w:abstractNumId w:val="6"/>
  </w:num>
  <w:num w:numId="33">
    <w:abstractNumId w:val="1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8"/>
  </w:num>
  <w:num w:numId="37">
    <w:abstractNumId w:val="26"/>
  </w:num>
  <w:num w:numId="38">
    <w:abstractNumId w:val="15"/>
  </w:num>
  <w:num w:numId="39">
    <w:abstractNumId w:val="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96"/>
    <w:rsid w:val="00000734"/>
    <w:rsid w:val="00002FCF"/>
    <w:rsid w:val="00004B4F"/>
    <w:rsid w:val="00011205"/>
    <w:rsid w:val="00011323"/>
    <w:rsid w:val="0001165A"/>
    <w:rsid w:val="00011908"/>
    <w:rsid w:val="0001286B"/>
    <w:rsid w:val="00013997"/>
    <w:rsid w:val="00014396"/>
    <w:rsid w:val="000155FC"/>
    <w:rsid w:val="0002045D"/>
    <w:rsid w:val="0002353E"/>
    <w:rsid w:val="00024CE3"/>
    <w:rsid w:val="00031F7E"/>
    <w:rsid w:val="000369CB"/>
    <w:rsid w:val="00037520"/>
    <w:rsid w:val="000400EE"/>
    <w:rsid w:val="000403D8"/>
    <w:rsid w:val="00042D3F"/>
    <w:rsid w:val="0004538F"/>
    <w:rsid w:val="00046D2D"/>
    <w:rsid w:val="0005110A"/>
    <w:rsid w:val="000533B6"/>
    <w:rsid w:val="00056AF2"/>
    <w:rsid w:val="000704B7"/>
    <w:rsid w:val="000740AC"/>
    <w:rsid w:val="0007426C"/>
    <w:rsid w:val="00075381"/>
    <w:rsid w:val="00075944"/>
    <w:rsid w:val="000800E0"/>
    <w:rsid w:val="00080EB2"/>
    <w:rsid w:val="00082049"/>
    <w:rsid w:val="000821AA"/>
    <w:rsid w:val="00084A52"/>
    <w:rsid w:val="00085B9D"/>
    <w:rsid w:val="00086428"/>
    <w:rsid w:val="00086CB6"/>
    <w:rsid w:val="0008743D"/>
    <w:rsid w:val="00090104"/>
    <w:rsid w:val="000911B9"/>
    <w:rsid w:val="000A0ED2"/>
    <w:rsid w:val="000A28EB"/>
    <w:rsid w:val="000A4480"/>
    <w:rsid w:val="000A4FC4"/>
    <w:rsid w:val="000B551B"/>
    <w:rsid w:val="000B5CDE"/>
    <w:rsid w:val="000B5F91"/>
    <w:rsid w:val="000B6538"/>
    <w:rsid w:val="000C0DDC"/>
    <w:rsid w:val="000C210D"/>
    <w:rsid w:val="000C3ED5"/>
    <w:rsid w:val="000C429D"/>
    <w:rsid w:val="000C6033"/>
    <w:rsid w:val="000C651A"/>
    <w:rsid w:val="000C6C14"/>
    <w:rsid w:val="000D192C"/>
    <w:rsid w:val="000D2CA6"/>
    <w:rsid w:val="000E010A"/>
    <w:rsid w:val="000E1A57"/>
    <w:rsid w:val="000E2280"/>
    <w:rsid w:val="000E315B"/>
    <w:rsid w:val="000F0507"/>
    <w:rsid w:val="000F0C82"/>
    <w:rsid w:val="000F1512"/>
    <w:rsid w:val="000F3D31"/>
    <w:rsid w:val="000F553C"/>
    <w:rsid w:val="000F69E0"/>
    <w:rsid w:val="000F6B27"/>
    <w:rsid w:val="00100047"/>
    <w:rsid w:val="0010084C"/>
    <w:rsid w:val="00106154"/>
    <w:rsid w:val="00107DDC"/>
    <w:rsid w:val="00115C3F"/>
    <w:rsid w:val="00116891"/>
    <w:rsid w:val="00121238"/>
    <w:rsid w:val="00123FC9"/>
    <w:rsid w:val="00124316"/>
    <w:rsid w:val="0013065D"/>
    <w:rsid w:val="001334F4"/>
    <w:rsid w:val="001428D5"/>
    <w:rsid w:val="00143EE3"/>
    <w:rsid w:val="001452B8"/>
    <w:rsid w:val="00145307"/>
    <w:rsid w:val="00147026"/>
    <w:rsid w:val="00147200"/>
    <w:rsid w:val="00147B12"/>
    <w:rsid w:val="00150207"/>
    <w:rsid w:val="0015469C"/>
    <w:rsid w:val="001555CD"/>
    <w:rsid w:val="00156E35"/>
    <w:rsid w:val="001574E6"/>
    <w:rsid w:val="00157CCB"/>
    <w:rsid w:val="00162E61"/>
    <w:rsid w:val="00164B89"/>
    <w:rsid w:val="00165CDC"/>
    <w:rsid w:val="001669DA"/>
    <w:rsid w:val="00166F07"/>
    <w:rsid w:val="0017029C"/>
    <w:rsid w:val="001723B9"/>
    <w:rsid w:val="00174642"/>
    <w:rsid w:val="00176F07"/>
    <w:rsid w:val="0018308F"/>
    <w:rsid w:val="00184C4E"/>
    <w:rsid w:val="00185148"/>
    <w:rsid w:val="0018597D"/>
    <w:rsid w:val="001907AB"/>
    <w:rsid w:val="00196000"/>
    <w:rsid w:val="001963C6"/>
    <w:rsid w:val="00197ED7"/>
    <w:rsid w:val="001A1C79"/>
    <w:rsid w:val="001A3260"/>
    <w:rsid w:val="001B449A"/>
    <w:rsid w:val="001B485A"/>
    <w:rsid w:val="001B7265"/>
    <w:rsid w:val="001C084E"/>
    <w:rsid w:val="001C28E7"/>
    <w:rsid w:val="001C2C9A"/>
    <w:rsid w:val="001C6817"/>
    <w:rsid w:val="001C6833"/>
    <w:rsid w:val="001D02C8"/>
    <w:rsid w:val="001D10EA"/>
    <w:rsid w:val="001D2041"/>
    <w:rsid w:val="001D30EA"/>
    <w:rsid w:val="001D487C"/>
    <w:rsid w:val="001D4B54"/>
    <w:rsid w:val="001D52FE"/>
    <w:rsid w:val="001D5FFE"/>
    <w:rsid w:val="001D7D06"/>
    <w:rsid w:val="001E3A0E"/>
    <w:rsid w:val="001E4C4E"/>
    <w:rsid w:val="001E4C8A"/>
    <w:rsid w:val="001E7F60"/>
    <w:rsid w:val="001F31EF"/>
    <w:rsid w:val="001F5C9D"/>
    <w:rsid w:val="001F6467"/>
    <w:rsid w:val="002013EF"/>
    <w:rsid w:val="00201740"/>
    <w:rsid w:val="002029C5"/>
    <w:rsid w:val="0020392C"/>
    <w:rsid w:val="002047A5"/>
    <w:rsid w:val="0020650D"/>
    <w:rsid w:val="002118FA"/>
    <w:rsid w:val="00214698"/>
    <w:rsid w:val="00215080"/>
    <w:rsid w:val="00215511"/>
    <w:rsid w:val="00215C39"/>
    <w:rsid w:val="00226151"/>
    <w:rsid w:val="00230A6C"/>
    <w:rsid w:val="00230B4C"/>
    <w:rsid w:val="00232A88"/>
    <w:rsid w:val="00234274"/>
    <w:rsid w:val="00237156"/>
    <w:rsid w:val="00242583"/>
    <w:rsid w:val="00244862"/>
    <w:rsid w:val="00244CD3"/>
    <w:rsid w:val="00250426"/>
    <w:rsid w:val="00250428"/>
    <w:rsid w:val="00255842"/>
    <w:rsid w:val="00255EBA"/>
    <w:rsid w:val="002619F0"/>
    <w:rsid w:val="00262D04"/>
    <w:rsid w:val="002660ED"/>
    <w:rsid w:val="00267194"/>
    <w:rsid w:val="00272BD2"/>
    <w:rsid w:val="00275580"/>
    <w:rsid w:val="00277D7A"/>
    <w:rsid w:val="00281CEB"/>
    <w:rsid w:val="0028238F"/>
    <w:rsid w:val="00282497"/>
    <w:rsid w:val="0028585B"/>
    <w:rsid w:val="00286818"/>
    <w:rsid w:val="002876FB"/>
    <w:rsid w:val="00290957"/>
    <w:rsid w:val="00296FA8"/>
    <w:rsid w:val="002A1C2E"/>
    <w:rsid w:val="002A515A"/>
    <w:rsid w:val="002A5569"/>
    <w:rsid w:val="002A756B"/>
    <w:rsid w:val="002B1286"/>
    <w:rsid w:val="002B1750"/>
    <w:rsid w:val="002B2B4F"/>
    <w:rsid w:val="002B2F7C"/>
    <w:rsid w:val="002B42F9"/>
    <w:rsid w:val="002C1E95"/>
    <w:rsid w:val="002C257F"/>
    <w:rsid w:val="002C6484"/>
    <w:rsid w:val="002D0566"/>
    <w:rsid w:val="002D0748"/>
    <w:rsid w:val="002D7221"/>
    <w:rsid w:val="002D770C"/>
    <w:rsid w:val="002E1C56"/>
    <w:rsid w:val="002E2C20"/>
    <w:rsid w:val="002E5134"/>
    <w:rsid w:val="002E56C5"/>
    <w:rsid w:val="002E5B19"/>
    <w:rsid w:val="002F09C1"/>
    <w:rsid w:val="002F2D2E"/>
    <w:rsid w:val="002F4BEA"/>
    <w:rsid w:val="002F5B81"/>
    <w:rsid w:val="00300415"/>
    <w:rsid w:val="00305E92"/>
    <w:rsid w:val="00306780"/>
    <w:rsid w:val="00307EB2"/>
    <w:rsid w:val="003103A8"/>
    <w:rsid w:val="00314E70"/>
    <w:rsid w:val="00316BF6"/>
    <w:rsid w:val="0033077D"/>
    <w:rsid w:val="003403D6"/>
    <w:rsid w:val="00340D28"/>
    <w:rsid w:val="0034192A"/>
    <w:rsid w:val="0034348B"/>
    <w:rsid w:val="003458F6"/>
    <w:rsid w:val="003460B7"/>
    <w:rsid w:val="00350E44"/>
    <w:rsid w:val="00352103"/>
    <w:rsid w:val="00353B1E"/>
    <w:rsid w:val="00353C97"/>
    <w:rsid w:val="00353EF1"/>
    <w:rsid w:val="00355FF0"/>
    <w:rsid w:val="00357E03"/>
    <w:rsid w:val="00363A8B"/>
    <w:rsid w:val="003670A0"/>
    <w:rsid w:val="00373532"/>
    <w:rsid w:val="0037628A"/>
    <w:rsid w:val="00377E1C"/>
    <w:rsid w:val="00377EFB"/>
    <w:rsid w:val="0038010F"/>
    <w:rsid w:val="00382574"/>
    <w:rsid w:val="00384FA4"/>
    <w:rsid w:val="003859E0"/>
    <w:rsid w:val="00385FB0"/>
    <w:rsid w:val="00386316"/>
    <w:rsid w:val="00390B37"/>
    <w:rsid w:val="00390DD9"/>
    <w:rsid w:val="003910AB"/>
    <w:rsid w:val="0039178D"/>
    <w:rsid w:val="00397938"/>
    <w:rsid w:val="003A116A"/>
    <w:rsid w:val="003A5DD6"/>
    <w:rsid w:val="003A6B28"/>
    <w:rsid w:val="003B34EF"/>
    <w:rsid w:val="003B48C9"/>
    <w:rsid w:val="003B654E"/>
    <w:rsid w:val="003B7EB0"/>
    <w:rsid w:val="003C0D71"/>
    <w:rsid w:val="003C36D9"/>
    <w:rsid w:val="003C3844"/>
    <w:rsid w:val="003C3AF3"/>
    <w:rsid w:val="003C4F1C"/>
    <w:rsid w:val="003C7016"/>
    <w:rsid w:val="003C7710"/>
    <w:rsid w:val="003D2330"/>
    <w:rsid w:val="003D3395"/>
    <w:rsid w:val="003E077C"/>
    <w:rsid w:val="003E44AB"/>
    <w:rsid w:val="003E6D45"/>
    <w:rsid w:val="003F0FF0"/>
    <w:rsid w:val="003F391B"/>
    <w:rsid w:val="003F3E1F"/>
    <w:rsid w:val="003F54D6"/>
    <w:rsid w:val="003F5600"/>
    <w:rsid w:val="003F638B"/>
    <w:rsid w:val="003F63ED"/>
    <w:rsid w:val="003F736B"/>
    <w:rsid w:val="00400872"/>
    <w:rsid w:val="00400CC6"/>
    <w:rsid w:val="00404D2E"/>
    <w:rsid w:val="0041176D"/>
    <w:rsid w:val="00412E37"/>
    <w:rsid w:val="00413715"/>
    <w:rsid w:val="00420536"/>
    <w:rsid w:val="00423C71"/>
    <w:rsid w:val="00425180"/>
    <w:rsid w:val="004265C2"/>
    <w:rsid w:val="004339EB"/>
    <w:rsid w:val="00434EE6"/>
    <w:rsid w:val="004373DB"/>
    <w:rsid w:val="00444302"/>
    <w:rsid w:val="00450CB8"/>
    <w:rsid w:val="00451BC6"/>
    <w:rsid w:val="00457591"/>
    <w:rsid w:val="00462E82"/>
    <w:rsid w:val="00464DE3"/>
    <w:rsid w:val="00467AE3"/>
    <w:rsid w:val="004725A2"/>
    <w:rsid w:val="00472E9B"/>
    <w:rsid w:val="00475F03"/>
    <w:rsid w:val="0047651A"/>
    <w:rsid w:val="00476A73"/>
    <w:rsid w:val="004779B6"/>
    <w:rsid w:val="00477CB4"/>
    <w:rsid w:val="004809E1"/>
    <w:rsid w:val="00480AA4"/>
    <w:rsid w:val="00480D9D"/>
    <w:rsid w:val="0049440E"/>
    <w:rsid w:val="00496238"/>
    <w:rsid w:val="004A331D"/>
    <w:rsid w:val="004A6634"/>
    <w:rsid w:val="004B0FBD"/>
    <w:rsid w:val="004B362B"/>
    <w:rsid w:val="004B394B"/>
    <w:rsid w:val="004B5C26"/>
    <w:rsid w:val="004C0CEA"/>
    <w:rsid w:val="004C1189"/>
    <w:rsid w:val="004C1B36"/>
    <w:rsid w:val="004C29F9"/>
    <w:rsid w:val="004C3FC9"/>
    <w:rsid w:val="004C6A61"/>
    <w:rsid w:val="004C6C38"/>
    <w:rsid w:val="004C7D81"/>
    <w:rsid w:val="004D1C76"/>
    <w:rsid w:val="004D52E3"/>
    <w:rsid w:val="004D5B7A"/>
    <w:rsid w:val="004D709C"/>
    <w:rsid w:val="004D7717"/>
    <w:rsid w:val="004D7A3E"/>
    <w:rsid w:val="004E0C16"/>
    <w:rsid w:val="004E0F0B"/>
    <w:rsid w:val="004E2556"/>
    <w:rsid w:val="004E2F32"/>
    <w:rsid w:val="004E3F5F"/>
    <w:rsid w:val="004E4378"/>
    <w:rsid w:val="004E49A7"/>
    <w:rsid w:val="004F341D"/>
    <w:rsid w:val="004F4230"/>
    <w:rsid w:val="004F4CDF"/>
    <w:rsid w:val="005008A2"/>
    <w:rsid w:val="00500E14"/>
    <w:rsid w:val="005021A7"/>
    <w:rsid w:val="00516145"/>
    <w:rsid w:val="00517A1A"/>
    <w:rsid w:val="00524413"/>
    <w:rsid w:val="00525AC6"/>
    <w:rsid w:val="00526A2F"/>
    <w:rsid w:val="00527ACD"/>
    <w:rsid w:val="00531AC3"/>
    <w:rsid w:val="00535E09"/>
    <w:rsid w:val="00537707"/>
    <w:rsid w:val="00542AA8"/>
    <w:rsid w:val="00543E8F"/>
    <w:rsid w:val="00544012"/>
    <w:rsid w:val="00547B79"/>
    <w:rsid w:val="00547BE1"/>
    <w:rsid w:val="00547BFB"/>
    <w:rsid w:val="0055245B"/>
    <w:rsid w:val="00553054"/>
    <w:rsid w:val="0055340D"/>
    <w:rsid w:val="00554715"/>
    <w:rsid w:val="00557FF9"/>
    <w:rsid w:val="00561B9C"/>
    <w:rsid w:val="00564E45"/>
    <w:rsid w:val="00572124"/>
    <w:rsid w:val="00575078"/>
    <w:rsid w:val="005762D8"/>
    <w:rsid w:val="00577A8F"/>
    <w:rsid w:val="005801DC"/>
    <w:rsid w:val="00583C9D"/>
    <w:rsid w:val="005919A4"/>
    <w:rsid w:val="0059212C"/>
    <w:rsid w:val="00592D9E"/>
    <w:rsid w:val="00597F29"/>
    <w:rsid w:val="005A00B6"/>
    <w:rsid w:val="005A355F"/>
    <w:rsid w:val="005A4681"/>
    <w:rsid w:val="005A6F30"/>
    <w:rsid w:val="005B000F"/>
    <w:rsid w:val="005B14B8"/>
    <w:rsid w:val="005B2772"/>
    <w:rsid w:val="005B5EB7"/>
    <w:rsid w:val="005B66D0"/>
    <w:rsid w:val="005B6D85"/>
    <w:rsid w:val="005B7445"/>
    <w:rsid w:val="005C1EF5"/>
    <w:rsid w:val="005C2ABC"/>
    <w:rsid w:val="005C2CFE"/>
    <w:rsid w:val="005C3512"/>
    <w:rsid w:val="005D29F4"/>
    <w:rsid w:val="005D39E4"/>
    <w:rsid w:val="005D5367"/>
    <w:rsid w:val="005D7982"/>
    <w:rsid w:val="005E3E94"/>
    <w:rsid w:val="005E64FF"/>
    <w:rsid w:val="005F0F33"/>
    <w:rsid w:val="005F1430"/>
    <w:rsid w:val="005F7A3B"/>
    <w:rsid w:val="0060348E"/>
    <w:rsid w:val="00604C5F"/>
    <w:rsid w:val="00611156"/>
    <w:rsid w:val="00611223"/>
    <w:rsid w:val="00613E86"/>
    <w:rsid w:val="00615DF9"/>
    <w:rsid w:val="00621E85"/>
    <w:rsid w:val="00622B83"/>
    <w:rsid w:val="006249A1"/>
    <w:rsid w:val="006254DA"/>
    <w:rsid w:val="00627C41"/>
    <w:rsid w:val="00633880"/>
    <w:rsid w:val="00634E15"/>
    <w:rsid w:val="00635A4B"/>
    <w:rsid w:val="00637A50"/>
    <w:rsid w:val="006405E3"/>
    <w:rsid w:val="006429A4"/>
    <w:rsid w:val="00645CFE"/>
    <w:rsid w:val="00651D3E"/>
    <w:rsid w:val="0065300E"/>
    <w:rsid w:val="00653B07"/>
    <w:rsid w:val="00661E09"/>
    <w:rsid w:val="0066619C"/>
    <w:rsid w:val="00666C18"/>
    <w:rsid w:val="006712E0"/>
    <w:rsid w:val="0067152A"/>
    <w:rsid w:val="00676300"/>
    <w:rsid w:val="006813E2"/>
    <w:rsid w:val="0068216F"/>
    <w:rsid w:val="006848AA"/>
    <w:rsid w:val="006867A5"/>
    <w:rsid w:val="00686A07"/>
    <w:rsid w:val="00686D7A"/>
    <w:rsid w:val="006903FC"/>
    <w:rsid w:val="00691152"/>
    <w:rsid w:val="00694981"/>
    <w:rsid w:val="006960DF"/>
    <w:rsid w:val="00696D41"/>
    <w:rsid w:val="00696F7A"/>
    <w:rsid w:val="006A0159"/>
    <w:rsid w:val="006A3139"/>
    <w:rsid w:val="006A7450"/>
    <w:rsid w:val="006B3476"/>
    <w:rsid w:val="006B37CC"/>
    <w:rsid w:val="006B3C8E"/>
    <w:rsid w:val="006B4790"/>
    <w:rsid w:val="006B6B73"/>
    <w:rsid w:val="006B7209"/>
    <w:rsid w:val="006C39DB"/>
    <w:rsid w:val="006C6CE4"/>
    <w:rsid w:val="006C77A5"/>
    <w:rsid w:val="006E0D06"/>
    <w:rsid w:val="006E1637"/>
    <w:rsid w:val="006E2A91"/>
    <w:rsid w:val="006E4BDC"/>
    <w:rsid w:val="006E6AB4"/>
    <w:rsid w:val="006F0BCD"/>
    <w:rsid w:val="006F356B"/>
    <w:rsid w:val="006F4764"/>
    <w:rsid w:val="006F6611"/>
    <w:rsid w:val="0070085A"/>
    <w:rsid w:val="00702075"/>
    <w:rsid w:val="00704BED"/>
    <w:rsid w:val="00706F74"/>
    <w:rsid w:val="00711021"/>
    <w:rsid w:val="00720BF9"/>
    <w:rsid w:val="00723821"/>
    <w:rsid w:val="00723F0B"/>
    <w:rsid w:val="00724E3C"/>
    <w:rsid w:val="00727777"/>
    <w:rsid w:val="00735DA6"/>
    <w:rsid w:val="00737A9A"/>
    <w:rsid w:val="00737C1A"/>
    <w:rsid w:val="0074128A"/>
    <w:rsid w:val="0075213F"/>
    <w:rsid w:val="00752D02"/>
    <w:rsid w:val="00752EB9"/>
    <w:rsid w:val="0075586F"/>
    <w:rsid w:val="00756C42"/>
    <w:rsid w:val="00757859"/>
    <w:rsid w:val="007629E2"/>
    <w:rsid w:val="007648D7"/>
    <w:rsid w:val="00764EDB"/>
    <w:rsid w:val="007657AA"/>
    <w:rsid w:val="007714CE"/>
    <w:rsid w:val="00771FD3"/>
    <w:rsid w:val="00773574"/>
    <w:rsid w:val="00773E3E"/>
    <w:rsid w:val="00774FFF"/>
    <w:rsid w:val="00775DFF"/>
    <w:rsid w:val="00777000"/>
    <w:rsid w:val="007833BF"/>
    <w:rsid w:val="007843B9"/>
    <w:rsid w:val="0078496A"/>
    <w:rsid w:val="007863E0"/>
    <w:rsid w:val="007911A7"/>
    <w:rsid w:val="0079266F"/>
    <w:rsid w:val="007950DC"/>
    <w:rsid w:val="00796DF6"/>
    <w:rsid w:val="007A096D"/>
    <w:rsid w:val="007A147B"/>
    <w:rsid w:val="007A3FE9"/>
    <w:rsid w:val="007A552A"/>
    <w:rsid w:val="007A63FB"/>
    <w:rsid w:val="007B175A"/>
    <w:rsid w:val="007B20B5"/>
    <w:rsid w:val="007B270E"/>
    <w:rsid w:val="007B2B79"/>
    <w:rsid w:val="007B3296"/>
    <w:rsid w:val="007B3C22"/>
    <w:rsid w:val="007C1656"/>
    <w:rsid w:val="007C176A"/>
    <w:rsid w:val="007D1445"/>
    <w:rsid w:val="007D35FC"/>
    <w:rsid w:val="007D635A"/>
    <w:rsid w:val="007E2596"/>
    <w:rsid w:val="007E3B00"/>
    <w:rsid w:val="007F046B"/>
    <w:rsid w:val="007F2FB0"/>
    <w:rsid w:val="007F30F1"/>
    <w:rsid w:val="007F6A09"/>
    <w:rsid w:val="007F7B99"/>
    <w:rsid w:val="008007BB"/>
    <w:rsid w:val="00801180"/>
    <w:rsid w:val="00805F1E"/>
    <w:rsid w:val="00810ADB"/>
    <w:rsid w:val="00811E00"/>
    <w:rsid w:val="00812C2D"/>
    <w:rsid w:val="00814AAF"/>
    <w:rsid w:val="00816227"/>
    <w:rsid w:val="008179A5"/>
    <w:rsid w:val="0082077F"/>
    <w:rsid w:val="008229F9"/>
    <w:rsid w:val="008308D6"/>
    <w:rsid w:val="00832CAF"/>
    <w:rsid w:val="00834187"/>
    <w:rsid w:val="008358CB"/>
    <w:rsid w:val="00835F11"/>
    <w:rsid w:val="00836D0A"/>
    <w:rsid w:val="00843DC1"/>
    <w:rsid w:val="00846FA4"/>
    <w:rsid w:val="0084785E"/>
    <w:rsid w:val="00851223"/>
    <w:rsid w:val="00851273"/>
    <w:rsid w:val="00852290"/>
    <w:rsid w:val="00853F0C"/>
    <w:rsid w:val="00854C4D"/>
    <w:rsid w:val="00856487"/>
    <w:rsid w:val="00857894"/>
    <w:rsid w:val="0086762D"/>
    <w:rsid w:val="00873678"/>
    <w:rsid w:val="00874BC5"/>
    <w:rsid w:val="00874C26"/>
    <w:rsid w:val="00875B5B"/>
    <w:rsid w:val="0087609F"/>
    <w:rsid w:val="00876D49"/>
    <w:rsid w:val="00876E3A"/>
    <w:rsid w:val="008776B2"/>
    <w:rsid w:val="0088112D"/>
    <w:rsid w:val="00882625"/>
    <w:rsid w:val="00882E5C"/>
    <w:rsid w:val="00884554"/>
    <w:rsid w:val="008872B7"/>
    <w:rsid w:val="00887A62"/>
    <w:rsid w:val="0089156E"/>
    <w:rsid w:val="00893B1C"/>
    <w:rsid w:val="0089608A"/>
    <w:rsid w:val="00896AAB"/>
    <w:rsid w:val="00897879"/>
    <w:rsid w:val="00897B54"/>
    <w:rsid w:val="008A027C"/>
    <w:rsid w:val="008A3345"/>
    <w:rsid w:val="008A4601"/>
    <w:rsid w:val="008A5782"/>
    <w:rsid w:val="008A64AC"/>
    <w:rsid w:val="008A743A"/>
    <w:rsid w:val="008B03E9"/>
    <w:rsid w:val="008B0E20"/>
    <w:rsid w:val="008B2A72"/>
    <w:rsid w:val="008B31C4"/>
    <w:rsid w:val="008B478D"/>
    <w:rsid w:val="008B4E18"/>
    <w:rsid w:val="008C291E"/>
    <w:rsid w:val="008C7BB8"/>
    <w:rsid w:val="008D486D"/>
    <w:rsid w:val="008D5535"/>
    <w:rsid w:val="008D67BF"/>
    <w:rsid w:val="008D7706"/>
    <w:rsid w:val="008E1990"/>
    <w:rsid w:val="008E2FC2"/>
    <w:rsid w:val="008E2FEE"/>
    <w:rsid w:val="008E5FDC"/>
    <w:rsid w:val="008F1247"/>
    <w:rsid w:val="009003A0"/>
    <w:rsid w:val="0090108A"/>
    <w:rsid w:val="00905533"/>
    <w:rsid w:val="00906796"/>
    <w:rsid w:val="00913033"/>
    <w:rsid w:val="009140DE"/>
    <w:rsid w:val="00914195"/>
    <w:rsid w:val="00917B4B"/>
    <w:rsid w:val="00920E26"/>
    <w:rsid w:val="0092355A"/>
    <w:rsid w:val="00925ADE"/>
    <w:rsid w:val="009260E6"/>
    <w:rsid w:val="00932BB6"/>
    <w:rsid w:val="0093352E"/>
    <w:rsid w:val="00933E34"/>
    <w:rsid w:val="00940CFD"/>
    <w:rsid w:val="009414A6"/>
    <w:rsid w:val="00943F32"/>
    <w:rsid w:val="009441C8"/>
    <w:rsid w:val="00944C9C"/>
    <w:rsid w:val="00951CE1"/>
    <w:rsid w:val="00953134"/>
    <w:rsid w:val="009538FB"/>
    <w:rsid w:val="00953EC1"/>
    <w:rsid w:val="0095413C"/>
    <w:rsid w:val="0095456E"/>
    <w:rsid w:val="00955036"/>
    <w:rsid w:val="009563C6"/>
    <w:rsid w:val="00957580"/>
    <w:rsid w:val="0096197F"/>
    <w:rsid w:val="00963ED6"/>
    <w:rsid w:val="00966272"/>
    <w:rsid w:val="00966374"/>
    <w:rsid w:val="0097509D"/>
    <w:rsid w:val="009759C2"/>
    <w:rsid w:val="00975DE6"/>
    <w:rsid w:val="00983927"/>
    <w:rsid w:val="00985A55"/>
    <w:rsid w:val="0098659A"/>
    <w:rsid w:val="00987A4A"/>
    <w:rsid w:val="009903DB"/>
    <w:rsid w:val="00990750"/>
    <w:rsid w:val="00991C2E"/>
    <w:rsid w:val="009953F6"/>
    <w:rsid w:val="0099571A"/>
    <w:rsid w:val="00995B5E"/>
    <w:rsid w:val="00997094"/>
    <w:rsid w:val="009A0243"/>
    <w:rsid w:val="009A3B46"/>
    <w:rsid w:val="009A5860"/>
    <w:rsid w:val="009B0155"/>
    <w:rsid w:val="009B03C1"/>
    <w:rsid w:val="009C4BB1"/>
    <w:rsid w:val="009D01E1"/>
    <w:rsid w:val="009D2D6A"/>
    <w:rsid w:val="009D323C"/>
    <w:rsid w:val="009D357C"/>
    <w:rsid w:val="009D520E"/>
    <w:rsid w:val="009D5F7C"/>
    <w:rsid w:val="009D6FFA"/>
    <w:rsid w:val="009D7687"/>
    <w:rsid w:val="009D76D5"/>
    <w:rsid w:val="009E051B"/>
    <w:rsid w:val="009E0F40"/>
    <w:rsid w:val="009E281E"/>
    <w:rsid w:val="009E7250"/>
    <w:rsid w:val="009E75EC"/>
    <w:rsid w:val="009E77C2"/>
    <w:rsid w:val="009F08A4"/>
    <w:rsid w:val="009F2363"/>
    <w:rsid w:val="009F2CA5"/>
    <w:rsid w:val="009F59D7"/>
    <w:rsid w:val="009F68AD"/>
    <w:rsid w:val="009F78B9"/>
    <w:rsid w:val="00A0678B"/>
    <w:rsid w:val="00A11C07"/>
    <w:rsid w:val="00A156A0"/>
    <w:rsid w:val="00A15B95"/>
    <w:rsid w:val="00A1657A"/>
    <w:rsid w:val="00A1761F"/>
    <w:rsid w:val="00A31E03"/>
    <w:rsid w:val="00A32723"/>
    <w:rsid w:val="00A32DBB"/>
    <w:rsid w:val="00A33082"/>
    <w:rsid w:val="00A36C9E"/>
    <w:rsid w:val="00A45651"/>
    <w:rsid w:val="00A479F8"/>
    <w:rsid w:val="00A50CDF"/>
    <w:rsid w:val="00A534E5"/>
    <w:rsid w:val="00A53A77"/>
    <w:rsid w:val="00A56EB1"/>
    <w:rsid w:val="00A57740"/>
    <w:rsid w:val="00A601F1"/>
    <w:rsid w:val="00A60311"/>
    <w:rsid w:val="00A61580"/>
    <w:rsid w:val="00A61895"/>
    <w:rsid w:val="00A61C8E"/>
    <w:rsid w:val="00A63743"/>
    <w:rsid w:val="00A7091B"/>
    <w:rsid w:val="00A725E5"/>
    <w:rsid w:val="00A7374E"/>
    <w:rsid w:val="00A73C59"/>
    <w:rsid w:val="00A74C4D"/>
    <w:rsid w:val="00A764BB"/>
    <w:rsid w:val="00A7677D"/>
    <w:rsid w:val="00A94AF1"/>
    <w:rsid w:val="00A95B6A"/>
    <w:rsid w:val="00A9756F"/>
    <w:rsid w:val="00A97E3C"/>
    <w:rsid w:val="00AA7A31"/>
    <w:rsid w:val="00AB26C0"/>
    <w:rsid w:val="00AB4E0A"/>
    <w:rsid w:val="00AB68CC"/>
    <w:rsid w:val="00AC052D"/>
    <w:rsid w:val="00AC1692"/>
    <w:rsid w:val="00AC71AC"/>
    <w:rsid w:val="00AC72A5"/>
    <w:rsid w:val="00AD01A1"/>
    <w:rsid w:val="00AD1F20"/>
    <w:rsid w:val="00AD4DBC"/>
    <w:rsid w:val="00AD6EB7"/>
    <w:rsid w:val="00AD7208"/>
    <w:rsid w:val="00AE2A55"/>
    <w:rsid w:val="00AE2FE5"/>
    <w:rsid w:val="00AE4A97"/>
    <w:rsid w:val="00AE6AE8"/>
    <w:rsid w:val="00AF143A"/>
    <w:rsid w:val="00AF65BB"/>
    <w:rsid w:val="00AF75C5"/>
    <w:rsid w:val="00B02FE9"/>
    <w:rsid w:val="00B03545"/>
    <w:rsid w:val="00B03591"/>
    <w:rsid w:val="00B07D91"/>
    <w:rsid w:val="00B1241E"/>
    <w:rsid w:val="00B14B96"/>
    <w:rsid w:val="00B15ABC"/>
    <w:rsid w:val="00B16B98"/>
    <w:rsid w:val="00B16BE2"/>
    <w:rsid w:val="00B1721B"/>
    <w:rsid w:val="00B17683"/>
    <w:rsid w:val="00B209A3"/>
    <w:rsid w:val="00B234C7"/>
    <w:rsid w:val="00B26335"/>
    <w:rsid w:val="00B322A9"/>
    <w:rsid w:val="00B3484E"/>
    <w:rsid w:val="00B3491E"/>
    <w:rsid w:val="00B34B53"/>
    <w:rsid w:val="00B34EC9"/>
    <w:rsid w:val="00B3569A"/>
    <w:rsid w:val="00B35EEB"/>
    <w:rsid w:val="00B42256"/>
    <w:rsid w:val="00B45E91"/>
    <w:rsid w:val="00B46F5B"/>
    <w:rsid w:val="00B512D0"/>
    <w:rsid w:val="00B51CA9"/>
    <w:rsid w:val="00B52286"/>
    <w:rsid w:val="00B54DEB"/>
    <w:rsid w:val="00B54E43"/>
    <w:rsid w:val="00B56689"/>
    <w:rsid w:val="00B578CF"/>
    <w:rsid w:val="00B612F0"/>
    <w:rsid w:val="00B6327D"/>
    <w:rsid w:val="00B6557D"/>
    <w:rsid w:val="00B66E98"/>
    <w:rsid w:val="00B726D3"/>
    <w:rsid w:val="00B72F89"/>
    <w:rsid w:val="00B73E6D"/>
    <w:rsid w:val="00B7428E"/>
    <w:rsid w:val="00B7626A"/>
    <w:rsid w:val="00B77657"/>
    <w:rsid w:val="00B81916"/>
    <w:rsid w:val="00B874EA"/>
    <w:rsid w:val="00B91383"/>
    <w:rsid w:val="00B932FE"/>
    <w:rsid w:val="00B936FE"/>
    <w:rsid w:val="00B9552F"/>
    <w:rsid w:val="00BA08C9"/>
    <w:rsid w:val="00BA3A96"/>
    <w:rsid w:val="00BA421C"/>
    <w:rsid w:val="00BA491C"/>
    <w:rsid w:val="00BA53A3"/>
    <w:rsid w:val="00BA730B"/>
    <w:rsid w:val="00BA7D35"/>
    <w:rsid w:val="00BB2B4F"/>
    <w:rsid w:val="00BB3209"/>
    <w:rsid w:val="00BB6E94"/>
    <w:rsid w:val="00BB7728"/>
    <w:rsid w:val="00BB7CA4"/>
    <w:rsid w:val="00BC241B"/>
    <w:rsid w:val="00BC68D1"/>
    <w:rsid w:val="00BC7A0E"/>
    <w:rsid w:val="00BD2E8B"/>
    <w:rsid w:val="00BD7246"/>
    <w:rsid w:val="00BD7F24"/>
    <w:rsid w:val="00BE04F9"/>
    <w:rsid w:val="00BE1605"/>
    <w:rsid w:val="00BE1D1A"/>
    <w:rsid w:val="00BE3EF0"/>
    <w:rsid w:val="00BE49F0"/>
    <w:rsid w:val="00BF3F68"/>
    <w:rsid w:val="00BF4DE8"/>
    <w:rsid w:val="00BF547B"/>
    <w:rsid w:val="00BF548A"/>
    <w:rsid w:val="00BF55D1"/>
    <w:rsid w:val="00BF77D0"/>
    <w:rsid w:val="00BF7CAD"/>
    <w:rsid w:val="00C0322D"/>
    <w:rsid w:val="00C04650"/>
    <w:rsid w:val="00C07A85"/>
    <w:rsid w:val="00C104DE"/>
    <w:rsid w:val="00C127DF"/>
    <w:rsid w:val="00C15127"/>
    <w:rsid w:val="00C15836"/>
    <w:rsid w:val="00C205A6"/>
    <w:rsid w:val="00C21F7F"/>
    <w:rsid w:val="00C231BE"/>
    <w:rsid w:val="00C27AF8"/>
    <w:rsid w:val="00C321F0"/>
    <w:rsid w:val="00C3433F"/>
    <w:rsid w:val="00C35584"/>
    <w:rsid w:val="00C41580"/>
    <w:rsid w:val="00C43175"/>
    <w:rsid w:val="00C45EAB"/>
    <w:rsid w:val="00C4707D"/>
    <w:rsid w:val="00C520F2"/>
    <w:rsid w:val="00C564F8"/>
    <w:rsid w:val="00C56773"/>
    <w:rsid w:val="00C60352"/>
    <w:rsid w:val="00C61867"/>
    <w:rsid w:val="00C666FF"/>
    <w:rsid w:val="00C707CA"/>
    <w:rsid w:val="00C71146"/>
    <w:rsid w:val="00C719D0"/>
    <w:rsid w:val="00C727AC"/>
    <w:rsid w:val="00C766F9"/>
    <w:rsid w:val="00C80EDC"/>
    <w:rsid w:val="00C846E2"/>
    <w:rsid w:val="00C94E4F"/>
    <w:rsid w:val="00C95371"/>
    <w:rsid w:val="00CA1B75"/>
    <w:rsid w:val="00CA3ABE"/>
    <w:rsid w:val="00CA6175"/>
    <w:rsid w:val="00CA78E7"/>
    <w:rsid w:val="00CB0307"/>
    <w:rsid w:val="00CB0C74"/>
    <w:rsid w:val="00CB282A"/>
    <w:rsid w:val="00CB3271"/>
    <w:rsid w:val="00CB371A"/>
    <w:rsid w:val="00CB6682"/>
    <w:rsid w:val="00CB6E80"/>
    <w:rsid w:val="00CC16AF"/>
    <w:rsid w:val="00CC531C"/>
    <w:rsid w:val="00CD0B0C"/>
    <w:rsid w:val="00CD1D46"/>
    <w:rsid w:val="00CD2E88"/>
    <w:rsid w:val="00CD527E"/>
    <w:rsid w:val="00CD6FCC"/>
    <w:rsid w:val="00CD7EF8"/>
    <w:rsid w:val="00CE337C"/>
    <w:rsid w:val="00CE64E3"/>
    <w:rsid w:val="00CE6AF9"/>
    <w:rsid w:val="00CE7C47"/>
    <w:rsid w:val="00CF3174"/>
    <w:rsid w:val="00CF5246"/>
    <w:rsid w:val="00CF611B"/>
    <w:rsid w:val="00CF6AE4"/>
    <w:rsid w:val="00D007F9"/>
    <w:rsid w:val="00D01012"/>
    <w:rsid w:val="00D01CE3"/>
    <w:rsid w:val="00D07ABB"/>
    <w:rsid w:val="00D11C85"/>
    <w:rsid w:val="00D13899"/>
    <w:rsid w:val="00D13BBF"/>
    <w:rsid w:val="00D155B8"/>
    <w:rsid w:val="00D158BE"/>
    <w:rsid w:val="00D16832"/>
    <w:rsid w:val="00D16D1F"/>
    <w:rsid w:val="00D2041C"/>
    <w:rsid w:val="00D218FE"/>
    <w:rsid w:val="00D219ED"/>
    <w:rsid w:val="00D234B4"/>
    <w:rsid w:val="00D27527"/>
    <w:rsid w:val="00D3092A"/>
    <w:rsid w:val="00D350BE"/>
    <w:rsid w:val="00D42233"/>
    <w:rsid w:val="00D43AD8"/>
    <w:rsid w:val="00D454ED"/>
    <w:rsid w:val="00D517C7"/>
    <w:rsid w:val="00D55191"/>
    <w:rsid w:val="00D5792F"/>
    <w:rsid w:val="00D604F0"/>
    <w:rsid w:val="00D612E2"/>
    <w:rsid w:val="00D63CB7"/>
    <w:rsid w:val="00D64CED"/>
    <w:rsid w:val="00D66C66"/>
    <w:rsid w:val="00D67B0B"/>
    <w:rsid w:val="00D735E9"/>
    <w:rsid w:val="00D73A87"/>
    <w:rsid w:val="00D74474"/>
    <w:rsid w:val="00D74E66"/>
    <w:rsid w:val="00D77F25"/>
    <w:rsid w:val="00D82090"/>
    <w:rsid w:val="00D84C09"/>
    <w:rsid w:val="00D852CE"/>
    <w:rsid w:val="00D8669D"/>
    <w:rsid w:val="00D87FBA"/>
    <w:rsid w:val="00D92B97"/>
    <w:rsid w:val="00D92C18"/>
    <w:rsid w:val="00D95143"/>
    <w:rsid w:val="00D95FBE"/>
    <w:rsid w:val="00DA1A10"/>
    <w:rsid w:val="00DA5DC0"/>
    <w:rsid w:val="00DA5DC6"/>
    <w:rsid w:val="00DA6B11"/>
    <w:rsid w:val="00DB04ED"/>
    <w:rsid w:val="00DB1889"/>
    <w:rsid w:val="00DB1908"/>
    <w:rsid w:val="00DB1C40"/>
    <w:rsid w:val="00DB2F38"/>
    <w:rsid w:val="00DB34E0"/>
    <w:rsid w:val="00DB3E48"/>
    <w:rsid w:val="00DB518F"/>
    <w:rsid w:val="00DB7FAE"/>
    <w:rsid w:val="00DC1BE9"/>
    <w:rsid w:val="00DC2734"/>
    <w:rsid w:val="00DC4BE8"/>
    <w:rsid w:val="00DC69B6"/>
    <w:rsid w:val="00DC6E4E"/>
    <w:rsid w:val="00DD06B6"/>
    <w:rsid w:val="00DD0ADE"/>
    <w:rsid w:val="00DD3522"/>
    <w:rsid w:val="00DD4500"/>
    <w:rsid w:val="00DD4881"/>
    <w:rsid w:val="00DD49E2"/>
    <w:rsid w:val="00DD69E1"/>
    <w:rsid w:val="00DE464C"/>
    <w:rsid w:val="00DE4A06"/>
    <w:rsid w:val="00DE550C"/>
    <w:rsid w:val="00DE68E4"/>
    <w:rsid w:val="00DE7F26"/>
    <w:rsid w:val="00DF243D"/>
    <w:rsid w:val="00DF4DC2"/>
    <w:rsid w:val="00DF55A1"/>
    <w:rsid w:val="00DF6673"/>
    <w:rsid w:val="00DF6B41"/>
    <w:rsid w:val="00E012F9"/>
    <w:rsid w:val="00E02BA2"/>
    <w:rsid w:val="00E03FD0"/>
    <w:rsid w:val="00E05248"/>
    <w:rsid w:val="00E0527F"/>
    <w:rsid w:val="00E05547"/>
    <w:rsid w:val="00E13290"/>
    <w:rsid w:val="00E13FC9"/>
    <w:rsid w:val="00E156B9"/>
    <w:rsid w:val="00E165A4"/>
    <w:rsid w:val="00E166A9"/>
    <w:rsid w:val="00E1730E"/>
    <w:rsid w:val="00E209F8"/>
    <w:rsid w:val="00E259F4"/>
    <w:rsid w:val="00E25CA1"/>
    <w:rsid w:val="00E269CC"/>
    <w:rsid w:val="00E27A8A"/>
    <w:rsid w:val="00E325D4"/>
    <w:rsid w:val="00E32A42"/>
    <w:rsid w:val="00E35257"/>
    <w:rsid w:val="00E36529"/>
    <w:rsid w:val="00E421C6"/>
    <w:rsid w:val="00E422AD"/>
    <w:rsid w:val="00E42EC1"/>
    <w:rsid w:val="00E43229"/>
    <w:rsid w:val="00E43C4A"/>
    <w:rsid w:val="00E47BFA"/>
    <w:rsid w:val="00E51078"/>
    <w:rsid w:val="00E53313"/>
    <w:rsid w:val="00E533DF"/>
    <w:rsid w:val="00E543FF"/>
    <w:rsid w:val="00E545BE"/>
    <w:rsid w:val="00E54C03"/>
    <w:rsid w:val="00E57930"/>
    <w:rsid w:val="00E603DE"/>
    <w:rsid w:val="00E60AE3"/>
    <w:rsid w:val="00E613B6"/>
    <w:rsid w:val="00E62B8C"/>
    <w:rsid w:val="00E638DA"/>
    <w:rsid w:val="00E64206"/>
    <w:rsid w:val="00E67A87"/>
    <w:rsid w:val="00E67BB1"/>
    <w:rsid w:val="00E72028"/>
    <w:rsid w:val="00E77060"/>
    <w:rsid w:val="00E80710"/>
    <w:rsid w:val="00E8257B"/>
    <w:rsid w:val="00E82765"/>
    <w:rsid w:val="00E828A7"/>
    <w:rsid w:val="00E82A71"/>
    <w:rsid w:val="00E82D62"/>
    <w:rsid w:val="00E83458"/>
    <w:rsid w:val="00E86384"/>
    <w:rsid w:val="00E8714F"/>
    <w:rsid w:val="00E90233"/>
    <w:rsid w:val="00E93A42"/>
    <w:rsid w:val="00E940A8"/>
    <w:rsid w:val="00E95FB7"/>
    <w:rsid w:val="00E97627"/>
    <w:rsid w:val="00EA0A2E"/>
    <w:rsid w:val="00EA1A8E"/>
    <w:rsid w:val="00EA1ACD"/>
    <w:rsid w:val="00EA2AB6"/>
    <w:rsid w:val="00EB0B74"/>
    <w:rsid w:val="00EB4AFA"/>
    <w:rsid w:val="00EB5129"/>
    <w:rsid w:val="00EB7C10"/>
    <w:rsid w:val="00EC1D03"/>
    <w:rsid w:val="00EC2491"/>
    <w:rsid w:val="00EC2ADB"/>
    <w:rsid w:val="00EC44E3"/>
    <w:rsid w:val="00ED043F"/>
    <w:rsid w:val="00ED2730"/>
    <w:rsid w:val="00ED4A0A"/>
    <w:rsid w:val="00ED656A"/>
    <w:rsid w:val="00EE0074"/>
    <w:rsid w:val="00EE04CC"/>
    <w:rsid w:val="00EE0D07"/>
    <w:rsid w:val="00EE1CF8"/>
    <w:rsid w:val="00EE31E5"/>
    <w:rsid w:val="00EE39EB"/>
    <w:rsid w:val="00EE63C0"/>
    <w:rsid w:val="00EF48F6"/>
    <w:rsid w:val="00EF7E89"/>
    <w:rsid w:val="00F002A1"/>
    <w:rsid w:val="00F01F59"/>
    <w:rsid w:val="00F03A57"/>
    <w:rsid w:val="00F04C52"/>
    <w:rsid w:val="00F0623D"/>
    <w:rsid w:val="00F073BB"/>
    <w:rsid w:val="00F127F8"/>
    <w:rsid w:val="00F1551E"/>
    <w:rsid w:val="00F20655"/>
    <w:rsid w:val="00F21B4A"/>
    <w:rsid w:val="00F23C59"/>
    <w:rsid w:val="00F271FD"/>
    <w:rsid w:val="00F30B0D"/>
    <w:rsid w:val="00F31761"/>
    <w:rsid w:val="00F31970"/>
    <w:rsid w:val="00F322AE"/>
    <w:rsid w:val="00F32472"/>
    <w:rsid w:val="00F32DBC"/>
    <w:rsid w:val="00F332D2"/>
    <w:rsid w:val="00F34D31"/>
    <w:rsid w:val="00F34E10"/>
    <w:rsid w:val="00F350B9"/>
    <w:rsid w:val="00F357E8"/>
    <w:rsid w:val="00F42B18"/>
    <w:rsid w:val="00F4564D"/>
    <w:rsid w:val="00F459BD"/>
    <w:rsid w:val="00F46EE7"/>
    <w:rsid w:val="00F47C9C"/>
    <w:rsid w:val="00F524C1"/>
    <w:rsid w:val="00F52E26"/>
    <w:rsid w:val="00F605B9"/>
    <w:rsid w:val="00F6096D"/>
    <w:rsid w:val="00F63A6F"/>
    <w:rsid w:val="00F663DD"/>
    <w:rsid w:val="00F67961"/>
    <w:rsid w:val="00F679DD"/>
    <w:rsid w:val="00F72DD8"/>
    <w:rsid w:val="00F75094"/>
    <w:rsid w:val="00F763FD"/>
    <w:rsid w:val="00F77492"/>
    <w:rsid w:val="00F7772C"/>
    <w:rsid w:val="00F801A7"/>
    <w:rsid w:val="00F82144"/>
    <w:rsid w:val="00F825DB"/>
    <w:rsid w:val="00F82C44"/>
    <w:rsid w:val="00F86FEF"/>
    <w:rsid w:val="00F870B3"/>
    <w:rsid w:val="00F92F85"/>
    <w:rsid w:val="00F93680"/>
    <w:rsid w:val="00F942E7"/>
    <w:rsid w:val="00F955EC"/>
    <w:rsid w:val="00F955F7"/>
    <w:rsid w:val="00FA039F"/>
    <w:rsid w:val="00FA075E"/>
    <w:rsid w:val="00FA0895"/>
    <w:rsid w:val="00FA164E"/>
    <w:rsid w:val="00FA215B"/>
    <w:rsid w:val="00FA47BC"/>
    <w:rsid w:val="00FA78DC"/>
    <w:rsid w:val="00FB0793"/>
    <w:rsid w:val="00FB2605"/>
    <w:rsid w:val="00FB4EC1"/>
    <w:rsid w:val="00FB6032"/>
    <w:rsid w:val="00FC2044"/>
    <w:rsid w:val="00FC214F"/>
    <w:rsid w:val="00FC7794"/>
    <w:rsid w:val="00FD0B5C"/>
    <w:rsid w:val="00FD1CA2"/>
    <w:rsid w:val="00FD66D6"/>
    <w:rsid w:val="00FD70E6"/>
    <w:rsid w:val="00FD733A"/>
    <w:rsid w:val="00FE7635"/>
    <w:rsid w:val="00FE7A9A"/>
    <w:rsid w:val="00FF4863"/>
    <w:rsid w:val="00FF5AAF"/>
    <w:rsid w:val="00FF6420"/>
    <w:rsid w:val="00FF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3326"/>
  <w15:docId w15:val="{63B5951F-D1EF-40DC-9160-2897DEBA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3E"/>
    <w:pPr>
      <w:spacing w:after="0" w:line="264" w:lineRule="auto"/>
    </w:pPr>
    <w:rPr>
      <w:rFonts w:ascii="Times New Roman" w:eastAsia="Times New Roman" w:hAnsi="Times New Roman" w:cs="Times New Roman"/>
      <w:noProof/>
      <w:spacing w:val="-5"/>
      <w:sz w:val="25"/>
      <w:szCs w:val="25"/>
    </w:rPr>
  </w:style>
  <w:style w:type="paragraph" w:styleId="Heading1">
    <w:name w:val="heading 1"/>
    <w:basedOn w:val="NoSpacing"/>
    <w:next w:val="NoSpacing"/>
    <w:link w:val="Heading1Char"/>
    <w:uiPriority w:val="9"/>
    <w:qFormat/>
    <w:rsid w:val="001C084E"/>
    <w:pPr>
      <w:keepNext/>
      <w:keepLines/>
      <w:spacing w:before="480"/>
      <w:outlineLvl w:val="0"/>
    </w:pPr>
    <w:rPr>
      <w:rFonts w:eastAsiaTheme="majorEastAsia" w:cstheme="majorBidi"/>
      <w:b/>
      <w:bCs/>
      <w:spacing w:val="0"/>
      <w:szCs w:val="28"/>
      <w:u w:val="single"/>
    </w:rPr>
  </w:style>
  <w:style w:type="paragraph" w:styleId="Heading2">
    <w:name w:val="heading 2"/>
    <w:basedOn w:val="NoSpacing"/>
    <w:next w:val="NoSpacing"/>
    <w:link w:val="Heading2Char"/>
    <w:uiPriority w:val="9"/>
    <w:unhideWhenUsed/>
    <w:qFormat/>
    <w:rsid w:val="001C084E"/>
    <w:pPr>
      <w:keepNext/>
      <w:keepLines/>
      <w:spacing w:before="200"/>
      <w:outlineLvl w:val="1"/>
    </w:pPr>
    <w:rPr>
      <w:rFonts w:eastAsiaTheme="majorEastAsia" w:cstheme="majorBidi"/>
      <w:b/>
      <w:bCs/>
      <w:i/>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96"/>
    <w:pPr>
      <w:ind w:left="720"/>
      <w:contextualSpacing/>
    </w:pPr>
  </w:style>
  <w:style w:type="table" w:styleId="TableGrid">
    <w:name w:val="Table Grid"/>
    <w:basedOn w:val="TableNormal"/>
    <w:uiPriority w:val="59"/>
    <w:rsid w:val="00D21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916"/>
    <w:pPr>
      <w:tabs>
        <w:tab w:val="center" w:pos="4680"/>
        <w:tab w:val="right" w:pos="9360"/>
      </w:tabs>
      <w:spacing w:line="240" w:lineRule="auto"/>
    </w:pPr>
  </w:style>
  <w:style w:type="character" w:customStyle="1" w:styleId="HeaderChar">
    <w:name w:val="Header Char"/>
    <w:basedOn w:val="DefaultParagraphFont"/>
    <w:link w:val="Header"/>
    <w:uiPriority w:val="99"/>
    <w:rsid w:val="00B81916"/>
  </w:style>
  <w:style w:type="paragraph" w:styleId="Footer">
    <w:name w:val="footer"/>
    <w:basedOn w:val="Normal"/>
    <w:link w:val="FooterChar"/>
    <w:uiPriority w:val="99"/>
    <w:unhideWhenUsed/>
    <w:rsid w:val="00B81916"/>
    <w:pPr>
      <w:tabs>
        <w:tab w:val="center" w:pos="4680"/>
        <w:tab w:val="right" w:pos="9360"/>
      </w:tabs>
      <w:spacing w:line="240" w:lineRule="auto"/>
    </w:pPr>
  </w:style>
  <w:style w:type="character" w:customStyle="1" w:styleId="FooterChar">
    <w:name w:val="Footer Char"/>
    <w:basedOn w:val="DefaultParagraphFont"/>
    <w:link w:val="Footer"/>
    <w:uiPriority w:val="99"/>
    <w:rsid w:val="00B81916"/>
  </w:style>
  <w:style w:type="character" w:styleId="CommentReference">
    <w:name w:val="annotation reference"/>
    <w:basedOn w:val="DefaultParagraphFont"/>
    <w:uiPriority w:val="99"/>
    <w:semiHidden/>
    <w:unhideWhenUsed/>
    <w:rsid w:val="009759C2"/>
    <w:rPr>
      <w:sz w:val="16"/>
      <w:szCs w:val="16"/>
    </w:rPr>
  </w:style>
  <w:style w:type="paragraph" w:styleId="CommentText">
    <w:name w:val="annotation text"/>
    <w:basedOn w:val="Normal"/>
    <w:link w:val="CommentTextChar"/>
    <w:uiPriority w:val="99"/>
    <w:unhideWhenUsed/>
    <w:rsid w:val="009759C2"/>
    <w:pPr>
      <w:spacing w:line="240" w:lineRule="auto"/>
    </w:pPr>
    <w:rPr>
      <w:sz w:val="20"/>
      <w:szCs w:val="20"/>
    </w:rPr>
  </w:style>
  <w:style w:type="character" w:customStyle="1" w:styleId="CommentTextChar">
    <w:name w:val="Comment Text Char"/>
    <w:basedOn w:val="DefaultParagraphFont"/>
    <w:link w:val="CommentText"/>
    <w:uiPriority w:val="99"/>
    <w:rsid w:val="009759C2"/>
    <w:rPr>
      <w:sz w:val="20"/>
      <w:szCs w:val="20"/>
    </w:rPr>
  </w:style>
  <w:style w:type="paragraph" w:styleId="CommentSubject">
    <w:name w:val="annotation subject"/>
    <w:basedOn w:val="CommentText"/>
    <w:next w:val="CommentText"/>
    <w:link w:val="CommentSubjectChar"/>
    <w:uiPriority w:val="99"/>
    <w:semiHidden/>
    <w:unhideWhenUsed/>
    <w:rsid w:val="009759C2"/>
    <w:rPr>
      <w:b/>
      <w:bCs/>
    </w:rPr>
  </w:style>
  <w:style w:type="character" w:customStyle="1" w:styleId="CommentSubjectChar">
    <w:name w:val="Comment Subject Char"/>
    <w:basedOn w:val="CommentTextChar"/>
    <w:link w:val="CommentSubject"/>
    <w:uiPriority w:val="99"/>
    <w:semiHidden/>
    <w:rsid w:val="009759C2"/>
    <w:rPr>
      <w:b/>
      <w:bCs/>
      <w:sz w:val="20"/>
      <w:szCs w:val="20"/>
    </w:rPr>
  </w:style>
  <w:style w:type="paragraph" w:styleId="BalloonText">
    <w:name w:val="Balloon Text"/>
    <w:basedOn w:val="Normal"/>
    <w:link w:val="BalloonTextChar"/>
    <w:uiPriority w:val="99"/>
    <w:semiHidden/>
    <w:unhideWhenUsed/>
    <w:rsid w:val="009759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C2"/>
    <w:rPr>
      <w:rFonts w:ascii="Tahoma" w:hAnsi="Tahoma" w:cs="Tahoma"/>
      <w:sz w:val="16"/>
      <w:szCs w:val="16"/>
    </w:rPr>
  </w:style>
  <w:style w:type="paragraph" w:styleId="FootnoteText">
    <w:name w:val="footnote text"/>
    <w:basedOn w:val="Normal"/>
    <w:link w:val="FootnoteTextChar"/>
    <w:uiPriority w:val="99"/>
    <w:unhideWhenUsed/>
    <w:rsid w:val="00A156A0"/>
    <w:pPr>
      <w:spacing w:line="240" w:lineRule="auto"/>
    </w:pPr>
    <w:rPr>
      <w:sz w:val="20"/>
      <w:szCs w:val="20"/>
    </w:rPr>
  </w:style>
  <w:style w:type="character" w:customStyle="1" w:styleId="FootnoteTextChar">
    <w:name w:val="Footnote Text Char"/>
    <w:basedOn w:val="DefaultParagraphFont"/>
    <w:link w:val="FootnoteText"/>
    <w:uiPriority w:val="99"/>
    <w:rsid w:val="00A156A0"/>
    <w:rPr>
      <w:sz w:val="20"/>
      <w:szCs w:val="20"/>
    </w:rPr>
  </w:style>
  <w:style w:type="character" w:styleId="FootnoteReference">
    <w:name w:val="footnote reference"/>
    <w:basedOn w:val="DefaultParagraphFont"/>
    <w:uiPriority w:val="99"/>
    <w:unhideWhenUsed/>
    <w:rsid w:val="00A156A0"/>
    <w:rPr>
      <w:vertAlign w:val="superscript"/>
    </w:rPr>
  </w:style>
  <w:style w:type="paragraph" w:styleId="NoSpacing">
    <w:name w:val="No Spacing"/>
    <w:uiPriority w:val="1"/>
    <w:qFormat/>
    <w:rsid w:val="008308D6"/>
    <w:pPr>
      <w:spacing w:after="0" w:line="240" w:lineRule="auto"/>
    </w:pPr>
    <w:rPr>
      <w:rFonts w:ascii="Times New Roman" w:eastAsia="Times New Roman" w:hAnsi="Times New Roman" w:cs="Times New Roman"/>
      <w:spacing w:val="-5"/>
      <w:sz w:val="24"/>
      <w:szCs w:val="24"/>
    </w:rPr>
  </w:style>
  <w:style w:type="character" w:styleId="Hyperlink">
    <w:name w:val="Hyperlink"/>
    <w:basedOn w:val="DefaultParagraphFont"/>
    <w:uiPriority w:val="99"/>
    <w:unhideWhenUsed/>
    <w:rsid w:val="00262D04"/>
    <w:rPr>
      <w:color w:val="0000FF" w:themeColor="hyperlink"/>
      <w:u w:val="single"/>
    </w:rPr>
  </w:style>
  <w:style w:type="character" w:styleId="FollowedHyperlink">
    <w:name w:val="FollowedHyperlink"/>
    <w:basedOn w:val="DefaultParagraphFont"/>
    <w:uiPriority w:val="99"/>
    <w:semiHidden/>
    <w:unhideWhenUsed/>
    <w:rsid w:val="00262D04"/>
    <w:rPr>
      <w:color w:val="800080" w:themeColor="followedHyperlink"/>
      <w:u w:val="single"/>
    </w:rPr>
  </w:style>
  <w:style w:type="character" w:customStyle="1" w:styleId="Heading1Char">
    <w:name w:val="Heading 1 Char"/>
    <w:basedOn w:val="DefaultParagraphFont"/>
    <w:link w:val="Heading1"/>
    <w:uiPriority w:val="9"/>
    <w:rsid w:val="001C084E"/>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1C084E"/>
    <w:rPr>
      <w:rFonts w:ascii="Times New Roman" w:eastAsiaTheme="majorEastAsia" w:hAnsi="Times New Roman" w:cstheme="majorBidi"/>
      <w:b/>
      <w:bCs/>
      <w:i/>
      <w:sz w:val="24"/>
      <w:szCs w:val="26"/>
    </w:rPr>
  </w:style>
  <w:style w:type="table" w:styleId="LightList-Accent5">
    <w:name w:val="Light List Accent 5"/>
    <w:basedOn w:val="TableNormal"/>
    <w:uiPriority w:val="61"/>
    <w:rsid w:val="00BA73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666C18"/>
    <w:pPr>
      <w:spacing w:after="0" w:line="240" w:lineRule="auto"/>
    </w:pPr>
  </w:style>
  <w:style w:type="paragraph" w:styleId="EndnoteText">
    <w:name w:val="endnote text"/>
    <w:basedOn w:val="Normal"/>
    <w:link w:val="EndnoteTextChar"/>
    <w:uiPriority w:val="99"/>
    <w:semiHidden/>
    <w:unhideWhenUsed/>
    <w:rsid w:val="00042D3F"/>
    <w:pPr>
      <w:spacing w:line="240" w:lineRule="auto"/>
    </w:pPr>
    <w:rPr>
      <w:sz w:val="20"/>
      <w:szCs w:val="20"/>
    </w:rPr>
  </w:style>
  <w:style w:type="character" w:customStyle="1" w:styleId="EndnoteTextChar">
    <w:name w:val="Endnote Text Char"/>
    <w:basedOn w:val="DefaultParagraphFont"/>
    <w:link w:val="EndnoteText"/>
    <w:uiPriority w:val="99"/>
    <w:semiHidden/>
    <w:rsid w:val="00042D3F"/>
    <w:rPr>
      <w:rFonts w:ascii="Times New Roman" w:eastAsia="Times New Roman" w:hAnsi="Times New Roman" w:cs="Times New Roman"/>
      <w:noProof/>
      <w:spacing w:val="-5"/>
      <w:sz w:val="20"/>
      <w:szCs w:val="20"/>
    </w:rPr>
  </w:style>
  <w:style w:type="character" w:styleId="EndnoteReference">
    <w:name w:val="endnote reference"/>
    <w:basedOn w:val="DefaultParagraphFont"/>
    <w:uiPriority w:val="99"/>
    <w:semiHidden/>
    <w:unhideWhenUsed/>
    <w:rsid w:val="00042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747802">
      <w:bodyDiv w:val="1"/>
      <w:marLeft w:val="0"/>
      <w:marRight w:val="0"/>
      <w:marTop w:val="0"/>
      <w:marBottom w:val="0"/>
      <w:divBdr>
        <w:top w:val="none" w:sz="0" w:space="0" w:color="auto"/>
        <w:left w:val="none" w:sz="0" w:space="0" w:color="auto"/>
        <w:bottom w:val="none" w:sz="0" w:space="0" w:color="auto"/>
        <w:right w:val="none" w:sz="0" w:space="0" w:color="auto"/>
      </w:divBdr>
    </w:div>
    <w:div w:id="1187255058">
      <w:bodyDiv w:val="1"/>
      <w:marLeft w:val="0"/>
      <w:marRight w:val="0"/>
      <w:marTop w:val="0"/>
      <w:marBottom w:val="0"/>
      <w:divBdr>
        <w:top w:val="none" w:sz="0" w:space="0" w:color="auto"/>
        <w:left w:val="none" w:sz="0" w:space="0" w:color="auto"/>
        <w:bottom w:val="none" w:sz="0" w:space="0" w:color="auto"/>
        <w:right w:val="none" w:sz="0" w:space="0" w:color="auto"/>
      </w:divBdr>
    </w:div>
    <w:div w:id="1382359597">
      <w:bodyDiv w:val="1"/>
      <w:marLeft w:val="0"/>
      <w:marRight w:val="0"/>
      <w:marTop w:val="0"/>
      <w:marBottom w:val="0"/>
      <w:divBdr>
        <w:top w:val="none" w:sz="0" w:space="0" w:color="auto"/>
        <w:left w:val="none" w:sz="0" w:space="0" w:color="auto"/>
        <w:bottom w:val="none" w:sz="0" w:space="0" w:color="auto"/>
        <w:right w:val="none" w:sz="0" w:space="0" w:color="auto"/>
      </w:divBdr>
      <w:divsChild>
        <w:div w:id="274101445">
          <w:marLeft w:val="0"/>
          <w:marRight w:val="0"/>
          <w:marTop w:val="0"/>
          <w:marBottom w:val="0"/>
          <w:divBdr>
            <w:top w:val="none" w:sz="0" w:space="0" w:color="auto"/>
            <w:left w:val="none" w:sz="0" w:space="0" w:color="auto"/>
            <w:bottom w:val="none" w:sz="0" w:space="0" w:color="auto"/>
            <w:right w:val="none" w:sz="0" w:space="0" w:color="auto"/>
          </w:divBdr>
        </w:div>
      </w:divsChild>
    </w:div>
    <w:div w:id="21117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2013-08-30T07:00:00+00:00</OpenedDate>
    <Date1 xmlns="dc463f71-b30c-4ab2-9473-d307f9d35888">2015-01-23T08:00:00+00:00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5E4A2E0566614DA6AFDCF8CB0400C5" ma:contentTypeVersion="135" ma:contentTypeDescription="" ma:contentTypeScope="" ma:versionID="84fb7a2b024801a901422a9cf49b55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37605-110F-4D39-B695-88099B79FD5A}"/>
</file>

<file path=customXml/itemProps2.xml><?xml version="1.0" encoding="utf-8"?>
<ds:datastoreItem xmlns:ds="http://schemas.openxmlformats.org/officeDocument/2006/customXml" ds:itemID="{C82E74A0-3CF4-4305-9A54-CFA6E0780577}"/>
</file>

<file path=customXml/itemProps3.xml><?xml version="1.0" encoding="utf-8"?>
<ds:datastoreItem xmlns:ds="http://schemas.openxmlformats.org/officeDocument/2006/customXml" ds:itemID="{F727F355-0033-4D2A-A9BD-C019F28ED0DA}"/>
</file>

<file path=customXml/itemProps4.xml><?xml version="1.0" encoding="utf-8"?>
<ds:datastoreItem xmlns:ds="http://schemas.openxmlformats.org/officeDocument/2006/customXml" ds:itemID="{B7805B55-4610-4AF7-A986-4D8A076A4649}"/>
</file>

<file path=customXml/itemProps5.xml><?xml version="1.0" encoding="utf-8"?>
<ds:datastoreItem xmlns:ds="http://schemas.openxmlformats.org/officeDocument/2006/customXml" ds:itemID="{2C6F03F6-759D-464E-877C-78D737F2E660}"/>
</file>

<file path=docProps/app.xml><?xml version="1.0" encoding="utf-8"?>
<Properties xmlns="http://schemas.openxmlformats.org/officeDocument/2006/extended-properties" xmlns:vt="http://schemas.openxmlformats.org/officeDocument/2006/docPropsVTypes">
  <Template>Normal.dotm</Template>
  <TotalTime>0</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Kermode</dc:creator>
  <cp:keywords/>
  <dc:description/>
  <cp:lastModifiedBy>Anderson, Linda (UTC)</cp:lastModifiedBy>
  <cp:revision>2</cp:revision>
  <cp:lastPrinted>2015-01-23T18:37:00Z</cp:lastPrinted>
  <dcterms:created xsi:type="dcterms:W3CDTF">2015-01-23T18:58:00Z</dcterms:created>
  <dcterms:modified xsi:type="dcterms:W3CDTF">2015-01-23T18:58:00Z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0x0101006E56B4D1795A2E4DB2F0B01679ED314A00A85E4A2E0566614DA6AFDCF8CB0400C5</vt:lpwstr>
  </property>
  <property fmtid="{D5CDD505-2E9C-101B-9397-08002B2CF9AE}" pid="3" name="_docset_NoMedatataSyncRequired">
    <vt:lpwstr>False</vt:lpwstr>
  </property>
</Properties>
</file>