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02AA3547" w:rsidR="008956A7" w:rsidRPr="0053490F" w:rsidRDefault="008956A7" w:rsidP="009E19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BF38B7">
        <w:rPr>
          <w:sz w:val="24"/>
        </w:rPr>
        <w:t xml:space="preserve">December </w:t>
      </w:r>
      <w:r w:rsidR="009E19F4">
        <w:rPr>
          <w:sz w:val="24"/>
        </w:rPr>
        <w:t>2</w:t>
      </w:r>
      <w:r w:rsidR="00BF38B7">
        <w:rPr>
          <w:sz w:val="24"/>
        </w:rPr>
        <w:t>9</w:t>
      </w:r>
      <w:r w:rsidR="0027029B">
        <w:rPr>
          <w:sz w:val="24"/>
        </w:rPr>
        <w:t>, 2011</w:t>
      </w:r>
      <w:r w:rsidRPr="0053490F">
        <w:rPr>
          <w:sz w:val="24"/>
        </w:rPr>
        <w:tab/>
      </w:r>
    </w:p>
    <w:p w14:paraId="0D5803AC" w14:textId="7DFA9778"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00EC36DE">
        <w:rPr>
          <w:sz w:val="24"/>
        </w:rPr>
        <w:t>s</w:t>
      </w:r>
      <w:r w:rsidRPr="0053490F">
        <w:rPr>
          <w:sz w:val="24"/>
        </w:rPr>
        <w:t>:</w:t>
      </w:r>
      <w:r w:rsidRPr="0053490F">
        <w:rPr>
          <w:sz w:val="24"/>
        </w:rPr>
        <w:tab/>
      </w:r>
      <w:r w:rsidR="00EC36DE">
        <w:rPr>
          <w:sz w:val="24"/>
        </w:rPr>
        <w:t>B</w:t>
      </w:r>
      <w:r w:rsidR="00BF38B7">
        <w:rPr>
          <w:sz w:val="24"/>
        </w:rPr>
        <w:t>4</w:t>
      </w:r>
      <w:r w:rsidR="009E19F4">
        <w:rPr>
          <w:sz w:val="24"/>
        </w:rPr>
        <w:t>, B</w:t>
      </w:r>
      <w:r w:rsidR="00BF38B7">
        <w:rPr>
          <w:sz w:val="24"/>
        </w:rPr>
        <w:t>5</w:t>
      </w:r>
      <w:r w:rsidR="00130DE3">
        <w:rPr>
          <w:sz w:val="24"/>
        </w:rPr>
        <w:t xml:space="preserve"> and </w:t>
      </w:r>
      <w:r w:rsidR="00321B43">
        <w:rPr>
          <w:sz w:val="24"/>
        </w:rPr>
        <w:t>B</w:t>
      </w:r>
      <w:r w:rsidR="00BF38B7">
        <w:rPr>
          <w:sz w:val="24"/>
        </w:rPr>
        <w:t>6</w:t>
      </w:r>
    </w:p>
    <w:p w14:paraId="0D5803AE" w14:textId="6446AD97"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Docket</w:t>
      </w:r>
      <w:r w:rsidR="00EC36DE">
        <w:rPr>
          <w:b/>
          <w:bCs/>
          <w:sz w:val="24"/>
        </w:rPr>
        <w:t>s</w:t>
      </w:r>
      <w:r w:rsidRPr="0053490F">
        <w:rPr>
          <w:b/>
          <w:bCs/>
          <w:sz w:val="24"/>
        </w:rPr>
        <w:t xml:space="preserve">: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27029B">
        <w:rPr>
          <w:b/>
          <w:bCs/>
          <w:sz w:val="24"/>
        </w:rPr>
        <w:t>11</w:t>
      </w:r>
      <w:r w:rsidR="00BF38B7">
        <w:rPr>
          <w:b/>
          <w:bCs/>
          <w:sz w:val="24"/>
        </w:rPr>
        <w:t>991</w:t>
      </w:r>
      <w:r w:rsidR="009E19F4">
        <w:rPr>
          <w:b/>
          <w:bCs/>
          <w:sz w:val="24"/>
        </w:rPr>
        <w:t>, TG-111</w:t>
      </w:r>
      <w:r w:rsidR="00BF38B7">
        <w:rPr>
          <w:b/>
          <w:bCs/>
          <w:sz w:val="24"/>
        </w:rPr>
        <w:t>992</w:t>
      </w:r>
      <w:r w:rsidR="00130DE3">
        <w:rPr>
          <w:b/>
          <w:bCs/>
          <w:sz w:val="24"/>
        </w:rPr>
        <w:t xml:space="preserve"> and</w:t>
      </w:r>
      <w:r w:rsidR="00EC36DE">
        <w:rPr>
          <w:b/>
          <w:bCs/>
          <w:sz w:val="24"/>
        </w:rPr>
        <w:t xml:space="preserve"> TG-111</w:t>
      </w:r>
      <w:r w:rsidR="00BF38B7">
        <w:rPr>
          <w:b/>
          <w:bCs/>
          <w:sz w:val="24"/>
        </w:rPr>
        <w:t>993</w:t>
      </w:r>
    </w:p>
    <w:p w14:paraId="4B97AC1D" w14:textId="0FF4AE10" w:rsidR="009E19F4" w:rsidRDefault="008956A7" w:rsidP="009E19F4">
      <w:pPr>
        <w:widowControl/>
        <w:spacing w:before="120" w:line="226" w:lineRule="auto"/>
        <w:ind w:left="2160" w:hanging="2160"/>
        <w:rPr>
          <w:sz w:val="24"/>
        </w:rPr>
      </w:pPr>
      <w:r w:rsidRPr="0053490F">
        <w:rPr>
          <w:sz w:val="24"/>
        </w:rPr>
        <w:t>Company Name</w:t>
      </w:r>
      <w:r w:rsidR="00EC36DE">
        <w:rPr>
          <w:sz w:val="24"/>
        </w:rPr>
        <w:t>s</w:t>
      </w:r>
      <w:r w:rsidRPr="0053490F">
        <w:rPr>
          <w:sz w:val="24"/>
        </w:rPr>
        <w:t>:</w:t>
      </w:r>
      <w:r w:rsidRPr="0053490F">
        <w:rPr>
          <w:sz w:val="24"/>
        </w:rPr>
        <w:tab/>
      </w:r>
      <w:r w:rsidR="00BF38B7">
        <w:rPr>
          <w:sz w:val="24"/>
        </w:rPr>
        <w:t>Rabanco Ltd</w:t>
      </w:r>
      <w:r w:rsidR="009E19F4">
        <w:rPr>
          <w:sz w:val="24"/>
        </w:rPr>
        <w:t>, G-</w:t>
      </w:r>
      <w:r w:rsidR="00BF38B7">
        <w:rPr>
          <w:sz w:val="24"/>
        </w:rPr>
        <w:t>12</w:t>
      </w:r>
      <w:r w:rsidR="009E19F4">
        <w:rPr>
          <w:sz w:val="24"/>
        </w:rPr>
        <w:t xml:space="preserve">, </w:t>
      </w:r>
      <w:r w:rsidR="009E19F4" w:rsidRPr="009E19F4">
        <w:rPr>
          <w:sz w:val="24"/>
        </w:rPr>
        <w:t>d/b/a</w:t>
      </w:r>
      <w:r w:rsidR="009E19F4">
        <w:rPr>
          <w:sz w:val="24"/>
        </w:rPr>
        <w:t>’s:</w:t>
      </w:r>
    </w:p>
    <w:p w14:paraId="6DB55ED4" w14:textId="13200A85" w:rsidR="009E19F4" w:rsidRPr="00E92ACD" w:rsidRDefault="00BF38B7" w:rsidP="00BF38B7">
      <w:pPr>
        <w:pStyle w:val="ListParagraph"/>
        <w:widowControl/>
        <w:numPr>
          <w:ilvl w:val="0"/>
          <w:numId w:val="29"/>
        </w:numPr>
        <w:spacing w:before="120" w:line="226" w:lineRule="auto"/>
        <w:rPr>
          <w:sz w:val="24"/>
        </w:rPr>
      </w:pPr>
      <w:r w:rsidRPr="00BF38B7">
        <w:rPr>
          <w:sz w:val="24"/>
        </w:rPr>
        <w:t>Eastside Disposal, Container Hauling, Rabanco Connections and Rabanco Companies</w:t>
      </w:r>
      <w:r w:rsidR="009E19F4" w:rsidRPr="00E92ACD">
        <w:rPr>
          <w:sz w:val="24"/>
        </w:rPr>
        <w:t xml:space="preserve">; </w:t>
      </w:r>
    </w:p>
    <w:p w14:paraId="35A8678E" w14:textId="24B70B19" w:rsidR="009E19F4" w:rsidRPr="00E92ACD" w:rsidRDefault="00BF38B7" w:rsidP="00BF38B7">
      <w:pPr>
        <w:pStyle w:val="ListParagraph"/>
        <w:widowControl/>
        <w:numPr>
          <w:ilvl w:val="0"/>
          <w:numId w:val="29"/>
        </w:numPr>
        <w:spacing w:line="226" w:lineRule="auto"/>
        <w:rPr>
          <w:sz w:val="24"/>
        </w:rPr>
      </w:pPr>
      <w:r w:rsidRPr="00BF38B7">
        <w:rPr>
          <w:sz w:val="24"/>
        </w:rPr>
        <w:t>Allied Waste Services of Kent, Rabanco Companies and Sea-Tac Disposal</w:t>
      </w:r>
      <w:r w:rsidR="009E19F4" w:rsidRPr="00E92ACD">
        <w:rPr>
          <w:sz w:val="24"/>
        </w:rPr>
        <w:t xml:space="preserve">; and </w:t>
      </w:r>
    </w:p>
    <w:p w14:paraId="608254E0" w14:textId="19B89F53" w:rsidR="009E19F4" w:rsidRPr="00E92ACD" w:rsidRDefault="00BF38B7" w:rsidP="00BF38B7">
      <w:pPr>
        <w:pStyle w:val="ListParagraph"/>
        <w:widowControl/>
        <w:numPr>
          <w:ilvl w:val="0"/>
          <w:numId w:val="29"/>
        </w:numPr>
        <w:spacing w:after="120" w:line="226" w:lineRule="auto"/>
        <w:rPr>
          <w:sz w:val="24"/>
        </w:rPr>
      </w:pPr>
      <w:r w:rsidRPr="00BF38B7">
        <w:rPr>
          <w:sz w:val="24"/>
        </w:rPr>
        <w:t>Lynnwood Disposal</w:t>
      </w:r>
    </w:p>
    <w:p w14:paraId="0D5803B1" w14:textId="6B7A5202"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EC36DE">
        <w:rPr>
          <w:sz w:val="24"/>
        </w:rPr>
        <w:t>Deputy Assistant Director</w:t>
      </w:r>
    </w:p>
    <w:p w14:paraId="0D5803B2" w14:textId="4EA91953"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4" w14:textId="77777777" w:rsidR="00F720D5" w:rsidRPr="0053490F" w:rsidRDefault="00F720D5" w:rsidP="006D71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t>Recommendation</w:t>
      </w:r>
    </w:p>
    <w:p w14:paraId="38108D8A" w14:textId="77777777" w:rsidR="00E850CB" w:rsidRDefault="00E850CB" w:rsidP="00E850CB">
      <w:pPr>
        <w:pStyle w:val="ListParagraph"/>
        <w:widowContro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I</w:t>
      </w:r>
      <w:r w:rsidR="00130DE3" w:rsidRPr="00E850CB">
        <w:rPr>
          <w:sz w:val="24"/>
        </w:rPr>
        <w:t xml:space="preserve">ssue a complaint and order suspending revisions to each </w:t>
      </w:r>
      <w:r w:rsidR="00401981" w:rsidRPr="00E850CB">
        <w:rPr>
          <w:sz w:val="24"/>
        </w:rPr>
        <w:t xml:space="preserve">of the </w:t>
      </w:r>
      <w:r w:rsidR="008F4048" w:rsidRPr="00E850CB">
        <w:rPr>
          <w:sz w:val="24"/>
        </w:rPr>
        <w:t>company</w:t>
      </w:r>
      <w:r w:rsidR="007B48AC" w:rsidRPr="00E850CB">
        <w:rPr>
          <w:sz w:val="24"/>
        </w:rPr>
        <w:t>’s</w:t>
      </w:r>
      <w:r w:rsidR="00130DE3" w:rsidRPr="00E850CB">
        <w:rPr>
          <w:sz w:val="24"/>
        </w:rPr>
        <w:t xml:space="preserve"> tariffs</w:t>
      </w:r>
      <w:r w:rsidR="00401981" w:rsidRPr="00E850CB">
        <w:rPr>
          <w:sz w:val="24"/>
        </w:rPr>
        <w:t xml:space="preserve"> filed in Dockets TG-111</w:t>
      </w:r>
      <w:r w:rsidR="00BF38B7" w:rsidRPr="00E850CB">
        <w:rPr>
          <w:sz w:val="24"/>
        </w:rPr>
        <w:t>991</w:t>
      </w:r>
      <w:r w:rsidR="00401981" w:rsidRPr="00E850CB">
        <w:rPr>
          <w:sz w:val="24"/>
        </w:rPr>
        <w:t>, TG-111</w:t>
      </w:r>
      <w:r w:rsidR="00BF38B7" w:rsidRPr="00E850CB">
        <w:rPr>
          <w:sz w:val="24"/>
        </w:rPr>
        <w:t>992</w:t>
      </w:r>
      <w:r w:rsidR="00401981" w:rsidRPr="00E850CB">
        <w:rPr>
          <w:sz w:val="24"/>
        </w:rPr>
        <w:t xml:space="preserve"> and TG-111</w:t>
      </w:r>
      <w:r w:rsidR="00BF38B7" w:rsidRPr="00E850CB">
        <w:rPr>
          <w:sz w:val="24"/>
        </w:rPr>
        <w:t>993</w:t>
      </w:r>
      <w:r w:rsidR="003D7900" w:rsidRPr="00E850CB">
        <w:rPr>
          <w:sz w:val="24"/>
        </w:rPr>
        <w:t>,</w:t>
      </w:r>
      <w:r w:rsidR="00130DE3" w:rsidRPr="00E850CB">
        <w:rPr>
          <w:sz w:val="24"/>
        </w:rPr>
        <w:t xml:space="preserve"> </w:t>
      </w:r>
      <w:r>
        <w:rPr>
          <w:sz w:val="24"/>
        </w:rPr>
        <w:t xml:space="preserve">on </w:t>
      </w:r>
      <w:r w:rsidR="00BF38B7" w:rsidRPr="00E850CB">
        <w:rPr>
          <w:sz w:val="24"/>
        </w:rPr>
        <w:t>November 16</w:t>
      </w:r>
      <w:r w:rsidR="003D7900" w:rsidRPr="00E850CB">
        <w:rPr>
          <w:sz w:val="24"/>
        </w:rPr>
        <w:t>, 2011,</w:t>
      </w:r>
      <w:r w:rsidR="00130DE3" w:rsidRPr="00E850CB">
        <w:rPr>
          <w:sz w:val="24"/>
        </w:rPr>
        <w:t xml:space="preserve"> </w:t>
      </w:r>
      <w:r w:rsidR="0012201F" w:rsidRPr="00E850CB">
        <w:rPr>
          <w:sz w:val="24"/>
        </w:rPr>
        <w:t>December 21</w:t>
      </w:r>
      <w:r w:rsidRPr="00E850CB">
        <w:rPr>
          <w:sz w:val="24"/>
        </w:rPr>
        <w:t>, 2011,</w:t>
      </w:r>
      <w:r w:rsidR="0012201F" w:rsidRPr="00E850CB">
        <w:rPr>
          <w:sz w:val="24"/>
        </w:rPr>
        <w:t xml:space="preserve"> and </w:t>
      </w:r>
      <w:r w:rsidRPr="00E850CB">
        <w:rPr>
          <w:sz w:val="24"/>
        </w:rPr>
        <w:t xml:space="preserve">December </w:t>
      </w:r>
      <w:r w:rsidR="0012201F" w:rsidRPr="00E850CB">
        <w:rPr>
          <w:sz w:val="24"/>
        </w:rPr>
        <w:t>22, 2011</w:t>
      </w:r>
      <w:r>
        <w:rPr>
          <w:sz w:val="24"/>
        </w:rPr>
        <w:t>.</w:t>
      </w:r>
    </w:p>
    <w:p w14:paraId="61C0F3C6" w14:textId="77777777" w:rsidR="00E850CB" w:rsidRDefault="00E850CB" w:rsidP="00E850CB">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0D5803B6" w14:textId="4EBB647B" w:rsidR="00487380" w:rsidRPr="00E850CB" w:rsidRDefault="00E850CB" w:rsidP="00E850CB">
      <w:pPr>
        <w:pStyle w:val="ListParagraph"/>
        <w:widowContro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Al</w:t>
      </w:r>
      <w:r w:rsidR="00130DE3" w:rsidRPr="00E850CB">
        <w:rPr>
          <w:sz w:val="24"/>
        </w:rPr>
        <w:t>low</w:t>
      </w:r>
      <w:r w:rsidR="00802154" w:rsidRPr="00E850CB">
        <w:rPr>
          <w:sz w:val="24"/>
        </w:rPr>
        <w:t xml:space="preserve"> </w:t>
      </w:r>
      <w:r w:rsidR="00130DE3" w:rsidRPr="00E850CB">
        <w:rPr>
          <w:sz w:val="24"/>
        </w:rPr>
        <w:t xml:space="preserve">monthly recyclable commodity revenue adjustments filed by </w:t>
      </w:r>
      <w:r w:rsidR="007B48AC" w:rsidRPr="00E850CB">
        <w:rPr>
          <w:sz w:val="24"/>
        </w:rPr>
        <w:t xml:space="preserve">the </w:t>
      </w:r>
      <w:r w:rsidR="00130DE3" w:rsidRPr="00E850CB">
        <w:rPr>
          <w:sz w:val="24"/>
        </w:rPr>
        <w:t xml:space="preserve">company </w:t>
      </w:r>
      <w:r w:rsidR="003D7900" w:rsidRPr="00E850CB">
        <w:rPr>
          <w:sz w:val="24"/>
        </w:rPr>
        <w:t xml:space="preserve">on </w:t>
      </w:r>
      <w:r w:rsidR="00BF38B7" w:rsidRPr="00E850CB">
        <w:rPr>
          <w:sz w:val="24"/>
        </w:rPr>
        <w:t>November 16</w:t>
      </w:r>
      <w:r w:rsidR="003D7900" w:rsidRPr="00E850CB">
        <w:rPr>
          <w:sz w:val="24"/>
        </w:rPr>
        <w:t>, 2011,</w:t>
      </w:r>
      <w:r w:rsidR="00130DE3" w:rsidRPr="00E850CB">
        <w:rPr>
          <w:sz w:val="24"/>
        </w:rPr>
        <w:t xml:space="preserve"> </w:t>
      </w:r>
      <w:r w:rsidR="0012201F" w:rsidRPr="00E850CB">
        <w:rPr>
          <w:sz w:val="24"/>
        </w:rPr>
        <w:t>as revised on December 21</w:t>
      </w:r>
      <w:r>
        <w:rPr>
          <w:sz w:val="24"/>
        </w:rPr>
        <w:t>, 2011,</w:t>
      </w:r>
      <w:r w:rsidR="0012201F" w:rsidRPr="00E850CB">
        <w:rPr>
          <w:sz w:val="24"/>
        </w:rPr>
        <w:t xml:space="preserve"> and </w:t>
      </w:r>
      <w:r>
        <w:rPr>
          <w:sz w:val="24"/>
        </w:rPr>
        <w:t xml:space="preserve">December </w:t>
      </w:r>
      <w:r w:rsidR="0012201F" w:rsidRPr="00E850CB">
        <w:rPr>
          <w:sz w:val="24"/>
        </w:rPr>
        <w:t xml:space="preserve">22, 2011, </w:t>
      </w:r>
      <w:r w:rsidR="00130DE3" w:rsidRPr="00E850CB">
        <w:rPr>
          <w:sz w:val="24"/>
        </w:rPr>
        <w:t xml:space="preserve">and </w:t>
      </w:r>
      <w:r w:rsidR="0012201F" w:rsidRPr="00E850CB">
        <w:rPr>
          <w:sz w:val="24"/>
        </w:rPr>
        <w:t xml:space="preserve">fifty-percent </w:t>
      </w:r>
      <w:r w:rsidR="00130DE3" w:rsidRPr="00E850CB">
        <w:rPr>
          <w:sz w:val="24"/>
        </w:rPr>
        <w:t xml:space="preserve">revenue sharing </w:t>
      </w:r>
      <w:r w:rsidR="00BC6D51" w:rsidRPr="00E850CB">
        <w:rPr>
          <w:sz w:val="24"/>
        </w:rPr>
        <w:t xml:space="preserve">to become effective on </w:t>
      </w:r>
      <w:r w:rsidR="00BF38B7" w:rsidRPr="00E850CB">
        <w:rPr>
          <w:sz w:val="24"/>
        </w:rPr>
        <w:t>January 1</w:t>
      </w:r>
      <w:r w:rsidR="00BC6D51" w:rsidRPr="00E850CB">
        <w:rPr>
          <w:sz w:val="24"/>
        </w:rPr>
        <w:t>, 201</w:t>
      </w:r>
      <w:r w:rsidR="00BF38B7" w:rsidRPr="00E850CB">
        <w:rPr>
          <w:sz w:val="24"/>
        </w:rPr>
        <w:t>2</w:t>
      </w:r>
      <w:r w:rsidR="00BC6D51" w:rsidRPr="00E850CB">
        <w:rPr>
          <w:sz w:val="24"/>
        </w:rPr>
        <w:t xml:space="preserve">, </w:t>
      </w:r>
      <w:r w:rsidR="00130DE3" w:rsidRPr="00E850CB">
        <w:rPr>
          <w:sz w:val="24"/>
        </w:rPr>
        <w:t>on a temporary basis, subject to refund</w:t>
      </w:r>
      <w:r w:rsidR="007B48AC" w:rsidRPr="00E850CB">
        <w:rPr>
          <w:sz w:val="24"/>
        </w:rPr>
        <w:t xml:space="preserve"> or credit</w:t>
      </w:r>
      <w:r w:rsidR="00130DE3" w:rsidRPr="00E850CB">
        <w:rPr>
          <w:sz w:val="24"/>
        </w:rPr>
        <w:t>.</w:t>
      </w:r>
    </w:p>
    <w:p w14:paraId="0D5803B8" w14:textId="77777777" w:rsidR="006C3C23" w:rsidRPr="0053490F" w:rsidRDefault="006C3C23" w:rsidP="006D71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b/>
          <w:bCs/>
          <w:sz w:val="24"/>
          <w:u w:val="single"/>
        </w:rPr>
        <w:t>Discussion</w:t>
      </w:r>
    </w:p>
    <w:p w14:paraId="1D86B10A" w14:textId="51ACF3F7" w:rsidR="00E92ACD" w:rsidRDefault="00130DE3"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30DE3">
        <w:rPr>
          <w:sz w:val="24"/>
        </w:rPr>
        <w:t xml:space="preserve">On </w:t>
      </w:r>
      <w:r w:rsidR="00BF38B7">
        <w:rPr>
          <w:sz w:val="24"/>
        </w:rPr>
        <w:t>November 16</w:t>
      </w:r>
      <w:r w:rsidR="009E19F4">
        <w:rPr>
          <w:sz w:val="24"/>
        </w:rPr>
        <w:t>, 2011</w:t>
      </w:r>
      <w:r w:rsidRPr="00130DE3">
        <w:rPr>
          <w:sz w:val="24"/>
        </w:rPr>
        <w:t xml:space="preserve">, </w:t>
      </w:r>
      <w:r w:rsidR="00BF38B7">
        <w:rPr>
          <w:sz w:val="24"/>
        </w:rPr>
        <w:t>Rabanco Ltd</w:t>
      </w:r>
      <w:r w:rsidR="007B48AC">
        <w:rPr>
          <w:sz w:val="24"/>
        </w:rPr>
        <w:t xml:space="preserve"> (</w:t>
      </w:r>
      <w:r w:rsidR="00BF38B7">
        <w:rPr>
          <w:sz w:val="24"/>
        </w:rPr>
        <w:t>Rabanco</w:t>
      </w:r>
      <w:r w:rsidR="006B532C">
        <w:rPr>
          <w:sz w:val="24"/>
        </w:rPr>
        <w:t xml:space="preserve"> or company)</w:t>
      </w:r>
      <w:r w:rsidR="009E19F4">
        <w:rPr>
          <w:sz w:val="24"/>
        </w:rPr>
        <w:t xml:space="preserve">, </w:t>
      </w:r>
      <w:r w:rsidRPr="00130DE3">
        <w:rPr>
          <w:sz w:val="24"/>
        </w:rPr>
        <w:t xml:space="preserve">filed with the Washington Utilities </w:t>
      </w:r>
      <w:r>
        <w:rPr>
          <w:sz w:val="24"/>
        </w:rPr>
        <w:t>and Transportation Commission (c</w:t>
      </w:r>
      <w:r w:rsidRPr="00130DE3">
        <w:rPr>
          <w:sz w:val="24"/>
        </w:rPr>
        <w:t xml:space="preserve">ommission) revisions </w:t>
      </w:r>
      <w:r w:rsidR="00BF38B7">
        <w:rPr>
          <w:sz w:val="24"/>
        </w:rPr>
        <w:t xml:space="preserve">to </w:t>
      </w:r>
      <w:r w:rsidR="0076658B">
        <w:rPr>
          <w:sz w:val="24"/>
        </w:rPr>
        <w:t>three</w:t>
      </w:r>
      <w:r w:rsidRPr="00130DE3">
        <w:rPr>
          <w:sz w:val="24"/>
        </w:rPr>
        <w:t xml:space="preserve"> currently effective </w:t>
      </w:r>
      <w:r w:rsidR="00E92ACD">
        <w:rPr>
          <w:sz w:val="24"/>
        </w:rPr>
        <w:t>t</w:t>
      </w:r>
      <w:r w:rsidRPr="00130DE3">
        <w:rPr>
          <w:sz w:val="24"/>
        </w:rPr>
        <w:t>ariff</w:t>
      </w:r>
      <w:r w:rsidR="00E92ACD">
        <w:rPr>
          <w:sz w:val="24"/>
        </w:rPr>
        <w:t>s</w:t>
      </w:r>
      <w:r w:rsidR="0076658B">
        <w:rPr>
          <w:sz w:val="24"/>
        </w:rPr>
        <w:t xml:space="preserve"> on behalf of three operating units</w:t>
      </w:r>
      <w:r w:rsidR="00E92ACD">
        <w:rPr>
          <w:sz w:val="24"/>
        </w:rPr>
        <w:t>:</w:t>
      </w:r>
    </w:p>
    <w:p w14:paraId="6C96AE9E" w14:textId="465C211B" w:rsidR="00BF38B7" w:rsidRPr="00E92ACD" w:rsidRDefault="00BF38B7" w:rsidP="006D7100">
      <w:pPr>
        <w:pStyle w:val="ListParagraph"/>
        <w:widowControl/>
        <w:numPr>
          <w:ilvl w:val="0"/>
          <w:numId w:val="29"/>
        </w:numPr>
        <w:spacing w:before="120"/>
        <w:ind w:left="720"/>
        <w:rPr>
          <w:sz w:val="24"/>
        </w:rPr>
      </w:pPr>
      <w:r>
        <w:rPr>
          <w:sz w:val="24"/>
        </w:rPr>
        <w:t xml:space="preserve">Rabanco Ltd, d/b/a - </w:t>
      </w:r>
      <w:r w:rsidRPr="00BF38B7">
        <w:rPr>
          <w:sz w:val="24"/>
        </w:rPr>
        <w:t>Eastside Disposal, Container Hauling, Rabanco Connections and Rabanco Companies</w:t>
      </w:r>
      <w:r>
        <w:rPr>
          <w:sz w:val="24"/>
        </w:rPr>
        <w:t>,</w:t>
      </w:r>
      <w:r w:rsidRPr="00BF38B7">
        <w:t xml:space="preserve"> </w:t>
      </w:r>
      <w:r w:rsidRPr="00BF38B7">
        <w:rPr>
          <w:sz w:val="24"/>
        </w:rPr>
        <w:t xml:space="preserve">Tariff No. 11, </w:t>
      </w:r>
      <w:r>
        <w:rPr>
          <w:sz w:val="24"/>
        </w:rPr>
        <w:t>P</w:t>
      </w:r>
      <w:r w:rsidRPr="00BF38B7">
        <w:rPr>
          <w:sz w:val="24"/>
        </w:rPr>
        <w:t>ages 1, 21, 23, 27, 30, 31 and 32</w:t>
      </w:r>
      <w:r w:rsidR="00E60036">
        <w:rPr>
          <w:sz w:val="24"/>
        </w:rPr>
        <w:t xml:space="preserve"> (serving approximately 17,000 customers in King County)</w:t>
      </w:r>
      <w:r w:rsidRPr="00E92ACD">
        <w:rPr>
          <w:sz w:val="24"/>
        </w:rPr>
        <w:t xml:space="preserve">; </w:t>
      </w:r>
    </w:p>
    <w:p w14:paraId="6BB5E2B3" w14:textId="576EDE9A" w:rsidR="00BF38B7" w:rsidRPr="00E92ACD" w:rsidRDefault="00BF38B7" w:rsidP="006D7100">
      <w:pPr>
        <w:pStyle w:val="ListParagraph"/>
        <w:widowControl/>
        <w:numPr>
          <w:ilvl w:val="0"/>
          <w:numId w:val="29"/>
        </w:numPr>
        <w:ind w:left="720"/>
        <w:rPr>
          <w:sz w:val="24"/>
        </w:rPr>
      </w:pPr>
      <w:r>
        <w:rPr>
          <w:sz w:val="24"/>
        </w:rPr>
        <w:t xml:space="preserve">Rabanco Ltd, d/b/a - </w:t>
      </w:r>
      <w:r w:rsidRPr="00BF38B7">
        <w:rPr>
          <w:sz w:val="24"/>
        </w:rPr>
        <w:t>Allied Waste Services of Kent, Rabanco Companies and Sea-Tac Disposal</w:t>
      </w:r>
      <w:r>
        <w:rPr>
          <w:sz w:val="24"/>
        </w:rPr>
        <w:t xml:space="preserve">, </w:t>
      </w:r>
      <w:r w:rsidRPr="00BF38B7">
        <w:rPr>
          <w:sz w:val="24"/>
        </w:rPr>
        <w:t xml:space="preserve">Tariff No. 26, </w:t>
      </w:r>
      <w:r w:rsidR="006A62B7">
        <w:rPr>
          <w:sz w:val="24"/>
        </w:rPr>
        <w:t>P</w:t>
      </w:r>
      <w:r w:rsidRPr="00BF38B7">
        <w:rPr>
          <w:sz w:val="24"/>
        </w:rPr>
        <w:t>ages 1, 21, 25, 31, 34, 35, 36 and 37</w:t>
      </w:r>
      <w:r w:rsidR="00E60036">
        <w:rPr>
          <w:sz w:val="24"/>
        </w:rPr>
        <w:t xml:space="preserve"> (serving approximately 7,400 customers in King County)</w:t>
      </w:r>
      <w:r w:rsidRPr="00E92ACD">
        <w:rPr>
          <w:sz w:val="24"/>
        </w:rPr>
        <w:t xml:space="preserve">; and </w:t>
      </w:r>
    </w:p>
    <w:p w14:paraId="3BC6DE3F" w14:textId="535E92F6" w:rsidR="00BF38B7" w:rsidRPr="00E92ACD" w:rsidRDefault="00BF38B7" w:rsidP="006D7100">
      <w:pPr>
        <w:pStyle w:val="ListParagraph"/>
        <w:widowControl/>
        <w:numPr>
          <w:ilvl w:val="0"/>
          <w:numId w:val="29"/>
        </w:numPr>
        <w:spacing w:after="120"/>
        <w:ind w:left="720"/>
        <w:rPr>
          <w:sz w:val="24"/>
        </w:rPr>
      </w:pPr>
      <w:r>
        <w:rPr>
          <w:sz w:val="24"/>
        </w:rPr>
        <w:t xml:space="preserve">Rabanco Ltd, d/b/a - </w:t>
      </w:r>
      <w:r w:rsidRPr="00BF38B7">
        <w:rPr>
          <w:sz w:val="24"/>
        </w:rPr>
        <w:t>Lynnwood Disposal</w:t>
      </w:r>
      <w:r w:rsidR="006A62B7">
        <w:rPr>
          <w:sz w:val="24"/>
        </w:rPr>
        <w:t xml:space="preserve">, </w:t>
      </w:r>
      <w:r w:rsidR="006A62B7" w:rsidRPr="006A62B7">
        <w:rPr>
          <w:sz w:val="24"/>
        </w:rPr>
        <w:t xml:space="preserve">Tariff No. 4, </w:t>
      </w:r>
      <w:r w:rsidR="006A62B7">
        <w:rPr>
          <w:sz w:val="24"/>
        </w:rPr>
        <w:t>P</w:t>
      </w:r>
      <w:r w:rsidR="006A62B7" w:rsidRPr="006A62B7">
        <w:rPr>
          <w:sz w:val="24"/>
        </w:rPr>
        <w:t>ages 1, 21, 21a, 25, 25a, 25b and 30</w:t>
      </w:r>
      <w:r w:rsidR="00E60036">
        <w:rPr>
          <w:sz w:val="24"/>
        </w:rPr>
        <w:t xml:space="preserve"> (serving approximately 17,000 customers in Snohomish County)</w:t>
      </w:r>
      <w:r w:rsidR="006A62B7">
        <w:rPr>
          <w:sz w:val="24"/>
        </w:rPr>
        <w:t>.</w:t>
      </w:r>
    </w:p>
    <w:p w14:paraId="4DA4F0F5" w14:textId="1C42EC15" w:rsidR="00130DE3" w:rsidRPr="00E92ACD" w:rsidRDefault="00130DE3"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E92ACD">
        <w:rPr>
          <w:sz w:val="24"/>
        </w:rPr>
        <w:t>The stated effective date</w:t>
      </w:r>
      <w:r w:rsidR="0076658B">
        <w:rPr>
          <w:sz w:val="24"/>
        </w:rPr>
        <w:t>s</w:t>
      </w:r>
      <w:r w:rsidRPr="00E92ACD">
        <w:rPr>
          <w:sz w:val="24"/>
        </w:rPr>
        <w:t xml:space="preserve"> </w:t>
      </w:r>
      <w:r w:rsidR="0076658B">
        <w:rPr>
          <w:sz w:val="24"/>
        </w:rPr>
        <w:t>are</w:t>
      </w:r>
      <w:r w:rsidRPr="00E92ACD">
        <w:rPr>
          <w:sz w:val="24"/>
        </w:rPr>
        <w:t xml:space="preserve"> </w:t>
      </w:r>
      <w:r w:rsidR="006A62B7">
        <w:rPr>
          <w:sz w:val="24"/>
        </w:rPr>
        <w:t>January</w:t>
      </w:r>
      <w:r w:rsidRPr="00E92ACD">
        <w:rPr>
          <w:sz w:val="24"/>
        </w:rPr>
        <w:t xml:space="preserve"> 1, 201</w:t>
      </w:r>
      <w:r w:rsidR="006A62B7">
        <w:rPr>
          <w:sz w:val="24"/>
        </w:rPr>
        <w:t>2</w:t>
      </w:r>
      <w:r w:rsidRPr="00E92ACD">
        <w:rPr>
          <w:sz w:val="24"/>
        </w:rPr>
        <w:t>.</w:t>
      </w:r>
    </w:p>
    <w:p w14:paraId="776E03F7" w14:textId="2855B68B" w:rsidR="00B40E08" w:rsidRDefault="0076658B"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w:t>
      </w:r>
      <w:r w:rsidR="0073118E">
        <w:rPr>
          <w:sz w:val="24"/>
        </w:rPr>
        <w:t>he compan</w:t>
      </w:r>
      <w:r w:rsidR="006B532C">
        <w:rPr>
          <w:sz w:val="24"/>
        </w:rPr>
        <w:t>y</w:t>
      </w:r>
      <w:r w:rsidR="0073118E">
        <w:rPr>
          <w:sz w:val="24"/>
        </w:rPr>
        <w:t xml:space="preserve"> </w:t>
      </w:r>
      <w:r w:rsidR="00130DE3" w:rsidRPr="00130DE3">
        <w:rPr>
          <w:sz w:val="24"/>
        </w:rPr>
        <w:t>propose</w:t>
      </w:r>
      <w:r w:rsidR="006B532C">
        <w:rPr>
          <w:sz w:val="24"/>
        </w:rPr>
        <w:t>s</w:t>
      </w:r>
      <w:r w:rsidR="00130DE3" w:rsidRPr="00130DE3">
        <w:rPr>
          <w:sz w:val="24"/>
        </w:rPr>
        <w:t xml:space="preserve"> to increase the amount </w:t>
      </w:r>
      <w:r>
        <w:rPr>
          <w:sz w:val="24"/>
        </w:rPr>
        <w:t>it</w:t>
      </w:r>
      <w:r w:rsidRPr="00130DE3">
        <w:rPr>
          <w:sz w:val="24"/>
        </w:rPr>
        <w:t xml:space="preserve"> </w:t>
      </w:r>
      <w:r w:rsidR="00130DE3" w:rsidRPr="00130DE3">
        <w:rPr>
          <w:sz w:val="24"/>
        </w:rPr>
        <w:t>pay</w:t>
      </w:r>
      <w:r>
        <w:rPr>
          <w:sz w:val="24"/>
        </w:rPr>
        <w:t>s</w:t>
      </w:r>
      <w:r w:rsidR="00130DE3" w:rsidRPr="00130DE3">
        <w:rPr>
          <w:sz w:val="24"/>
        </w:rPr>
        <w:t xml:space="preserve"> to single family and multi-family customers for the value of the recyclable materials collect</w:t>
      </w:r>
      <w:r w:rsidR="006B532C">
        <w:rPr>
          <w:sz w:val="24"/>
        </w:rPr>
        <w:t>ed</w:t>
      </w:r>
      <w:r w:rsidR="00130DE3" w:rsidRPr="00130DE3">
        <w:rPr>
          <w:sz w:val="24"/>
        </w:rPr>
        <w:t xml:space="preserve"> </w:t>
      </w:r>
      <w:r w:rsidR="006B532C">
        <w:rPr>
          <w:sz w:val="24"/>
        </w:rPr>
        <w:t xml:space="preserve">as part of </w:t>
      </w:r>
      <w:r>
        <w:rPr>
          <w:sz w:val="24"/>
        </w:rPr>
        <w:t>its</w:t>
      </w:r>
      <w:r w:rsidRPr="00130DE3">
        <w:rPr>
          <w:sz w:val="24"/>
        </w:rPr>
        <w:t xml:space="preserve"> </w:t>
      </w:r>
      <w:r w:rsidR="00130DE3" w:rsidRPr="00130DE3">
        <w:rPr>
          <w:sz w:val="24"/>
        </w:rPr>
        <w:t>residential recycling collection service.</w:t>
      </w:r>
      <w:r w:rsidR="00275137">
        <w:rPr>
          <w:sz w:val="24"/>
        </w:rPr>
        <w:t xml:space="preserve"> </w:t>
      </w:r>
      <w:r w:rsidR="00130DE3" w:rsidRPr="00130DE3">
        <w:rPr>
          <w:sz w:val="24"/>
        </w:rPr>
        <w:t xml:space="preserve">The monthly credit for single family customers would increase </w:t>
      </w:r>
      <w:r w:rsidR="00B40E08">
        <w:rPr>
          <w:sz w:val="24"/>
        </w:rPr>
        <w:t>as follows:</w:t>
      </w:r>
    </w:p>
    <w:p w14:paraId="76F7BAA4" w14:textId="57CF1FD8"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t xml:space="preserve">Eastside Disposal </w:t>
      </w:r>
      <w:r w:rsidR="00B40E08" w:rsidRPr="00B40E08">
        <w:rPr>
          <w:sz w:val="24"/>
        </w:rPr>
        <w:t>- from $</w:t>
      </w:r>
      <w:r>
        <w:rPr>
          <w:sz w:val="24"/>
        </w:rPr>
        <w:t>0</w:t>
      </w:r>
      <w:r w:rsidR="00B40E08" w:rsidRPr="00B40E08">
        <w:rPr>
          <w:sz w:val="24"/>
        </w:rPr>
        <w:t>.</w:t>
      </w:r>
      <w:r>
        <w:rPr>
          <w:sz w:val="24"/>
        </w:rPr>
        <w:t>76</w:t>
      </w:r>
      <w:r w:rsidR="00B40E08" w:rsidRPr="00B40E08">
        <w:rPr>
          <w:sz w:val="24"/>
        </w:rPr>
        <w:t xml:space="preserve"> to $</w:t>
      </w:r>
      <w:r>
        <w:rPr>
          <w:sz w:val="24"/>
        </w:rPr>
        <w:t>1</w:t>
      </w:r>
      <w:r w:rsidR="00B40E08" w:rsidRPr="00B40E08">
        <w:rPr>
          <w:sz w:val="24"/>
        </w:rPr>
        <w:t>.</w:t>
      </w:r>
      <w:r>
        <w:rPr>
          <w:sz w:val="24"/>
        </w:rPr>
        <w:t>98</w:t>
      </w:r>
      <w:r w:rsidR="00B40E08" w:rsidRPr="00B40E08">
        <w:rPr>
          <w:sz w:val="24"/>
        </w:rPr>
        <w:t xml:space="preserve"> </w:t>
      </w:r>
    </w:p>
    <w:p w14:paraId="1A541E31" w14:textId="1004315C"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00B40E08" w:rsidRPr="00B40E08">
        <w:rPr>
          <w:sz w:val="24"/>
        </w:rPr>
        <w:t>from $</w:t>
      </w:r>
      <w:r>
        <w:rPr>
          <w:sz w:val="24"/>
        </w:rPr>
        <w:t>0.83</w:t>
      </w:r>
      <w:r w:rsidR="00B40E08" w:rsidRPr="00B40E08">
        <w:rPr>
          <w:sz w:val="24"/>
        </w:rPr>
        <w:t xml:space="preserve"> to $</w:t>
      </w:r>
      <w:r>
        <w:rPr>
          <w:sz w:val="24"/>
        </w:rPr>
        <w:t>1</w:t>
      </w:r>
      <w:r w:rsidR="00B40E08" w:rsidRPr="00B40E08">
        <w:rPr>
          <w:sz w:val="24"/>
        </w:rPr>
        <w:t>.</w:t>
      </w:r>
      <w:r>
        <w:rPr>
          <w:sz w:val="24"/>
        </w:rPr>
        <w:t>68</w:t>
      </w:r>
      <w:r w:rsidR="00B40E08" w:rsidRPr="00B40E08">
        <w:rPr>
          <w:sz w:val="24"/>
        </w:rPr>
        <w:t xml:space="preserve"> </w:t>
      </w:r>
    </w:p>
    <w:p w14:paraId="5C30A85D" w14:textId="21CB6A0C"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00B40E08" w:rsidRPr="00B40E08">
        <w:rPr>
          <w:sz w:val="24"/>
        </w:rPr>
        <w:t xml:space="preserve"> - from $</w:t>
      </w:r>
      <w:r>
        <w:rPr>
          <w:sz w:val="24"/>
        </w:rPr>
        <w:t>0.68</w:t>
      </w:r>
      <w:r w:rsidR="00B40E08" w:rsidRPr="00B40E08">
        <w:rPr>
          <w:sz w:val="24"/>
        </w:rPr>
        <w:t xml:space="preserve"> to $</w:t>
      </w:r>
      <w:r>
        <w:rPr>
          <w:sz w:val="24"/>
        </w:rPr>
        <w:t>1.71</w:t>
      </w:r>
    </w:p>
    <w:p w14:paraId="24614315" w14:textId="2F68D067" w:rsidR="00130DE3" w:rsidRPr="00130DE3" w:rsidRDefault="00B40E08"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The mult</w:t>
      </w:r>
      <w:r w:rsidR="006B532C">
        <w:rPr>
          <w:sz w:val="24"/>
        </w:rPr>
        <w:t>i</w:t>
      </w:r>
      <w:r>
        <w:rPr>
          <w:sz w:val="24"/>
        </w:rPr>
        <w:t xml:space="preserve">-family customer per yard credit </w:t>
      </w:r>
      <w:r w:rsidR="00130DE3" w:rsidRPr="00130DE3">
        <w:rPr>
          <w:sz w:val="24"/>
        </w:rPr>
        <w:t>for each pickup</w:t>
      </w:r>
      <w:r>
        <w:rPr>
          <w:sz w:val="24"/>
        </w:rPr>
        <w:t xml:space="preserve"> would increase as follows:</w:t>
      </w:r>
      <w:r w:rsidR="00130DE3" w:rsidRPr="00130DE3">
        <w:rPr>
          <w:sz w:val="24"/>
        </w:rPr>
        <w:t xml:space="preserve"> </w:t>
      </w:r>
    </w:p>
    <w:p w14:paraId="7D8E7FB4" w14:textId="7DBC04BF"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lastRenderedPageBreak/>
        <w:t xml:space="preserve">Eastside Disposal </w:t>
      </w:r>
      <w:r w:rsidRPr="00B40E08">
        <w:rPr>
          <w:sz w:val="24"/>
        </w:rPr>
        <w:t>- from $</w:t>
      </w:r>
      <w:r>
        <w:rPr>
          <w:sz w:val="24"/>
        </w:rPr>
        <w:t>0</w:t>
      </w:r>
      <w:r w:rsidRPr="00B40E08">
        <w:rPr>
          <w:sz w:val="24"/>
        </w:rPr>
        <w:t>.</w:t>
      </w:r>
      <w:r>
        <w:rPr>
          <w:sz w:val="24"/>
        </w:rPr>
        <w:t>19</w:t>
      </w:r>
      <w:r w:rsidRPr="00B40E08">
        <w:rPr>
          <w:sz w:val="24"/>
        </w:rPr>
        <w:t xml:space="preserve"> to $</w:t>
      </w:r>
      <w:r>
        <w:rPr>
          <w:sz w:val="24"/>
        </w:rPr>
        <w:t>0.63</w:t>
      </w:r>
      <w:r w:rsidRPr="00B40E08">
        <w:rPr>
          <w:sz w:val="24"/>
        </w:rPr>
        <w:t xml:space="preserve"> </w:t>
      </w:r>
    </w:p>
    <w:p w14:paraId="5EC60F7B" w14:textId="43F1F0CE"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0.35</w:t>
      </w:r>
      <w:r w:rsidRPr="00B40E08">
        <w:rPr>
          <w:sz w:val="24"/>
        </w:rPr>
        <w:t xml:space="preserve"> to $</w:t>
      </w:r>
      <w:r>
        <w:rPr>
          <w:sz w:val="24"/>
        </w:rPr>
        <w:t>0.37</w:t>
      </w:r>
      <w:r w:rsidRPr="00B40E08">
        <w:rPr>
          <w:sz w:val="24"/>
        </w:rPr>
        <w:t xml:space="preserve"> </w:t>
      </w:r>
    </w:p>
    <w:p w14:paraId="6F4CBB85" w14:textId="100415EA"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0.14</w:t>
      </w:r>
      <w:r w:rsidRPr="00B40E08">
        <w:rPr>
          <w:sz w:val="24"/>
        </w:rPr>
        <w:t xml:space="preserve"> to $</w:t>
      </w:r>
      <w:r>
        <w:rPr>
          <w:sz w:val="24"/>
        </w:rPr>
        <w:t>0.76</w:t>
      </w:r>
    </w:p>
    <w:p w14:paraId="43F9EF7C" w14:textId="6C7F9446" w:rsidR="008351D5" w:rsidRPr="008351D5" w:rsidRDefault="008351D5"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8351D5">
        <w:rPr>
          <w:sz w:val="24"/>
        </w:rPr>
        <w:t xml:space="preserve">Not included in </w:t>
      </w:r>
      <w:r>
        <w:rPr>
          <w:sz w:val="24"/>
        </w:rPr>
        <w:t>Rabanco</w:t>
      </w:r>
      <w:r w:rsidRPr="008351D5">
        <w:rPr>
          <w:sz w:val="24"/>
        </w:rPr>
        <w:t>’s initial filing of November 16, 2011</w:t>
      </w:r>
      <w:r w:rsidR="006D7100">
        <w:rPr>
          <w:sz w:val="24"/>
        </w:rPr>
        <w:t>,</w:t>
      </w:r>
      <w:r>
        <w:rPr>
          <w:sz w:val="24"/>
        </w:rPr>
        <w:t xml:space="preserve"> for each of its three operating units</w:t>
      </w:r>
      <w:r w:rsidRPr="008351D5">
        <w:rPr>
          <w:sz w:val="24"/>
        </w:rPr>
        <w:t xml:space="preserve">, was a request to retain fifty percent of the revenue the </w:t>
      </w:r>
      <w:r w:rsidR="002671CD">
        <w:rPr>
          <w:sz w:val="24"/>
        </w:rPr>
        <w:t>c</w:t>
      </w:r>
      <w:r w:rsidRPr="008351D5">
        <w:rPr>
          <w:sz w:val="24"/>
        </w:rPr>
        <w:t>ompany receives from the sale of recyclable materials for the period of January 1, 2012, through July 31, 2012.</w:t>
      </w:r>
      <w:r w:rsidR="00371122">
        <w:rPr>
          <w:rStyle w:val="FootnoteReference"/>
          <w:sz w:val="24"/>
        </w:rPr>
        <w:footnoteReference w:id="1"/>
      </w:r>
      <w:r w:rsidR="007B712D">
        <w:rPr>
          <w:sz w:val="24"/>
        </w:rPr>
        <w:t xml:space="preserve"> </w:t>
      </w:r>
      <w:r>
        <w:rPr>
          <w:sz w:val="24"/>
        </w:rPr>
        <w:t>T</w:t>
      </w:r>
      <w:r w:rsidRPr="008351D5">
        <w:rPr>
          <w:sz w:val="24"/>
        </w:rPr>
        <w:t xml:space="preserve">he </w:t>
      </w:r>
      <w:r w:rsidR="002671CD">
        <w:rPr>
          <w:sz w:val="24"/>
        </w:rPr>
        <w:t>c</w:t>
      </w:r>
      <w:r w:rsidRPr="008351D5">
        <w:rPr>
          <w:sz w:val="24"/>
        </w:rPr>
        <w:t xml:space="preserve">ompany’s initial filing </w:t>
      </w:r>
      <w:r w:rsidR="002671CD">
        <w:rPr>
          <w:sz w:val="24"/>
        </w:rPr>
        <w:t xml:space="preserve">also </w:t>
      </w:r>
      <w:r w:rsidRPr="008351D5">
        <w:rPr>
          <w:sz w:val="24"/>
        </w:rPr>
        <w:t>did not include the following:</w:t>
      </w:r>
    </w:p>
    <w:p w14:paraId="5552B680" w14:textId="6D423662" w:rsidR="008351D5" w:rsidRPr="002671CD" w:rsidRDefault="008351D5" w:rsidP="006D7100">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2671CD">
        <w:rPr>
          <w:sz w:val="24"/>
        </w:rPr>
        <w:t>A report on the amount of revenue it retained and the amount of money it spent on the activities identified in its recycling and revenue sharing plan; and</w:t>
      </w:r>
    </w:p>
    <w:p w14:paraId="61301DF2" w14:textId="086E4660" w:rsidR="008351D5" w:rsidRPr="002671CD" w:rsidRDefault="008351D5" w:rsidP="006D7100">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2671CD">
        <w:rPr>
          <w:sz w:val="24"/>
        </w:rPr>
        <w:t>Its 2011-2012 recycling and revenue sharing plan, certified by the appropriate local government authority as being consistent with the local government solid waste plan and that demonstrates how the revenues will be used to increase recycling.</w:t>
      </w:r>
    </w:p>
    <w:p w14:paraId="400B8E6E" w14:textId="07EF71BA" w:rsidR="008351D5" w:rsidRDefault="00E850CB"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rPr>
          <w:sz w:val="24"/>
        </w:rPr>
      </w:pPr>
      <w:r>
        <w:rPr>
          <w:sz w:val="24"/>
        </w:rPr>
        <w:t>O</w:t>
      </w:r>
      <w:r w:rsidRPr="008351D5">
        <w:rPr>
          <w:sz w:val="24"/>
        </w:rPr>
        <w:t xml:space="preserve">n December 9, 2011, </w:t>
      </w:r>
      <w:r w:rsidR="00831B22">
        <w:rPr>
          <w:sz w:val="24"/>
        </w:rPr>
        <w:t>t</w:t>
      </w:r>
      <w:r w:rsidR="008351D5" w:rsidRPr="008351D5">
        <w:rPr>
          <w:sz w:val="24"/>
        </w:rPr>
        <w:t xml:space="preserve">he </w:t>
      </w:r>
      <w:r w:rsidR="002671CD">
        <w:rPr>
          <w:sz w:val="24"/>
        </w:rPr>
        <w:t>c</w:t>
      </w:r>
      <w:r w:rsidR="008351D5" w:rsidRPr="008351D5">
        <w:rPr>
          <w:sz w:val="24"/>
        </w:rPr>
        <w:t xml:space="preserve">ompany </w:t>
      </w:r>
      <w:r w:rsidR="00831B22">
        <w:rPr>
          <w:sz w:val="24"/>
        </w:rPr>
        <w:t>filed</w:t>
      </w:r>
      <w:r w:rsidR="008351D5" w:rsidRPr="008351D5">
        <w:rPr>
          <w:sz w:val="24"/>
        </w:rPr>
        <w:t xml:space="preserve"> a revenue sharing report for the 2010-2011 plan period showing the amount of revenue retained and the amount of money spent on the activities identified in </w:t>
      </w:r>
      <w:r w:rsidR="002671CD">
        <w:rPr>
          <w:sz w:val="24"/>
        </w:rPr>
        <w:t xml:space="preserve">each of its operating unit’s </w:t>
      </w:r>
      <w:r w:rsidR="008351D5" w:rsidRPr="008351D5">
        <w:rPr>
          <w:sz w:val="24"/>
        </w:rPr>
        <w:t>recycling and revenue sharing plan</w:t>
      </w:r>
      <w:r w:rsidR="002671CD">
        <w:rPr>
          <w:sz w:val="24"/>
        </w:rPr>
        <w:t>s</w:t>
      </w:r>
      <w:r w:rsidR="008351D5" w:rsidRPr="008351D5">
        <w:rPr>
          <w:sz w:val="24"/>
        </w:rPr>
        <w:t xml:space="preserve"> with </w:t>
      </w:r>
      <w:r w:rsidR="002671CD">
        <w:rPr>
          <w:sz w:val="24"/>
        </w:rPr>
        <w:t xml:space="preserve">King and Snohomish </w:t>
      </w:r>
      <w:r w:rsidR="008351D5" w:rsidRPr="008351D5">
        <w:rPr>
          <w:sz w:val="24"/>
        </w:rPr>
        <w:t>Count</w:t>
      </w:r>
      <w:r w:rsidR="002671CD">
        <w:rPr>
          <w:sz w:val="24"/>
        </w:rPr>
        <w:t>ies</w:t>
      </w:r>
      <w:r w:rsidR="008351D5" w:rsidRPr="008351D5">
        <w:rPr>
          <w:sz w:val="24"/>
        </w:rPr>
        <w:t>.</w:t>
      </w:r>
      <w:r w:rsidR="002671CD">
        <w:rPr>
          <w:sz w:val="24"/>
        </w:rPr>
        <w:t xml:space="preserve"> </w:t>
      </w:r>
      <w:r w:rsidR="008351D5" w:rsidRPr="008351D5">
        <w:rPr>
          <w:sz w:val="24"/>
        </w:rPr>
        <w:t xml:space="preserve">The </w:t>
      </w:r>
      <w:r w:rsidR="002671CD">
        <w:rPr>
          <w:sz w:val="24"/>
        </w:rPr>
        <w:t>c</w:t>
      </w:r>
      <w:r w:rsidR="008351D5" w:rsidRPr="008351D5">
        <w:rPr>
          <w:sz w:val="24"/>
        </w:rPr>
        <w:t xml:space="preserve">ompany reported </w:t>
      </w:r>
      <w:r w:rsidR="002671CD">
        <w:rPr>
          <w:sz w:val="24"/>
        </w:rPr>
        <w:t>the following for each of its operating units</w:t>
      </w:r>
      <w:r w:rsidR="007B712D">
        <w:rPr>
          <w:sz w:val="24"/>
        </w:rPr>
        <w:t xml:space="preserve"> (Table</w:t>
      </w:r>
      <w:r w:rsidR="00275137">
        <w:rPr>
          <w:sz w:val="24"/>
        </w:rPr>
        <w:t xml:space="preserve"> 1 below</w:t>
      </w:r>
      <w:r w:rsidR="007B712D">
        <w:rPr>
          <w:sz w:val="24"/>
        </w:rPr>
        <w:t>)</w:t>
      </w:r>
      <w:r w:rsidR="002671CD">
        <w:rPr>
          <w:sz w:val="24"/>
        </w:rPr>
        <w:t>:</w:t>
      </w:r>
    </w:p>
    <w:p w14:paraId="7755850F" w14:textId="5FBA31E5"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1</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D79B2" w:rsidRPr="002671CD" w14:paraId="099C2841" w14:textId="77777777" w:rsidTr="007D79B2">
        <w:trPr>
          <w:jc w:val="center"/>
        </w:trPr>
        <w:tc>
          <w:tcPr>
            <w:tcW w:w="9360" w:type="dxa"/>
            <w:gridSpan w:val="5"/>
            <w:shd w:val="clear" w:color="auto" w:fill="D9D9D9" w:themeFill="background1" w:themeFillShade="D9"/>
          </w:tcPr>
          <w:p w14:paraId="27C69DB0" w14:textId="50EF2619" w:rsidR="007D79B2" w:rsidRPr="002671CD" w:rsidRDefault="007D79B2"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2010-2011</w:t>
            </w:r>
          </w:p>
        </w:tc>
      </w:tr>
      <w:tr w:rsidR="002671CD" w:rsidRPr="002671CD" w14:paraId="5132ACAB" w14:textId="77777777" w:rsidTr="000B4170">
        <w:trPr>
          <w:jc w:val="center"/>
        </w:trPr>
        <w:tc>
          <w:tcPr>
            <w:tcW w:w="2250" w:type="dxa"/>
            <w:shd w:val="clear" w:color="auto" w:fill="D9D9D9" w:themeFill="background1" w:themeFillShade="D9"/>
          </w:tcPr>
          <w:p w14:paraId="5B32AE84" w14:textId="2E7872F2"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425DE415" w14:textId="27C17D9F"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Revenue Retained @ Fifty Percent</w:t>
            </w:r>
          </w:p>
        </w:tc>
        <w:tc>
          <w:tcPr>
            <w:tcW w:w="1778" w:type="dxa"/>
            <w:shd w:val="clear" w:color="auto" w:fill="D9D9D9" w:themeFill="background1" w:themeFillShade="D9"/>
          </w:tcPr>
          <w:p w14:paraId="2703C336" w14:textId="44FD0704"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Retained Revenue Spent on Recycling Plan Activities</w:t>
            </w:r>
          </w:p>
        </w:tc>
        <w:tc>
          <w:tcPr>
            <w:tcW w:w="1777" w:type="dxa"/>
            <w:shd w:val="clear" w:color="auto" w:fill="D9D9D9" w:themeFill="background1" w:themeFillShade="D9"/>
          </w:tcPr>
          <w:p w14:paraId="5664B054" w14:textId="759591D2"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nues to be Kept by the Company</w:t>
            </w:r>
          </w:p>
        </w:tc>
        <w:tc>
          <w:tcPr>
            <w:tcW w:w="1778" w:type="dxa"/>
            <w:shd w:val="clear" w:color="auto" w:fill="D9D9D9" w:themeFill="background1" w:themeFillShade="D9"/>
          </w:tcPr>
          <w:p w14:paraId="6FCD6BD1" w14:textId="15E9FF02" w:rsidR="002671CD" w:rsidRPr="002671CD" w:rsidRDefault="002671CD"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 xml:space="preserve">Percent </w:t>
            </w:r>
            <w:r w:rsidR="000B4170">
              <w:rPr>
                <w:b/>
                <w:szCs w:val="20"/>
              </w:rPr>
              <w:t>I</w:t>
            </w:r>
            <w:r w:rsidRPr="002671CD">
              <w:rPr>
                <w:b/>
                <w:szCs w:val="20"/>
              </w:rPr>
              <w:t>ncrease in Waste D</w:t>
            </w:r>
            <w:r>
              <w:rPr>
                <w:b/>
                <w:szCs w:val="20"/>
              </w:rPr>
              <w:t>i</w:t>
            </w:r>
            <w:r w:rsidRPr="002671CD">
              <w:rPr>
                <w:b/>
                <w:szCs w:val="20"/>
              </w:rPr>
              <w:t>verted from Landfills (Results)</w:t>
            </w:r>
          </w:p>
        </w:tc>
      </w:tr>
      <w:tr w:rsidR="002671CD" w14:paraId="1B324AC6" w14:textId="77777777" w:rsidTr="000B4170">
        <w:trPr>
          <w:jc w:val="center"/>
        </w:trPr>
        <w:tc>
          <w:tcPr>
            <w:tcW w:w="2250" w:type="dxa"/>
          </w:tcPr>
          <w:p w14:paraId="20170446" w14:textId="5B6E0C41"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2E0BB757" w14:textId="3B152DA2"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$323,166</w:t>
            </w:r>
          </w:p>
        </w:tc>
        <w:tc>
          <w:tcPr>
            <w:tcW w:w="1778" w:type="dxa"/>
          </w:tcPr>
          <w:p w14:paraId="12854A24" w14:textId="6E37BEC6"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$183,386</w:t>
            </w:r>
          </w:p>
        </w:tc>
        <w:tc>
          <w:tcPr>
            <w:tcW w:w="1777" w:type="dxa"/>
          </w:tcPr>
          <w:p w14:paraId="1E7A1023" w14:textId="7167AE10"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$139,780</w:t>
            </w:r>
          </w:p>
        </w:tc>
        <w:tc>
          <w:tcPr>
            <w:tcW w:w="1778" w:type="dxa"/>
          </w:tcPr>
          <w:p w14:paraId="4BC9C603" w14:textId="0021031A"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0.7%</w:t>
            </w:r>
            <w:r w:rsidR="00371122" w:rsidRPr="00371122">
              <w:rPr>
                <w:rStyle w:val="FootnoteReference"/>
                <w:sz w:val="22"/>
                <w:szCs w:val="22"/>
                <w:vertAlign w:val="superscript"/>
              </w:rPr>
              <w:footnoteReference w:id="2"/>
            </w:r>
          </w:p>
        </w:tc>
      </w:tr>
      <w:tr w:rsidR="002671CD" w14:paraId="1627B988" w14:textId="77777777" w:rsidTr="000B4170">
        <w:trPr>
          <w:jc w:val="center"/>
        </w:trPr>
        <w:tc>
          <w:tcPr>
            <w:tcW w:w="2250" w:type="dxa"/>
          </w:tcPr>
          <w:p w14:paraId="736B48E5" w14:textId="224435E6"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75D87784" w14:textId="39BFE339"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$113,292</w:t>
            </w:r>
          </w:p>
        </w:tc>
        <w:tc>
          <w:tcPr>
            <w:tcW w:w="1778" w:type="dxa"/>
          </w:tcPr>
          <w:p w14:paraId="0C6E0CC0" w14:textId="689660F8"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$101,010</w:t>
            </w:r>
          </w:p>
        </w:tc>
        <w:tc>
          <w:tcPr>
            <w:tcW w:w="1777" w:type="dxa"/>
          </w:tcPr>
          <w:p w14:paraId="74EBD6B9" w14:textId="4EB2FDCA"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$12,281</w:t>
            </w:r>
          </w:p>
        </w:tc>
        <w:tc>
          <w:tcPr>
            <w:tcW w:w="1778" w:type="dxa"/>
          </w:tcPr>
          <w:p w14:paraId="16996129" w14:textId="5CAED9C2"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-0.6%</w:t>
            </w:r>
            <w:r w:rsidR="00371122" w:rsidRPr="00371122">
              <w:rPr>
                <w:rStyle w:val="FootnoteReference"/>
                <w:sz w:val="22"/>
                <w:szCs w:val="22"/>
                <w:vertAlign w:val="superscript"/>
              </w:rPr>
              <w:footnoteReference w:id="3"/>
            </w:r>
          </w:p>
        </w:tc>
      </w:tr>
      <w:tr w:rsidR="002671CD" w14:paraId="7DF08D57" w14:textId="77777777" w:rsidTr="000B4170">
        <w:trPr>
          <w:jc w:val="center"/>
        </w:trPr>
        <w:tc>
          <w:tcPr>
            <w:tcW w:w="2250" w:type="dxa"/>
          </w:tcPr>
          <w:p w14:paraId="0D056037" w14:textId="437A3DE5"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2248CE3D" w14:textId="5DBF2C47"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$307,577</w:t>
            </w:r>
          </w:p>
        </w:tc>
        <w:tc>
          <w:tcPr>
            <w:tcW w:w="1778" w:type="dxa"/>
          </w:tcPr>
          <w:p w14:paraId="5E1CACBC" w14:textId="52AA930B"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$134,474</w:t>
            </w:r>
          </w:p>
        </w:tc>
        <w:tc>
          <w:tcPr>
            <w:tcW w:w="1777" w:type="dxa"/>
          </w:tcPr>
          <w:p w14:paraId="0D1B9971" w14:textId="12C51C01"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$173,103</w:t>
            </w:r>
          </w:p>
        </w:tc>
        <w:tc>
          <w:tcPr>
            <w:tcW w:w="1778" w:type="dxa"/>
          </w:tcPr>
          <w:p w14:paraId="76DA422A" w14:textId="20F50830"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2.2%</w:t>
            </w:r>
            <w:r w:rsidR="00371122" w:rsidRPr="00371122">
              <w:rPr>
                <w:rStyle w:val="FootnoteReference"/>
                <w:sz w:val="22"/>
                <w:szCs w:val="22"/>
                <w:vertAlign w:val="superscript"/>
              </w:rPr>
              <w:footnoteReference w:id="4"/>
            </w:r>
          </w:p>
        </w:tc>
      </w:tr>
      <w:tr w:rsidR="000B4170" w14:paraId="2AD22B20" w14:textId="77777777" w:rsidTr="000B4170">
        <w:trPr>
          <w:jc w:val="center"/>
        </w:trPr>
        <w:tc>
          <w:tcPr>
            <w:tcW w:w="2250" w:type="dxa"/>
          </w:tcPr>
          <w:p w14:paraId="4FB4CF61" w14:textId="5BCD436A"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6684A6EF" w14:textId="309F198C"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$744,035 </w:t>
            </w:r>
          </w:p>
        </w:tc>
        <w:tc>
          <w:tcPr>
            <w:tcW w:w="1778" w:type="dxa"/>
          </w:tcPr>
          <w:p w14:paraId="0A0511D8" w14:textId="62A3D4B7"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$418,870 </w:t>
            </w:r>
          </w:p>
        </w:tc>
        <w:tc>
          <w:tcPr>
            <w:tcW w:w="1777" w:type="dxa"/>
          </w:tcPr>
          <w:p w14:paraId="7F8A37F9" w14:textId="42246DE9"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$325,164 </w:t>
            </w:r>
          </w:p>
        </w:tc>
        <w:tc>
          <w:tcPr>
            <w:tcW w:w="1778" w:type="dxa"/>
          </w:tcPr>
          <w:p w14:paraId="7492479C" w14:textId="33218F84"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1.0%</w:t>
            </w:r>
          </w:p>
        </w:tc>
      </w:tr>
    </w:tbl>
    <w:p w14:paraId="270D56CC" w14:textId="6AF7B6AF" w:rsidR="006D7100" w:rsidRDefault="008351D5"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rPr>
          <w:sz w:val="24"/>
        </w:rPr>
      </w:pPr>
      <w:r w:rsidRPr="008351D5">
        <w:rPr>
          <w:sz w:val="24"/>
        </w:rPr>
        <w:t xml:space="preserve">RCW 81.77.185 states that the </w:t>
      </w:r>
      <w:r w:rsidR="002671CD">
        <w:rPr>
          <w:sz w:val="24"/>
        </w:rPr>
        <w:t>c</w:t>
      </w:r>
      <w:r w:rsidRPr="008351D5">
        <w:rPr>
          <w:sz w:val="24"/>
        </w:rPr>
        <w:t xml:space="preserve">ommission shall allow a solid waste collection company collecting recyclable materials from residential single and multi-family customers to retain “up to fifty percent of the revenue paid” to the company for the material if the company submits a plan to the </w:t>
      </w:r>
      <w:r w:rsidR="002671CD">
        <w:rPr>
          <w:sz w:val="24"/>
        </w:rPr>
        <w:t>c</w:t>
      </w:r>
      <w:r w:rsidRPr="008351D5">
        <w:rPr>
          <w:sz w:val="24"/>
        </w:rPr>
        <w:t xml:space="preserve">ommission that is certified by the appropriate local government authority as being </w:t>
      </w:r>
      <w:r w:rsidRPr="008351D5">
        <w:rPr>
          <w:sz w:val="24"/>
        </w:rPr>
        <w:lastRenderedPageBreak/>
        <w:t>consistent with the local government solid waste plan and that demonstrates how the revenues will be used to increase recycling.</w:t>
      </w:r>
      <w:r w:rsidR="007B712D">
        <w:rPr>
          <w:sz w:val="24"/>
        </w:rPr>
        <w:t xml:space="preserve"> </w:t>
      </w:r>
      <w:r w:rsidRPr="008351D5">
        <w:rPr>
          <w:sz w:val="24"/>
        </w:rPr>
        <w:t>The remaining revenue must be passed through to residential single and multi-family customers.</w:t>
      </w:r>
    </w:p>
    <w:p w14:paraId="2C7C1207" w14:textId="3224F46D" w:rsidR="008351D5" w:rsidRDefault="002671CD"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w:t>
      </w:r>
      <w:r w:rsidR="008351D5" w:rsidRPr="008351D5">
        <w:rPr>
          <w:sz w:val="24"/>
        </w:rPr>
        <w:t xml:space="preserve">he </w:t>
      </w:r>
      <w:r w:rsidR="00C7737D">
        <w:rPr>
          <w:sz w:val="24"/>
        </w:rPr>
        <w:t>c</w:t>
      </w:r>
      <w:r w:rsidR="008351D5" w:rsidRPr="008351D5">
        <w:rPr>
          <w:sz w:val="24"/>
        </w:rPr>
        <w:t>ompany’s filing</w:t>
      </w:r>
      <w:r w:rsidR="00C7737D">
        <w:rPr>
          <w:sz w:val="24"/>
        </w:rPr>
        <w:t>s</w:t>
      </w:r>
      <w:r w:rsidR="008351D5" w:rsidRPr="008351D5">
        <w:rPr>
          <w:sz w:val="24"/>
        </w:rPr>
        <w:t xml:space="preserve"> of November 16, 2011, did not include recyclable commodity revenue sharing plan</w:t>
      </w:r>
      <w:r w:rsidR="00C7737D">
        <w:rPr>
          <w:sz w:val="24"/>
        </w:rPr>
        <w:t>s</w:t>
      </w:r>
      <w:r w:rsidR="008351D5" w:rsidRPr="008351D5">
        <w:rPr>
          <w:sz w:val="24"/>
        </w:rPr>
        <w:t xml:space="preserve"> certified by the</w:t>
      </w:r>
      <w:r w:rsidR="00C7737D">
        <w:rPr>
          <w:sz w:val="24"/>
        </w:rPr>
        <w:t>ir</w:t>
      </w:r>
      <w:r w:rsidR="008351D5" w:rsidRPr="008351D5">
        <w:rPr>
          <w:sz w:val="24"/>
        </w:rPr>
        <w:t xml:space="preserve"> </w:t>
      </w:r>
      <w:r w:rsidR="00C7737D">
        <w:rPr>
          <w:sz w:val="24"/>
        </w:rPr>
        <w:t>respective c</w:t>
      </w:r>
      <w:r w:rsidR="008351D5" w:rsidRPr="008351D5">
        <w:rPr>
          <w:sz w:val="24"/>
        </w:rPr>
        <w:t>ount</w:t>
      </w:r>
      <w:r w:rsidR="00C7737D">
        <w:rPr>
          <w:sz w:val="24"/>
        </w:rPr>
        <w:t>ies</w:t>
      </w:r>
      <w:r w:rsidR="008351D5" w:rsidRPr="008351D5">
        <w:rPr>
          <w:sz w:val="24"/>
        </w:rPr>
        <w:t xml:space="preserve"> as required by RCW 81.77.185.</w:t>
      </w:r>
      <w:r w:rsidR="007B712D">
        <w:rPr>
          <w:sz w:val="24"/>
        </w:rPr>
        <w:t xml:space="preserve"> </w:t>
      </w:r>
      <w:r w:rsidR="008351D5" w:rsidRPr="008351D5">
        <w:rPr>
          <w:sz w:val="24"/>
        </w:rPr>
        <w:t xml:space="preserve">Also lacking in </w:t>
      </w:r>
      <w:r w:rsidR="00C7737D">
        <w:rPr>
          <w:sz w:val="24"/>
        </w:rPr>
        <w:t xml:space="preserve">each </w:t>
      </w:r>
      <w:r w:rsidR="008351D5" w:rsidRPr="008351D5">
        <w:rPr>
          <w:sz w:val="24"/>
        </w:rPr>
        <w:t xml:space="preserve">filing, was a statement from the </w:t>
      </w:r>
      <w:r w:rsidR="00C7737D">
        <w:rPr>
          <w:sz w:val="24"/>
        </w:rPr>
        <w:t>c</w:t>
      </w:r>
      <w:r w:rsidR="008351D5" w:rsidRPr="008351D5">
        <w:rPr>
          <w:sz w:val="24"/>
        </w:rPr>
        <w:t xml:space="preserve">ounty that the </w:t>
      </w:r>
      <w:r w:rsidR="00C7737D">
        <w:rPr>
          <w:sz w:val="24"/>
        </w:rPr>
        <w:t>c</w:t>
      </w:r>
      <w:r w:rsidR="008351D5" w:rsidRPr="008351D5">
        <w:rPr>
          <w:sz w:val="24"/>
        </w:rPr>
        <w:t>ompany has met the obligations and requirements specified in the</w:t>
      </w:r>
      <w:r w:rsidR="00C7737D">
        <w:rPr>
          <w:sz w:val="24"/>
        </w:rPr>
        <w:t>ir</w:t>
      </w:r>
      <w:r w:rsidR="008351D5" w:rsidRPr="008351D5">
        <w:rPr>
          <w:sz w:val="24"/>
        </w:rPr>
        <w:t xml:space="preserve"> 2010-2011 plan</w:t>
      </w:r>
      <w:r w:rsidR="00C7737D">
        <w:rPr>
          <w:sz w:val="24"/>
        </w:rPr>
        <w:t xml:space="preserve">s. </w:t>
      </w:r>
    </w:p>
    <w:p w14:paraId="56897CBA" w14:textId="6EE51EA6" w:rsidR="0012201F" w:rsidRPr="0012201F"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 xml:space="preserve">On December 21, 2011, the </w:t>
      </w:r>
      <w:r>
        <w:rPr>
          <w:sz w:val="24"/>
        </w:rPr>
        <w:t>c</w:t>
      </w:r>
      <w:r w:rsidRPr="0012201F">
        <w:rPr>
          <w:sz w:val="24"/>
        </w:rPr>
        <w:t xml:space="preserve">ompany filed </w:t>
      </w:r>
      <w:r>
        <w:rPr>
          <w:sz w:val="24"/>
        </w:rPr>
        <w:t>a</w:t>
      </w:r>
      <w:r w:rsidRPr="0012201F">
        <w:rPr>
          <w:sz w:val="24"/>
        </w:rPr>
        <w:t>pproved plan</w:t>
      </w:r>
      <w:r>
        <w:rPr>
          <w:sz w:val="24"/>
        </w:rPr>
        <w:t>s</w:t>
      </w:r>
      <w:r w:rsidRPr="0012201F">
        <w:rPr>
          <w:sz w:val="24"/>
        </w:rPr>
        <w:t xml:space="preserve"> </w:t>
      </w:r>
      <w:r>
        <w:rPr>
          <w:sz w:val="24"/>
        </w:rPr>
        <w:t>for each of its operating units</w:t>
      </w:r>
      <w:r w:rsidRPr="0012201F">
        <w:rPr>
          <w:sz w:val="24"/>
        </w:rPr>
        <w:t xml:space="preserve"> for the 2011-2012 period certified by </w:t>
      </w:r>
      <w:r>
        <w:rPr>
          <w:sz w:val="24"/>
        </w:rPr>
        <w:t>the appropriate authority for each county (King and Snohomish). Each c</w:t>
      </w:r>
      <w:r w:rsidRPr="0012201F">
        <w:rPr>
          <w:sz w:val="24"/>
        </w:rPr>
        <w:t>ounty</w:t>
      </w:r>
      <w:r>
        <w:rPr>
          <w:sz w:val="24"/>
        </w:rPr>
        <w:t xml:space="preserve"> certified the plans </w:t>
      </w:r>
      <w:r w:rsidRPr="0012201F">
        <w:rPr>
          <w:sz w:val="24"/>
        </w:rPr>
        <w:t xml:space="preserve">as being consistent with the local government solid waste plan and </w:t>
      </w:r>
      <w:r>
        <w:rPr>
          <w:sz w:val="24"/>
        </w:rPr>
        <w:t xml:space="preserve">that each plan </w:t>
      </w:r>
      <w:r w:rsidRPr="0012201F">
        <w:rPr>
          <w:sz w:val="24"/>
        </w:rPr>
        <w:t xml:space="preserve">demonstrates how the retained revenues will be used to increase recycling. The </w:t>
      </w:r>
      <w:r>
        <w:rPr>
          <w:sz w:val="24"/>
        </w:rPr>
        <w:t>c</w:t>
      </w:r>
      <w:r w:rsidRPr="0012201F">
        <w:rPr>
          <w:sz w:val="24"/>
        </w:rPr>
        <w:t>ount</w:t>
      </w:r>
      <w:r>
        <w:rPr>
          <w:sz w:val="24"/>
        </w:rPr>
        <w:t>ies</w:t>
      </w:r>
      <w:r w:rsidRPr="0012201F">
        <w:rPr>
          <w:sz w:val="24"/>
        </w:rPr>
        <w:t xml:space="preserve"> also advised the </w:t>
      </w:r>
      <w:r>
        <w:rPr>
          <w:sz w:val="24"/>
        </w:rPr>
        <w:t>c</w:t>
      </w:r>
      <w:r w:rsidRPr="0012201F">
        <w:rPr>
          <w:sz w:val="24"/>
        </w:rPr>
        <w:t xml:space="preserve">ommission that the </w:t>
      </w:r>
      <w:r>
        <w:rPr>
          <w:sz w:val="24"/>
        </w:rPr>
        <w:t>c</w:t>
      </w:r>
      <w:r w:rsidRPr="0012201F">
        <w:rPr>
          <w:sz w:val="24"/>
        </w:rPr>
        <w:t>ompany had satisfied all of the performance requirements in the</w:t>
      </w:r>
      <w:r>
        <w:rPr>
          <w:sz w:val="24"/>
        </w:rPr>
        <w:t>ir</w:t>
      </w:r>
      <w:r w:rsidRPr="0012201F">
        <w:rPr>
          <w:sz w:val="24"/>
        </w:rPr>
        <w:t xml:space="preserve"> </w:t>
      </w:r>
      <w:r>
        <w:rPr>
          <w:sz w:val="24"/>
        </w:rPr>
        <w:t xml:space="preserve">respective </w:t>
      </w:r>
      <w:r w:rsidRPr="0012201F">
        <w:rPr>
          <w:sz w:val="24"/>
        </w:rPr>
        <w:t>recycling plan</w:t>
      </w:r>
      <w:r>
        <w:rPr>
          <w:sz w:val="24"/>
        </w:rPr>
        <w:t>s; all</w:t>
      </w:r>
      <w:r w:rsidRPr="0012201F">
        <w:rPr>
          <w:sz w:val="24"/>
        </w:rPr>
        <w:t xml:space="preserve"> expiring </w:t>
      </w:r>
      <w:r>
        <w:rPr>
          <w:sz w:val="24"/>
        </w:rPr>
        <w:t xml:space="preserve">on </w:t>
      </w:r>
      <w:r w:rsidRPr="0012201F">
        <w:rPr>
          <w:sz w:val="24"/>
        </w:rPr>
        <w:t xml:space="preserve">December 31, 2011.  </w:t>
      </w:r>
    </w:p>
    <w:p w14:paraId="7093F670" w14:textId="77777777" w:rsidR="007B712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The 2011-2012 plan</w:t>
      </w:r>
      <w:r>
        <w:rPr>
          <w:sz w:val="24"/>
        </w:rPr>
        <w:t xml:space="preserve">s for each operating unit </w:t>
      </w:r>
      <w:r w:rsidRPr="0012201F">
        <w:rPr>
          <w:sz w:val="24"/>
        </w:rPr>
        <w:t>include budget</w:t>
      </w:r>
      <w:r>
        <w:rPr>
          <w:sz w:val="24"/>
        </w:rPr>
        <w:t>s</w:t>
      </w:r>
      <w:r w:rsidRPr="0012201F">
        <w:rPr>
          <w:sz w:val="24"/>
        </w:rPr>
        <w:t xml:space="preserve"> with projected revenue</w:t>
      </w:r>
      <w:r>
        <w:rPr>
          <w:sz w:val="24"/>
        </w:rPr>
        <w:t xml:space="preserve">s, expenditures, performance bonuses and return on expenditures for each of the company’s operating units (Table 3). </w:t>
      </w:r>
    </w:p>
    <w:p w14:paraId="7762289C" w14:textId="77777777"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2</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B712D" w:rsidRPr="002671CD" w14:paraId="6910AD30" w14:textId="77777777" w:rsidTr="007B712D">
        <w:trPr>
          <w:cantSplit/>
          <w:jc w:val="center"/>
        </w:trPr>
        <w:tc>
          <w:tcPr>
            <w:tcW w:w="9360" w:type="dxa"/>
            <w:gridSpan w:val="5"/>
            <w:shd w:val="clear" w:color="auto" w:fill="D9D9D9" w:themeFill="background1" w:themeFillShade="D9"/>
          </w:tcPr>
          <w:p w14:paraId="0BBCE7AE"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2011-2012</w:t>
            </w:r>
          </w:p>
        </w:tc>
      </w:tr>
      <w:tr w:rsidR="007B712D" w:rsidRPr="002671CD" w14:paraId="3666592B" w14:textId="77777777" w:rsidTr="007B712D">
        <w:trPr>
          <w:cantSplit/>
          <w:jc w:val="center"/>
        </w:trPr>
        <w:tc>
          <w:tcPr>
            <w:tcW w:w="2250" w:type="dxa"/>
            <w:shd w:val="clear" w:color="auto" w:fill="D9D9D9" w:themeFill="background1" w:themeFillShade="D9"/>
          </w:tcPr>
          <w:p w14:paraId="3FD1065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50EE2E9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Projected </w:t>
            </w:r>
            <w:r w:rsidRPr="002671CD">
              <w:rPr>
                <w:b/>
                <w:szCs w:val="20"/>
              </w:rPr>
              <w:t>Revenue Retained @ Fifty Percent</w:t>
            </w:r>
          </w:p>
        </w:tc>
        <w:tc>
          <w:tcPr>
            <w:tcW w:w="1778" w:type="dxa"/>
            <w:shd w:val="clear" w:color="auto" w:fill="D9D9D9" w:themeFill="background1" w:themeFillShade="D9"/>
          </w:tcPr>
          <w:p w14:paraId="5C7F67D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Projected Expenditures</w:t>
            </w:r>
            <w:r w:rsidRPr="002671CD">
              <w:rPr>
                <w:b/>
                <w:szCs w:val="20"/>
              </w:rPr>
              <w:t xml:space="preserve"> Spent on Recycling Plan Activities</w:t>
            </w:r>
          </w:p>
        </w:tc>
        <w:tc>
          <w:tcPr>
            <w:tcW w:w="1777" w:type="dxa"/>
            <w:shd w:val="clear" w:color="auto" w:fill="D9D9D9" w:themeFill="background1" w:themeFillShade="D9"/>
          </w:tcPr>
          <w:p w14:paraId="1EC0B53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Projected Performance Bonuses </w:t>
            </w:r>
            <w:r w:rsidRPr="00BE302C">
              <w:rPr>
                <w:szCs w:val="20"/>
              </w:rPr>
              <w:t>(2.0 percent of Recyclable Co</w:t>
            </w:r>
            <w:r>
              <w:rPr>
                <w:szCs w:val="20"/>
              </w:rPr>
              <w:t>m</w:t>
            </w:r>
            <w:r w:rsidRPr="00BE302C">
              <w:rPr>
                <w:szCs w:val="20"/>
              </w:rPr>
              <w:t>modity Revenues)</w:t>
            </w:r>
          </w:p>
        </w:tc>
        <w:tc>
          <w:tcPr>
            <w:tcW w:w="1778" w:type="dxa"/>
            <w:shd w:val="clear" w:color="auto" w:fill="D9D9D9" w:themeFill="background1" w:themeFillShade="D9"/>
          </w:tcPr>
          <w:p w14:paraId="61F6068E"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Return on Expenditures </w:t>
            </w:r>
            <w:r w:rsidRPr="00BE302C">
              <w:rPr>
                <w:szCs w:val="20"/>
              </w:rPr>
              <w:t>(5.0 percent)</w:t>
            </w:r>
          </w:p>
        </w:tc>
      </w:tr>
      <w:tr w:rsidR="007B712D" w14:paraId="1910C1E7" w14:textId="77777777" w:rsidTr="007B712D">
        <w:trPr>
          <w:cantSplit/>
          <w:jc w:val="center"/>
        </w:trPr>
        <w:tc>
          <w:tcPr>
            <w:tcW w:w="2250" w:type="dxa"/>
          </w:tcPr>
          <w:p w14:paraId="0F778976"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77E1283D"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$120,891</w:t>
            </w:r>
          </w:p>
        </w:tc>
        <w:tc>
          <w:tcPr>
            <w:tcW w:w="1778" w:type="dxa"/>
          </w:tcPr>
          <w:p w14:paraId="13D1AB17"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$108,520</w:t>
            </w:r>
          </w:p>
        </w:tc>
        <w:tc>
          <w:tcPr>
            <w:tcW w:w="1777" w:type="dxa"/>
          </w:tcPr>
          <w:p w14:paraId="6D9D5FC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$4,836</w:t>
            </w:r>
          </w:p>
        </w:tc>
        <w:tc>
          <w:tcPr>
            <w:tcW w:w="1778" w:type="dxa"/>
          </w:tcPr>
          <w:p w14:paraId="4971427E" w14:textId="4461DF15"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$5,426</w:t>
            </w:r>
            <w:r w:rsidR="00E71CD1" w:rsidRPr="00E71CD1">
              <w:rPr>
                <w:rStyle w:val="FootnoteReference"/>
                <w:sz w:val="22"/>
                <w:szCs w:val="22"/>
                <w:vertAlign w:val="superscript"/>
              </w:rPr>
              <w:footnoteReference w:id="5"/>
            </w:r>
          </w:p>
        </w:tc>
      </w:tr>
      <w:tr w:rsidR="007B712D" w14:paraId="01E06DEA" w14:textId="77777777" w:rsidTr="007B712D">
        <w:trPr>
          <w:cantSplit/>
          <w:jc w:val="center"/>
        </w:trPr>
        <w:tc>
          <w:tcPr>
            <w:tcW w:w="2250" w:type="dxa"/>
          </w:tcPr>
          <w:p w14:paraId="32EB8480"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1046E437"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$55,094</w:t>
            </w:r>
          </w:p>
        </w:tc>
        <w:tc>
          <w:tcPr>
            <w:tcW w:w="1778" w:type="dxa"/>
          </w:tcPr>
          <w:p w14:paraId="0AADD0EC"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$48,685</w:t>
            </w:r>
          </w:p>
        </w:tc>
        <w:tc>
          <w:tcPr>
            <w:tcW w:w="1777" w:type="dxa"/>
          </w:tcPr>
          <w:p w14:paraId="4934B763"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$2,204</w:t>
            </w:r>
          </w:p>
        </w:tc>
        <w:tc>
          <w:tcPr>
            <w:tcW w:w="1778" w:type="dxa"/>
          </w:tcPr>
          <w:p w14:paraId="066C4003" w14:textId="2C9CA0B5"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$2,434</w:t>
            </w:r>
            <w:r w:rsidR="00E71CD1" w:rsidRPr="00E71CD1">
              <w:rPr>
                <w:rStyle w:val="FootnoteReference"/>
                <w:sz w:val="22"/>
                <w:szCs w:val="22"/>
                <w:vertAlign w:val="superscript"/>
              </w:rPr>
              <w:footnoteReference w:id="6"/>
            </w:r>
          </w:p>
        </w:tc>
      </w:tr>
      <w:tr w:rsidR="007B712D" w14:paraId="15DD99CB" w14:textId="77777777" w:rsidTr="007B712D">
        <w:trPr>
          <w:cantSplit/>
          <w:jc w:val="center"/>
        </w:trPr>
        <w:tc>
          <w:tcPr>
            <w:tcW w:w="2250" w:type="dxa"/>
          </w:tcPr>
          <w:p w14:paraId="19E54DAD"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0CE1AB03"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$178,848</w:t>
            </w:r>
          </w:p>
        </w:tc>
        <w:tc>
          <w:tcPr>
            <w:tcW w:w="1778" w:type="dxa"/>
          </w:tcPr>
          <w:p w14:paraId="486A4F4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$159,230</w:t>
            </w:r>
          </w:p>
        </w:tc>
        <w:tc>
          <w:tcPr>
            <w:tcW w:w="1777" w:type="dxa"/>
          </w:tcPr>
          <w:p w14:paraId="31714C89"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$7,154</w:t>
            </w:r>
          </w:p>
        </w:tc>
        <w:tc>
          <w:tcPr>
            <w:tcW w:w="1778" w:type="dxa"/>
          </w:tcPr>
          <w:p w14:paraId="6291FE82" w14:textId="3DF77424"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$7,987</w:t>
            </w:r>
            <w:r w:rsidR="00E71CD1" w:rsidRPr="00E71CD1">
              <w:rPr>
                <w:rStyle w:val="FootnoteReference"/>
                <w:sz w:val="22"/>
                <w:szCs w:val="22"/>
                <w:vertAlign w:val="superscript"/>
              </w:rPr>
              <w:footnoteReference w:id="7"/>
            </w:r>
          </w:p>
        </w:tc>
      </w:tr>
      <w:tr w:rsidR="007B712D" w14:paraId="4BE93A48" w14:textId="77777777" w:rsidTr="007B712D">
        <w:trPr>
          <w:cantSplit/>
          <w:jc w:val="center"/>
        </w:trPr>
        <w:tc>
          <w:tcPr>
            <w:tcW w:w="2250" w:type="dxa"/>
          </w:tcPr>
          <w:p w14:paraId="7161CF0B"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5050D214"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$354,833 </w:t>
            </w:r>
          </w:p>
        </w:tc>
        <w:tc>
          <w:tcPr>
            <w:tcW w:w="1778" w:type="dxa"/>
          </w:tcPr>
          <w:p w14:paraId="4798377C"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$316,435 </w:t>
            </w:r>
          </w:p>
        </w:tc>
        <w:tc>
          <w:tcPr>
            <w:tcW w:w="1777" w:type="dxa"/>
          </w:tcPr>
          <w:p w14:paraId="3595714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$14,194 </w:t>
            </w:r>
          </w:p>
        </w:tc>
        <w:tc>
          <w:tcPr>
            <w:tcW w:w="1778" w:type="dxa"/>
          </w:tcPr>
          <w:p w14:paraId="41288E55"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$15,847 </w:t>
            </w:r>
          </w:p>
        </w:tc>
      </w:tr>
    </w:tbl>
    <w:p w14:paraId="1F5F38ED" w14:textId="096FEC19" w:rsidR="007B712D" w:rsidRDefault="0012201F"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On December 21</w:t>
      </w:r>
      <w:r w:rsidR="00831B22">
        <w:rPr>
          <w:sz w:val="24"/>
        </w:rPr>
        <w:t>, 2011,</w:t>
      </w:r>
      <w:r>
        <w:rPr>
          <w:sz w:val="24"/>
        </w:rPr>
        <w:t xml:space="preserve"> and </w:t>
      </w:r>
      <w:r w:rsidR="00831B22">
        <w:rPr>
          <w:sz w:val="24"/>
        </w:rPr>
        <w:t xml:space="preserve">December </w:t>
      </w:r>
      <w:r>
        <w:rPr>
          <w:sz w:val="24"/>
        </w:rPr>
        <w:t>22</w:t>
      </w:r>
      <w:r w:rsidRPr="0012201F">
        <w:rPr>
          <w:sz w:val="24"/>
        </w:rPr>
        <w:t xml:space="preserve">, 2011, the </w:t>
      </w:r>
      <w:r>
        <w:rPr>
          <w:sz w:val="24"/>
        </w:rPr>
        <w:t>c</w:t>
      </w:r>
      <w:r w:rsidRPr="0012201F">
        <w:rPr>
          <w:sz w:val="24"/>
        </w:rPr>
        <w:t xml:space="preserve">ompany filed substitute pages to increase the proposed credits for single family and multi-family customers to refund </w:t>
      </w:r>
      <w:r w:rsidR="001766BE">
        <w:rPr>
          <w:sz w:val="24"/>
        </w:rPr>
        <w:t xml:space="preserve">most of the </w:t>
      </w:r>
      <w:r w:rsidRPr="0012201F">
        <w:rPr>
          <w:sz w:val="24"/>
        </w:rPr>
        <w:t>unspent retained revenues</w:t>
      </w:r>
      <w:r w:rsidR="001766BE">
        <w:rPr>
          <w:sz w:val="24"/>
        </w:rPr>
        <w:t xml:space="preserve"> from the 2010-2011 plan period</w:t>
      </w:r>
      <w:r w:rsidRPr="0012201F">
        <w:rPr>
          <w:sz w:val="24"/>
        </w:rPr>
        <w:t>.</w:t>
      </w:r>
      <w:r w:rsidR="007B712D">
        <w:rPr>
          <w:sz w:val="24"/>
        </w:rPr>
        <w:t xml:space="preserve"> As a result, t</w:t>
      </w:r>
      <w:r w:rsidR="007B712D" w:rsidRPr="00130DE3">
        <w:rPr>
          <w:sz w:val="24"/>
        </w:rPr>
        <w:t xml:space="preserve">he monthly credit for single family customers would increase </w:t>
      </w:r>
      <w:r w:rsidR="00831B22">
        <w:rPr>
          <w:sz w:val="24"/>
        </w:rPr>
        <w:t xml:space="preserve">compared to the original filing </w:t>
      </w:r>
      <w:r w:rsidR="007B712D">
        <w:rPr>
          <w:sz w:val="24"/>
        </w:rPr>
        <w:t>on November 16, 2011, as follows:</w:t>
      </w:r>
    </w:p>
    <w:p w14:paraId="23178C94"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lastRenderedPageBreak/>
        <w:t xml:space="preserve">Eastside Disposal </w:t>
      </w:r>
      <w:r w:rsidRPr="00B40E08">
        <w:rPr>
          <w:sz w:val="24"/>
        </w:rPr>
        <w:t>- from $</w:t>
      </w:r>
      <w:r>
        <w:rPr>
          <w:sz w:val="24"/>
        </w:rPr>
        <w:t>1.98</w:t>
      </w:r>
      <w:r w:rsidRPr="00B40E08">
        <w:rPr>
          <w:sz w:val="24"/>
        </w:rPr>
        <w:t xml:space="preserve"> to $</w:t>
      </w:r>
      <w:r>
        <w:rPr>
          <w:sz w:val="24"/>
        </w:rPr>
        <w:t>3</w:t>
      </w:r>
      <w:r w:rsidRPr="00B40E08">
        <w:rPr>
          <w:sz w:val="24"/>
        </w:rPr>
        <w:t>.</w:t>
      </w:r>
      <w:r>
        <w:rPr>
          <w:sz w:val="24"/>
        </w:rPr>
        <w:t>39</w:t>
      </w:r>
      <w:r w:rsidRPr="00B40E08">
        <w:rPr>
          <w:sz w:val="24"/>
        </w:rPr>
        <w:t xml:space="preserve"> </w:t>
      </w:r>
    </w:p>
    <w:p w14:paraId="5978D13F"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1.68</w:t>
      </w:r>
      <w:r w:rsidRPr="00B40E08">
        <w:rPr>
          <w:sz w:val="24"/>
        </w:rPr>
        <w:t xml:space="preserve"> to $</w:t>
      </w:r>
      <w:r>
        <w:rPr>
          <w:sz w:val="24"/>
        </w:rPr>
        <w:t>1</w:t>
      </w:r>
      <w:r w:rsidRPr="00B40E08">
        <w:rPr>
          <w:sz w:val="24"/>
        </w:rPr>
        <w:t>.</w:t>
      </w:r>
      <w:r>
        <w:rPr>
          <w:sz w:val="24"/>
        </w:rPr>
        <w:t>93</w:t>
      </w:r>
      <w:r w:rsidRPr="00B40E08">
        <w:rPr>
          <w:sz w:val="24"/>
        </w:rPr>
        <w:t xml:space="preserve"> </w:t>
      </w:r>
    </w:p>
    <w:p w14:paraId="0B0042AB"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1.71</w:t>
      </w:r>
      <w:r w:rsidRPr="00B40E08">
        <w:rPr>
          <w:sz w:val="24"/>
        </w:rPr>
        <w:t xml:space="preserve"> to $</w:t>
      </w:r>
      <w:r>
        <w:rPr>
          <w:sz w:val="24"/>
        </w:rPr>
        <w:t>2.97</w:t>
      </w:r>
    </w:p>
    <w:p w14:paraId="240A595D" w14:textId="79F199B6" w:rsidR="007B712D" w:rsidRPr="00130DE3"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multi-family customer per yard credit </w:t>
      </w:r>
      <w:r w:rsidRPr="00130DE3">
        <w:rPr>
          <w:sz w:val="24"/>
        </w:rPr>
        <w:t>for each pickup</w:t>
      </w:r>
      <w:r>
        <w:rPr>
          <w:sz w:val="24"/>
        </w:rPr>
        <w:t xml:space="preserve"> would increase </w:t>
      </w:r>
      <w:r w:rsidR="00831B22">
        <w:rPr>
          <w:sz w:val="24"/>
        </w:rPr>
        <w:t xml:space="preserve">compared to </w:t>
      </w:r>
      <w:r>
        <w:rPr>
          <w:sz w:val="24"/>
        </w:rPr>
        <w:t xml:space="preserve">the </w:t>
      </w:r>
      <w:r w:rsidR="00831B22">
        <w:rPr>
          <w:sz w:val="24"/>
        </w:rPr>
        <w:t>original filing</w:t>
      </w:r>
      <w:r>
        <w:rPr>
          <w:sz w:val="24"/>
        </w:rPr>
        <w:t xml:space="preserve"> on November 16, 2011, as follows:</w:t>
      </w:r>
      <w:r w:rsidRPr="00130DE3">
        <w:rPr>
          <w:sz w:val="24"/>
        </w:rPr>
        <w:t xml:space="preserve"> </w:t>
      </w:r>
    </w:p>
    <w:p w14:paraId="3C1303F3"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t xml:space="preserve">Eastside Disposal </w:t>
      </w:r>
      <w:r w:rsidRPr="00B40E08">
        <w:rPr>
          <w:sz w:val="24"/>
        </w:rPr>
        <w:t>- from $</w:t>
      </w:r>
      <w:r>
        <w:rPr>
          <w:sz w:val="24"/>
        </w:rPr>
        <w:t>0</w:t>
      </w:r>
      <w:r w:rsidRPr="00B40E08">
        <w:rPr>
          <w:sz w:val="24"/>
        </w:rPr>
        <w:t>.</w:t>
      </w:r>
      <w:r>
        <w:rPr>
          <w:sz w:val="24"/>
        </w:rPr>
        <w:t>63</w:t>
      </w:r>
      <w:r w:rsidRPr="00B40E08">
        <w:rPr>
          <w:sz w:val="24"/>
        </w:rPr>
        <w:t xml:space="preserve"> to $</w:t>
      </w:r>
      <w:r>
        <w:rPr>
          <w:sz w:val="24"/>
        </w:rPr>
        <w:t>1.15</w:t>
      </w:r>
      <w:r w:rsidRPr="00B40E08">
        <w:rPr>
          <w:sz w:val="24"/>
        </w:rPr>
        <w:t xml:space="preserve"> </w:t>
      </w:r>
    </w:p>
    <w:p w14:paraId="408B5FD6"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0.37</w:t>
      </w:r>
      <w:r w:rsidRPr="00B40E08">
        <w:rPr>
          <w:sz w:val="24"/>
        </w:rPr>
        <w:t xml:space="preserve"> to $</w:t>
      </w:r>
      <w:r>
        <w:rPr>
          <w:sz w:val="24"/>
        </w:rPr>
        <w:t>0.47</w:t>
      </w:r>
      <w:r w:rsidRPr="00B40E08">
        <w:rPr>
          <w:sz w:val="24"/>
        </w:rPr>
        <w:t xml:space="preserve"> </w:t>
      </w:r>
    </w:p>
    <w:p w14:paraId="3DE8776C"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0.76</w:t>
      </w:r>
      <w:r w:rsidRPr="00B40E08">
        <w:rPr>
          <w:sz w:val="24"/>
        </w:rPr>
        <w:t xml:space="preserve"> to $</w:t>
      </w:r>
      <w:r>
        <w:rPr>
          <w:sz w:val="24"/>
        </w:rPr>
        <w:t>1.28</w:t>
      </w:r>
    </w:p>
    <w:p w14:paraId="6A8D4BA1" w14:textId="2ECF9A10" w:rsidR="0012201F" w:rsidRDefault="007B712D"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revised net retention for the 2010-2011 plan period by each company is summarized in Table </w:t>
      </w:r>
      <w:r w:rsidR="00831B22">
        <w:rPr>
          <w:sz w:val="24"/>
        </w:rPr>
        <w:t>3</w:t>
      </w:r>
      <w:r>
        <w:rPr>
          <w:sz w:val="24"/>
        </w:rPr>
        <w:t xml:space="preserve"> below:</w:t>
      </w:r>
    </w:p>
    <w:p w14:paraId="5D8878EA" w14:textId="3DE4F0EF"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3</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D79B2" w:rsidRPr="002671CD" w14:paraId="39A4C74E" w14:textId="77777777" w:rsidTr="007D79B2">
        <w:trPr>
          <w:cantSplit/>
          <w:jc w:val="center"/>
        </w:trPr>
        <w:tc>
          <w:tcPr>
            <w:tcW w:w="9360" w:type="dxa"/>
            <w:gridSpan w:val="5"/>
            <w:shd w:val="clear" w:color="auto" w:fill="D9D9D9" w:themeFill="background1" w:themeFillShade="D9"/>
          </w:tcPr>
          <w:p w14:paraId="0B8648D5" w14:textId="59C8925B" w:rsidR="007D79B2" w:rsidRPr="002671CD" w:rsidRDefault="007D79B2"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2010-2011 (revised)</w:t>
            </w:r>
          </w:p>
        </w:tc>
      </w:tr>
      <w:tr w:rsidR="0012201F" w:rsidRPr="002671CD" w14:paraId="202BFA2A" w14:textId="77777777" w:rsidTr="0012201F">
        <w:trPr>
          <w:cantSplit/>
          <w:jc w:val="center"/>
        </w:trPr>
        <w:tc>
          <w:tcPr>
            <w:tcW w:w="2250" w:type="dxa"/>
            <w:shd w:val="clear" w:color="auto" w:fill="D9D9D9" w:themeFill="background1" w:themeFillShade="D9"/>
          </w:tcPr>
          <w:p w14:paraId="64BF087E"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0FB5C256"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Revenue Retained @ Fifty Percent</w:t>
            </w:r>
          </w:p>
        </w:tc>
        <w:tc>
          <w:tcPr>
            <w:tcW w:w="1778" w:type="dxa"/>
            <w:shd w:val="clear" w:color="auto" w:fill="D9D9D9" w:themeFill="background1" w:themeFillShade="D9"/>
          </w:tcPr>
          <w:p w14:paraId="4AED1AAF"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Retained Revenue Spent on Recycling Plan Activities</w:t>
            </w:r>
          </w:p>
        </w:tc>
        <w:tc>
          <w:tcPr>
            <w:tcW w:w="1777" w:type="dxa"/>
            <w:shd w:val="clear" w:color="auto" w:fill="D9D9D9" w:themeFill="background1" w:themeFillShade="D9"/>
          </w:tcPr>
          <w:p w14:paraId="05258352" w14:textId="5B7A332F" w:rsidR="0012201F" w:rsidRPr="002671CD"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 xml:space="preserve">nues </w:t>
            </w:r>
            <w:r w:rsidR="001766BE">
              <w:rPr>
                <w:b/>
                <w:szCs w:val="20"/>
              </w:rPr>
              <w:t>Returned to Ratepayers</w:t>
            </w:r>
          </w:p>
        </w:tc>
        <w:tc>
          <w:tcPr>
            <w:tcW w:w="1778" w:type="dxa"/>
            <w:shd w:val="clear" w:color="auto" w:fill="D9D9D9" w:themeFill="background1" w:themeFillShade="D9"/>
          </w:tcPr>
          <w:p w14:paraId="0B2B88CE" w14:textId="7C6EF775"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nues to be Kept by the Company</w:t>
            </w:r>
          </w:p>
        </w:tc>
      </w:tr>
      <w:tr w:rsidR="0012201F" w14:paraId="60E5F9BF" w14:textId="77777777" w:rsidTr="0012201F">
        <w:trPr>
          <w:cantSplit/>
          <w:jc w:val="center"/>
        </w:trPr>
        <w:tc>
          <w:tcPr>
            <w:tcW w:w="2250" w:type="dxa"/>
          </w:tcPr>
          <w:p w14:paraId="5228E0FE"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054C51E9"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$323,166</w:t>
            </w:r>
          </w:p>
        </w:tc>
        <w:tc>
          <w:tcPr>
            <w:tcW w:w="1778" w:type="dxa"/>
          </w:tcPr>
          <w:p w14:paraId="5BEEFEC1"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$183,386</w:t>
            </w:r>
          </w:p>
        </w:tc>
        <w:tc>
          <w:tcPr>
            <w:tcW w:w="1777" w:type="dxa"/>
          </w:tcPr>
          <w:p w14:paraId="7AB02B45" w14:textId="12A37BB1"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w:t>
            </w:r>
            <w:r w:rsidR="001766BE" w:rsidRPr="001766BE">
              <w:rPr>
                <w:sz w:val="22"/>
                <w:szCs w:val="22"/>
              </w:rPr>
              <w:t>124,441</w:t>
            </w:r>
          </w:p>
        </w:tc>
        <w:tc>
          <w:tcPr>
            <w:tcW w:w="1778" w:type="dxa"/>
          </w:tcPr>
          <w:p w14:paraId="5378EB41" w14:textId="469023BC"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 </w:t>
            </w:r>
            <w:r w:rsidR="001766BE" w:rsidRPr="001766BE">
              <w:rPr>
                <w:sz w:val="22"/>
                <w:szCs w:val="22"/>
              </w:rPr>
              <w:t>$15,339</w:t>
            </w:r>
            <w:r w:rsidR="00EA7A5A" w:rsidRPr="00EA7A5A">
              <w:rPr>
                <w:rStyle w:val="FootnoteReference"/>
                <w:sz w:val="22"/>
                <w:szCs w:val="22"/>
                <w:vertAlign w:val="superscript"/>
              </w:rPr>
              <w:footnoteReference w:id="8"/>
            </w:r>
          </w:p>
        </w:tc>
      </w:tr>
      <w:tr w:rsidR="0012201F" w14:paraId="1FA7B093" w14:textId="77777777" w:rsidTr="0012201F">
        <w:trPr>
          <w:cantSplit/>
          <w:jc w:val="center"/>
        </w:trPr>
        <w:tc>
          <w:tcPr>
            <w:tcW w:w="2250" w:type="dxa"/>
          </w:tcPr>
          <w:p w14:paraId="71AB0C1F"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49FCE524"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$113,292</w:t>
            </w:r>
          </w:p>
        </w:tc>
        <w:tc>
          <w:tcPr>
            <w:tcW w:w="1778" w:type="dxa"/>
          </w:tcPr>
          <w:p w14:paraId="05EF74DE"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$101,010</w:t>
            </w:r>
          </w:p>
        </w:tc>
        <w:tc>
          <w:tcPr>
            <w:tcW w:w="1777" w:type="dxa"/>
          </w:tcPr>
          <w:p w14:paraId="4E631382" w14:textId="0423DD26"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w:t>
            </w:r>
            <w:r w:rsidR="001766BE" w:rsidRPr="001766BE">
              <w:rPr>
                <w:sz w:val="22"/>
                <w:szCs w:val="22"/>
              </w:rPr>
              <w:t>1</w:t>
            </w:r>
            <w:r w:rsidRPr="001766BE">
              <w:rPr>
                <w:sz w:val="22"/>
                <w:szCs w:val="22"/>
              </w:rPr>
              <w:t>,</w:t>
            </w:r>
            <w:r w:rsidR="001766BE" w:rsidRPr="001766BE">
              <w:rPr>
                <w:sz w:val="22"/>
                <w:szCs w:val="22"/>
              </w:rPr>
              <w:t>538</w:t>
            </w:r>
          </w:p>
        </w:tc>
        <w:tc>
          <w:tcPr>
            <w:tcW w:w="1778" w:type="dxa"/>
          </w:tcPr>
          <w:p w14:paraId="49F0382B" w14:textId="32A69DC3" w:rsidR="0012201F" w:rsidRPr="001766BE" w:rsidRDefault="001766BE" w:rsidP="00EA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$74</w:t>
            </w:r>
            <w:r w:rsidR="00EA7A5A">
              <w:rPr>
                <w:sz w:val="22"/>
                <w:szCs w:val="22"/>
              </w:rPr>
              <w:t>4</w:t>
            </w:r>
            <w:r w:rsidR="00EA7A5A" w:rsidRPr="00EA7A5A">
              <w:rPr>
                <w:rStyle w:val="FootnoteReference"/>
                <w:sz w:val="22"/>
                <w:szCs w:val="22"/>
                <w:vertAlign w:val="superscript"/>
              </w:rPr>
              <w:footnoteReference w:id="9"/>
            </w:r>
          </w:p>
        </w:tc>
      </w:tr>
      <w:tr w:rsidR="0012201F" w14:paraId="0F84F98B" w14:textId="77777777" w:rsidTr="0012201F">
        <w:trPr>
          <w:cantSplit/>
          <w:jc w:val="center"/>
        </w:trPr>
        <w:tc>
          <w:tcPr>
            <w:tcW w:w="2250" w:type="dxa"/>
          </w:tcPr>
          <w:p w14:paraId="7F2DC0E7"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194E6564"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$307,577</w:t>
            </w:r>
          </w:p>
        </w:tc>
        <w:tc>
          <w:tcPr>
            <w:tcW w:w="1778" w:type="dxa"/>
          </w:tcPr>
          <w:p w14:paraId="6F947063"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$134,474</w:t>
            </w:r>
          </w:p>
        </w:tc>
        <w:tc>
          <w:tcPr>
            <w:tcW w:w="1777" w:type="dxa"/>
          </w:tcPr>
          <w:p w14:paraId="2CA8759C" w14:textId="72789307"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$173,10</w:t>
            </w:r>
            <w:r w:rsidR="001766BE" w:rsidRPr="001766BE">
              <w:rPr>
                <w:sz w:val="22"/>
                <w:szCs w:val="22"/>
              </w:rPr>
              <w:t>4</w:t>
            </w:r>
          </w:p>
        </w:tc>
        <w:tc>
          <w:tcPr>
            <w:tcW w:w="1778" w:type="dxa"/>
          </w:tcPr>
          <w:p w14:paraId="55B4AE06" w14:textId="7E33B228"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 </w:t>
            </w:r>
            <w:r w:rsidR="001766BE" w:rsidRPr="001766BE">
              <w:rPr>
                <w:sz w:val="22"/>
                <w:szCs w:val="22"/>
              </w:rPr>
              <w:t>$0</w:t>
            </w:r>
          </w:p>
        </w:tc>
      </w:tr>
      <w:tr w:rsidR="0012201F" w14:paraId="1D1B65FF" w14:textId="77777777" w:rsidTr="0012201F">
        <w:trPr>
          <w:cantSplit/>
          <w:jc w:val="center"/>
        </w:trPr>
        <w:tc>
          <w:tcPr>
            <w:tcW w:w="2250" w:type="dxa"/>
          </w:tcPr>
          <w:p w14:paraId="7B660968"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1483D8AA"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$744,035 </w:t>
            </w:r>
          </w:p>
        </w:tc>
        <w:tc>
          <w:tcPr>
            <w:tcW w:w="1778" w:type="dxa"/>
          </w:tcPr>
          <w:p w14:paraId="211BAB3B"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$418,870 </w:t>
            </w:r>
          </w:p>
        </w:tc>
        <w:tc>
          <w:tcPr>
            <w:tcW w:w="1777" w:type="dxa"/>
          </w:tcPr>
          <w:p w14:paraId="3D84B620"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$325,164 </w:t>
            </w:r>
          </w:p>
        </w:tc>
        <w:tc>
          <w:tcPr>
            <w:tcW w:w="1778" w:type="dxa"/>
          </w:tcPr>
          <w:p w14:paraId="274BAC3D" w14:textId="57454C97" w:rsidR="0012201F" w:rsidRPr="001766BE" w:rsidRDefault="001766BE"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$16,082</w:t>
            </w:r>
            <w:r w:rsidR="0012201F" w:rsidRPr="001766BE">
              <w:rPr>
                <w:sz w:val="22"/>
                <w:szCs w:val="22"/>
              </w:rPr>
              <w:t xml:space="preserve"> </w:t>
            </w:r>
          </w:p>
        </w:tc>
      </w:tr>
    </w:tbl>
    <w:p w14:paraId="566FDF54" w14:textId="42F285AA" w:rsidR="0012201F" w:rsidRPr="0012201F" w:rsidRDefault="006E6EA3"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S</w:t>
      </w:r>
      <w:r w:rsidR="0012201F" w:rsidRPr="0012201F">
        <w:rPr>
          <w:sz w:val="24"/>
        </w:rPr>
        <w:t xml:space="preserve">taff has two concerns with the </w:t>
      </w:r>
      <w:r>
        <w:rPr>
          <w:sz w:val="24"/>
        </w:rPr>
        <w:t>c</w:t>
      </w:r>
      <w:r w:rsidR="0012201F" w:rsidRPr="0012201F">
        <w:rPr>
          <w:sz w:val="24"/>
        </w:rPr>
        <w:t>ompany’s filings in th</w:t>
      </w:r>
      <w:r>
        <w:rPr>
          <w:sz w:val="24"/>
        </w:rPr>
        <w:t>ese</w:t>
      </w:r>
      <w:r w:rsidR="0012201F" w:rsidRPr="0012201F">
        <w:rPr>
          <w:sz w:val="24"/>
        </w:rPr>
        <w:t xml:space="preserve"> docket</w:t>
      </w:r>
      <w:r>
        <w:rPr>
          <w:sz w:val="24"/>
        </w:rPr>
        <w:t>s</w:t>
      </w:r>
      <w:r w:rsidR="0012201F" w:rsidRPr="0012201F">
        <w:rPr>
          <w:sz w:val="24"/>
        </w:rPr>
        <w:t>:</w:t>
      </w:r>
    </w:p>
    <w:p w14:paraId="1CD782F1" w14:textId="1615FF69" w:rsidR="0012201F" w:rsidRPr="006E6EA3" w:rsidRDefault="0012201F" w:rsidP="006E6EA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6E6EA3">
        <w:rPr>
          <w:sz w:val="24"/>
        </w:rPr>
        <w:t xml:space="preserve">The award of a retroactive performance bonus </w:t>
      </w:r>
      <w:r w:rsidR="006E6EA3">
        <w:rPr>
          <w:sz w:val="24"/>
        </w:rPr>
        <w:t xml:space="preserve">in </w:t>
      </w:r>
      <w:r w:rsidR="00831B22">
        <w:rPr>
          <w:sz w:val="24"/>
        </w:rPr>
        <w:t>D</w:t>
      </w:r>
      <w:r w:rsidR="006E6EA3">
        <w:rPr>
          <w:sz w:val="24"/>
        </w:rPr>
        <w:t xml:space="preserve">ockets TG-111991 and TG-111992 </w:t>
      </w:r>
      <w:r w:rsidRPr="006E6EA3">
        <w:rPr>
          <w:sz w:val="24"/>
        </w:rPr>
        <w:t>when no such provision existed in the plan</w:t>
      </w:r>
      <w:r w:rsidR="006E6EA3">
        <w:rPr>
          <w:sz w:val="24"/>
        </w:rPr>
        <w:t>s</w:t>
      </w:r>
      <w:r w:rsidRPr="006E6EA3">
        <w:rPr>
          <w:sz w:val="24"/>
        </w:rPr>
        <w:t xml:space="preserve"> </w:t>
      </w:r>
      <w:r w:rsidR="006E6EA3">
        <w:rPr>
          <w:sz w:val="24"/>
        </w:rPr>
        <w:t xml:space="preserve">previously </w:t>
      </w:r>
      <w:r w:rsidRPr="006E6EA3">
        <w:rPr>
          <w:sz w:val="24"/>
        </w:rPr>
        <w:t xml:space="preserve">approved by the </w:t>
      </w:r>
      <w:r w:rsidR="006E6EA3">
        <w:rPr>
          <w:sz w:val="24"/>
        </w:rPr>
        <w:t>c</w:t>
      </w:r>
      <w:r w:rsidRPr="006E6EA3">
        <w:rPr>
          <w:sz w:val="24"/>
        </w:rPr>
        <w:t>ommission; and</w:t>
      </w:r>
    </w:p>
    <w:p w14:paraId="12C720D5" w14:textId="3BCBF668" w:rsidR="0012201F" w:rsidRPr="006E6EA3" w:rsidRDefault="0012201F" w:rsidP="006E6EA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6E6EA3">
        <w:rPr>
          <w:sz w:val="24"/>
        </w:rPr>
        <w:t>The calculation of a return on expenditures for the 2011-2012 plan period of five percent</w:t>
      </w:r>
      <w:r w:rsidR="006E6EA3">
        <w:rPr>
          <w:sz w:val="24"/>
        </w:rPr>
        <w:t xml:space="preserve"> </w:t>
      </w:r>
      <w:r w:rsidR="00831B22">
        <w:rPr>
          <w:sz w:val="24"/>
        </w:rPr>
        <w:t xml:space="preserve">in </w:t>
      </w:r>
      <w:r w:rsidR="006E6EA3">
        <w:rPr>
          <w:sz w:val="24"/>
        </w:rPr>
        <w:t>all three dockets</w:t>
      </w:r>
      <w:r w:rsidRPr="006E6EA3">
        <w:rPr>
          <w:sz w:val="24"/>
        </w:rPr>
        <w:t xml:space="preserve">, which is without basis and is greater than the return staff calculated using the </w:t>
      </w:r>
      <w:r w:rsidR="00831B22" w:rsidRPr="00831B22">
        <w:rPr>
          <w:sz w:val="24"/>
        </w:rPr>
        <w:t>Lurito-Gallagher</w:t>
      </w:r>
      <w:r w:rsidRPr="006E6EA3">
        <w:rPr>
          <w:sz w:val="24"/>
        </w:rPr>
        <w:t xml:space="preserve"> method for the </w:t>
      </w:r>
      <w:r w:rsidR="006E6EA3">
        <w:rPr>
          <w:sz w:val="24"/>
        </w:rPr>
        <w:t xml:space="preserve">each operating unit’s </w:t>
      </w:r>
      <w:r w:rsidRPr="006E6EA3">
        <w:rPr>
          <w:sz w:val="24"/>
        </w:rPr>
        <w:t>last general rate case.</w:t>
      </w:r>
    </w:p>
    <w:p w14:paraId="6E725FAF" w14:textId="58CEE360" w:rsidR="00831B22" w:rsidRDefault="00831B22"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831B22">
        <w:rPr>
          <w:sz w:val="24"/>
        </w:rPr>
        <w:t>The Commission is considering these same two issues in three other suspended dockets involving another s</w:t>
      </w:r>
      <w:r w:rsidR="008575FC">
        <w:rPr>
          <w:sz w:val="24"/>
        </w:rPr>
        <w:t xml:space="preserve">olid waste collection company. </w:t>
      </w:r>
      <w:r w:rsidRPr="00831B22">
        <w:rPr>
          <w:sz w:val="24"/>
        </w:rPr>
        <w:t>Staff recommends that the Commission allow recyclable commodity revenue adjustments and revenue sharing to go into effect on a temporary basis, subject to refund or credit.</w:t>
      </w:r>
    </w:p>
    <w:p w14:paraId="58913531" w14:textId="77777777" w:rsidR="00EA7A5A" w:rsidRDefault="00EA7A5A">
      <w:pPr>
        <w:widowControl/>
        <w:autoSpaceDE/>
        <w:autoSpaceDN/>
        <w:adjustRightInd/>
        <w:rPr>
          <w:b/>
          <w:sz w:val="24"/>
          <w:u w:val="single"/>
        </w:rPr>
      </w:pPr>
      <w:r>
        <w:rPr>
          <w:b/>
          <w:sz w:val="24"/>
          <w:u w:val="single"/>
        </w:rPr>
        <w:br w:type="page"/>
      </w:r>
    </w:p>
    <w:p w14:paraId="0D58045E" w14:textId="25A8D21C" w:rsidR="00F720D5" w:rsidRDefault="002671CD"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lastRenderedPageBreak/>
        <w:t>Conclusion</w:t>
      </w:r>
    </w:p>
    <w:p w14:paraId="3F9EAFDC" w14:textId="77777777" w:rsidR="00831B22" w:rsidRPr="0053490F" w:rsidRDefault="00831B22"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p>
    <w:p w14:paraId="61DA48D6" w14:textId="77777777" w:rsidR="00831B22" w:rsidRDefault="00831B22" w:rsidP="00831B22">
      <w:pPr>
        <w:pStyle w:val="ListParagraph"/>
        <w:widowContro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I</w:t>
      </w:r>
      <w:r w:rsidRPr="00E850CB">
        <w:rPr>
          <w:sz w:val="24"/>
        </w:rPr>
        <w:t xml:space="preserve">ssue a complaint and order suspending revisions to each of the company’s tariffs filed in Dockets TG-111991, TG-111992 and TG-111993, </w:t>
      </w:r>
      <w:r>
        <w:rPr>
          <w:sz w:val="24"/>
        </w:rPr>
        <w:t xml:space="preserve">on </w:t>
      </w:r>
      <w:r w:rsidRPr="00E850CB">
        <w:rPr>
          <w:sz w:val="24"/>
        </w:rPr>
        <w:t>November 16, 2011, December 21, 2011, and December 22, 2011</w:t>
      </w:r>
      <w:r>
        <w:rPr>
          <w:sz w:val="24"/>
        </w:rPr>
        <w:t>.</w:t>
      </w:r>
    </w:p>
    <w:p w14:paraId="0E29159C" w14:textId="77777777" w:rsidR="00831B22" w:rsidRDefault="00831B22" w:rsidP="00831B22">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592EA94F" w14:textId="77777777" w:rsidR="00831B22" w:rsidRPr="00E850CB" w:rsidRDefault="00831B22" w:rsidP="00831B22">
      <w:pPr>
        <w:pStyle w:val="ListParagraph"/>
        <w:widowContro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Al</w:t>
      </w:r>
      <w:r w:rsidRPr="00E850CB">
        <w:rPr>
          <w:sz w:val="24"/>
        </w:rPr>
        <w:t>low monthly recyclable commodity revenue adjustments filed by the company on November 16, 2011, as revised on December 21</w:t>
      </w:r>
      <w:r>
        <w:rPr>
          <w:sz w:val="24"/>
        </w:rPr>
        <w:t>, 2011,</w:t>
      </w:r>
      <w:r w:rsidRPr="00E850CB">
        <w:rPr>
          <w:sz w:val="24"/>
        </w:rPr>
        <w:t xml:space="preserve"> and </w:t>
      </w:r>
      <w:r>
        <w:rPr>
          <w:sz w:val="24"/>
        </w:rPr>
        <w:t xml:space="preserve">December </w:t>
      </w:r>
      <w:r w:rsidRPr="00E850CB">
        <w:rPr>
          <w:sz w:val="24"/>
        </w:rPr>
        <w:t>22, 2011, and fifty-percent revenue sharing to become effective on January 1, 2012, on a temporary basis, subject to refund or credit.</w:t>
      </w:r>
    </w:p>
    <w:p w14:paraId="6539DADA" w14:textId="77777777" w:rsidR="00831B22" w:rsidRDefault="00831B22" w:rsidP="006E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778DC8F1" w14:textId="77777777" w:rsidR="00831B22" w:rsidRDefault="00831B22" w:rsidP="006E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sectPr w:rsidR="00831B22" w:rsidSect="00E124AB">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D093" w14:textId="77777777" w:rsidR="00E71CD1" w:rsidRDefault="00E71CD1">
      <w:r>
        <w:separator/>
      </w:r>
    </w:p>
  </w:endnote>
  <w:endnote w:type="continuationSeparator" w:id="0">
    <w:p w14:paraId="08FEE2BC" w14:textId="77777777" w:rsidR="00E71CD1" w:rsidRDefault="00E7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A6B7" w14:textId="77777777" w:rsidR="00E71CD1" w:rsidRDefault="00E71CD1">
      <w:r>
        <w:separator/>
      </w:r>
    </w:p>
  </w:footnote>
  <w:footnote w:type="continuationSeparator" w:id="0">
    <w:p w14:paraId="1C0F4B4A" w14:textId="77777777" w:rsidR="00E71CD1" w:rsidRDefault="00E71CD1">
      <w:r>
        <w:continuationSeparator/>
      </w:r>
    </w:p>
  </w:footnote>
  <w:footnote w:id="1">
    <w:p w14:paraId="75683BA3" w14:textId="256A7541" w:rsidR="00E71CD1" w:rsidRDefault="00E71CD1" w:rsidP="00371122">
      <w:pPr>
        <w:pStyle w:val="FootnoteText"/>
        <w:ind w:left="270" w:hanging="270"/>
      </w:pPr>
      <w:r>
        <w:rPr>
          <w:rStyle w:val="FootnoteReference"/>
        </w:rPr>
        <w:footnoteRef/>
      </w:r>
      <w:r>
        <w:t xml:space="preserve">   </w:t>
      </w:r>
      <w:r w:rsidRPr="00371122">
        <w:t xml:space="preserve">However, the workpapers containing the deferred accounting mechanism filed by the Company </w:t>
      </w:r>
      <w:r>
        <w:t xml:space="preserve">for all three operating untis </w:t>
      </w:r>
      <w:r w:rsidRPr="00371122">
        <w:t>on November 16, 2011, reflect fifty percent revenue retention in its calculation of the proposed credits.</w:t>
      </w:r>
    </w:p>
  </w:footnote>
  <w:footnote w:id="2">
    <w:p w14:paraId="0D80B0AC" w14:textId="12CF4AFE" w:rsidR="00E71CD1" w:rsidRDefault="00E71CD1" w:rsidP="00371122">
      <w:pPr>
        <w:pStyle w:val="FootnoteText"/>
        <w:ind w:left="270" w:hanging="270"/>
      </w:pPr>
      <w:r>
        <w:rPr>
          <w:rStyle w:val="FootnoteReference"/>
        </w:rPr>
        <w:footnoteRef/>
      </w:r>
      <w:r>
        <w:t xml:space="preserve">   </w:t>
      </w:r>
      <w:r w:rsidRPr="00371122">
        <w:t>Customer counts decreased by 10.4 percent between 2010 and 2011 which contributed to the decrease in diversion.  Annual diversion pounds per customer decreased by 3.2 percent.</w:t>
      </w:r>
    </w:p>
  </w:footnote>
  <w:footnote w:id="3">
    <w:p w14:paraId="3AE4C969" w14:textId="6B0103A0" w:rsidR="00E71CD1" w:rsidRDefault="00E71CD1" w:rsidP="00371122">
      <w:pPr>
        <w:pStyle w:val="FootnoteText"/>
        <w:ind w:left="270" w:hanging="270"/>
      </w:pPr>
      <w:r>
        <w:rPr>
          <w:rStyle w:val="FootnoteReference"/>
        </w:rPr>
        <w:footnoteRef/>
      </w:r>
      <w:r>
        <w:t xml:space="preserve">   </w:t>
      </w:r>
      <w:r w:rsidRPr="00371122">
        <w:t>Customer counts decreased by 18.1 percent between 2010 and 2011 which contributed to the decrease in total diversion.  Annual diversion pounds per customer increased by 2.3 percent while annual recycling pounds per household remained flat.</w:t>
      </w:r>
    </w:p>
  </w:footnote>
  <w:footnote w:id="4">
    <w:p w14:paraId="7347E50A" w14:textId="6018EA5E" w:rsidR="00E71CD1" w:rsidRDefault="00E71CD1" w:rsidP="00371122">
      <w:pPr>
        <w:pStyle w:val="FootnoteText"/>
        <w:ind w:left="270" w:hanging="270"/>
      </w:pPr>
      <w:r>
        <w:rPr>
          <w:rStyle w:val="FootnoteReference"/>
        </w:rPr>
        <w:footnoteRef/>
      </w:r>
      <w:r>
        <w:t xml:space="preserve">   </w:t>
      </w:r>
      <w:r w:rsidRPr="00371122">
        <w:t>Customer counts were flat between 2010 and 2011.  Annual diversion pounds per customer increased by 7.0 percent while annual recycling pounds per household also increased by 2.7 percent.</w:t>
      </w:r>
    </w:p>
  </w:footnote>
  <w:footnote w:id="5">
    <w:p w14:paraId="79B7F32E" w14:textId="32BF66C6" w:rsidR="00E71CD1" w:rsidRDefault="00E71CD1" w:rsidP="00E71CD1">
      <w:pPr>
        <w:pStyle w:val="FootnoteText"/>
        <w:ind w:left="360" w:hanging="360"/>
      </w:pPr>
      <w:r>
        <w:rPr>
          <w:rStyle w:val="FootnoteReference"/>
        </w:rPr>
        <w:footnoteRef/>
      </w:r>
      <w:r>
        <w:t xml:space="preserve"> </w:t>
      </w:r>
      <w:r w:rsidRPr="00E71CD1">
        <w:t xml:space="preserve">    Staff compared the five percent proposed by the County and Company against Lurito-Gallagher (LG) returns from the Company’s last general rate case (TG-100253).  An LG return commensurate with an incremental expenditure of $108,520 would be $3,555 (3.3 percent).</w:t>
      </w:r>
    </w:p>
  </w:footnote>
  <w:footnote w:id="6">
    <w:p w14:paraId="0FCE0271" w14:textId="0BEA7E2E" w:rsidR="00E71CD1" w:rsidRDefault="00E71CD1" w:rsidP="00E71CD1">
      <w:pPr>
        <w:pStyle w:val="FootnoteText"/>
        <w:ind w:left="360" w:hanging="360"/>
      </w:pPr>
      <w:r>
        <w:rPr>
          <w:rStyle w:val="FootnoteReference"/>
        </w:rPr>
        <w:footnoteRef/>
      </w:r>
      <w:r>
        <w:t xml:space="preserve">    </w:t>
      </w:r>
      <w:r w:rsidRPr="00E71CD1">
        <w:t>Staff compared the five percent proposed by the County and Company against Lurito-Gallagher (LG) returns from the Company’s last general rate case (TG-070749).  An LG return commensurate with an incremental expenditure of $48,685 would be $1,832 (3.8 percent).</w:t>
      </w:r>
    </w:p>
  </w:footnote>
  <w:footnote w:id="7">
    <w:p w14:paraId="592F6337" w14:textId="16203DB1" w:rsidR="00E71CD1" w:rsidRDefault="00E71CD1" w:rsidP="00E71CD1">
      <w:pPr>
        <w:pStyle w:val="FootnoteText"/>
        <w:ind w:left="360" w:hanging="360"/>
      </w:pPr>
      <w:r>
        <w:rPr>
          <w:rStyle w:val="FootnoteReference"/>
        </w:rPr>
        <w:footnoteRef/>
      </w:r>
      <w:r>
        <w:t xml:space="preserve">    </w:t>
      </w:r>
      <w:r w:rsidRPr="00E71CD1">
        <w:t>Staff compared the 5.0 percent proposed by the County and Company against Lurito-Gallagher (LG) returns from the Company’s last general rate case (TG-101157).  An LG return commensurate with an incremental expenditure of $159,730 would be $7,159 (4.5 percent).</w:t>
      </w:r>
    </w:p>
  </w:footnote>
  <w:footnote w:id="8">
    <w:p w14:paraId="22B7D03F" w14:textId="1DE64F26" w:rsidR="00EA7A5A" w:rsidRDefault="00EA7A5A" w:rsidP="00EA7A5A">
      <w:pPr>
        <w:pStyle w:val="FootnoteText"/>
        <w:ind w:left="360" w:hanging="360"/>
      </w:pPr>
      <w:r>
        <w:rPr>
          <w:rStyle w:val="FootnoteReference"/>
        </w:rPr>
        <w:footnoteRef/>
      </w:r>
      <w:r>
        <w:t xml:space="preserve">     </w:t>
      </w:r>
      <w:r w:rsidRPr="00EA7A5A">
        <w:t xml:space="preserve">Staff compared the 8.4 percent proposed by the Company and the County against Lurito-Gallagher (LG) returns from the Company’s last general rate case (TG-100253).  An LG return commensurate with an incremental expenditure of $183,386 would be $5,004 (2.7 percent).   </w:t>
      </w:r>
    </w:p>
  </w:footnote>
  <w:footnote w:id="9">
    <w:p w14:paraId="3CFF171C" w14:textId="73550F23" w:rsidR="00EA7A5A" w:rsidRDefault="00EA7A5A" w:rsidP="00EA7A5A">
      <w:pPr>
        <w:pStyle w:val="FootnoteText"/>
        <w:ind w:left="360" w:hanging="360"/>
      </w:pPr>
      <w:r>
        <w:rPr>
          <w:rStyle w:val="FootnoteReference"/>
        </w:rPr>
        <w:footnoteRef/>
      </w:r>
      <w:r>
        <w:t xml:space="preserve">   </w:t>
      </w:r>
      <w:r w:rsidRPr="00EA7A5A">
        <w:t xml:space="preserve">  Staff compared the 0.8 percent proposed by the Company and the County against Lurito-Gallagher (LG) returns from the Company’s last general rate case (TG-070749).  An LG return commensurate with an incremental expenditure of $88,410 would be $3,302 (3.7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32E" w14:textId="16FA04E9" w:rsidR="00E71CD1" w:rsidRDefault="00E71CD1" w:rsidP="00E124AB">
    <w:pPr>
      <w:spacing w:line="238" w:lineRule="auto"/>
    </w:pPr>
    <w:r w:rsidRPr="00FE0AD1">
      <w:t>Docket</w:t>
    </w:r>
    <w:r>
      <w:t>s</w:t>
    </w:r>
    <w:r w:rsidRPr="00FE0AD1">
      <w:t xml:space="preserve"> TG-</w:t>
    </w:r>
    <w:r>
      <w:t xml:space="preserve">111991, TG-111992 and TG-111993 </w:t>
    </w:r>
  </w:p>
  <w:p w14:paraId="47018638" w14:textId="6E72EAAF" w:rsidR="00E71CD1" w:rsidRPr="00FE0AD1" w:rsidRDefault="00E71CD1" w:rsidP="00E124AB">
    <w:pPr>
      <w:spacing w:line="238" w:lineRule="auto"/>
    </w:pPr>
    <w:r>
      <w:t>December 29, 2011</w:t>
    </w:r>
  </w:p>
  <w:p w14:paraId="2086EB96" w14:textId="77777777" w:rsidR="00E71CD1" w:rsidRDefault="00E71CD1" w:rsidP="00E124A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1D25C8">
      <w:rPr>
        <w:rStyle w:val="PageNumber"/>
        <w:noProof/>
      </w:rPr>
      <w:t>5</w:t>
    </w:r>
    <w:r w:rsidRPr="00FE0AD1">
      <w:rPr>
        <w:rStyle w:val="PageNumber"/>
      </w:rPr>
      <w:fldChar w:fldCharType="end"/>
    </w:r>
  </w:p>
  <w:p w14:paraId="4ECDA301" w14:textId="77777777" w:rsidR="00E71CD1" w:rsidRPr="00FE0AD1" w:rsidRDefault="00E71CD1" w:rsidP="00E124AB">
    <w:pPr>
      <w:spacing w:line="238" w:lineRule="auto"/>
      <w:rPr>
        <w:rStyle w:val="PageNumber"/>
      </w:rPr>
    </w:pPr>
  </w:p>
  <w:p w14:paraId="3C0C4B8E" w14:textId="77777777" w:rsidR="00E71CD1" w:rsidRDefault="00E71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E71CD1" w:rsidRPr="00D84B7C" w:rsidRDefault="00E71CD1"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E3E8B"/>
    <w:multiLevelType w:val="hybridMultilevel"/>
    <w:tmpl w:val="2DE8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5A02CE"/>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D46AD5"/>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C7760"/>
    <w:multiLevelType w:val="hybridMultilevel"/>
    <w:tmpl w:val="85162142"/>
    <w:lvl w:ilvl="0" w:tplc="D61C70E6">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CD63B68"/>
    <w:multiLevelType w:val="hybridMultilevel"/>
    <w:tmpl w:val="6C486B8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009DE"/>
    <w:multiLevelType w:val="hybridMultilevel"/>
    <w:tmpl w:val="933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E1F73"/>
    <w:multiLevelType w:val="hybridMultilevel"/>
    <w:tmpl w:val="47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6CFD7E58"/>
    <w:multiLevelType w:val="hybridMultilevel"/>
    <w:tmpl w:val="A08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12D22"/>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23"/>
  </w:num>
  <w:num w:numId="3">
    <w:abstractNumId w:val="4"/>
  </w:num>
  <w:num w:numId="4">
    <w:abstractNumId w:val="34"/>
  </w:num>
  <w:num w:numId="5">
    <w:abstractNumId w:val="18"/>
  </w:num>
  <w:num w:numId="6">
    <w:abstractNumId w:val="27"/>
  </w:num>
  <w:num w:numId="7">
    <w:abstractNumId w:val="19"/>
  </w:num>
  <w:num w:numId="8">
    <w:abstractNumId w:val="24"/>
  </w:num>
  <w:num w:numId="9">
    <w:abstractNumId w:val="6"/>
  </w:num>
  <w:num w:numId="10">
    <w:abstractNumId w:val="21"/>
  </w:num>
  <w:num w:numId="11">
    <w:abstractNumId w:val="0"/>
  </w:num>
  <w:num w:numId="12">
    <w:abstractNumId w:val="32"/>
  </w:num>
  <w:num w:numId="13">
    <w:abstractNumId w:val="33"/>
  </w:num>
  <w:num w:numId="14">
    <w:abstractNumId w:val="11"/>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1"/>
  </w:num>
  <w:num w:numId="19">
    <w:abstractNumId w:val="1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20"/>
  </w:num>
  <w:num w:numId="24">
    <w:abstractNumId w:val="26"/>
  </w:num>
  <w:num w:numId="25">
    <w:abstractNumId w:val="28"/>
  </w:num>
  <w:num w:numId="26">
    <w:abstractNumId w:val="7"/>
  </w:num>
  <w:num w:numId="27">
    <w:abstractNumId w:val="30"/>
  </w:num>
  <w:num w:numId="28">
    <w:abstractNumId w:val="22"/>
  </w:num>
  <w:num w:numId="29">
    <w:abstractNumId w:val="10"/>
  </w:num>
  <w:num w:numId="30">
    <w:abstractNumId w:val="14"/>
  </w:num>
  <w:num w:numId="31">
    <w:abstractNumId w:val="15"/>
  </w:num>
  <w:num w:numId="32">
    <w:abstractNumId w:val="3"/>
  </w:num>
  <w:num w:numId="33">
    <w:abstractNumId w:val="29"/>
  </w:num>
  <w:num w:numId="34">
    <w:abstractNumId w:val="9"/>
  </w:num>
  <w:num w:numId="35">
    <w:abstractNumId w:val="5"/>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4170"/>
    <w:rsid w:val="000B5EAF"/>
    <w:rsid w:val="000C7AF5"/>
    <w:rsid w:val="000C7B7A"/>
    <w:rsid w:val="000D0D9B"/>
    <w:rsid w:val="000D2F0C"/>
    <w:rsid w:val="000D6EE8"/>
    <w:rsid w:val="000D73DD"/>
    <w:rsid w:val="000D7B14"/>
    <w:rsid w:val="000E0A65"/>
    <w:rsid w:val="000E186B"/>
    <w:rsid w:val="000E5DC6"/>
    <w:rsid w:val="000E6D5C"/>
    <w:rsid w:val="000F23B0"/>
    <w:rsid w:val="000F4F28"/>
    <w:rsid w:val="000F5982"/>
    <w:rsid w:val="00104E1B"/>
    <w:rsid w:val="00105F8B"/>
    <w:rsid w:val="001113F5"/>
    <w:rsid w:val="00114DD1"/>
    <w:rsid w:val="0012201F"/>
    <w:rsid w:val="00122480"/>
    <w:rsid w:val="00130DE3"/>
    <w:rsid w:val="00131C9E"/>
    <w:rsid w:val="00135861"/>
    <w:rsid w:val="00137FE5"/>
    <w:rsid w:val="00142F08"/>
    <w:rsid w:val="0015140F"/>
    <w:rsid w:val="00156D17"/>
    <w:rsid w:val="0016108B"/>
    <w:rsid w:val="00161E2E"/>
    <w:rsid w:val="00164BEE"/>
    <w:rsid w:val="00171541"/>
    <w:rsid w:val="00173F0F"/>
    <w:rsid w:val="00175973"/>
    <w:rsid w:val="001766BE"/>
    <w:rsid w:val="00176731"/>
    <w:rsid w:val="00180222"/>
    <w:rsid w:val="0019005A"/>
    <w:rsid w:val="001A5711"/>
    <w:rsid w:val="001B09AF"/>
    <w:rsid w:val="001B4800"/>
    <w:rsid w:val="001C037D"/>
    <w:rsid w:val="001C187C"/>
    <w:rsid w:val="001C1A80"/>
    <w:rsid w:val="001D19DE"/>
    <w:rsid w:val="001D25C8"/>
    <w:rsid w:val="001D28F3"/>
    <w:rsid w:val="001D636B"/>
    <w:rsid w:val="001D6D6C"/>
    <w:rsid w:val="001D6F01"/>
    <w:rsid w:val="001E2BF6"/>
    <w:rsid w:val="001E5965"/>
    <w:rsid w:val="001E641B"/>
    <w:rsid w:val="001F1C87"/>
    <w:rsid w:val="001F50B5"/>
    <w:rsid w:val="001F7126"/>
    <w:rsid w:val="00203489"/>
    <w:rsid w:val="00204E23"/>
    <w:rsid w:val="00217468"/>
    <w:rsid w:val="00230B69"/>
    <w:rsid w:val="00233439"/>
    <w:rsid w:val="002348E0"/>
    <w:rsid w:val="002349CB"/>
    <w:rsid w:val="002355F8"/>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5E6D"/>
    <w:rsid w:val="0026637B"/>
    <w:rsid w:val="002671CD"/>
    <w:rsid w:val="00267644"/>
    <w:rsid w:val="0027029B"/>
    <w:rsid w:val="00274B3C"/>
    <w:rsid w:val="00275137"/>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303781"/>
    <w:rsid w:val="00305C22"/>
    <w:rsid w:val="0031222B"/>
    <w:rsid w:val="00313257"/>
    <w:rsid w:val="00313EEB"/>
    <w:rsid w:val="00321B43"/>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122"/>
    <w:rsid w:val="00371383"/>
    <w:rsid w:val="00376C63"/>
    <w:rsid w:val="00376C6D"/>
    <w:rsid w:val="00377CFC"/>
    <w:rsid w:val="00380767"/>
    <w:rsid w:val="00382C0C"/>
    <w:rsid w:val="00386659"/>
    <w:rsid w:val="00386E17"/>
    <w:rsid w:val="00393E46"/>
    <w:rsid w:val="003A2597"/>
    <w:rsid w:val="003A5407"/>
    <w:rsid w:val="003A789A"/>
    <w:rsid w:val="003B0D95"/>
    <w:rsid w:val="003B1A19"/>
    <w:rsid w:val="003B41F4"/>
    <w:rsid w:val="003C18AE"/>
    <w:rsid w:val="003C3D11"/>
    <w:rsid w:val="003D1063"/>
    <w:rsid w:val="003D2301"/>
    <w:rsid w:val="003D7349"/>
    <w:rsid w:val="003D7900"/>
    <w:rsid w:val="003E2910"/>
    <w:rsid w:val="003E2C21"/>
    <w:rsid w:val="003E406D"/>
    <w:rsid w:val="003E4343"/>
    <w:rsid w:val="003E4D88"/>
    <w:rsid w:val="003F10C8"/>
    <w:rsid w:val="00400942"/>
    <w:rsid w:val="00401981"/>
    <w:rsid w:val="00401A09"/>
    <w:rsid w:val="00403B75"/>
    <w:rsid w:val="004076BE"/>
    <w:rsid w:val="00413B25"/>
    <w:rsid w:val="004154AA"/>
    <w:rsid w:val="0042096A"/>
    <w:rsid w:val="00423720"/>
    <w:rsid w:val="00425275"/>
    <w:rsid w:val="00427A22"/>
    <w:rsid w:val="00431820"/>
    <w:rsid w:val="00433B87"/>
    <w:rsid w:val="0044302E"/>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4F32BC"/>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3715"/>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2553"/>
    <w:rsid w:val="006A504C"/>
    <w:rsid w:val="006A62B7"/>
    <w:rsid w:val="006B3E31"/>
    <w:rsid w:val="006B43DB"/>
    <w:rsid w:val="006B4679"/>
    <w:rsid w:val="006B532C"/>
    <w:rsid w:val="006B5516"/>
    <w:rsid w:val="006B5540"/>
    <w:rsid w:val="006B5A31"/>
    <w:rsid w:val="006C1863"/>
    <w:rsid w:val="006C1FFD"/>
    <w:rsid w:val="006C2E93"/>
    <w:rsid w:val="006C3C23"/>
    <w:rsid w:val="006C46E4"/>
    <w:rsid w:val="006C7028"/>
    <w:rsid w:val="006D0B94"/>
    <w:rsid w:val="006D1C3C"/>
    <w:rsid w:val="006D516C"/>
    <w:rsid w:val="006D7100"/>
    <w:rsid w:val="006D7946"/>
    <w:rsid w:val="006E029B"/>
    <w:rsid w:val="006E03AC"/>
    <w:rsid w:val="006E238F"/>
    <w:rsid w:val="006E4D50"/>
    <w:rsid w:val="006E6EA3"/>
    <w:rsid w:val="006F2FB0"/>
    <w:rsid w:val="00705045"/>
    <w:rsid w:val="0070506B"/>
    <w:rsid w:val="00712EAF"/>
    <w:rsid w:val="007155BE"/>
    <w:rsid w:val="00716091"/>
    <w:rsid w:val="00716230"/>
    <w:rsid w:val="00716994"/>
    <w:rsid w:val="00717F25"/>
    <w:rsid w:val="00720462"/>
    <w:rsid w:val="00724965"/>
    <w:rsid w:val="0073118E"/>
    <w:rsid w:val="00732CD4"/>
    <w:rsid w:val="0073361F"/>
    <w:rsid w:val="00734CBB"/>
    <w:rsid w:val="00736665"/>
    <w:rsid w:val="00737B9F"/>
    <w:rsid w:val="00750CE3"/>
    <w:rsid w:val="0075204B"/>
    <w:rsid w:val="00754F16"/>
    <w:rsid w:val="00761AD1"/>
    <w:rsid w:val="00764E82"/>
    <w:rsid w:val="0076658B"/>
    <w:rsid w:val="007672EC"/>
    <w:rsid w:val="0077576C"/>
    <w:rsid w:val="0077590C"/>
    <w:rsid w:val="00786935"/>
    <w:rsid w:val="00790133"/>
    <w:rsid w:val="00792A0E"/>
    <w:rsid w:val="007A2598"/>
    <w:rsid w:val="007A3E61"/>
    <w:rsid w:val="007A5EDA"/>
    <w:rsid w:val="007A5F52"/>
    <w:rsid w:val="007A6F88"/>
    <w:rsid w:val="007B4078"/>
    <w:rsid w:val="007B43B9"/>
    <w:rsid w:val="007B48AC"/>
    <w:rsid w:val="007B712D"/>
    <w:rsid w:val="007C6071"/>
    <w:rsid w:val="007C7B37"/>
    <w:rsid w:val="007D28AD"/>
    <w:rsid w:val="007D3909"/>
    <w:rsid w:val="007D414B"/>
    <w:rsid w:val="007D656E"/>
    <w:rsid w:val="007D79B2"/>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154"/>
    <w:rsid w:val="008025A9"/>
    <w:rsid w:val="008026CF"/>
    <w:rsid w:val="00803B0C"/>
    <w:rsid w:val="0080456A"/>
    <w:rsid w:val="008058FE"/>
    <w:rsid w:val="00805D0D"/>
    <w:rsid w:val="00807220"/>
    <w:rsid w:val="008123BB"/>
    <w:rsid w:val="008139A2"/>
    <w:rsid w:val="00822D4C"/>
    <w:rsid w:val="008234B5"/>
    <w:rsid w:val="00824A29"/>
    <w:rsid w:val="008279E3"/>
    <w:rsid w:val="00831B22"/>
    <w:rsid w:val="00832AA3"/>
    <w:rsid w:val="008351D5"/>
    <w:rsid w:val="00842072"/>
    <w:rsid w:val="00842F17"/>
    <w:rsid w:val="0084436A"/>
    <w:rsid w:val="0084526E"/>
    <w:rsid w:val="008456F0"/>
    <w:rsid w:val="00846DBF"/>
    <w:rsid w:val="008506EB"/>
    <w:rsid w:val="008550E6"/>
    <w:rsid w:val="008575FC"/>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2F59"/>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4048"/>
    <w:rsid w:val="008F5A12"/>
    <w:rsid w:val="008F6684"/>
    <w:rsid w:val="00902EEF"/>
    <w:rsid w:val="00903BB9"/>
    <w:rsid w:val="00903FF9"/>
    <w:rsid w:val="0090455E"/>
    <w:rsid w:val="00904F3F"/>
    <w:rsid w:val="00907019"/>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B1014"/>
    <w:rsid w:val="009B5FF0"/>
    <w:rsid w:val="009B7577"/>
    <w:rsid w:val="009B7E71"/>
    <w:rsid w:val="009C0667"/>
    <w:rsid w:val="009C74E4"/>
    <w:rsid w:val="009D1E51"/>
    <w:rsid w:val="009D48B1"/>
    <w:rsid w:val="009D4F84"/>
    <w:rsid w:val="009D6E2A"/>
    <w:rsid w:val="009D7130"/>
    <w:rsid w:val="009E0F64"/>
    <w:rsid w:val="009E19F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A5F"/>
    <w:rsid w:val="00A57B8A"/>
    <w:rsid w:val="00A57E79"/>
    <w:rsid w:val="00A614DA"/>
    <w:rsid w:val="00A62535"/>
    <w:rsid w:val="00A654F3"/>
    <w:rsid w:val="00A65509"/>
    <w:rsid w:val="00A6592E"/>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0ACB"/>
    <w:rsid w:val="00B06066"/>
    <w:rsid w:val="00B065CE"/>
    <w:rsid w:val="00B07439"/>
    <w:rsid w:val="00B11E23"/>
    <w:rsid w:val="00B16054"/>
    <w:rsid w:val="00B200A5"/>
    <w:rsid w:val="00B33232"/>
    <w:rsid w:val="00B34AE0"/>
    <w:rsid w:val="00B35EA6"/>
    <w:rsid w:val="00B40E08"/>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C6D51"/>
    <w:rsid w:val="00BC767F"/>
    <w:rsid w:val="00BC7A15"/>
    <w:rsid w:val="00BD0937"/>
    <w:rsid w:val="00BD7B59"/>
    <w:rsid w:val="00BE0150"/>
    <w:rsid w:val="00BE172A"/>
    <w:rsid w:val="00BE2460"/>
    <w:rsid w:val="00BE2F9E"/>
    <w:rsid w:val="00BE302C"/>
    <w:rsid w:val="00BE56A0"/>
    <w:rsid w:val="00BF1D1C"/>
    <w:rsid w:val="00BF38B7"/>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7737D"/>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CED"/>
    <w:rsid w:val="00CD6A67"/>
    <w:rsid w:val="00CD6BE3"/>
    <w:rsid w:val="00CD7E08"/>
    <w:rsid w:val="00CE338F"/>
    <w:rsid w:val="00CE78A0"/>
    <w:rsid w:val="00CF1A13"/>
    <w:rsid w:val="00CF24FB"/>
    <w:rsid w:val="00CF3695"/>
    <w:rsid w:val="00CF3ACE"/>
    <w:rsid w:val="00D04164"/>
    <w:rsid w:val="00D06720"/>
    <w:rsid w:val="00D167F3"/>
    <w:rsid w:val="00D20143"/>
    <w:rsid w:val="00D226A4"/>
    <w:rsid w:val="00D23A4C"/>
    <w:rsid w:val="00D27383"/>
    <w:rsid w:val="00D30610"/>
    <w:rsid w:val="00D308C7"/>
    <w:rsid w:val="00D31736"/>
    <w:rsid w:val="00D34D2F"/>
    <w:rsid w:val="00D35597"/>
    <w:rsid w:val="00D366FC"/>
    <w:rsid w:val="00D41717"/>
    <w:rsid w:val="00D60AEA"/>
    <w:rsid w:val="00D62722"/>
    <w:rsid w:val="00D71318"/>
    <w:rsid w:val="00D76E24"/>
    <w:rsid w:val="00D84B7C"/>
    <w:rsid w:val="00D85988"/>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090"/>
    <w:rsid w:val="00E07447"/>
    <w:rsid w:val="00E124AB"/>
    <w:rsid w:val="00E159DD"/>
    <w:rsid w:val="00E16AEB"/>
    <w:rsid w:val="00E20500"/>
    <w:rsid w:val="00E20755"/>
    <w:rsid w:val="00E215D5"/>
    <w:rsid w:val="00E25CDB"/>
    <w:rsid w:val="00E27D91"/>
    <w:rsid w:val="00E3062B"/>
    <w:rsid w:val="00E3306A"/>
    <w:rsid w:val="00E33599"/>
    <w:rsid w:val="00E37428"/>
    <w:rsid w:val="00E4050B"/>
    <w:rsid w:val="00E41204"/>
    <w:rsid w:val="00E44F84"/>
    <w:rsid w:val="00E452EA"/>
    <w:rsid w:val="00E46696"/>
    <w:rsid w:val="00E540CE"/>
    <w:rsid w:val="00E540FA"/>
    <w:rsid w:val="00E60036"/>
    <w:rsid w:val="00E60B5B"/>
    <w:rsid w:val="00E64636"/>
    <w:rsid w:val="00E64C9D"/>
    <w:rsid w:val="00E702E9"/>
    <w:rsid w:val="00E7074E"/>
    <w:rsid w:val="00E71CD1"/>
    <w:rsid w:val="00E736E5"/>
    <w:rsid w:val="00E754AB"/>
    <w:rsid w:val="00E7670E"/>
    <w:rsid w:val="00E80CF8"/>
    <w:rsid w:val="00E829F9"/>
    <w:rsid w:val="00E8463C"/>
    <w:rsid w:val="00E850CB"/>
    <w:rsid w:val="00E85A0E"/>
    <w:rsid w:val="00E900DC"/>
    <w:rsid w:val="00E9031F"/>
    <w:rsid w:val="00E90EC4"/>
    <w:rsid w:val="00E92ACD"/>
    <w:rsid w:val="00EA7A5A"/>
    <w:rsid w:val="00EB10F2"/>
    <w:rsid w:val="00EB271B"/>
    <w:rsid w:val="00EB2769"/>
    <w:rsid w:val="00EB3969"/>
    <w:rsid w:val="00EB6C05"/>
    <w:rsid w:val="00EB7715"/>
    <w:rsid w:val="00EC0BB8"/>
    <w:rsid w:val="00EC36DE"/>
    <w:rsid w:val="00EC634E"/>
    <w:rsid w:val="00ED26D7"/>
    <w:rsid w:val="00EE1C95"/>
    <w:rsid w:val="00EE1F43"/>
    <w:rsid w:val="00EE21DA"/>
    <w:rsid w:val="00EE70CE"/>
    <w:rsid w:val="00EF0E49"/>
    <w:rsid w:val="00EF289D"/>
    <w:rsid w:val="00EF3768"/>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325F"/>
    <w:rsid w:val="00FA775F"/>
    <w:rsid w:val="00FB4EB6"/>
    <w:rsid w:val="00FB7421"/>
    <w:rsid w:val="00FC2E4A"/>
    <w:rsid w:val="00FC46BC"/>
    <w:rsid w:val="00FC77A8"/>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18FC0D5A33CF44900E885BEA9BE608" ma:contentTypeVersion="143" ma:contentTypeDescription="" ma:contentTypeScope="" ma:versionID="10c930a8364c82230c46ce6ec1d6a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2011-11-17T08:00:00+00:00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111993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B2D9-48C8-4168-BF72-560B445CC760}"/>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D46AE89B-D76F-4072-A919-2697C1F4C9F6}"/>
</file>

<file path=customXml/itemProps5.xml><?xml version="1.0" encoding="utf-8"?>
<ds:datastoreItem xmlns:ds="http://schemas.openxmlformats.org/officeDocument/2006/customXml" ds:itemID="{EC7D4DAA-B891-46EA-A2A9-188E55A9A5E4}"/>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TG-111991 TG-111992 TG-111993 Memo 01.docx</vt:lpstr>
    </vt:vector>
  </TitlesOfParts>
  <Company>WUTC</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TG-111991 TG-111992 TG-111993 Memo 01.docx</dc:title>
  <dc:creator>Christopher Mickelson</dc:creator>
  <cp:lastModifiedBy>Lisa Wyse, Records Manager</cp:lastModifiedBy>
  <cp:revision>2</cp:revision>
  <cp:lastPrinted>2011-12-23T02:08:00Z</cp:lastPrinted>
  <dcterms:created xsi:type="dcterms:W3CDTF">2011-12-24T00:49:00Z</dcterms:created>
  <dcterms:modified xsi:type="dcterms:W3CDTF">2011-12-24T00:49:00Z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0x0101006E56B4D1795A2E4DB2F0B01679ED314A003618FC0D5A33CF44900E885BEA9BE608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