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58" w:rsidRDefault="00154718" w:rsidP="00BE5610">
      <w:r w:rsidRPr="00EB4CE3">
        <w:t xml:space="preserve">Agenda Date: </w:t>
      </w:r>
      <w:r w:rsidRPr="00EB4CE3">
        <w:tab/>
      </w:r>
      <w:r w:rsidRPr="00EB4CE3">
        <w:tab/>
      </w:r>
      <w:r w:rsidR="0013149D">
        <w:t>Decem</w:t>
      </w:r>
      <w:r w:rsidR="00473F57">
        <w:t>ber</w:t>
      </w:r>
      <w:r w:rsidR="00143CDB">
        <w:t xml:space="preserve"> 1</w:t>
      </w:r>
      <w:r w:rsidR="0013149D">
        <w:t>6</w:t>
      </w:r>
      <w:r w:rsidRPr="00EB4CE3">
        <w:t xml:space="preserve">, </w:t>
      </w:r>
      <w:r w:rsidR="00705164">
        <w:t>2010</w:t>
      </w:r>
      <w:r w:rsidR="004456FB">
        <w:tab/>
      </w:r>
      <w:r w:rsidR="004456FB">
        <w:tab/>
      </w:r>
    </w:p>
    <w:p w:rsidR="00154718" w:rsidRDefault="00154718" w:rsidP="00BE5610">
      <w:r w:rsidRPr="00EB4CE3">
        <w:t>Item Number:</w:t>
      </w:r>
      <w:r w:rsidRPr="00EB4CE3">
        <w:tab/>
      </w:r>
      <w:r w:rsidRPr="00EB4CE3">
        <w:tab/>
      </w:r>
      <w:r w:rsidR="002C6110" w:rsidRPr="00EB4CE3">
        <w:t>A</w:t>
      </w:r>
      <w:r w:rsidR="005B6246">
        <w:t>1</w:t>
      </w:r>
    </w:p>
    <w:p w:rsidR="006E3B58" w:rsidRPr="00EB4CE3" w:rsidRDefault="006E3B58" w:rsidP="00BE5610"/>
    <w:p w:rsidR="00154718" w:rsidRPr="00EB4CE3" w:rsidRDefault="00154718" w:rsidP="00BE5610">
      <w:r w:rsidRPr="00EB4CE3">
        <w:t xml:space="preserve">Docket: </w:t>
      </w:r>
      <w:r w:rsidRPr="00EB4CE3">
        <w:tab/>
      </w:r>
      <w:r w:rsidRPr="00EB4CE3">
        <w:tab/>
        <w:t>UW-</w:t>
      </w:r>
      <w:r w:rsidR="00705164">
        <w:t>10</w:t>
      </w:r>
      <w:r w:rsidR="00187E0D">
        <w:t>1543</w:t>
      </w:r>
    </w:p>
    <w:p w:rsidR="00154718" w:rsidRPr="00EB4CE3" w:rsidRDefault="00A41C23" w:rsidP="00BE5610">
      <w:r w:rsidRPr="00EB4CE3">
        <w:t>Company Name:</w:t>
      </w:r>
      <w:r w:rsidRPr="00EB4CE3">
        <w:tab/>
      </w:r>
      <w:r w:rsidR="00187E0D">
        <w:t>Olympic Water and Sewer, Inc.</w:t>
      </w:r>
    </w:p>
    <w:p w:rsidR="00154718" w:rsidRPr="00EB4CE3" w:rsidRDefault="00154718" w:rsidP="00BE5610"/>
    <w:p w:rsidR="00154718" w:rsidRDefault="00595023" w:rsidP="00BE5610">
      <w:r w:rsidRPr="00EB4CE3">
        <w:t xml:space="preserve">Staff: </w:t>
      </w:r>
      <w:r w:rsidRPr="00EB4CE3">
        <w:tab/>
      </w:r>
      <w:r w:rsidRPr="00EB4CE3">
        <w:tab/>
      </w:r>
      <w:r w:rsidRPr="00EB4CE3">
        <w:tab/>
        <w:t>Jim Ward</w:t>
      </w:r>
      <w:r w:rsidR="00154718" w:rsidRPr="00EB4CE3">
        <w:t>, Regulatory Analyst</w:t>
      </w:r>
    </w:p>
    <w:p w:rsidR="00154718" w:rsidRPr="00EB4CE3" w:rsidRDefault="00154718" w:rsidP="00705164">
      <w:pPr>
        <w:ind w:left="1440" w:firstLine="720"/>
      </w:pPr>
      <w:r w:rsidRPr="00EB4CE3">
        <w:t>Dennis Shutler, Consumer Protection Staff</w:t>
      </w:r>
    </w:p>
    <w:p w:rsidR="00154718" w:rsidRPr="00EB4CE3" w:rsidRDefault="00154718" w:rsidP="00BE5610"/>
    <w:p w:rsidR="00154718" w:rsidRPr="00935AF2" w:rsidRDefault="00154718" w:rsidP="00BE5610">
      <w:pPr>
        <w:rPr>
          <w:b/>
          <w:u w:val="single"/>
        </w:rPr>
      </w:pPr>
      <w:r w:rsidRPr="00935AF2">
        <w:rPr>
          <w:b/>
          <w:u w:val="single"/>
        </w:rPr>
        <w:t>Recommendation</w:t>
      </w:r>
      <w:r w:rsidR="0013149D">
        <w:rPr>
          <w:b/>
          <w:u w:val="single"/>
        </w:rPr>
        <w:t>s</w:t>
      </w:r>
    </w:p>
    <w:p w:rsidR="00704124" w:rsidRDefault="00704124" w:rsidP="00704124">
      <w:pPr>
        <w:widowControl w:val="0"/>
        <w:autoSpaceDE w:val="0"/>
        <w:autoSpaceDN w:val="0"/>
        <w:adjustRightInd w:val="0"/>
        <w:rPr>
          <w:rFonts w:eastAsia="Times New Roman"/>
          <w:color w:val="000000"/>
          <w:lang w:bidi="ar-SA"/>
        </w:rPr>
      </w:pPr>
    </w:p>
    <w:p w:rsidR="00704124" w:rsidRPr="006E3B58" w:rsidRDefault="00704124" w:rsidP="00704124">
      <w:pPr>
        <w:widowControl w:val="0"/>
        <w:autoSpaceDE w:val="0"/>
        <w:autoSpaceDN w:val="0"/>
        <w:adjustRightInd w:val="0"/>
        <w:rPr>
          <w:color w:val="000000"/>
          <w:sz w:val="22"/>
          <w:szCs w:val="22"/>
          <w:lang w:bidi="ar-SA"/>
        </w:rPr>
      </w:pPr>
      <w:r w:rsidRPr="004D7E01">
        <w:rPr>
          <w:rFonts w:eastAsia="Times New Roman"/>
          <w:color w:val="000000"/>
          <w:lang w:bidi="ar-SA"/>
        </w:rPr>
        <w:t>Issue a Complaint and Order Suspending the Tariff Revision filed by</w:t>
      </w:r>
      <w:r w:rsidRPr="004D7E01">
        <w:t xml:space="preserve"> </w:t>
      </w:r>
      <w:r>
        <w:t xml:space="preserve">Olympic Water and Sewer, </w:t>
      </w:r>
      <w:r w:rsidR="002A17FD">
        <w:t>Inc.</w:t>
      </w:r>
      <w:r w:rsidR="0002774D">
        <w:t>,</w:t>
      </w:r>
      <w:r>
        <w:t xml:space="preserve"> on September 15, 2010.</w:t>
      </w:r>
    </w:p>
    <w:p w:rsidR="004D7E01" w:rsidRPr="004D7E01" w:rsidRDefault="004D7E01" w:rsidP="00557E18">
      <w:pPr>
        <w:widowControl w:val="0"/>
        <w:autoSpaceDE w:val="0"/>
        <w:autoSpaceDN w:val="0"/>
        <w:adjustRightInd w:val="0"/>
        <w:rPr>
          <w:color w:val="000000"/>
          <w:sz w:val="22"/>
          <w:szCs w:val="22"/>
          <w:lang w:bidi="ar-SA"/>
        </w:rPr>
      </w:pPr>
    </w:p>
    <w:p w:rsidR="00154718" w:rsidRPr="00935AF2" w:rsidRDefault="00154718" w:rsidP="00BE5610">
      <w:pPr>
        <w:rPr>
          <w:b/>
          <w:u w:val="single"/>
        </w:rPr>
      </w:pPr>
      <w:r w:rsidRPr="00935AF2">
        <w:rPr>
          <w:b/>
          <w:u w:val="single"/>
        </w:rPr>
        <w:t>Discussion</w:t>
      </w:r>
    </w:p>
    <w:p w:rsidR="00154718" w:rsidRPr="00EB4CE3" w:rsidRDefault="00154718" w:rsidP="00BE5610"/>
    <w:p w:rsidR="00AD3DD8" w:rsidRDefault="00DD65A6" w:rsidP="008C168F">
      <w:r>
        <w:rPr>
          <w:color w:val="000000"/>
        </w:rPr>
        <w:t xml:space="preserve">On </w:t>
      </w:r>
      <w:r w:rsidR="00187E0D">
        <w:rPr>
          <w:color w:val="000000"/>
        </w:rPr>
        <w:t>September 15</w:t>
      </w:r>
      <w:r>
        <w:rPr>
          <w:color w:val="000000"/>
        </w:rPr>
        <w:t xml:space="preserve">, </w:t>
      </w:r>
      <w:r w:rsidR="00705164">
        <w:rPr>
          <w:color w:val="000000"/>
        </w:rPr>
        <w:t>2010</w:t>
      </w:r>
      <w:r>
        <w:rPr>
          <w:color w:val="000000"/>
        </w:rPr>
        <w:t xml:space="preserve">, </w:t>
      </w:r>
      <w:r w:rsidR="00187E0D">
        <w:t xml:space="preserve">Olympic Water and Sewer, </w:t>
      </w:r>
      <w:r w:rsidR="002A17FD">
        <w:t>Inc.</w:t>
      </w:r>
      <w:r w:rsidR="0002774D">
        <w:t>,</w:t>
      </w:r>
      <w:r>
        <w:t xml:space="preserve"> (</w:t>
      </w:r>
      <w:r w:rsidR="00187E0D">
        <w:t xml:space="preserve">Olympic </w:t>
      </w:r>
      <w:r>
        <w:t>or company</w:t>
      </w:r>
      <w:r w:rsidR="00A201C0">
        <w:t>)</w:t>
      </w:r>
      <w:r w:rsidR="00D0403B">
        <w:t>,</w:t>
      </w:r>
      <w:r w:rsidR="00A201C0">
        <w:t xml:space="preserve"> filed</w:t>
      </w:r>
      <w:r>
        <w:t xml:space="preserve"> </w:t>
      </w:r>
      <w:r w:rsidR="008C168F">
        <w:t>t</w:t>
      </w:r>
      <w:r w:rsidR="008C168F" w:rsidRPr="008C168F">
        <w:rPr>
          <w:rFonts w:eastAsia="Times New Roman"/>
          <w:lang w:bidi="ar-SA"/>
        </w:rPr>
        <w:t>ariff revision</w:t>
      </w:r>
      <w:r w:rsidR="002A17FD">
        <w:rPr>
          <w:rFonts w:eastAsia="Times New Roman"/>
          <w:lang w:bidi="ar-SA"/>
        </w:rPr>
        <w:t>s</w:t>
      </w:r>
      <w:r w:rsidR="008C168F" w:rsidRPr="008C168F">
        <w:rPr>
          <w:rFonts w:eastAsia="Times New Roman"/>
          <w:lang w:bidi="ar-SA"/>
        </w:rPr>
        <w:t xml:space="preserve"> to </w:t>
      </w:r>
      <w:r w:rsidR="00B84E56">
        <w:rPr>
          <w:rFonts w:eastAsia="Times New Roman"/>
          <w:lang w:bidi="ar-SA"/>
        </w:rPr>
        <w:t xml:space="preserve">its </w:t>
      </w:r>
      <w:r w:rsidR="006E3B58">
        <w:rPr>
          <w:rFonts w:eastAsia="Times New Roman"/>
          <w:lang w:bidi="ar-SA"/>
        </w:rPr>
        <w:t>currently effective tariff</w:t>
      </w:r>
      <w:r w:rsidR="00863543">
        <w:rPr>
          <w:rFonts w:eastAsia="Times New Roman"/>
          <w:lang w:bidi="ar-SA"/>
        </w:rPr>
        <w:t xml:space="preserve"> that </w:t>
      </w:r>
      <w:r w:rsidR="00863543" w:rsidRPr="00863543">
        <w:rPr>
          <w:rFonts w:eastAsia="Times New Roman"/>
          <w:lang w:bidi="ar-SA"/>
        </w:rPr>
        <w:t xml:space="preserve">would generate </w:t>
      </w:r>
      <w:r w:rsidR="00CC4FE2" w:rsidRPr="00407C80">
        <w:t>$</w:t>
      </w:r>
      <w:r w:rsidR="00143CDB">
        <w:t>1</w:t>
      </w:r>
      <w:r w:rsidR="00187E0D">
        <w:t>82</w:t>
      </w:r>
      <w:r w:rsidR="006E3B58">
        <w:t>,</w:t>
      </w:r>
      <w:r w:rsidR="00187E0D">
        <w:t>097</w:t>
      </w:r>
      <w:r w:rsidR="00CC4FE2" w:rsidRPr="00407C80">
        <w:t xml:space="preserve"> (</w:t>
      </w:r>
      <w:r w:rsidR="00187E0D">
        <w:t>25</w:t>
      </w:r>
      <w:r w:rsidR="00CC4FE2" w:rsidRPr="00407C80">
        <w:t xml:space="preserve"> percent) </w:t>
      </w:r>
      <w:r w:rsidR="008B479D">
        <w:t xml:space="preserve">in </w:t>
      </w:r>
      <w:r w:rsidR="00863543">
        <w:t>additional annual revenue</w:t>
      </w:r>
      <w:r w:rsidR="00CC4FE2" w:rsidRPr="00407C80">
        <w:t xml:space="preserve">. </w:t>
      </w:r>
      <w:r w:rsidR="00451AF9">
        <w:t xml:space="preserve">The </w:t>
      </w:r>
      <w:r w:rsidR="00D96246">
        <w:t>stat</w:t>
      </w:r>
      <w:r w:rsidR="00451AF9">
        <w:t xml:space="preserve">ed effective date is </w:t>
      </w:r>
      <w:r w:rsidR="00187E0D">
        <w:t>October</w:t>
      </w:r>
      <w:r w:rsidR="00451AF9">
        <w:t xml:space="preserve"> </w:t>
      </w:r>
      <w:r w:rsidR="00187E0D">
        <w:t>20</w:t>
      </w:r>
      <w:r w:rsidR="00451AF9">
        <w:t>, 2010. The filing was prompted by increases in</w:t>
      </w:r>
      <w:r w:rsidR="00451AF9" w:rsidRPr="00E96BCC">
        <w:t xml:space="preserve"> </w:t>
      </w:r>
      <w:r w:rsidR="00187E0D">
        <w:t xml:space="preserve">operating </w:t>
      </w:r>
      <w:r w:rsidR="00451AF9">
        <w:t>costs</w:t>
      </w:r>
      <w:r w:rsidR="00187E0D">
        <w:t xml:space="preserve"> including repair and maintenance, water rights and administrative </w:t>
      </w:r>
      <w:r w:rsidR="00114B3D">
        <w:t>services</w:t>
      </w:r>
      <w:r w:rsidR="00451AF9">
        <w:t>.</w:t>
      </w:r>
      <w:r w:rsidR="00D96246">
        <w:t xml:space="preserve"> The tariff revision increases the metered usage block rates and introduces a third meter usage block.</w:t>
      </w:r>
    </w:p>
    <w:p w:rsidR="00030B4E" w:rsidRDefault="00030B4E" w:rsidP="00BE5610"/>
    <w:p w:rsidR="00DD65A6" w:rsidRDefault="00030B4E" w:rsidP="00BE5610">
      <w:pPr>
        <w:rPr>
          <w:rFonts w:eastAsia="Times New Roman"/>
          <w:lang w:bidi="ar-SA"/>
        </w:rPr>
      </w:pPr>
      <w:r>
        <w:t xml:space="preserve">On October 6, 2010, the company filed a letter to extend the effective date until December 17, 2010. This date coincides with the beginning of </w:t>
      </w:r>
      <w:r w:rsidR="002A17FD">
        <w:t>the company’s</w:t>
      </w:r>
      <w:r>
        <w:t xml:space="preserve"> normal billing cycle. </w:t>
      </w:r>
      <w:r w:rsidR="006D22CE" w:rsidRPr="00CD2C06">
        <w:t xml:space="preserve">The company serves </w:t>
      </w:r>
      <w:r w:rsidR="00187E0D">
        <w:t>1,62</w:t>
      </w:r>
      <w:r w:rsidR="00992790">
        <w:t>3</w:t>
      </w:r>
      <w:r w:rsidR="006D22CE" w:rsidRPr="00CD2C06">
        <w:t xml:space="preserve"> co</w:t>
      </w:r>
      <w:r w:rsidR="00187E0D">
        <w:t>nnections</w:t>
      </w:r>
      <w:r w:rsidR="00E96BCC">
        <w:t xml:space="preserve"> on a single water system </w:t>
      </w:r>
      <w:r w:rsidR="006D22CE">
        <w:t>located ne</w:t>
      </w:r>
      <w:r w:rsidR="00187E0D">
        <w:t>ar</w:t>
      </w:r>
      <w:r w:rsidR="006D22CE">
        <w:t xml:space="preserve"> </w:t>
      </w:r>
      <w:r w:rsidR="00187E0D">
        <w:t>Port Ludlow</w:t>
      </w:r>
      <w:r w:rsidR="006D22CE">
        <w:t xml:space="preserve"> in </w:t>
      </w:r>
      <w:r w:rsidR="00187E0D">
        <w:t>Jefferson</w:t>
      </w:r>
      <w:r w:rsidR="006D22CE">
        <w:t xml:space="preserve"> County. </w:t>
      </w:r>
      <w:r w:rsidR="006E3B58">
        <w:t xml:space="preserve">The company’s last rate increase was </w:t>
      </w:r>
      <w:r w:rsidR="00E96BCC">
        <w:t xml:space="preserve">effective </w:t>
      </w:r>
      <w:r w:rsidR="006D22CE">
        <w:t>Ma</w:t>
      </w:r>
      <w:r w:rsidR="00187E0D">
        <w:t>y 22,</w:t>
      </w:r>
      <w:r w:rsidR="006E3B58">
        <w:t xml:space="preserve"> 200</w:t>
      </w:r>
      <w:r w:rsidR="00187E0D">
        <w:t>8</w:t>
      </w:r>
      <w:r w:rsidR="006E3B58">
        <w:t>.</w:t>
      </w:r>
    </w:p>
    <w:p w:rsidR="00587079" w:rsidRDefault="00587079" w:rsidP="00587079">
      <w:pPr>
        <w:pStyle w:val="NoSpacing"/>
      </w:pPr>
    </w:p>
    <w:p w:rsidR="00587079" w:rsidRDefault="000C1B0B" w:rsidP="00587079">
      <w:pPr>
        <w:pStyle w:val="NoSpacing"/>
      </w:pPr>
      <w:r>
        <w:t xml:space="preserve">The company included $32,794 construction costs and $18,500 in legal expenses related to drilling a well that was </w:t>
      </w:r>
      <w:r w:rsidR="00B726EF">
        <w:t xml:space="preserve">unusable </w:t>
      </w:r>
      <w:r w:rsidR="00030B4E">
        <w:t>for production</w:t>
      </w:r>
      <w:r>
        <w:t xml:space="preserve"> due to contamination</w:t>
      </w:r>
      <w:r w:rsidR="00030B4E">
        <w:t xml:space="preserve">. </w:t>
      </w:r>
      <w:r>
        <w:t xml:space="preserve">Staff removed these </w:t>
      </w:r>
      <w:r w:rsidR="006E1B69">
        <w:t xml:space="preserve">costs </w:t>
      </w:r>
      <w:r>
        <w:t xml:space="preserve">because </w:t>
      </w:r>
      <w:r w:rsidR="006E1B69">
        <w:t xml:space="preserve">litigation </w:t>
      </w:r>
      <w:r w:rsidR="005F136C">
        <w:t>is</w:t>
      </w:r>
      <w:r w:rsidR="006E1B69">
        <w:t xml:space="preserve"> on-going.</w:t>
      </w:r>
    </w:p>
    <w:p w:rsidR="00C41982" w:rsidRDefault="00C41982" w:rsidP="00C41982">
      <w:pPr>
        <w:pStyle w:val="NoSpacing"/>
      </w:pPr>
    </w:p>
    <w:p w:rsidR="00587079" w:rsidRDefault="00587079" w:rsidP="00C41982">
      <w:pPr>
        <w:pStyle w:val="NoSpacing"/>
      </w:pPr>
      <w:r w:rsidRPr="00BE36F9">
        <w:t xml:space="preserve">On </w:t>
      </w:r>
      <w:r w:rsidR="00E3025E" w:rsidRPr="00072280">
        <w:t xml:space="preserve">October </w:t>
      </w:r>
      <w:r w:rsidR="00072280">
        <w:t>6</w:t>
      </w:r>
      <w:r w:rsidRPr="00072280">
        <w:t>,</w:t>
      </w:r>
      <w:r w:rsidRPr="00BE36F9">
        <w:t xml:space="preserve"> 2010, the commission sent a notice to the interested parties that this item would again be heard at the </w:t>
      </w:r>
      <w:r>
        <w:t>December 16</w:t>
      </w:r>
      <w:r w:rsidRPr="00BE36F9">
        <w:t>, 2010</w:t>
      </w:r>
      <w:r w:rsidR="00116BC6">
        <w:t>,</w:t>
      </w:r>
      <w:r w:rsidRPr="00BE36F9">
        <w:t xml:space="preserve"> open meeting. </w:t>
      </w:r>
    </w:p>
    <w:p w:rsidR="00C41982" w:rsidRDefault="00C41982" w:rsidP="00C41982">
      <w:pPr>
        <w:pStyle w:val="NoSpacing"/>
      </w:pPr>
    </w:p>
    <w:p w:rsid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rsidR="00A8749C" w:rsidRP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rsidR="00F56219" w:rsidRPr="008B03ED" w:rsidRDefault="00F148CB" w:rsidP="00F56219">
      <w:r w:rsidRPr="002E3E9D">
        <w:t>On September 1</w:t>
      </w:r>
      <w:r>
        <w:t>6</w:t>
      </w:r>
      <w:r w:rsidRPr="002E3E9D">
        <w:t xml:space="preserve">, 2009, the company notified its customers of the proposed rate increase by mail. </w:t>
      </w:r>
      <w:r w:rsidR="00F56219" w:rsidRPr="008B03ED">
        <w:t>Sixteen customer comments have been received to date. All customers are opposed to the proposed increase. Please note that customers often address several issues of concern within one comment. Therefore, subtotals may not equal the total number of comments submitted.</w:t>
      </w:r>
    </w:p>
    <w:p w:rsidR="00F56219" w:rsidRPr="008B03ED" w:rsidRDefault="00F56219" w:rsidP="00F56219">
      <w:pPr>
        <w:rPr>
          <w:b/>
          <w:u w:val="single"/>
        </w:rPr>
      </w:pPr>
    </w:p>
    <w:p w:rsidR="00F56219" w:rsidRPr="008B03ED" w:rsidRDefault="00F56219" w:rsidP="00F56219">
      <w:r w:rsidRPr="008B03ED">
        <w:t>Consumer Protection staff advise</w:t>
      </w:r>
      <w:r w:rsidR="00B726EF">
        <w:t>d</w:t>
      </w:r>
      <w:r w:rsidRPr="008B03ED">
        <w:t xml:space="preserve"> customers that they may access company documents pertinent to this rate case at www.utc.wa.gov/water, and that they may contact Dennis Shutler at </w:t>
      </w:r>
    </w:p>
    <w:p w:rsidR="00F56219" w:rsidRPr="008B03ED" w:rsidRDefault="00F56219" w:rsidP="00F56219">
      <w:pPr>
        <w:rPr>
          <w:b/>
          <w:u w:val="single"/>
        </w:rPr>
      </w:pPr>
      <w:r w:rsidRPr="008B03ED">
        <w:t>1-888-333-WUTC (9882) with questions or concerns.</w:t>
      </w:r>
    </w:p>
    <w:p w:rsidR="00F56219" w:rsidRDefault="00F56219" w:rsidP="00F56219"/>
    <w:p w:rsidR="00B726EF" w:rsidRPr="008B03ED" w:rsidRDefault="00B726EF" w:rsidP="00F56219"/>
    <w:p w:rsidR="00F56219" w:rsidRPr="008B03ED" w:rsidRDefault="00F56219" w:rsidP="00F56219">
      <w:pPr>
        <w:rPr>
          <w:b/>
        </w:rPr>
      </w:pPr>
      <w:r w:rsidRPr="008B03ED">
        <w:rPr>
          <w:b/>
        </w:rPr>
        <w:lastRenderedPageBreak/>
        <w:t>Filing Documents and Methodology Comments</w:t>
      </w:r>
    </w:p>
    <w:p w:rsidR="00F56219" w:rsidRPr="008B03ED" w:rsidRDefault="00F56219" w:rsidP="00F56219">
      <w:pPr>
        <w:numPr>
          <w:ilvl w:val="0"/>
          <w:numId w:val="11"/>
        </w:numPr>
      </w:pPr>
      <w:r w:rsidRPr="008B03ED">
        <w:t xml:space="preserve">Four customers, representing the Port Ludlow Village Council, </w:t>
      </w:r>
      <w:r>
        <w:t>stated</w:t>
      </w:r>
      <w:r w:rsidRPr="008B03ED">
        <w:t xml:space="preserve"> </w:t>
      </w:r>
      <w:r>
        <w:t xml:space="preserve">the following questions and </w:t>
      </w:r>
      <w:r w:rsidRPr="008B03ED">
        <w:t xml:space="preserve">concerns </w:t>
      </w:r>
      <w:r>
        <w:t>about</w:t>
      </w:r>
      <w:r w:rsidRPr="008B03ED">
        <w:t xml:space="preserve"> this filing</w:t>
      </w:r>
      <w:r>
        <w:t>:</w:t>
      </w:r>
      <w:r w:rsidRPr="008B03ED">
        <w:t xml:space="preserve"> </w:t>
      </w:r>
    </w:p>
    <w:p w:rsidR="00F56219" w:rsidRPr="008B03ED" w:rsidRDefault="00F56219" w:rsidP="00F56219">
      <w:pPr>
        <w:numPr>
          <w:ilvl w:val="0"/>
          <w:numId w:val="17"/>
        </w:numPr>
      </w:pPr>
      <w:r>
        <w:t>Are</w:t>
      </w:r>
      <w:r w:rsidRPr="008B03ED">
        <w:t xml:space="preserve"> the </w:t>
      </w:r>
      <w:r>
        <w:t xml:space="preserve">costs associated with the </w:t>
      </w:r>
      <w:r w:rsidRPr="008B03ED">
        <w:t xml:space="preserve">new well </w:t>
      </w:r>
      <w:r>
        <w:t>#17 accounted for</w:t>
      </w:r>
      <w:r w:rsidRPr="008B03ED">
        <w:t xml:space="preserve"> appropriately</w:t>
      </w:r>
      <w:r>
        <w:t>?</w:t>
      </w:r>
    </w:p>
    <w:p w:rsidR="00F56219" w:rsidRPr="008B03ED" w:rsidRDefault="00F56219" w:rsidP="00F56219">
      <w:pPr>
        <w:numPr>
          <w:ilvl w:val="0"/>
          <w:numId w:val="17"/>
        </w:numPr>
      </w:pPr>
      <w:r w:rsidRPr="008B03ED">
        <w:t>Are capital costs allowed to be included in annual expenses or should they be amortized over the projected life of the well?</w:t>
      </w:r>
    </w:p>
    <w:p w:rsidR="00F56219" w:rsidRPr="008B03ED" w:rsidRDefault="00F56219" w:rsidP="00F56219">
      <w:pPr>
        <w:numPr>
          <w:ilvl w:val="0"/>
          <w:numId w:val="17"/>
        </w:numPr>
      </w:pPr>
      <w:r w:rsidRPr="008B03ED">
        <w:t>Is the company correctly allocating federal income taxes, insurance costs, depreciation/amortization expenses, interest expenses, management costs</w:t>
      </w:r>
      <w:r>
        <w:t xml:space="preserve"> and fees, well repair expenses</w:t>
      </w:r>
      <w:r w:rsidRPr="008B03ED">
        <w:t xml:space="preserve"> and legal costs?</w:t>
      </w:r>
    </w:p>
    <w:p w:rsidR="00F56219" w:rsidRPr="008B03ED" w:rsidRDefault="00F56219" w:rsidP="00F56219">
      <w:pPr>
        <w:numPr>
          <w:ilvl w:val="0"/>
          <w:numId w:val="17"/>
        </w:numPr>
      </w:pPr>
      <w:r w:rsidRPr="008B03ED">
        <w:t>Will staff’s analysis include the allocation of labor hours and costs between the three operating organizations of Port Ludlow Associates, Olympic Water and Sewer, Inc.</w:t>
      </w:r>
      <w:r w:rsidR="0002774D">
        <w:t>,</w:t>
      </w:r>
      <w:r w:rsidRPr="008B03ED">
        <w:t xml:space="preserve"> (water) and Olympic Water and Sewer, </w:t>
      </w:r>
      <w:r w:rsidR="00D30196">
        <w:t xml:space="preserve">Inc., </w:t>
      </w:r>
      <w:r w:rsidRPr="008B03ED">
        <w:t>(sewer)?</w:t>
      </w:r>
    </w:p>
    <w:p w:rsidR="00F56219" w:rsidRPr="008B03ED" w:rsidRDefault="00F56219" w:rsidP="00F56219">
      <w:pPr>
        <w:numPr>
          <w:ilvl w:val="0"/>
          <w:numId w:val="17"/>
        </w:numPr>
      </w:pPr>
      <w:r w:rsidRPr="008B03ED">
        <w:t>Is the company pursuing recovery of remediation costs for the cleanup of contaminat</w:t>
      </w:r>
      <w:r>
        <w:t>ed</w:t>
      </w:r>
      <w:r w:rsidRPr="008B03ED">
        <w:t xml:space="preserve"> soils at well</w:t>
      </w:r>
      <w:r w:rsidR="005F136C">
        <w:t xml:space="preserve"> #17</w:t>
      </w:r>
      <w:r>
        <w:t xml:space="preserve"> in this filing</w:t>
      </w:r>
      <w:r w:rsidRPr="008B03ED">
        <w:t>?</w:t>
      </w:r>
    </w:p>
    <w:p w:rsidR="00F56219" w:rsidRPr="008B03ED" w:rsidRDefault="00F56219" w:rsidP="00F56219">
      <w:pPr>
        <w:numPr>
          <w:ilvl w:val="0"/>
          <w:numId w:val="17"/>
        </w:numPr>
      </w:pPr>
      <w:r w:rsidRPr="008B03ED">
        <w:t xml:space="preserve">The </w:t>
      </w:r>
      <w:r>
        <w:t>UTC</w:t>
      </w:r>
      <w:r w:rsidRPr="008B03ED">
        <w:t xml:space="preserve">’s </w:t>
      </w:r>
      <w:r>
        <w:t>w</w:t>
      </w:r>
      <w:r w:rsidRPr="008B03ED">
        <w:t xml:space="preserve">ebsite did not contain </w:t>
      </w:r>
      <w:r>
        <w:t xml:space="preserve">all </w:t>
      </w:r>
      <w:r w:rsidRPr="008B03ED">
        <w:t xml:space="preserve">the financial data </w:t>
      </w:r>
      <w:r>
        <w:t>for customers to review</w:t>
      </w:r>
      <w:r w:rsidRPr="008B03ED">
        <w:t>.</w:t>
      </w:r>
      <w:r>
        <w:t xml:space="preserve"> </w:t>
      </w:r>
    </w:p>
    <w:p w:rsidR="00F56219" w:rsidRPr="008B03ED" w:rsidRDefault="00F56219" w:rsidP="00F56219">
      <w:pPr>
        <w:ind w:left="720"/>
      </w:pPr>
    </w:p>
    <w:p w:rsidR="00F56219" w:rsidRPr="008B03ED" w:rsidRDefault="00F56219" w:rsidP="00F56219">
      <w:pPr>
        <w:ind w:left="720"/>
        <w:rPr>
          <w:b/>
        </w:rPr>
      </w:pPr>
      <w:r w:rsidRPr="008B03ED">
        <w:rPr>
          <w:b/>
        </w:rPr>
        <w:t>Staff Response</w:t>
      </w:r>
    </w:p>
    <w:p w:rsidR="00F56219" w:rsidRPr="008B03ED" w:rsidRDefault="00F56219" w:rsidP="00F56219">
      <w:pPr>
        <w:ind w:left="720"/>
      </w:pPr>
      <w:r w:rsidRPr="008B03ED">
        <w:t>These customers were advised as follows:</w:t>
      </w:r>
      <w:r>
        <w:t xml:space="preserve"> </w:t>
      </w:r>
    </w:p>
    <w:p w:rsidR="00F56219" w:rsidRPr="008B03ED" w:rsidRDefault="000C1B0B" w:rsidP="00F56219">
      <w:pPr>
        <w:numPr>
          <w:ilvl w:val="0"/>
          <w:numId w:val="18"/>
        </w:numPr>
      </w:pPr>
      <w:r>
        <w:t xml:space="preserve">Staff removed the costs related to well #17 because </w:t>
      </w:r>
      <w:r w:rsidR="00B726EF">
        <w:t xml:space="preserve">of </w:t>
      </w:r>
      <w:r>
        <w:t xml:space="preserve">ongoing litigation. </w:t>
      </w:r>
    </w:p>
    <w:p w:rsidR="00F56219" w:rsidRPr="008B03ED" w:rsidRDefault="00F56219" w:rsidP="00F56219">
      <w:pPr>
        <w:numPr>
          <w:ilvl w:val="0"/>
          <w:numId w:val="18"/>
        </w:numPr>
      </w:pPr>
      <w:r>
        <w:t>C</w:t>
      </w:r>
      <w:r w:rsidRPr="008B03ED">
        <w:t xml:space="preserve">apital costs are depreciated </w:t>
      </w:r>
      <w:r>
        <w:t xml:space="preserve">annually </w:t>
      </w:r>
      <w:r w:rsidRPr="008B03ED">
        <w:t>over the useful life of the asset.</w:t>
      </w:r>
    </w:p>
    <w:p w:rsidR="00F56219" w:rsidRPr="008B03ED" w:rsidRDefault="00F56219" w:rsidP="00F56219">
      <w:pPr>
        <w:numPr>
          <w:ilvl w:val="0"/>
          <w:numId w:val="18"/>
        </w:numPr>
      </w:pPr>
      <w:r w:rsidRPr="008B03ED">
        <w:t>Both the company and staff have restructured federal income taxes, insurance costs, depreciation/amortization expenses, interest expenses, management costs</w:t>
      </w:r>
      <w:r>
        <w:t xml:space="preserve"> and fees, well repair expenses</w:t>
      </w:r>
      <w:r w:rsidRPr="008B03ED">
        <w:t xml:space="preserve"> and legal costs to more appropriately match </w:t>
      </w:r>
      <w:r>
        <w:t xml:space="preserve">the </w:t>
      </w:r>
      <w:r w:rsidRPr="008B03ED">
        <w:t xml:space="preserve">costs </w:t>
      </w:r>
      <w:r>
        <w:t>for operations of</w:t>
      </w:r>
      <w:r w:rsidRPr="008B03ED">
        <w:t xml:space="preserve"> the company.</w:t>
      </w:r>
    </w:p>
    <w:p w:rsidR="00F56219" w:rsidRPr="008B03ED" w:rsidRDefault="00F56219" w:rsidP="00F56219">
      <w:pPr>
        <w:numPr>
          <w:ilvl w:val="0"/>
          <w:numId w:val="18"/>
        </w:numPr>
      </w:pPr>
      <w:r>
        <w:t>Yes, t</w:t>
      </w:r>
      <w:r w:rsidRPr="008B03ED">
        <w:t xml:space="preserve">he company has provided reasonable </w:t>
      </w:r>
      <w:r>
        <w:t>allocation methods and cost breakdowns</w:t>
      </w:r>
      <w:r w:rsidRPr="008B03ED">
        <w:t>.</w:t>
      </w:r>
    </w:p>
    <w:p w:rsidR="00F56219" w:rsidRPr="008B03ED" w:rsidRDefault="00F56219" w:rsidP="00F56219">
      <w:pPr>
        <w:pStyle w:val="ListParagraph"/>
        <w:numPr>
          <w:ilvl w:val="0"/>
          <w:numId w:val="18"/>
        </w:numPr>
      </w:pPr>
      <w:r>
        <w:t>Staff and the company have agreed that legal</w:t>
      </w:r>
      <w:r w:rsidRPr="008B03ED">
        <w:t xml:space="preserve"> </w:t>
      </w:r>
      <w:r>
        <w:t>and remediation costs should be removed from</w:t>
      </w:r>
      <w:r w:rsidRPr="008B03ED">
        <w:t xml:space="preserve"> this filing.</w:t>
      </w:r>
    </w:p>
    <w:p w:rsidR="00F56219" w:rsidRPr="008B03ED" w:rsidRDefault="00F56219" w:rsidP="00F56219">
      <w:pPr>
        <w:numPr>
          <w:ilvl w:val="0"/>
          <w:numId w:val="18"/>
        </w:numPr>
      </w:pPr>
      <w:r>
        <w:t>Company work papers are available after receipt, review, distribution and updating to the commission’s website</w:t>
      </w:r>
      <w:r w:rsidRPr="008B03ED">
        <w:t>.</w:t>
      </w:r>
      <w:r>
        <w:t xml:space="preserve"> Staff work papers are not posted to the commission’s website until staff has completed their analysis. </w:t>
      </w:r>
    </w:p>
    <w:p w:rsidR="00F56219" w:rsidRPr="008B03ED" w:rsidRDefault="00F56219" w:rsidP="00F56219">
      <w:pPr>
        <w:rPr>
          <w:b/>
        </w:rPr>
      </w:pPr>
    </w:p>
    <w:p w:rsidR="00F56219" w:rsidRPr="008B03ED" w:rsidRDefault="00F56219" w:rsidP="00F56219">
      <w:r w:rsidRPr="008B03ED">
        <w:rPr>
          <w:b/>
        </w:rPr>
        <w:t>General Comment</w:t>
      </w:r>
    </w:p>
    <w:p w:rsidR="00F56219" w:rsidRPr="008B03ED" w:rsidRDefault="00F56219" w:rsidP="00F56219">
      <w:pPr>
        <w:widowControl w:val="0"/>
        <w:numPr>
          <w:ilvl w:val="0"/>
          <w:numId w:val="16"/>
        </w:numPr>
        <w:tabs>
          <w:tab w:val="left" w:pos="90"/>
        </w:tabs>
        <w:autoSpaceDE w:val="0"/>
        <w:autoSpaceDN w:val="0"/>
        <w:adjustRightInd w:val="0"/>
        <w:ind w:left="720"/>
      </w:pPr>
      <w:r w:rsidRPr="008B03ED">
        <w:t>Eight customers believe the increase is excessive due to current economic conditions. Three customers believe the company should work within a budget like its customers.</w:t>
      </w:r>
    </w:p>
    <w:p w:rsidR="00296F3B" w:rsidRDefault="00296F3B" w:rsidP="00F56219">
      <w:pPr>
        <w:tabs>
          <w:tab w:val="left" w:pos="90"/>
        </w:tabs>
      </w:pPr>
    </w:p>
    <w:p w:rsidR="00F56219" w:rsidRPr="008B03ED" w:rsidRDefault="00F56219" w:rsidP="00F56219">
      <w:pPr>
        <w:tabs>
          <w:tab w:val="left" w:pos="90"/>
        </w:tabs>
        <w:ind w:left="720"/>
        <w:rPr>
          <w:b/>
        </w:rPr>
      </w:pPr>
      <w:r w:rsidRPr="008B03ED">
        <w:rPr>
          <w:b/>
        </w:rPr>
        <w:t xml:space="preserve">Staff Response  </w:t>
      </w:r>
    </w:p>
    <w:p w:rsidR="00F56219" w:rsidRPr="008B03ED" w:rsidRDefault="00F56219" w:rsidP="00F56219">
      <w:pPr>
        <w:ind w:left="720"/>
      </w:pPr>
      <w:r w:rsidRPr="008B03ED">
        <w:t>Customers were advised that state law requires rates to be fair, just, reasonable, and sufficient to allow the company to recover reasonable operating expenses and the opportunity to earn a reasonable return on investment.</w:t>
      </w:r>
    </w:p>
    <w:p w:rsidR="00F56219" w:rsidRPr="008B03ED" w:rsidRDefault="00F56219" w:rsidP="00F56219"/>
    <w:p w:rsidR="00F56219" w:rsidRPr="008B03ED" w:rsidRDefault="00F56219" w:rsidP="00F56219">
      <w:pPr>
        <w:numPr>
          <w:ilvl w:val="0"/>
          <w:numId w:val="11"/>
        </w:numPr>
      </w:pPr>
      <w:r w:rsidRPr="008B03ED">
        <w:t>One customer believes the company should enforce w</w:t>
      </w:r>
      <w:r>
        <w:t>ater restrictions when the well</w:t>
      </w:r>
      <w:r w:rsidRPr="008B03ED">
        <w:t xml:space="preserve"> water supply is low.</w:t>
      </w:r>
    </w:p>
    <w:p w:rsidR="00F56219" w:rsidRDefault="00F56219" w:rsidP="00F56219"/>
    <w:p w:rsidR="00B726EF" w:rsidRPr="008B03ED" w:rsidRDefault="00B726EF" w:rsidP="00F56219"/>
    <w:p w:rsidR="00F56219" w:rsidRPr="008B03ED" w:rsidRDefault="00F56219" w:rsidP="00F56219">
      <w:pPr>
        <w:ind w:left="720"/>
        <w:rPr>
          <w:b/>
        </w:rPr>
      </w:pPr>
      <w:r w:rsidRPr="008B03ED">
        <w:rPr>
          <w:b/>
        </w:rPr>
        <w:lastRenderedPageBreak/>
        <w:t>Staff Response</w:t>
      </w:r>
    </w:p>
    <w:p w:rsidR="00F56219" w:rsidRPr="008B03ED" w:rsidRDefault="00F56219" w:rsidP="00F56219">
      <w:pPr>
        <w:ind w:left="720"/>
      </w:pPr>
      <w:r w:rsidRPr="008B03ED">
        <w:t xml:space="preserve">The customer was advised that the company has not experienced a situation requiring water restrictions within the last ten years. </w:t>
      </w:r>
    </w:p>
    <w:p w:rsidR="00F56219" w:rsidRPr="008B03ED" w:rsidRDefault="00F56219" w:rsidP="00F56219"/>
    <w:p w:rsidR="00F56219" w:rsidRPr="008B03ED" w:rsidRDefault="00F56219" w:rsidP="00F56219">
      <w:pPr>
        <w:numPr>
          <w:ilvl w:val="0"/>
          <w:numId w:val="11"/>
        </w:numPr>
      </w:pPr>
      <w:r w:rsidRPr="008B03ED">
        <w:t>One customer asked how to obtain annual reports for 2008 and 2009.</w:t>
      </w:r>
    </w:p>
    <w:p w:rsidR="00F56219" w:rsidRPr="008B03ED" w:rsidRDefault="00F56219" w:rsidP="00F56219"/>
    <w:p w:rsidR="00F56219" w:rsidRPr="008B03ED" w:rsidRDefault="00F56219" w:rsidP="00F56219">
      <w:pPr>
        <w:ind w:left="720"/>
        <w:rPr>
          <w:b/>
        </w:rPr>
      </w:pPr>
      <w:r w:rsidRPr="008B03ED">
        <w:rPr>
          <w:b/>
        </w:rPr>
        <w:t>Staff Response</w:t>
      </w:r>
    </w:p>
    <w:p w:rsidR="00F56219" w:rsidRPr="008B03ED" w:rsidRDefault="00F56219" w:rsidP="00F56219">
      <w:pPr>
        <w:pStyle w:val="ListParagraph"/>
      </w:pPr>
      <w:r w:rsidRPr="008B03ED">
        <w:t xml:space="preserve">Staff </w:t>
      </w:r>
      <w:r>
        <w:t xml:space="preserve">referred </w:t>
      </w:r>
      <w:r w:rsidRPr="008B03ED">
        <w:t xml:space="preserve">this customer </w:t>
      </w:r>
      <w:r>
        <w:t xml:space="preserve">to the appropriate location </w:t>
      </w:r>
      <w:r w:rsidRPr="008B03ED">
        <w:t>on the commission</w:t>
      </w:r>
      <w:r>
        <w:t>’s</w:t>
      </w:r>
      <w:r w:rsidRPr="008B03ED">
        <w:t xml:space="preserve"> </w:t>
      </w:r>
      <w:r>
        <w:t>w</w:t>
      </w:r>
      <w:r w:rsidRPr="008B03ED">
        <w:t xml:space="preserve">ebsite </w:t>
      </w:r>
      <w:r>
        <w:t>for</w:t>
      </w:r>
      <w:r w:rsidRPr="008B03ED">
        <w:t xml:space="preserve"> copies of </w:t>
      </w:r>
      <w:r>
        <w:t xml:space="preserve">the company’s </w:t>
      </w:r>
      <w:r w:rsidRPr="008B03ED">
        <w:t>annual reports.</w:t>
      </w:r>
    </w:p>
    <w:p w:rsidR="00F56219" w:rsidRPr="008B03ED" w:rsidRDefault="00F56219" w:rsidP="00F56219"/>
    <w:p w:rsidR="00F56219" w:rsidRPr="008B03ED" w:rsidRDefault="00F56219" w:rsidP="00F56219">
      <w:pPr>
        <w:numPr>
          <w:ilvl w:val="0"/>
          <w:numId w:val="11"/>
        </w:numPr>
      </w:pPr>
      <w:r w:rsidRPr="008B03ED">
        <w:t>One customer believed the company has differing winter and summer rates.</w:t>
      </w:r>
    </w:p>
    <w:p w:rsidR="00F56219" w:rsidRPr="008B03ED" w:rsidRDefault="00F56219" w:rsidP="00F56219"/>
    <w:p w:rsidR="00F56219" w:rsidRPr="008B03ED" w:rsidRDefault="00F56219" w:rsidP="00F56219">
      <w:pPr>
        <w:ind w:left="720"/>
        <w:rPr>
          <w:b/>
        </w:rPr>
      </w:pPr>
      <w:r w:rsidRPr="008B03ED">
        <w:rPr>
          <w:b/>
        </w:rPr>
        <w:t>Staff Response</w:t>
      </w:r>
      <w:r w:rsidRPr="008B03ED">
        <w:t xml:space="preserve"> </w:t>
      </w:r>
    </w:p>
    <w:p w:rsidR="00F56219" w:rsidRPr="008B03ED" w:rsidRDefault="00F56219" w:rsidP="00F56219">
      <w:pPr>
        <w:pStyle w:val="ListParagraph"/>
      </w:pPr>
      <w:r w:rsidRPr="008B03ED">
        <w:t>Staff advised th</w:t>
      </w:r>
      <w:r>
        <w:t>e</w:t>
      </w:r>
      <w:r w:rsidRPr="008B03ED">
        <w:t xml:space="preserve"> customer that the company’s rates are the same throughout the year.</w:t>
      </w:r>
    </w:p>
    <w:p w:rsidR="00F56219" w:rsidRPr="008B03ED" w:rsidRDefault="00F56219" w:rsidP="00F56219"/>
    <w:p w:rsidR="00F56219" w:rsidRPr="008B03ED" w:rsidRDefault="00F56219" w:rsidP="00F56219">
      <w:pPr>
        <w:numPr>
          <w:ilvl w:val="0"/>
          <w:numId w:val="11"/>
        </w:numPr>
      </w:pPr>
      <w:r w:rsidRPr="008B03ED">
        <w:t xml:space="preserve">One customer believes the company </w:t>
      </w:r>
      <w:r>
        <w:t xml:space="preserve">should </w:t>
      </w:r>
      <w:r w:rsidRPr="008B03ED">
        <w:t>cut costs for employee salaries and medical coverage so that customers do not have to pay more.</w:t>
      </w:r>
    </w:p>
    <w:p w:rsidR="00F56219" w:rsidRPr="008B03ED" w:rsidRDefault="00F56219" w:rsidP="00F56219"/>
    <w:p w:rsidR="00F56219" w:rsidRPr="008B03ED" w:rsidRDefault="00F56219" w:rsidP="00F56219">
      <w:pPr>
        <w:ind w:left="720"/>
        <w:rPr>
          <w:b/>
        </w:rPr>
      </w:pPr>
      <w:r w:rsidRPr="008B03ED">
        <w:rPr>
          <w:b/>
        </w:rPr>
        <w:t>Staff Response</w:t>
      </w:r>
    </w:p>
    <w:p w:rsidR="00F56219" w:rsidRPr="008B03ED" w:rsidRDefault="00F56219" w:rsidP="00F56219">
      <w:pPr>
        <w:pStyle w:val="ListParagraph"/>
      </w:pPr>
      <w:r w:rsidRPr="008B03ED">
        <w:t>The customer was advised that the company determines salaries and benefits. Staff ma</w:t>
      </w:r>
      <w:r>
        <w:t>d</w:t>
      </w:r>
      <w:r w:rsidRPr="008B03ED">
        <w:t xml:space="preserve">e </w:t>
      </w:r>
      <w:r>
        <w:t xml:space="preserve">appropriate </w:t>
      </w:r>
      <w:r w:rsidRPr="008B03ED">
        <w:t>adjustments.</w:t>
      </w:r>
    </w:p>
    <w:p w:rsidR="00F56219" w:rsidRPr="008B03ED" w:rsidRDefault="00F56219" w:rsidP="00F56219">
      <w:pPr>
        <w:pStyle w:val="ListParagraph"/>
        <w:ind w:left="0"/>
      </w:pPr>
    </w:p>
    <w:p w:rsidR="00F56219" w:rsidRPr="008B03ED" w:rsidRDefault="00F56219" w:rsidP="00F56219">
      <w:pPr>
        <w:numPr>
          <w:ilvl w:val="0"/>
          <w:numId w:val="11"/>
        </w:numPr>
      </w:pPr>
      <w:r w:rsidRPr="008B03ED">
        <w:t>One customer asks why</w:t>
      </w:r>
      <w:r>
        <w:t xml:space="preserve"> Olympic Water and Sewer’s</w:t>
      </w:r>
      <w:r w:rsidRPr="008B03ED">
        <w:t xml:space="preserve"> </w:t>
      </w:r>
      <w:r>
        <w:t>costs are</w:t>
      </w:r>
      <w:r w:rsidRPr="008B03ED">
        <w:t xml:space="preserve"> not compared to neighboring </w:t>
      </w:r>
      <w:r>
        <w:t>companies</w:t>
      </w:r>
      <w:r w:rsidRPr="008B03ED">
        <w:t>, and why the consumer price index is not used to set rates.</w:t>
      </w:r>
    </w:p>
    <w:p w:rsidR="00F56219" w:rsidRPr="008B03ED" w:rsidRDefault="00F56219" w:rsidP="00F56219"/>
    <w:p w:rsidR="00F56219" w:rsidRPr="008B03ED" w:rsidRDefault="00F56219" w:rsidP="00F56219">
      <w:pPr>
        <w:ind w:left="720"/>
        <w:rPr>
          <w:b/>
        </w:rPr>
      </w:pPr>
      <w:r w:rsidRPr="008B03ED">
        <w:rPr>
          <w:b/>
        </w:rPr>
        <w:t>Staff Response</w:t>
      </w:r>
      <w:r w:rsidRPr="008B03ED">
        <w:t xml:space="preserve"> </w:t>
      </w:r>
    </w:p>
    <w:p w:rsidR="00F56219" w:rsidRPr="005D0BD9" w:rsidRDefault="00F56219" w:rsidP="00F56219">
      <w:pPr>
        <w:pStyle w:val="ListParagraph"/>
      </w:pPr>
      <w:r w:rsidRPr="008B03ED">
        <w:t>Staff advised th</w:t>
      </w:r>
      <w:r>
        <w:t>e</w:t>
      </w:r>
      <w:r w:rsidRPr="008B03ED">
        <w:t xml:space="preserve"> customer </w:t>
      </w:r>
      <w:r>
        <w:t>that t</w:t>
      </w:r>
      <w:r w:rsidRPr="008B03ED">
        <w:t xml:space="preserve">he commission does not compare one water </w:t>
      </w:r>
      <w:r>
        <w:t>company’</w:t>
      </w:r>
      <w:r w:rsidRPr="008B03ED">
        <w:t xml:space="preserve">s rates or operations to a neighboring </w:t>
      </w:r>
      <w:r>
        <w:t>water company</w:t>
      </w:r>
      <w:r w:rsidRPr="008B03ED">
        <w:t xml:space="preserve">. Rates for service are based on each </w:t>
      </w:r>
      <w:r>
        <w:t>company</w:t>
      </w:r>
      <w:r w:rsidRPr="008B03ED">
        <w:t>’s capital</w:t>
      </w:r>
      <w:r>
        <w:t xml:space="preserve"> investment</w:t>
      </w:r>
      <w:r w:rsidRPr="008B03ED">
        <w:t>, operating and finance costs</w:t>
      </w:r>
      <w:r>
        <w:t>. Currently in utility regulation of water companies, staff does not use a consumer price index as a method of determining rate increases. Consumer price indexing does not consider actual cost for goods and services used by this company to provide service to its customers. Indexing also relies on a base cost for services that has not yet been established for the water utility industry or this water company.</w:t>
      </w:r>
    </w:p>
    <w:p w:rsidR="00266104" w:rsidRPr="002E3E9D" w:rsidRDefault="00266104" w:rsidP="00266104"/>
    <w:p w:rsidR="0080117F" w:rsidRDefault="0080117F" w:rsidP="00801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r>
        <w:rPr>
          <w:rFonts w:eastAsia="Times New Roman"/>
          <w:lang w:bidi="ar-SA"/>
        </w:rPr>
        <w:t>A customer using</w:t>
      </w:r>
      <w:r w:rsidR="00992790">
        <w:rPr>
          <w:rFonts w:eastAsia="Times New Roman"/>
          <w:lang w:bidi="ar-SA"/>
        </w:rPr>
        <w:t xml:space="preserve"> </w:t>
      </w:r>
      <w:r w:rsidR="00114B3D">
        <w:rPr>
          <w:rFonts w:eastAsia="Times New Roman"/>
          <w:lang w:bidi="ar-SA"/>
        </w:rPr>
        <w:t>70</w:t>
      </w:r>
      <w:r w:rsidR="000E1DFC">
        <w:rPr>
          <w:rFonts w:eastAsia="Times New Roman"/>
          <w:lang w:bidi="ar-SA"/>
        </w:rPr>
        <w:t>6</w:t>
      </w:r>
      <w:r w:rsidR="00114B3D">
        <w:rPr>
          <w:rFonts w:eastAsia="Times New Roman"/>
          <w:lang w:bidi="ar-SA"/>
        </w:rPr>
        <w:t xml:space="preserve"> cubic feet</w:t>
      </w:r>
      <w:r w:rsidRPr="0080117F">
        <w:rPr>
          <w:rFonts w:eastAsia="Times New Roman"/>
          <w:lang w:bidi="ar-SA"/>
        </w:rPr>
        <w:t xml:space="preserve"> of water per month (the calculated company-wide average water usage) would pay $</w:t>
      </w:r>
      <w:r w:rsidR="00D12B32">
        <w:rPr>
          <w:rFonts w:eastAsia="Times New Roman"/>
          <w:lang w:bidi="ar-SA"/>
        </w:rPr>
        <w:t>7</w:t>
      </w:r>
      <w:r w:rsidRPr="0080117F">
        <w:rPr>
          <w:rFonts w:eastAsia="Times New Roman"/>
          <w:lang w:bidi="ar-SA"/>
        </w:rPr>
        <w:t>.</w:t>
      </w:r>
      <w:r w:rsidR="000E1DFC">
        <w:rPr>
          <w:rFonts w:eastAsia="Times New Roman"/>
          <w:lang w:bidi="ar-SA"/>
        </w:rPr>
        <w:t>7</w:t>
      </w:r>
      <w:r w:rsidR="001A1500">
        <w:rPr>
          <w:rFonts w:eastAsia="Times New Roman"/>
          <w:lang w:bidi="ar-SA"/>
        </w:rPr>
        <w:t>2</w:t>
      </w:r>
      <w:r w:rsidRPr="0080117F">
        <w:rPr>
          <w:rFonts w:eastAsia="Times New Roman"/>
          <w:lang w:bidi="ar-SA"/>
        </w:rPr>
        <w:t xml:space="preserve"> (</w:t>
      </w:r>
      <w:r w:rsidR="00D12B32">
        <w:rPr>
          <w:rFonts w:eastAsia="Times New Roman"/>
          <w:lang w:bidi="ar-SA"/>
        </w:rPr>
        <w:t>2</w:t>
      </w:r>
      <w:r w:rsidR="000E1DFC">
        <w:rPr>
          <w:rFonts w:eastAsia="Times New Roman"/>
          <w:lang w:bidi="ar-SA"/>
        </w:rPr>
        <w:t>2.</w:t>
      </w:r>
      <w:r w:rsidR="001A1500">
        <w:rPr>
          <w:rFonts w:eastAsia="Times New Roman"/>
          <w:lang w:bidi="ar-SA"/>
        </w:rPr>
        <w:t>6</w:t>
      </w:r>
      <w:r w:rsidRPr="0080117F">
        <w:rPr>
          <w:rFonts w:eastAsia="Times New Roman"/>
          <w:lang w:bidi="ar-SA"/>
        </w:rPr>
        <w:t xml:space="preserve"> percent) more per month using the </w:t>
      </w:r>
      <w:r w:rsidR="003C4EB8">
        <w:rPr>
          <w:rFonts w:eastAsia="Times New Roman"/>
          <w:lang w:bidi="ar-SA"/>
        </w:rPr>
        <w:t>proposed</w:t>
      </w:r>
      <w:r w:rsidRPr="0080117F">
        <w:rPr>
          <w:rFonts w:eastAsia="Times New Roman"/>
          <w:lang w:bidi="ar-SA"/>
        </w:rPr>
        <w:t xml:space="preserve"> rates </w:t>
      </w:r>
      <w:r w:rsidR="003C4EB8">
        <w:rPr>
          <w:rFonts w:eastAsia="Times New Roman"/>
          <w:lang w:bidi="ar-SA"/>
        </w:rPr>
        <w:t>than</w:t>
      </w:r>
      <w:r w:rsidRPr="0080117F">
        <w:rPr>
          <w:rFonts w:eastAsia="Times New Roman"/>
          <w:lang w:bidi="ar-SA"/>
        </w:rPr>
        <w:t xml:space="preserve"> using the </w:t>
      </w:r>
      <w:r w:rsidR="003C4EB8">
        <w:rPr>
          <w:rFonts w:eastAsia="Times New Roman"/>
          <w:lang w:bidi="ar-SA"/>
        </w:rPr>
        <w:t>current</w:t>
      </w:r>
      <w:r w:rsidRPr="0080117F">
        <w:rPr>
          <w:rFonts w:eastAsia="Times New Roman"/>
          <w:lang w:bidi="ar-SA"/>
        </w:rPr>
        <w:t xml:space="preserve"> rates (see “Average Bill Comparison” table below).</w:t>
      </w:r>
    </w:p>
    <w:p w:rsidR="00B726EF" w:rsidRDefault="00B726EF">
      <w:pPr>
        <w:rPr>
          <w:rFonts w:eastAsia="Times New Roman"/>
          <w:lang w:bidi="ar-SA"/>
        </w:rPr>
      </w:pPr>
      <w:r>
        <w:rPr>
          <w:rFonts w:eastAsia="Times New Roman"/>
          <w:lang w:bidi="ar-SA"/>
        </w:rPr>
        <w:br w:type="page"/>
      </w:r>
    </w:p>
    <w:p w:rsidR="009270B9" w:rsidRDefault="00832CE0" w:rsidP="000E50DD">
      <w:pPr>
        <w:jc w:val="center"/>
        <w:rPr>
          <w:b/>
          <w:u w:val="single"/>
        </w:rPr>
      </w:pPr>
      <w:r w:rsidRPr="00450175">
        <w:rPr>
          <w:b/>
          <w:u w:val="single"/>
        </w:rPr>
        <w:lastRenderedPageBreak/>
        <w:t>Rate Comparison</w:t>
      </w:r>
    </w:p>
    <w:p w:rsidR="00CA3026" w:rsidRDefault="00CA3026" w:rsidP="009270B9">
      <w:pPr>
        <w:jc w:val="center"/>
        <w:rPr>
          <w:b/>
          <w:u w:val="single"/>
        </w:rPr>
      </w:pPr>
    </w:p>
    <w:tbl>
      <w:tblPr>
        <w:tblW w:w="4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7"/>
        <w:gridCol w:w="1801"/>
        <w:gridCol w:w="2251"/>
      </w:tblGrid>
      <w:tr w:rsidR="00704124" w:rsidRPr="009270B9" w:rsidTr="00B726EF">
        <w:trPr>
          <w:jc w:val="center"/>
        </w:trPr>
        <w:tc>
          <w:tcPr>
            <w:tcW w:w="2505" w:type="pct"/>
          </w:tcPr>
          <w:p w:rsidR="00704124" w:rsidRPr="009270B9" w:rsidRDefault="00704124" w:rsidP="009270B9">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Monthly Rate</w:t>
            </w:r>
          </w:p>
        </w:tc>
        <w:tc>
          <w:tcPr>
            <w:tcW w:w="1109" w:type="pct"/>
            <w:vAlign w:val="center"/>
          </w:tcPr>
          <w:p w:rsidR="00704124" w:rsidRPr="009270B9" w:rsidRDefault="00704124" w:rsidP="009270B9">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386" w:type="pct"/>
          </w:tcPr>
          <w:p w:rsidR="00704124" w:rsidRPr="009270B9" w:rsidRDefault="00704124" w:rsidP="009270B9">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r>
      <w:tr w:rsidR="00704124" w:rsidRPr="009270B9" w:rsidTr="00B726EF">
        <w:trPr>
          <w:jc w:val="center"/>
        </w:trPr>
        <w:tc>
          <w:tcPr>
            <w:tcW w:w="2505" w:type="pct"/>
          </w:tcPr>
          <w:p w:rsidR="00704124" w:rsidRPr="009270B9" w:rsidRDefault="00704124" w:rsidP="002A17FD">
            <w:pPr>
              <w:keepNext/>
              <w:widowControl w:val="0"/>
              <w:autoSpaceDE w:val="0"/>
              <w:autoSpaceDN w:val="0"/>
              <w:adjustRightInd w:val="0"/>
              <w:outlineLvl w:val="0"/>
              <w:rPr>
                <w:rFonts w:eastAsia="Times New Roman"/>
                <w:lang w:bidi="ar-SA"/>
              </w:rPr>
            </w:pPr>
            <w:r>
              <w:rPr>
                <w:rFonts w:eastAsia="Times New Roman"/>
                <w:lang w:bidi="ar-SA"/>
              </w:rPr>
              <w:t xml:space="preserve">Base Rate (3/4 </w:t>
            </w:r>
            <w:r w:rsidR="002A17FD">
              <w:rPr>
                <w:rFonts w:eastAsia="Times New Roman"/>
                <w:lang w:bidi="ar-SA"/>
              </w:rPr>
              <w:t>I</w:t>
            </w:r>
            <w:r w:rsidRPr="009270B9">
              <w:rPr>
                <w:rFonts w:eastAsia="Times New Roman"/>
                <w:lang w:bidi="ar-SA"/>
              </w:rPr>
              <w:t xml:space="preserve">nch </w:t>
            </w:r>
            <w:r w:rsidR="002A17FD">
              <w:rPr>
                <w:rFonts w:eastAsia="Times New Roman"/>
                <w:lang w:bidi="ar-SA"/>
              </w:rPr>
              <w:t>M</w:t>
            </w:r>
            <w:r w:rsidRPr="009270B9">
              <w:rPr>
                <w:rFonts w:eastAsia="Times New Roman"/>
                <w:lang w:bidi="ar-SA"/>
              </w:rPr>
              <w:t>eter)</w:t>
            </w:r>
            <w:r w:rsidRPr="0050505B">
              <w:rPr>
                <w:vertAlign w:val="superscript"/>
              </w:rPr>
              <w:t xml:space="preserve"> 1</w:t>
            </w:r>
          </w:p>
        </w:tc>
        <w:tc>
          <w:tcPr>
            <w:tcW w:w="1109" w:type="pct"/>
          </w:tcPr>
          <w:p w:rsidR="00704124" w:rsidRPr="009270B9" w:rsidRDefault="00704124" w:rsidP="00F92193">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18</w:t>
            </w:r>
            <w:r w:rsidRPr="009270B9">
              <w:rPr>
                <w:rFonts w:eastAsia="Times New Roman"/>
                <w:lang w:bidi="ar-SA"/>
              </w:rPr>
              <w:t>.</w:t>
            </w:r>
            <w:r>
              <w:rPr>
                <w:rFonts w:eastAsia="Times New Roman"/>
                <w:lang w:bidi="ar-SA"/>
              </w:rPr>
              <w:t>25</w:t>
            </w:r>
          </w:p>
        </w:tc>
        <w:tc>
          <w:tcPr>
            <w:tcW w:w="1386" w:type="pct"/>
          </w:tcPr>
          <w:p w:rsidR="00704124" w:rsidRPr="009270B9" w:rsidRDefault="00704124" w:rsidP="00F92193">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18.25</w:t>
            </w:r>
          </w:p>
        </w:tc>
      </w:tr>
      <w:tr w:rsidR="00704124" w:rsidRPr="009270B9" w:rsidTr="00B726EF">
        <w:trPr>
          <w:jc w:val="center"/>
        </w:trPr>
        <w:tc>
          <w:tcPr>
            <w:tcW w:w="2505" w:type="pct"/>
          </w:tcPr>
          <w:p w:rsidR="00704124" w:rsidRPr="009270B9" w:rsidRDefault="00704124" w:rsidP="00466174">
            <w:pPr>
              <w:widowControl w:val="0"/>
              <w:autoSpaceDE w:val="0"/>
              <w:autoSpaceDN w:val="0"/>
              <w:adjustRightInd w:val="0"/>
              <w:rPr>
                <w:rFonts w:eastAsia="Times New Roman"/>
                <w:lang w:bidi="ar-SA"/>
              </w:rPr>
            </w:pPr>
            <w:r>
              <w:t>Usage Block 0 – 400 Cubic Feet</w:t>
            </w:r>
            <w:r w:rsidRPr="0050505B">
              <w:rPr>
                <w:vertAlign w:val="superscript"/>
              </w:rPr>
              <w:t>1,2</w:t>
            </w:r>
          </w:p>
        </w:tc>
        <w:tc>
          <w:tcPr>
            <w:tcW w:w="1109" w:type="pct"/>
          </w:tcPr>
          <w:p w:rsidR="00704124" w:rsidRPr="009270B9" w:rsidRDefault="00704124" w:rsidP="00EC4599">
            <w:pPr>
              <w:widowControl w:val="0"/>
              <w:autoSpaceDE w:val="0"/>
              <w:autoSpaceDN w:val="0"/>
              <w:adjustRightInd w:val="0"/>
              <w:jc w:val="center"/>
              <w:rPr>
                <w:rFonts w:eastAsia="Times New Roman"/>
                <w:lang w:bidi="ar-SA"/>
              </w:rPr>
            </w:pPr>
            <w:r>
              <w:rPr>
                <w:rFonts w:eastAsia="Times New Roman"/>
                <w:lang w:bidi="ar-SA"/>
              </w:rPr>
              <w:t>$2.25</w:t>
            </w:r>
          </w:p>
        </w:tc>
        <w:tc>
          <w:tcPr>
            <w:tcW w:w="1386" w:type="pct"/>
          </w:tcPr>
          <w:p w:rsidR="00704124" w:rsidRPr="009270B9" w:rsidRDefault="00704124" w:rsidP="00EC4599">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2</w:t>
            </w:r>
            <w:r w:rsidRPr="009270B9">
              <w:rPr>
                <w:rFonts w:eastAsia="Times New Roman"/>
                <w:lang w:bidi="ar-SA"/>
              </w:rPr>
              <w:t>.</w:t>
            </w:r>
            <w:r>
              <w:rPr>
                <w:rFonts w:eastAsia="Times New Roman"/>
                <w:lang w:bidi="ar-SA"/>
              </w:rPr>
              <w:t>65</w:t>
            </w:r>
          </w:p>
        </w:tc>
      </w:tr>
      <w:tr w:rsidR="00704124" w:rsidRPr="009270B9" w:rsidTr="00B726EF">
        <w:trPr>
          <w:jc w:val="center"/>
        </w:trPr>
        <w:tc>
          <w:tcPr>
            <w:tcW w:w="2505" w:type="pct"/>
          </w:tcPr>
          <w:p w:rsidR="00704124" w:rsidRPr="009270B9" w:rsidRDefault="00704124" w:rsidP="00E62E77">
            <w:pPr>
              <w:widowControl w:val="0"/>
              <w:autoSpaceDE w:val="0"/>
              <w:autoSpaceDN w:val="0"/>
              <w:adjustRightInd w:val="0"/>
              <w:rPr>
                <w:rFonts w:eastAsia="Times New Roman"/>
                <w:lang w:bidi="ar-SA"/>
              </w:rPr>
            </w:pPr>
            <w:r>
              <w:t>Usage Block 40</w:t>
            </w:r>
            <w:r w:rsidR="00E62E77">
              <w:t>1</w:t>
            </w:r>
            <w:r>
              <w:t xml:space="preserve"> – 950 Cubic Feet</w:t>
            </w:r>
            <w:r w:rsidRPr="0050505B">
              <w:rPr>
                <w:vertAlign w:val="superscript"/>
              </w:rPr>
              <w:t>1,2</w:t>
            </w:r>
          </w:p>
        </w:tc>
        <w:tc>
          <w:tcPr>
            <w:tcW w:w="1109" w:type="pct"/>
          </w:tcPr>
          <w:p w:rsidR="00704124" w:rsidRPr="009270B9" w:rsidRDefault="00704124" w:rsidP="000E1DFC">
            <w:pPr>
              <w:widowControl w:val="0"/>
              <w:autoSpaceDE w:val="0"/>
              <w:autoSpaceDN w:val="0"/>
              <w:adjustRightInd w:val="0"/>
              <w:jc w:val="center"/>
              <w:rPr>
                <w:rFonts w:eastAsia="Times New Roman"/>
                <w:lang w:bidi="ar-SA"/>
              </w:rPr>
            </w:pPr>
            <w:r>
              <w:rPr>
                <w:rFonts w:eastAsia="Times New Roman"/>
                <w:lang w:bidi="ar-SA"/>
              </w:rPr>
              <w:t>$2.25</w:t>
            </w:r>
          </w:p>
        </w:tc>
        <w:tc>
          <w:tcPr>
            <w:tcW w:w="1386" w:type="pct"/>
          </w:tcPr>
          <w:p w:rsidR="00704124" w:rsidRPr="009270B9" w:rsidRDefault="00704124" w:rsidP="00EC4599">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4</w:t>
            </w:r>
            <w:r w:rsidRPr="009270B9">
              <w:rPr>
                <w:rFonts w:eastAsia="Times New Roman"/>
                <w:lang w:bidi="ar-SA"/>
              </w:rPr>
              <w:t>.</w:t>
            </w:r>
            <w:r>
              <w:rPr>
                <w:rFonts w:eastAsia="Times New Roman"/>
                <w:lang w:bidi="ar-SA"/>
              </w:rPr>
              <w:t>25</w:t>
            </w:r>
          </w:p>
        </w:tc>
      </w:tr>
      <w:tr w:rsidR="00704124" w:rsidRPr="009270B9" w:rsidTr="00B726EF">
        <w:trPr>
          <w:jc w:val="center"/>
        </w:trPr>
        <w:tc>
          <w:tcPr>
            <w:tcW w:w="2505" w:type="pct"/>
          </w:tcPr>
          <w:p w:rsidR="00704124" w:rsidRPr="009270B9" w:rsidRDefault="00704124" w:rsidP="00E62E77">
            <w:pPr>
              <w:widowControl w:val="0"/>
              <w:autoSpaceDE w:val="0"/>
              <w:autoSpaceDN w:val="0"/>
              <w:adjustRightInd w:val="0"/>
              <w:rPr>
                <w:rFonts w:eastAsia="Times New Roman"/>
                <w:lang w:bidi="ar-SA"/>
              </w:rPr>
            </w:pPr>
            <w:r>
              <w:t>Usage Block 95</w:t>
            </w:r>
            <w:r w:rsidR="00E62E77">
              <w:t>1</w:t>
            </w:r>
            <w:r>
              <w:t xml:space="preserve"> – 1,000 Cubic Feet</w:t>
            </w:r>
            <w:r w:rsidRPr="0050505B">
              <w:rPr>
                <w:vertAlign w:val="superscript"/>
              </w:rPr>
              <w:t>1,2</w:t>
            </w:r>
          </w:p>
        </w:tc>
        <w:tc>
          <w:tcPr>
            <w:tcW w:w="1109" w:type="pct"/>
          </w:tcPr>
          <w:p w:rsidR="00704124" w:rsidRPr="009270B9" w:rsidRDefault="00704124" w:rsidP="000E1DFC">
            <w:pPr>
              <w:widowControl w:val="0"/>
              <w:autoSpaceDE w:val="0"/>
              <w:autoSpaceDN w:val="0"/>
              <w:adjustRightInd w:val="0"/>
              <w:jc w:val="center"/>
              <w:rPr>
                <w:rFonts w:eastAsia="Times New Roman"/>
                <w:lang w:bidi="ar-SA"/>
              </w:rPr>
            </w:pPr>
            <w:r>
              <w:rPr>
                <w:rFonts w:eastAsia="Times New Roman"/>
                <w:lang w:bidi="ar-SA"/>
              </w:rPr>
              <w:t>$2.25</w:t>
            </w:r>
          </w:p>
        </w:tc>
        <w:tc>
          <w:tcPr>
            <w:tcW w:w="1386" w:type="pct"/>
          </w:tcPr>
          <w:p w:rsidR="00704124" w:rsidRPr="009270B9" w:rsidRDefault="00704124" w:rsidP="00D12B32">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5</w:t>
            </w:r>
            <w:r w:rsidRPr="009270B9">
              <w:rPr>
                <w:rFonts w:eastAsia="Times New Roman"/>
                <w:lang w:bidi="ar-SA"/>
              </w:rPr>
              <w:t>.</w:t>
            </w:r>
            <w:r>
              <w:rPr>
                <w:rFonts w:eastAsia="Times New Roman"/>
                <w:lang w:bidi="ar-SA"/>
              </w:rPr>
              <w:t>25</w:t>
            </w:r>
          </w:p>
        </w:tc>
      </w:tr>
      <w:tr w:rsidR="00704124" w:rsidRPr="009270B9" w:rsidTr="00B726EF">
        <w:trPr>
          <w:jc w:val="center"/>
        </w:trPr>
        <w:tc>
          <w:tcPr>
            <w:tcW w:w="2505" w:type="pct"/>
          </w:tcPr>
          <w:p w:rsidR="00704124" w:rsidRPr="009270B9" w:rsidRDefault="00704124" w:rsidP="00466174">
            <w:pPr>
              <w:widowControl w:val="0"/>
              <w:autoSpaceDE w:val="0"/>
              <w:autoSpaceDN w:val="0"/>
              <w:adjustRightInd w:val="0"/>
              <w:rPr>
                <w:rFonts w:eastAsia="Times New Roman"/>
                <w:lang w:bidi="ar-SA"/>
              </w:rPr>
            </w:pPr>
            <w:r>
              <w:t>Over 1,000 Cubic Feet</w:t>
            </w:r>
            <w:r w:rsidRPr="0050505B">
              <w:rPr>
                <w:vertAlign w:val="superscript"/>
              </w:rPr>
              <w:t>1,2</w:t>
            </w:r>
          </w:p>
        </w:tc>
        <w:tc>
          <w:tcPr>
            <w:tcW w:w="1109" w:type="pct"/>
          </w:tcPr>
          <w:p w:rsidR="00704124" w:rsidRPr="009270B9" w:rsidRDefault="00704124" w:rsidP="00EC4599">
            <w:pPr>
              <w:widowControl w:val="0"/>
              <w:autoSpaceDE w:val="0"/>
              <w:autoSpaceDN w:val="0"/>
              <w:adjustRightInd w:val="0"/>
              <w:jc w:val="center"/>
              <w:rPr>
                <w:rFonts w:eastAsia="Times New Roman"/>
                <w:lang w:bidi="ar-SA"/>
              </w:rPr>
            </w:pPr>
            <w:r>
              <w:rPr>
                <w:rFonts w:eastAsia="Times New Roman"/>
                <w:lang w:bidi="ar-SA"/>
              </w:rPr>
              <w:t>$3.25</w:t>
            </w:r>
          </w:p>
        </w:tc>
        <w:tc>
          <w:tcPr>
            <w:tcW w:w="1386" w:type="pct"/>
          </w:tcPr>
          <w:p w:rsidR="00704124" w:rsidRPr="009270B9" w:rsidRDefault="00704124" w:rsidP="00EC4599">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5</w:t>
            </w:r>
            <w:r w:rsidRPr="009270B9">
              <w:rPr>
                <w:rFonts w:eastAsia="Times New Roman"/>
                <w:lang w:bidi="ar-SA"/>
              </w:rPr>
              <w:t>.</w:t>
            </w:r>
            <w:r>
              <w:rPr>
                <w:rFonts w:eastAsia="Times New Roman"/>
                <w:lang w:bidi="ar-SA"/>
              </w:rPr>
              <w:t>25</w:t>
            </w:r>
          </w:p>
        </w:tc>
      </w:tr>
    </w:tbl>
    <w:p w:rsidR="000E1DFC" w:rsidRDefault="000E1DFC" w:rsidP="00466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p>
    <w:p w:rsidR="00466174" w:rsidRPr="0050505B" w:rsidRDefault="00466174" w:rsidP="00466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r w:rsidRPr="0050505B">
        <w:rPr>
          <w:vertAlign w:val="superscript"/>
        </w:rPr>
        <w:t>1 – Based on ¾-inch meter classification, see company’s tariff for upsize meter classification, usage blocks and rates.</w:t>
      </w:r>
    </w:p>
    <w:p w:rsidR="00466174" w:rsidRPr="0050505B" w:rsidRDefault="00466174" w:rsidP="00466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r w:rsidRPr="0050505B">
        <w:rPr>
          <w:vertAlign w:val="superscript"/>
        </w:rPr>
        <w:t>2 – Based on “per 100 cubic feet”.</w:t>
      </w:r>
    </w:p>
    <w:p w:rsidR="00F148CB" w:rsidRDefault="00F148CB" w:rsidP="003F0972">
      <w:pPr>
        <w:jc w:val="center"/>
        <w:rPr>
          <w:rFonts w:eastAsia="Times New Roman"/>
          <w:b/>
          <w:u w:val="single"/>
          <w:lang w:bidi="ar-SA"/>
        </w:rPr>
      </w:pPr>
    </w:p>
    <w:p w:rsidR="009270B9" w:rsidRPr="009270B9" w:rsidRDefault="009270B9" w:rsidP="003F0972">
      <w:pPr>
        <w:jc w:val="center"/>
        <w:rPr>
          <w:rFonts w:eastAsia="Times New Roman"/>
          <w:b/>
          <w:u w:val="single"/>
          <w:lang w:bidi="ar-SA"/>
        </w:rPr>
      </w:pPr>
      <w:r w:rsidRPr="009270B9">
        <w:rPr>
          <w:rFonts w:eastAsia="Times New Roman"/>
          <w:b/>
          <w:u w:val="single"/>
          <w:lang w:bidi="ar-SA"/>
        </w:rPr>
        <w:t>Average Bill Comparison</w:t>
      </w:r>
    </w:p>
    <w:p w:rsidR="009270B9" w:rsidRPr="009270B9" w:rsidRDefault="009270B9"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tbl>
      <w:tblPr>
        <w:tblW w:w="4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7"/>
        <w:gridCol w:w="1801"/>
        <w:gridCol w:w="2251"/>
      </w:tblGrid>
      <w:tr w:rsidR="00704124" w:rsidRPr="009270B9" w:rsidTr="00B726EF">
        <w:trPr>
          <w:jc w:val="center"/>
        </w:trPr>
        <w:tc>
          <w:tcPr>
            <w:tcW w:w="2505" w:type="pct"/>
          </w:tcPr>
          <w:p w:rsidR="00704124" w:rsidRPr="009270B9" w:rsidRDefault="00704124" w:rsidP="009270B9">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Average Monthly Usage</w:t>
            </w:r>
          </w:p>
          <w:p w:rsidR="00704124" w:rsidRPr="009270B9" w:rsidRDefault="00704124" w:rsidP="00EC4599">
            <w:pPr>
              <w:keepNext/>
              <w:widowControl w:val="0"/>
              <w:autoSpaceDE w:val="0"/>
              <w:autoSpaceDN w:val="0"/>
              <w:adjustRightInd w:val="0"/>
              <w:jc w:val="center"/>
              <w:outlineLvl w:val="0"/>
              <w:rPr>
                <w:rFonts w:eastAsia="Times New Roman"/>
                <w:b/>
                <w:lang w:bidi="ar-SA"/>
              </w:rPr>
            </w:pPr>
            <w:r>
              <w:t>706</w:t>
            </w:r>
            <w:r w:rsidRPr="009442FC">
              <w:t xml:space="preserve"> </w:t>
            </w:r>
            <w:r>
              <w:t>Cubic Feet</w:t>
            </w:r>
            <w:r w:rsidRPr="00466174">
              <w:rPr>
                <w:vertAlign w:val="superscript"/>
              </w:rPr>
              <w:t>3</w:t>
            </w:r>
          </w:p>
        </w:tc>
        <w:tc>
          <w:tcPr>
            <w:tcW w:w="1109" w:type="pct"/>
            <w:vAlign w:val="center"/>
          </w:tcPr>
          <w:p w:rsidR="00704124" w:rsidRPr="009270B9" w:rsidRDefault="00704124" w:rsidP="009270B9">
            <w:pPr>
              <w:widowControl w:val="0"/>
              <w:autoSpaceDE w:val="0"/>
              <w:autoSpaceDN w:val="0"/>
              <w:adjustRightInd w:val="0"/>
              <w:jc w:val="center"/>
              <w:rPr>
                <w:rFonts w:eastAsia="Times New Roman"/>
                <w:b/>
                <w:lang w:bidi="ar-SA"/>
              </w:rPr>
            </w:pPr>
          </w:p>
          <w:p w:rsidR="00704124" w:rsidRPr="009270B9" w:rsidRDefault="00704124" w:rsidP="009270B9">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386" w:type="pct"/>
          </w:tcPr>
          <w:p w:rsidR="00704124" w:rsidRPr="009270B9" w:rsidRDefault="00704124" w:rsidP="009270B9">
            <w:pPr>
              <w:widowControl w:val="0"/>
              <w:autoSpaceDE w:val="0"/>
              <w:autoSpaceDN w:val="0"/>
              <w:adjustRightInd w:val="0"/>
              <w:jc w:val="center"/>
              <w:rPr>
                <w:rFonts w:eastAsia="Times New Roman"/>
                <w:b/>
                <w:lang w:bidi="ar-SA"/>
              </w:rPr>
            </w:pPr>
          </w:p>
          <w:p w:rsidR="00704124" w:rsidRPr="009270B9" w:rsidRDefault="00704124" w:rsidP="009270B9">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r>
      <w:tr w:rsidR="00704124" w:rsidRPr="009270B9" w:rsidTr="00B726EF">
        <w:trPr>
          <w:jc w:val="center"/>
        </w:trPr>
        <w:tc>
          <w:tcPr>
            <w:tcW w:w="2505" w:type="pct"/>
          </w:tcPr>
          <w:p w:rsidR="00704124" w:rsidRPr="009270B9" w:rsidRDefault="00704124" w:rsidP="002A17FD">
            <w:pPr>
              <w:keepNext/>
              <w:widowControl w:val="0"/>
              <w:autoSpaceDE w:val="0"/>
              <w:autoSpaceDN w:val="0"/>
              <w:adjustRightInd w:val="0"/>
              <w:outlineLvl w:val="0"/>
              <w:rPr>
                <w:rFonts w:eastAsia="Times New Roman"/>
                <w:lang w:bidi="ar-SA"/>
              </w:rPr>
            </w:pPr>
            <w:r>
              <w:rPr>
                <w:rFonts w:eastAsia="Times New Roman"/>
                <w:lang w:bidi="ar-SA"/>
              </w:rPr>
              <w:t xml:space="preserve">Base Rate (3/4 </w:t>
            </w:r>
            <w:r w:rsidR="002A17FD">
              <w:rPr>
                <w:rFonts w:eastAsia="Times New Roman"/>
                <w:lang w:bidi="ar-SA"/>
              </w:rPr>
              <w:t>I</w:t>
            </w:r>
            <w:r w:rsidRPr="009270B9">
              <w:rPr>
                <w:rFonts w:eastAsia="Times New Roman"/>
                <w:lang w:bidi="ar-SA"/>
              </w:rPr>
              <w:t xml:space="preserve">nch </w:t>
            </w:r>
            <w:r w:rsidR="002A17FD">
              <w:rPr>
                <w:rFonts w:eastAsia="Times New Roman"/>
                <w:lang w:bidi="ar-SA"/>
              </w:rPr>
              <w:t>M</w:t>
            </w:r>
            <w:r w:rsidRPr="009270B9">
              <w:rPr>
                <w:rFonts w:eastAsia="Times New Roman"/>
                <w:lang w:bidi="ar-SA"/>
              </w:rPr>
              <w:t>eter)</w:t>
            </w:r>
          </w:p>
        </w:tc>
        <w:tc>
          <w:tcPr>
            <w:tcW w:w="1109" w:type="pct"/>
          </w:tcPr>
          <w:p w:rsidR="00704124" w:rsidRPr="009270B9" w:rsidRDefault="00704124" w:rsidP="00EC4599">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18.25</w:t>
            </w:r>
          </w:p>
        </w:tc>
        <w:tc>
          <w:tcPr>
            <w:tcW w:w="1386" w:type="pct"/>
          </w:tcPr>
          <w:p w:rsidR="00704124" w:rsidRPr="009270B9" w:rsidRDefault="00704124" w:rsidP="00EC4599">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18.25</w:t>
            </w:r>
          </w:p>
        </w:tc>
      </w:tr>
      <w:tr w:rsidR="00704124" w:rsidRPr="009270B9" w:rsidTr="00B726EF">
        <w:trPr>
          <w:jc w:val="center"/>
        </w:trPr>
        <w:tc>
          <w:tcPr>
            <w:tcW w:w="2505" w:type="pct"/>
          </w:tcPr>
          <w:p w:rsidR="00704124" w:rsidRPr="009270B9" w:rsidRDefault="00704124" w:rsidP="000E1DFC">
            <w:pPr>
              <w:widowControl w:val="0"/>
              <w:autoSpaceDE w:val="0"/>
              <w:autoSpaceDN w:val="0"/>
              <w:adjustRightInd w:val="0"/>
              <w:rPr>
                <w:rFonts w:eastAsia="Times New Roman"/>
                <w:lang w:bidi="ar-SA"/>
              </w:rPr>
            </w:pPr>
            <w:r>
              <w:rPr>
                <w:rFonts w:eastAsia="Times New Roman"/>
                <w:lang w:bidi="ar-SA"/>
              </w:rPr>
              <w:t>0 -  400 Cubic Feet</w:t>
            </w:r>
          </w:p>
        </w:tc>
        <w:tc>
          <w:tcPr>
            <w:tcW w:w="1109" w:type="pct"/>
          </w:tcPr>
          <w:p w:rsidR="00704124" w:rsidRPr="009270B9" w:rsidRDefault="00704124" w:rsidP="000E1DFC">
            <w:pPr>
              <w:widowControl w:val="0"/>
              <w:autoSpaceDE w:val="0"/>
              <w:autoSpaceDN w:val="0"/>
              <w:adjustRightInd w:val="0"/>
              <w:jc w:val="center"/>
              <w:rPr>
                <w:rFonts w:eastAsia="Times New Roman"/>
                <w:lang w:bidi="ar-SA"/>
              </w:rPr>
            </w:pPr>
            <w:r>
              <w:rPr>
                <w:rFonts w:eastAsia="Times New Roman"/>
                <w:lang w:bidi="ar-SA"/>
              </w:rPr>
              <w:t>$9.00</w:t>
            </w:r>
          </w:p>
        </w:tc>
        <w:tc>
          <w:tcPr>
            <w:tcW w:w="1386" w:type="pct"/>
          </w:tcPr>
          <w:p w:rsidR="00704124" w:rsidRPr="009270B9" w:rsidRDefault="00704124" w:rsidP="00EC4599">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10.60</w:t>
            </w:r>
          </w:p>
        </w:tc>
      </w:tr>
      <w:tr w:rsidR="00704124" w:rsidRPr="009270B9" w:rsidTr="00B726EF">
        <w:trPr>
          <w:jc w:val="center"/>
        </w:trPr>
        <w:tc>
          <w:tcPr>
            <w:tcW w:w="2505" w:type="pct"/>
          </w:tcPr>
          <w:p w:rsidR="00704124" w:rsidRPr="009270B9" w:rsidRDefault="00704124" w:rsidP="000E1DFC">
            <w:pPr>
              <w:widowControl w:val="0"/>
              <w:autoSpaceDE w:val="0"/>
              <w:autoSpaceDN w:val="0"/>
              <w:adjustRightInd w:val="0"/>
              <w:rPr>
                <w:rFonts w:eastAsia="Times New Roman"/>
                <w:lang w:bidi="ar-SA"/>
              </w:rPr>
            </w:pPr>
            <w:r>
              <w:rPr>
                <w:rFonts w:eastAsia="Times New Roman"/>
                <w:lang w:bidi="ar-SA"/>
              </w:rPr>
              <w:t>401 - 706 Cubic Feet</w:t>
            </w:r>
          </w:p>
        </w:tc>
        <w:tc>
          <w:tcPr>
            <w:tcW w:w="1109" w:type="pct"/>
          </w:tcPr>
          <w:p w:rsidR="00704124" w:rsidRPr="009270B9" w:rsidRDefault="00704124" w:rsidP="000E1DFC">
            <w:pPr>
              <w:widowControl w:val="0"/>
              <w:autoSpaceDE w:val="0"/>
              <w:autoSpaceDN w:val="0"/>
              <w:adjustRightInd w:val="0"/>
              <w:jc w:val="center"/>
              <w:rPr>
                <w:rFonts w:eastAsia="Times New Roman"/>
                <w:lang w:bidi="ar-SA"/>
              </w:rPr>
            </w:pPr>
            <w:r>
              <w:rPr>
                <w:rFonts w:eastAsia="Times New Roman"/>
                <w:lang w:bidi="ar-SA"/>
              </w:rPr>
              <w:t>$6.89</w:t>
            </w:r>
          </w:p>
        </w:tc>
        <w:tc>
          <w:tcPr>
            <w:tcW w:w="1386" w:type="pct"/>
          </w:tcPr>
          <w:p w:rsidR="00704124" w:rsidRPr="009270B9" w:rsidRDefault="00704124" w:rsidP="000E1DFC">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13.01</w:t>
            </w:r>
          </w:p>
        </w:tc>
      </w:tr>
      <w:tr w:rsidR="00704124" w:rsidRPr="009270B9" w:rsidTr="00B726EF">
        <w:trPr>
          <w:jc w:val="center"/>
        </w:trPr>
        <w:tc>
          <w:tcPr>
            <w:tcW w:w="2505" w:type="pct"/>
          </w:tcPr>
          <w:p w:rsidR="00704124" w:rsidRPr="009270B9" w:rsidRDefault="00704124" w:rsidP="009270B9">
            <w:pPr>
              <w:widowControl w:val="0"/>
              <w:autoSpaceDE w:val="0"/>
              <w:autoSpaceDN w:val="0"/>
              <w:adjustRightInd w:val="0"/>
              <w:rPr>
                <w:rFonts w:eastAsia="Times New Roman"/>
                <w:lang w:bidi="ar-SA"/>
              </w:rPr>
            </w:pPr>
            <w:r w:rsidRPr="009270B9">
              <w:rPr>
                <w:rFonts w:eastAsia="Times New Roman"/>
                <w:lang w:bidi="ar-SA"/>
              </w:rPr>
              <w:t>Average Monthly Bill</w:t>
            </w:r>
          </w:p>
        </w:tc>
        <w:tc>
          <w:tcPr>
            <w:tcW w:w="1109" w:type="pct"/>
            <w:tcBorders>
              <w:top w:val="single" w:sz="18" w:space="0" w:color="auto"/>
              <w:bottom w:val="single" w:sz="18" w:space="0" w:color="auto"/>
            </w:tcBorders>
          </w:tcPr>
          <w:p w:rsidR="00704124" w:rsidRPr="009270B9" w:rsidRDefault="00704124" w:rsidP="000E1DFC">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34.14</w:t>
            </w:r>
          </w:p>
        </w:tc>
        <w:tc>
          <w:tcPr>
            <w:tcW w:w="1386" w:type="pct"/>
            <w:tcBorders>
              <w:top w:val="single" w:sz="18" w:space="0" w:color="auto"/>
              <w:bottom w:val="single" w:sz="18" w:space="0" w:color="auto"/>
            </w:tcBorders>
          </w:tcPr>
          <w:p w:rsidR="00704124" w:rsidRPr="009270B9" w:rsidRDefault="00704124" w:rsidP="00992790">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41.86</w:t>
            </w:r>
          </w:p>
        </w:tc>
      </w:tr>
      <w:tr w:rsidR="00704124" w:rsidRPr="009270B9" w:rsidTr="00B726EF">
        <w:trPr>
          <w:jc w:val="center"/>
        </w:trPr>
        <w:tc>
          <w:tcPr>
            <w:tcW w:w="2505" w:type="pct"/>
          </w:tcPr>
          <w:p w:rsidR="00704124" w:rsidRPr="009270B9" w:rsidRDefault="00704124" w:rsidP="009270B9">
            <w:pPr>
              <w:widowControl w:val="0"/>
              <w:autoSpaceDE w:val="0"/>
              <w:autoSpaceDN w:val="0"/>
              <w:adjustRightInd w:val="0"/>
              <w:rPr>
                <w:rFonts w:eastAsia="Times New Roman"/>
                <w:lang w:bidi="ar-SA"/>
              </w:rPr>
            </w:pPr>
            <w:r w:rsidRPr="007C07AE">
              <w:t>Increase From Current Rates</w:t>
            </w:r>
          </w:p>
        </w:tc>
        <w:tc>
          <w:tcPr>
            <w:tcW w:w="1109" w:type="pct"/>
            <w:tcBorders>
              <w:top w:val="single" w:sz="18" w:space="0" w:color="auto"/>
              <w:bottom w:val="double" w:sz="4" w:space="0" w:color="auto"/>
            </w:tcBorders>
          </w:tcPr>
          <w:p w:rsidR="00704124" w:rsidRPr="009270B9" w:rsidRDefault="00704124" w:rsidP="009270B9">
            <w:pPr>
              <w:widowControl w:val="0"/>
              <w:autoSpaceDE w:val="0"/>
              <w:autoSpaceDN w:val="0"/>
              <w:adjustRightInd w:val="0"/>
              <w:jc w:val="center"/>
              <w:rPr>
                <w:rFonts w:eastAsia="Times New Roman"/>
                <w:lang w:bidi="ar-SA"/>
              </w:rPr>
            </w:pPr>
          </w:p>
        </w:tc>
        <w:tc>
          <w:tcPr>
            <w:tcW w:w="1386" w:type="pct"/>
            <w:tcBorders>
              <w:top w:val="single" w:sz="18" w:space="0" w:color="auto"/>
              <w:bottom w:val="double" w:sz="4" w:space="0" w:color="auto"/>
            </w:tcBorders>
          </w:tcPr>
          <w:p w:rsidR="00704124" w:rsidRPr="009270B9" w:rsidRDefault="00704124" w:rsidP="001A1500">
            <w:pPr>
              <w:widowControl w:val="0"/>
              <w:autoSpaceDE w:val="0"/>
              <w:autoSpaceDN w:val="0"/>
              <w:adjustRightInd w:val="0"/>
              <w:jc w:val="center"/>
              <w:rPr>
                <w:rFonts w:eastAsia="Times New Roman"/>
                <w:lang w:bidi="ar-SA"/>
              </w:rPr>
            </w:pPr>
            <w:r>
              <w:rPr>
                <w:rFonts w:eastAsia="Times New Roman"/>
                <w:lang w:bidi="ar-SA"/>
              </w:rPr>
              <w:t>22.6</w:t>
            </w:r>
            <w:r w:rsidRPr="009270B9">
              <w:rPr>
                <w:rFonts w:eastAsia="Times New Roman"/>
                <w:lang w:bidi="ar-SA"/>
              </w:rPr>
              <w:t xml:space="preserve"> %</w:t>
            </w:r>
          </w:p>
        </w:tc>
      </w:tr>
    </w:tbl>
    <w:p w:rsidR="000E1DFC" w:rsidRDefault="000E1DFC" w:rsidP="00466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p>
    <w:p w:rsidR="00466174" w:rsidRPr="0050505B" w:rsidRDefault="00466174" w:rsidP="00466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r w:rsidRPr="0050505B">
        <w:rPr>
          <w:vertAlign w:val="superscript"/>
        </w:rPr>
        <w:t>3 – Based on a company-wide average customer water usage.</w:t>
      </w:r>
    </w:p>
    <w:p w:rsidR="009270B9" w:rsidRPr="009270B9" w:rsidRDefault="009270B9"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p w:rsidR="00704124" w:rsidRDefault="00704124" w:rsidP="00704124">
      <w:r w:rsidRPr="00A6009F">
        <w:rPr>
          <w:bCs/>
        </w:rPr>
        <w:t xml:space="preserve">The company has not responded to </w:t>
      </w:r>
      <w:r>
        <w:rPr>
          <w:bCs/>
        </w:rPr>
        <w:t>s</w:t>
      </w:r>
      <w:r w:rsidRPr="00A6009F">
        <w:rPr>
          <w:bCs/>
        </w:rPr>
        <w:t xml:space="preserve">taff’s data requests. </w:t>
      </w:r>
      <w:r>
        <w:rPr>
          <w:bCs/>
        </w:rPr>
        <w:t>Therefore, the company has not demonstrated the need</w:t>
      </w:r>
      <w:r w:rsidRPr="00407C80">
        <w:t xml:space="preserve"> </w:t>
      </w:r>
      <w:r>
        <w:t>for the additional revenue and has not demonstrated the proposed rates are fair, just, reasonable and sufficient.</w:t>
      </w:r>
    </w:p>
    <w:p w:rsidR="005F136C" w:rsidRPr="00EB4CE3" w:rsidRDefault="005F136C" w:rsidP="00BE5610"/>
    <w:p w:rsidR="003B700C" w:rsidRDefault="003B700C" w:rsidP="00BE5610">
      <w:pPr>
        <w:rPr>
          <w:b/>
          <w:u w:val="single"/>
        </w:rPr>
      </w:pPr>
      <w:r w:rsidRPr="00935AF2">
        <w:rPr>
          <w:b/>
          <w:u w:val="single"/>
        </w:rPr>
        <w:t xml:space="preserve">Conclusion </w:t>
      </w:r>
    </w:p>
    <w:p w:rsidR="00704124" w:rsidRDefault="00704124" w:rsidP="00704124">
      <w:pPr>
        <w:widowControl w:val="0"/>
        <w:autoSpaceDE w:val="0"/>
        <w:autoSpaceDN w:val="0"/>
        <w:adjustRightInd w:val="0"/>
        <w:rPr>
          <w:rFonts w:eastAsia="Times New Roman"/>
          <w:color w:val="000000"/>
          <w:lang w:bidi="ar-SA"/>
        </w:rPr>
      </w:pPr>
    </w:p>
    <w:p w:rsidR="00704124" w:rsidRPr="006E3B58" w:rsidRDefault="00704124" w:rsidP="00704124">
      <w:pPr>
        <w:widowControl w:val="0"/>
        <w:autoSpaceDE w:val="0"/>
        <w:autoSpaceDN w:val="0"/>
        <w:adjustRightInd w:val="0"/>
        <w:rPr>
          <w:color w:val="000000"/>
          <w:sz w:val="22"/>
          <w:szCs w:val="22"/>
          <w:lang w:bidi="ar-SA"/>
        </w:rPr>
      </w:pPr>
      <w:r w:rsidRPr="004D7E01">
        <w:rPr>
          <w:rFonts w:eastAsia="Times New Roman"/>
          <w:color w:val="000000"/>
          <w:lang w:bidi="ar-SA"/>
        </w:rPr>
        <w:t>Issue a Complaint and Order Suspending the Tariff Revision filed by</w:t>
      </w:r>
      <w:r w:rsidRPr="004D7E01">
        <w:t xml:space="preserve"> </w:t>
      </w:r>
      <w:r>
        <w:t xml:space="preserve">Olympic Water and Sewer, </w:t>
      </w:r>
      <w:r w:rsidR="002A17FD">
        <w:t>Inc.</w:t>
      </w:r>
      <w:r w:rsidR="0002774D">
        <w:t>,</w:t>
      </w:r>
      <w:r>
        <w:t xml:space="preserve"> on September 15, 2010.</w:t>
      </w:r>
    </w:p>
    <w:p w:rsidR="00704124" w:rsidRPr="004D7E01" w:rsidRDefault="00704124" w:rsidP="00704124">
      <w:pPr>
        <w:widowControl w:val="0"/>
        <w:autoSpaceDE w:val="0"/>
        <w:autoSpaceDN w:val="0"/>
        <w:adjustRightInd w:val="0"/>
        <w:rPr>
          <w:color w:val="000000"/>
          <w:sz w:val="22"/>
          <w:szCs w:val="22"/>
          <w:lang w:bidi="ar-SA"/>
        </w:rPr>
      </w:pPr>
    </w:p>
    <w:p w:rsidR="00E3025E" w:rsidRPr="00702FA4" w:rsidRDefault="00E3025E" w:rsidP="00E3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rPr>
      </w:pPr>
    </w:p>
    <w:sectPr w:rsidR="00E3025E" w:rsidRPr="00702FA4" w:rsidSect="00F148C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982" w:rsidRDefault="00C41982" w:rsidP="00BE5610">
      <w:r>
        <w:separator/>
      </w:r>
    </w:p>
  </w:endnote>
  <w:endnote w:type="continuationSeparator" w:id="0">
    <w:p w:rsidR="00C41982" w:rsidRDefault="00C41982" w:rsidP="00BE5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982" w:rsidRDefault="00C41982" w:rsidP="00BE5610">
      <w:r>
        <w:separator/>
      </w:r>
    </w:p>
  </w:footnote>
  <w:footnote w:type="continuationSeparator" w:id="0">
    <w:p w:rsidR="00C41982" w:rsidRDefault="00C41982" w:rsidP="00BE5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982" w:rsidRPr="00296F3B" w:rsidRDefault="00C41982" w:rsidP="00BE5610">
    <w:pPr>
      <w:pStyle w:val="Header"/>
      <w:rPr>
        <w:sz w:val="20"/>
        <w:szCs w:val="20"/>
      </w:rPr>
    </w:pPr>
    <w:r w:rsidRPr="00296F3B">
      <w:rPr>
        <w:sz w:val="20"/>
        <w:szCs w:val="20"/>
      </w:rPr>
      <w:t>Docket UW-101543</w:t>
    </w:r>
  </w:p>
  <w:p w:rsidR="00C41982" w:rsidRPr="00296F3B" w:rsidRDefault="00091DE4" w:rsidP="00BE5610">
    <w:pPr>
      <w:pStyle w:val="Header"/>
      <w:rPr>
        <w:sz w:val="20"/>
        <w:szCs w:val="20"/>
      </w:rPr>
    </w:pPr>
    <w:r w:rsidRPr="00296F3B">
      <w:rPr>
        <w:sz w:val="20"/>
        <w:szCs w:val="20"/>
      </w:rPr>
      <w:t>Decem</w:t>
    </w:r>
    <w:r w:rsidR="00C41982" w:rsidRPr="00296F3B">
      <w:rPr>
        <w:sz w:val="20"/>
        <w:szCs w:val="20"/>
      </w:rPr>
      <w:t>ber 1</w:t>
    </w:r>
    <w:r w:rsidRPr="00296F3B">
      <w:rPr>
        <w:sz w:val="20"/>
        <w:szCs w:val="20"/>
      </w:rPr>
      <w:t>6</w:t>
    </w:r>
    <w:r w:rsidR="00C41982" w:rsidRPr="00296F3B">
      <w:rPr>
        <w:sz w:val="20"/>
        <w:szCs w:val="20"/>
      </w:rPr>
      <w:t>, 2010</w:t>
    </w:r>
  </w:p>
  <w:p w:rsidR="00C41982" w:rsidRDefault="00C41982" w:rsidP="00BE5610">
    <w:pPr>
      <w:pStyle w:val="Header"/>
      <w:rPr>
        <w:sz w:val="20"/>
        <w:szCs w:val="20"/>
      </w:rPr>
    </w:pPr>
    <w:r w:rsidRPr="00296F3B">
      <w:rPr>
        <w:sz w:val="20"/>
        <w:szCs w:val="20"/>
      </w:rPr>
      <w:t xml:space="preserve">Page </w:t>
    </w:r>
    <w:r w:rsidR="00057548" w:rsidRPr="00296F3B">
      <w:rPr>
        <w:sz w:val="20"/>
        <w:szCs w:val="20"/>
      </w:rPr>
      <w:fldChar w:fldCharType="begin"/>
    </w:r>
    <w:r w:rsidR="00C45EB9" w:rsidRPr="00296F3B">
      <w:rPr>
        <w:sz w:val="20"/>
        <w:szCs w:val="20"/>
      </w:rPr>
      <w:instrText xml:space="preserve"> PAGE   \* MERGEFORMAT </w:instrText>
    </w:r>
    <w:r w:rsidR="00057548" w:rsidRPr="00296F3B">
      <w:rPr>
        <w:sz w:val="20"/>
        <w:szCs w:val="20"/>
      </w:rPr>
      <w:fldChar w:fldCharType="separate"/>
    </w:r>
    <w:r w:rsidR="005E6D0E">
      <w:rPr>
        <w:noProof/>
        <w:sz w:val="20"/>
        <w:szCs w:val="20"/>
      </w:rPr>
      <w:t>4</w:t>
    </w:r>
    <w:r w:rsidR="00057548" w:rsidRPr="00296F3B">
      <w:rPr>
        <w:sz w:val="20"/>
        <w:szCs w:val="20"/>
      </w:rPr>
      <w:fldChar w:fldCharType="end"/>
    </w:r>
  </w:p>
  <w:p w:rsidR="00296F3B" w:rsidRPr="00296F3B" w:rsidRDefault="00296F3B" w:rsidP="00BE5610">
    <w:pPr>
      <w:pStyle w:val="Header"/>
      <w:rPr>
        <w:sz w:val="20"/>
        <w:szCs w:val="20"/>
      </w:rPr>
    </w:pPr>
  </w:p>
  <w:p w:rsidR="00C41982" w:rsidRDefault="00C41982" w:rsidP="00BE56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12"/>
  </w:num>
  <w:num w:numId="5">
    <w:abstractNumId w:val="0"/>
  </w:num>
  <w:num w:numId="6">
    <w:abstractNumId w:val="2"/>
  </w:num>
  <w:num w:numId="7">
    <w:abstractNumId w:val="6"/>
  </w:num>
  <w:num w:numId="8">
    <w:abstractNumId w:val="13"/>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8"/>
  </w:num>
  <w:num w:numId="15">
    <w:abstractNumId w:val="4"/>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hideSpellingErrors/>
  <w:hideGrammaticalErrors/>
  <w:defaultTabStop w:val="720"/>
  <w:drawingGridHorizontalSpacing w:val="120"/>
  <w:displayHorizontalDrawingGridEvery w:val="2"/>
  <w:characterSpacingControl w:val="doNotCompress"/>
  <w:hdrShapeDefaults>
    <o:shapedefaults v:ext="edit" spidmax="178177"/>
  </w:hdrShapeDefaults>
  <w:footnotePr>
    <w:footnote w:id="-1"/>
    <w:footnote w:id="0"/>
  </w:footnotePr>
  <w:endnotePr>
    <w:endnote w:id="-1"/>
    <w:endnote w:id="0"/>
  </w:endnotePr>
  <w:compat/>
  <w:rsids>
    <w:rsidRoot w:val="00154718"/>
    <w:rsid w:val="000020C4"/>
    <w:rsid w:val="00005828"/>
    <w:rsid w:val="00015DD8"/>
    <w:rsid w:val="0002774D"/>
    <w:rsid w:val="00030B4E"/>
    <w:rsid w:val="0003714D"/>
    <w:rsid w:val="000458AC"/>
    <w:rsid w:val="00053628"/>
    <w:rsid w:val="00054CC9"/>
    <w:rsid w:val="00055945"/>
    <w:rsid w:val="00057548"/>
    <w:rsid w:val="000625B1"/>
    <w:rsid w:val="0006481C"/>
    <w:rsid w:val="00066C40"/>
    <w:rsid w:val="0006708E"/>
    <w:rsid w:val="00072280"/>
    <w:rsid w:val="0008268C"/>
    <w:rsid w:val="00082892"/>
    <w:rsid w:val="00083D7B"/>
    <w:rsid w:val="000908F4"/>
    <w:rsid w:val="000909CD"/>
    <w:rsid w:val="00091DE4"/>
    <w:rsid w:val="00097E35"/>
    <w:rsid w:val="000B0C16"/>
    <w:rsid w:val="000C1B0B"/>
    <w:rsid w:val="000C2481"/>
    <w:rsid w:val="000C3D4F"/>
    <w:rsid w:val="000D01D2"/>
    <w:rsid w:val="000D3B16"/>
    <w:rsid w:val="000D3CE0"/>
    <w:rsid w:val="000D6DAF"/>
    <w:rsid w:val="000D706D"/>
    <w:rsid w:val="000E1DFC"/>
    <w:rsid w:val="000E50DD"/>
    <w:rsid w:val="000E640C"/>
    <w:rsid w:val="000E714E"/>
    <w:rsid w:val="000F29ED"/>
    <w:rsid w:val="00111EF9"/>
    <w:rsid w:val="00114B3D"/>
    <w:rsid w:val="00116BC6"/>
    <w:rsid w:val="00126930"/>
    <w:rsid w:val="0013089B"/>
    <w:rsid w:val="00130B3D"/>
    <w:rsid w:val="0013149D"/>
    <w:rsid w:val="00136DD9"/>
    <w:rsid w:val="00140589"/>
    <w:rsid w:val="00141434"/>
    <w:rsid w:val="001423FE"/>
    <w:rsid w:val="00142B36"/>
    <w:rsid w:val="00143CDB"/>
    <w:rsid w:val="0014659D"/>
    <w:rsid w:val="00154718"/>
    <w:rsid w:val="001603B0"/>
    <w:rsid w:val="0016055D"/>
    <w:rsid w:val="0016348F"/>
    <w:rsid w:val="0016545B"/>
    <w:rsid w:val="00171102"/>
    <w:rsid w:val="00173A9E"/>
    <w:rsid w:val="00173F60"/>
    <w:rsid w:val="00177491"/>
    <w:rsid w:val="00187E0D"/>
    <w:rsid w:val="00190825"/>
    <w:rsid w:val="001A0A16"/>
    <w:rsid w:val="001A1500"/>
    <w:rsid w:val="001C5AB1"/>
    <w:rsid w:val="001C7DFD"/>
    <w:rsid w:val="001D2A48"/>
    <w:rsid w:val="001E0047"/>
    <w:rsid w:val="001E0702"/>
    <w:rsid w:val="001E1BE5"/>
    <w:rsid w:val="001F30F9"/>
    <w:rsid w:val="001F3D7A"/>
    <w:rsid w:val="001F465E"/>
    <w:rsid w:val="002027E0"/>
    <w:rsid w:val="0021363E"/>
    <w:rsid w:val="0022116C"/>
    <w:rsid w:val="002218EF"/>
    <w:rsid w:val="00226657"/>
    <w:rsid w:val="002277F9"/>
    <w:rsid w:val="00227DC0"/>
    <w:rsid w:val="00241B80"/>
    <w:rsid w:val="00244A84"/>
    <w:rsid w:val="00260D57"/>
    <w:rsid w:val="002622A8"/>
    <w:rsid w:val="00266104"/>
    <w:rsid w:val="00283AD9"/>
    <w:rsid w:val="00285152"/>
    <w:rsid w:val="002863C0"/>
    <w:rsid w:val="00291958"/>
    <w:rsid w:val="00292F9A"/>
    <w:rsid w:val="00294AE3"/>
    <w:rsid w:val="00295745"/>
    <w:rsid w:val="00296F3B"/>
    <w:rsid w:val="002A17FD"/>
    <w:rsid w:val="002A4E8A"/>
    <w:rsid w:val="002A70D7"/>
    <w:rsid w:val="002B5724"/>
    <w:rsid w:val="002C039A"/>
    <w:rsid w:val="002C6110"/>
    <w:rsid w:val="002E50C7"/>
    <w:rsid w:val="002F70BE"/>
    <w:rsid w:val="00300789"/>
    <w:rsid w:val="00300D92"/>
    <w:rsid w:val="003219B9"/>
    <w:rsid w:val="00323034"/>
    <w:rsid w:val="00324289"/>
    <w:rsid w:val="00330C32"/>
    <w:rsid w:val="00333221"/>
    <w:rsid w:val="00334A7C"/>
    <w:rsid w:val="00337C05"/>
    <w:rsid w:val="00340C02"/>
    <w:rsid w:val="00354852"/>
    <w:rsid w:val="00355F2E"/>
    <w:rsid w:val="00367ED5"/>
    <w:rsid w:val="00385F54"/>
    <w:rsid w:val="00392579"/>
    <w:rsid w:val="00396F67"/>
    <w:rsid w:val="003B4D1C"/>
    <w:rsid w:val="003B700C"/>
    <w:rsid w:val="003C166B"/>
    <w:rsid w:val="003C16E8"/>
    <w:rsid w:val="003C4EB8"/>
    <w:rsid w:val="003D1E26"/>
    <w:rsid w:val="003D2276"/>
    <w:rsid w:val="003D25A3"/>
    <w:rsid w:val="003D717F"/>
    <w:rsid w:val="003E6D45"/>
    <w:rsid w:val="003F0972"/>
    <w:rsid w:val="00405F3D"/>
    <w:rsid w:val="00411F64"/>
    <w:rsid w:val="00424794"/>
    <w:rsid w:val="004456FB"/>
    <w:rsid w:val="00450175"/>
    <w:rsid w:val="00450267"/>
    <w:rsid w:val="00451AF9"/>
    <w:rsid w:val="0045370F"/>
    <w:rsid w:val="00454D15"/>
    <w:rsid w:val="00455301"/>
    <w:rsid w:val="00456888"/>
    <w:rsid w:val="00466174"/>
    <w:rsid w:val="0046632D"/>
    <w:rsid w:val="00472DF2"/>
    <w:rsid w:val="00473F57"/>
    <w:rsid w:val="00482338"/>
    <w:rsid w:val="004838E1"/>
    <w:rsid w:val="00495B71"/>
    <w:rsid w:val="00496744"/>
    <w:rsid w:val="00497530"/>
    <w:rsid w:val="004A5C6A"/>
    <w:rsid w:val="004A691E"/>
    <w:rsid w:val="004C36DF"/>
    <w:rsid w:val="004C5605"/>
    <w:rsid w:val="004D4EF6"/>
    <w:rsid w:val="004D5E19"/>
    <w:rsid w:val="004D7E01"/>
    <w:rsid w:val="004E0141"/>
    <w:rsid w:val="004F009E"/>
    <w:rsid w:val="004F127E"/>
    <w:rsid w:val="00504DB9"/>
    <w:rsid w:val="005131DE"/>
    <w:rsid w:val="00527CF8"/>
    <w:rsid w:val="00533DBE"/>
    <w:rsid w:val="00544DDE"/>
    <w:rsid w:val="00552600"/>
    <w:rsid w:val="005561C1"/>
    <w:rsid w:val="00557E18"/>
    <w:rsid w:val="0056400F"/>
    <w:rsid w:val="0056751B"/>
    <w:rsid w:val="0057047C"/>
    <w:rsid w:val="00587079"/>
    <w:rsid w:val="00591D1D"/>
    <w:rsid w:val="00595023"/>
    <w:rsid w:val="00597882"/>
    <w:rsid w:val="005A6C74"/>
    <w:rsid w:val="005A71C6"/>
    <w:rsid w:val="005B4C72"/>
    <w:rsid w:val="005B6246"/>
    <w:rsid w:val="005C15D1"/>
    <w:rsid w:val="005D4CA4"/>
    <w:rsid w:val="005D7925"/>
    <w:rsid w:val="005E6D0E"/>
    <w:rsid w:val="005F059A"/>
    <w:rsid w:val="005F136C"/>
    <w:rsid w:val="005F51F2"/>
    <w:rsid w:val="006070AC"/>
    <w:rsid w:val="00616813"/>
    <w:rsid w:val="0062191D"/>
    <w:rsid w:val="0062474A"/>
    <w:rsid w:val="00626264"/>
    <w:rsid w:val="006308C7"/>
    <w:rsid w:val="00631C8E"/>
    <w:rsid w:val="00641A44"/>
    <w:rsid w:val="00642AC3"/>
    <w:rsid w:val="006449EA"/>
    <w:rsid w:val="00645A0C"/>
    <w:rsid w:val="00647ECD"/>
    <w:rsid w:val="00654D5A"/>
    <w:rsid w:val="00656E56"/>
    <w:rsid w:val="00661F4F"/>
    <w:rsid w:val="006700B0"/>
    <w:rsid w:val="00671E46"/>
    <w:rsid w:val="00672F7B"/>
    <w:rsid w:val="00673B06"/>
    <w:rsid w:val="00683780"/>
    <w:rsid w:val="0068432F"/>
    <w:rsid w:val="00684C49"/>
    <w:rsid w:val="00695625"/>
    <w:rsid w:val="006A021F"/>
    <w:rsid w:val="006A41EE"/>
    <w:rsid w:val="006A4895"/>
    <w:rsid w:val="006B4513"/>
    <w:rsid w:val="006B495A"/>
    <w:rsid w:val="006B51B8"/>
    <w:rsid w:val="006B6D42"/>
    <w:rsid w:val="006B795B"/>
    <w:rsid w:val="006C013C"/>
    <w:rsid w:val="006C3712"/>
    <w:rsid w:val="006C714F"/>
    <w:rsid w:val="006D15C2"/>
    <w:rsid w:val="006D22CE"/>
    <w:rsid w:val="006D52E1"/>
    <w:rsid w:val="006E1B69"/>
    <w:rsid w:val="006E3B58"/>
    <w:rsid w:val="006F6EE1"/>
    <w:rsid w:val="00704124"/>
    <w:rsid w:val="00705164"/>
    <w:rsid w:val="0071402F"/>
    <w:rsid w:val="00716E8B"/>
    <w:rsid w:val="007228E4"/>
    <w:rsid w:val="007261E5"/>
    <w:rsid w:val="007335C6"/>
    <w:rsid w:val="00734BC8"/>
    <w:rsid w:val="00746397"/>
    <w:rsid w:val="00751B5E"/>
    <w:rsid w:val="00754ED6"/>
    <w:rsid w:val="0076679B"/>
    <w:rsid w:val="00767BDD"/>
    <w:rsid w:val="00772F17"/>
    <w:rsid w:val="00773CAD"/>
    <w:rsid w:val="00774275"/>
    <w:rsid w:val="00774540"/>
    <w:rsid w:val="00790302"/>
    <w:rsid w:val="007913E9"/>
    <w:rsid w:val="0079709F"/>
    <w:rsid w:val="007A0BDB"/>
    <w:rsid w:val="007A1DFE"/>
    <w:rsid w:val="007B29CE"/>
    <w:rsid w:val="007E5B2C"/>
    <w:rsid w:val="007E71A3"/>
    <w:rsid w:val="007F26EF"/>
    <w:rsid w:val="0080117F"/>
    <w:rsid w:val="008020A5"/>
    <w:rsid w:val="008111DE"/>
    <w:rsid w:val="008165AD"/>
    <w:rsid w:val="00816612"/>
    <w:rsid w:val="00825773"/>
    <w:rsid w:val="00826C0C"/>
    <w:rsid w:val="00826F11"/>
    <w:rsid w:val="00827BE3"/>
    <w:rsid w:val="00832CE0"/>
    <w:rsid w:val="00853B63"/>
    <w:rsid w:val="0085598E"/>
    <w:rsid w:val="008630EA"/>
    <w:rsid w:val="00863543"/>
    <w:rsid w:val="0087483A"/>
    <w:rsid w:val="00877282"/>
    <w:rsid w:val="008871CF"/>
    <w:rsid w:val="008A20BF"/>
    <w:rsid w:val="008A350E"/>
    <w:rsid w:val="008A6E88"/>
    <w:rsid w:val="008B479D"/>
    <w:rsid w:val="008B4AA0"/>
    <w:rsid w:val="008C168F"/>
    <w:rsid w:val="008C1E17"/>
    <w:rsid w:val="008C26CE"/>
    <w:rsid w:val="008C7E6D"/>
    <w:rsid w:val="008D0AAC"/>
    <w:rsid w:val="00901675"/>
    <w:rsid w:val="00901E60"/>
    <w:rsid w:val="00915BD4"/>
    <w:rsid w:val="009206A2"/>
    <w:rsid w:val="00926924"/>
    <w:rsid w:val="009270B9"/>
    <w:rsid w:val="0093048B"/>
    <w:rsid w:val="00935AF2"/>
    <w:rsid w:val="009768A1"/>
    <w:rsid w:val="00983416"/>
    <w:rsid w:val="00983543"/>
    <w:rsid w:val="00984AEE"/>
    <w:rsid w:val="00992790"/>
    <w:rsid w:val="009B2F83"/>
    <w:rsid w:val="009B5DCE"/>
    <w:rsid w:val="009B696D"/>
    <w:rsid w:val="009D109C"/>
    <w:rsid w:val="009E4F48"/>
    <w:rsid w:val="00A04699"/>
    <w:rsid w:val="00A10E54"/>
    <w:rsid w:val="00A201C0"/>
    <w:rsid w:val="00A26FD3"/>
    <w:rsid w:val="00A274A1"/>
    <w:rsid w:val="00A2758F"/>
    <w:rsid w:val="00A41C23"/>
    <w:rsid w:val="00A42E8D"/>
    <w:rsid w:val="00A5145E"/>
    <w:rsid w:val="00A52858"/>
    <w:rsid w:val="00A6009F"/>
    <w:rsid w:val="00A67402"/>
    <w:rsid w:val="00A7048A"/>
    <w:rsid w:val="00A70E29"/>
    <w:rsid w:val="00A726C4"/>
    <w:rsid w:val="00A73C46"/>
    <w:rsid w:val="00A8090E"/>
    <w:rsid w:val="00A822CA"/>
    <w:rsid w:val="00A84C2A"/>
    <w:rsid w:val="00A85688"/>
    <w:rsid w:val="00A86F90"/>
    <w:rsid w:val="00A8749C"/>
    <w:rsid w:val="00A902E8"/>
    <w:rsid w:val="00AC6F3A"/>
    <w:rsid w:val="00AD0599"/>
    <w:rsid w:val="00AD0897"/>
    <w:rsid w:val="00AD3312"/>
    <w:rsid w:val="00AD3DD8"/>
    <w:rsid w:val="00AD4B87"/>
    <w:rsid w:val="00AE0900"/>
    <w:rsid w:val="00AF1D42"/>
    <w:rsid w:val="00AF5800"/>
    <w:rsid w:val="00B00171"/>
    <w:rsid w:val="00B03361"/>
    <w:rsid w:val="00B13041"/>
    <w:rsid w:val="00B34845"/>
    <w:rsid w:val="00B35380"/>
    <w:rsid w:val="00B360DD"/>
    <w:rsid w:val="00B42AD0"/>
    <w:rsid w:val="00B451F0"/>
    <w:rsid w:val="00B45CF2"/>
    <w:rsid w:val="00B5220D"/>
    <w:rsid w:val="00B5241C"/>
    <w:rsid w:val="00B55CD3"/>
    <w:rsid w:val="00B56E98"/>
    <w:rsid w:val="00B603AA"/>
    <w:rsid w:val="00B639FC"/>
    <w:rsid w:val="00B71DC1"/>
    <w:rsid w:val="00B726EF"/>
    <w:rsid w:val="00B84E56"/>
    <w:rsid w:val="00B97113"/>
    <w:rsid w:val="00BA0EB0"/>
    <w:rsid w:val="00BB2331"/>
    <w:rsid w:val="00BE5610"/>
    <w:rsid w:val="00BF2510"/>
    <w:rsid w:val="00C011D5"/>
    <w:rsid w:val="00C03AA9"/>
    <w:rsid w:val="00C04668"/>
    <w:rsid w:val="00C04FF5"/>
    <w:rsid w:val="00C0624C"/>
    <w:rsid w:val="00C062C0"/>
    <w:rsid w:val="00C07C24"/>
    <w:rsid w:val="00C250F7"/>
    <w:rsid w:val="00C36001"/>
    <w:rsid w:val="00C36D30"/>
    <w:rsid w:val="00C41982"/>
    <w:rsid w:val="00C41B31"/>
    <w:rsid w:val="00C42A41"/>
    <w:rsid w:val="00C45EB9"/>
    <w:rsid w:val="00C647EB"/>
    <w:rsid w:val="00C71EF8"/>
    <w:rsid w:val="00C92705"/>
    <w:rsid w:val="00C9274A"/>
    <w:rsid w:val="00CA22AF"/>
    <w:rsid w:val="00CA3026"/>
    <w:rsid w:val="00CA50F7"/>
    <w:rsid w:val="00CA6007"/>
    <w:rsid w:val="00CC4FE2"/>
    <w:rsid w:val="00CD43F1"/>
    <w:rsid w:val="00CD758B"/>
    <w:rsid w:val="00CF1AA4"/>
    <w:rsid w:val="00CF66D8"/>
    <w:rsid w:val="00D00B3A"/>
    <w:rsid w:val="00D0403B"/>
    <w:rsid w:val="00D108C7"/>
    <w:rsid w:val="00D12988"/>
    <w:rsid w:val="00D12B32"/>
    <w:rsid w:val="00D30196"/>
    <w:rsid w:val="00D31072"/>
    <w:rsid w:val="00D33FD2"/>
    <w:rsid w:val="00D44D58"/>
    <w:rsid w:val="00D47789"/>
    <w:rsid w:val="00D53F2F"/>
    <w:rsid w:val="00D57ADC"/>
    <w:rsid w:val="00D6298E"/>
    <w:rsid w:val="00D62F0D"/>
    <w:rsid w:val="00D65C0A"/>
    <w:rsid w:val="00D662D4"/>
    <w:rsid w:val="00D70105"/>
    <w:rsid w:val="00D7596F"/>
    <w:rsid w:val="00D7659F"/>
    <w:rsid w:val="00D77A03"/>
    <w:rsid w:val="00D96246"/>
    <w:rsid w:val="00D96F9A"/>
    <w:rsid w:val="00DA1B86"/>
    <w:rsid w:val="00DB145D"/>
    <w:rsid w:val="00DB3767"/>
    <w:rsid w:val="00DB46DB"/>
    <w:rsid w:val="00DD2A47"/>
    <w:rsid w:val="00DD65A6"/>
    <w:rsid w:val="00DD6714"/>
    <w:rsid w:val="00DE29E0"/>
    <w:rsid w:val="00E02017"/>
    <w:rsid w:val="00E21E65"/>
    <w:rsid w:val="00E256DF"/>
    <w:rsid w:val="00E26DE6"/>
    <w:rsid w:val="00E3025E"/>
    <w:rsid w:val="00E3132D"/>
    <w:rsid w:val="00E35D9D"/>
    <w:rsid w:val="00E37996"/>
    <w:rsid w:val="00E50A27"/>
    <w:rsid w:val="00E50D5F"/>
    <w:rsid w:val="00E53B48"/>
    <w:rsid w:val="00E60353"/>
    <w:rsid w:val="00E62E77"/>
    <w:rsid w:val="00E8562C"/>
    <w:rsid w:val="00E864B6"/>
    <w:rsid w:val="00E941B2"/>
    <w:rsid w:val="00E96BCC"/>
    <w:rsid w:val="00EA52A5"/>
    <w:rsid w:val="00EB3A93"/>
    <w:rsid w:val="00EB41E4"/>
    <w:rsid w:val="00EB4CE3"/>
    <w:rsid w:val="00EB6042"/>
    <w:rsid w:val="00EC3B3F"/>
    <w:rsid w:val="00EC4599"/>
    <w:rsid w:val="00EC5118"/>
    <w:rsid w:val="00EC6C2D"/>
    <w:rsid w:val="00ED3FED"/>
    <w:rsid w:val="00ED4CC8"/>
    <w:rsid w:val="00EE6798"/>
    <w:rsid w:val="00EE7659"/>
    <w:rsid w:val="00EF436B"/>
    <w:rsid w:val="00F00111"/>
    <w:rsid w:val="00F00561"/>
    <w:rsid w:val="00F007DA"/>
    <w:rsid w:val="00F148CB"/>
    <w:rsid w:val="00F167E4"/>
    <w:rsid w:val="00F21B68"/>
    <w:rsid w:val="00F27C98"/>
    <w:rsid w:val="00F3018E"/>
    <w:rsid w:val="00F330AF"/>
    <w:rsid w:val="00F35DB6"/>
    <w:rsid w:val="00F40EE9"/>
    <w:rsid w:val="00F435A5"/>
    <w:rsid w:val="00F469E5"/>
    <w:rsid w:val="00F541D0"/>
    <w:rsid w:val="00F56219"/>
    <w:rsid w:val="00F700D9"/>
    <w:rsid w:val="00F72E59"/>
    <w:rsid w:val="00F8306C"/>
    <w:rsid w:val="00F83144"/>
    <w:rsid w:val="00F87B48"/>
    <w:rsid w:val="00F90612"/>
    <w:rsid w:val="00F92193"/>
    <w:rsid w:val="00F93D9C"/>
    <w:rsid w:val="00F96ED4"/>
    <w:rsid w:val="00FA015B"/>
    <w:rsid w:val="00FB741F"/>
    <w:rsid w:val="00FC239F"/>
    <w:rsid w:val="00FE2453"/>
    <w:rsid w:val="00FE5608"/>
    <w:rsid w:val="00FF63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semiHidden/>
    <w:unhideWhenUsed/>
    <w:rsid w:val="003B700C"/>
    <w:pPr>
      <w:tabs>
        <w:tab w:val="center" w:pos="4680"/>
        <w:tab w:val="right" w:pos="9360"/>
      </w:tabs>
    </w:pPr>
  </w:style>
  <w:style w:type="character" w:customStyle="1" w:styleId="FooterChar">
    <w:name w:val="Footer Char"/>
    <w:basedOn w:val="DefaultParagraphFont"/>
    <w:link w:val="Footer"/>
    <w:uiPriority w:val="99"/>
    <w:semiHidden/>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b/>
      <w:bC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s>
</file>

<file path=word/webSettings.xml><?xml version="1.0" encoding="utf-8"?>
<w:webSettings xmlns:r="http://schemas.openxmlformats.org/officeDocument/2006/relationships" xmlns:w="http://schemas.openxmlformats.org/wordprocessingml/2006/main">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2010-09-15T07:00:00+00:00</OpenedDate>
    <Date1 xmlns="dc463f71-b30c-4ab2-9473-d307f9d35888">2010-12-16T08:00:00+00:00</Date1>
    <IsDocumentOrder xmlns="dc463f71-b30c-4ab2-9473-d307f9d35888" xsi:nil="true"/>
    <IsHighlyConfidential xmlns="dc463f71-b30c-4ab2-9473-d307f9d35888">false</IsHighlyConfidential>
    <CaseCompanyNames xmlns="dc463f71-b30c-4ab2-9473-d307f9d35888">Olympic Water and Sewer, Inc.</CaseCompanyNames>
    <DocketNumber xmlns="dc463f71-b30c-4ab2-9473-d307f9d35888">101543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87CBD19774A9341B8DC98273ABD9117" ma:contentTypeVersion="131" ma:contentTypeDescription="" ma:contentTypeScope="" ma:versionID="77c0b3222e36edee2c12df7323897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89C35-4DB2-4B11-863A-E32F1BC314F6}"/>
</file>

<file path=customXml/itemProps2.xml><?xml version="1.0" encoding="utf-8"?>
<ds:datastoreItem xmlns:ds="http://schemas.openxmlformats.org/officeDocument/2006/customXml" ds:itemID="{69A2B954-FF01-4AC3-A890-9CD4ADD13D9B}"/>
</file>

<file path=customXml/itemProps3.xml><?xml version="1.0" encoding="utf-8"?>
<ds:datastoreItem xmlns:ds="http://schemas.openxmlformats.org/officeDocument/2006/customXml" ds:itemID="{45227816-F000-4174-9D2D-0767F5EBBD00}"/>
</file>

<file path=customXml/itemProps4.xml><?xml version="1.0" encoding="utf-8"?>
<ds:datastoreItem xmlns:ds="http://schemas.openxmlformats.org/officeDocument/2006/customXml" ds:itemID="{3906B0F5-B187-438A-B5C5-3B425684DF06}"/>
</file>

<file path=customXml/itemProps5.xml><?xml version="1.0" encoding="utf-8"?>
<ds:datastoreItem xmlns:ds="http://schemas.openxmlformats.org/officeDocument/2006/customXml" ds:itemID="{6199AF20-869E-400B-8F18-581DC5A641CB}"/>
</file>

<file path=customXml/itemProps6.xml><?xml version="1.0" encoding="utf-8"?>
<ds:datastoreItem xmlns:ds="http://schemas.openxmlformats.org/officeDocument/2006/customXml" ds:itemID="{13D835EF-BF2A-4336-9368-9A14EC28FD6A}"/>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Olympic Water and Sewer Memo </vt:lpstr>
    </vt:vector>
  </TitlesOfParts>
  <Company/>
  <LinksUpToDate>false</LinksUpToDate>
  <CharactersWithSpaces>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Olympic Water and Sewer Memo </dc:title>
  <dc:creator>JWard</dc:creator>
  <cp:lastModifiedBy>Catherine Taliaferro</cp:lastModifiedBy>
  <cp:revision>2</cp:revision>
  <cp:lastPrinted>2010-12-13T18:54:00Z</cp:lastPrinted>
  <dcterms:created xsi:type="dcterms:W3CDTF">2010-12-13T23:01:00Z</dcterms:created>
  <dcterms:modified xsi:type="dcterms:W3CDTF">2010-12-13T23:01:00Z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0x0101006E56B4D1795A2E4DB2F0B01679ED314A00E87CBD19774A9341B8DC98273ABD9117</vt:lpwstr>
  </property>
  <property fmtid="{D5CDD505-2E9C-101B-9397-08002B2CF9AE}" pid="3" name="Item ID">
    <vt:lpwstr>9</vt:lpwstr>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8" name="_docset_NoMedatataSyncRequired">
    <vt:lpwstr>False</vt:lpwstr>
  </property>
</Properties>
</file>