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3D93" w:rsidRDefault="00673D93" w:rsidP="00673D93">
      <w:pPr>
        <w:pStyle w:val="BodyText2"/>
        <w:ind w:left="720" w:hanging="720"/>
        <w:rPr>
          <w:b/>
          <w:bCs/>
        </w:rPr>
      </w:pPr>
      <w:r>
        <w:rPr>
          <w:b/>
          <w:bCs/>
        </w:rPr>
        <w:t>Q.</w:t>
      </w:r>
      <w:r>
        <w:rPr>
          <w:b/>
          <w:bCs/>
        </w:rPr>
        <w:tab/>
        <w:t xml:space="preserve">Please state your </w:t>
      </w:r>
      <w:r>
        <w:rPr>
          <w:rStyle w:val="LineNumber"/>
          <w:b/>
          <w:bCs/>
        </w:rPr>
        <w:t>name</w:t>
      </w:r>
      <w:r>
        <w:rPr>
          <w:b/>
          <w:bCs/>
        </w:rPr>
        <w:t xml:space="preserve">, business address and present position with </w:t>
      </w:r>
      <w:r w:rsidRPr="00DA7B09">
        <w:rPr>
          <w:b/>
          <w:bCs/>
        </w:rPr>
        <w:t>PacifiCorp</w:t>
      </w:r>
      <w:r>
        <w:rPr>
          <w:b/>
          <w:bCs/>
        </w:rPr>
        <w:t xml:space="preserve"> (</w:t>
      </w:r>
      <w:r w:rsidR="00DC6939">
        <w:rPr>
          <w:b/>
          <w:bCs/>
        </w:rPr>
        <w:t xml:space="preserve">the </w:t>
      </w:r>
      <w:r>
        <w:rPr>
          <w:b/>
          <w:bCs/>
        </w:rPr>
        <w:t>Company).</w:t>
      </w:r>
    </w:p>
    <w:p w:rsidR="00673D93" w:rsidRPr="001958A8" w:rsidRDefault="00673D93" w:rsidP="00673D93">
      <w:pPr>
        <w:pStyle w:val="BodyText2"/>
        <w:ind w:left="720" w:hanging="720"/>
        <w:rPr>
          <w:highlight w:val="yellow"/>
        </w:rPr>
      </w:pPr>
      <w:r>
        <w:t>A.</w:t>
      </w:r>
      <w:r>
        <w:tab/>
      </w:r>
      <w:r w:rsidRPr="00A86892">
        <w:t xml:space="preserve">My name is </w:t>
      </w:r>
      <w:r w:rsidRPr="00DF1873">
        <w:t>Gregory</w:t>
      </w:r>
      <w:r w:rsidRPr="00905948">
        <w:t xml:space="preserve"> N. </w:t>
      </w:r>
      <w:proofErr w:type="gramStart"/>
      <w:r w:rsidRPr="00905948">
        <w:t>Duvall</w:t>
      </w:r>
      <w:r w:rsidRPr="00A86892">
        <w:t>,</w:t>
      </w:r>
      <w:proofErr w:type="gramEnd"/>
      <w:r w:rsidRPr="00A86892">
        <w:t xml:space="preserve"> my business address is </w:t>
      </w:r>
      <w:smartTag w:uri="urn:schemas-microsoft-com:office:smarttags" w:element="Street">
        <w:r w:rsidRPr="00A86892">
          <w:t>825 NE Multnomah St., Suite 600</w:t>
        </w:r>
      </w:smartTag>
      <w:r w:rsidRPr="00A86892">
        <w:t xml:space="preserve">, </w:t>
      </w:r>
      <w:smartTag w:uri="urn:schemas-microsoft-com:office:smarttags" w:element="City">
        <w:r w:rsidRPr="00A86892">
          <w:t>Portland</w:t>
        </w:r>
      </w:smartTag>
      <w:r w:rsidRPr="00A86892">
        <w:t xml:space="preserve">, </w:t>
      </w:r>
      <w:smartTag w:uri="urn:schemas-microsoft-com:office:smarttags" w:element="State">
        <w:r w:rsidRPr="00A86892">
          <w:t>Oregon</w:t>
        </w:r>
      </w:smartTag>
      <w:r w:rsidRPr="00A86892">
        <w:t xml:space="preserve"> 97232</w:t>
      </w:r>
      <w:r w:rsidR="00E87BF4">
        <w:t>.  M</w:t>
      </w:r>
      <w:r w:rsidRPr="00A86892">
        <w:t xml:space="preserve">y present </w:t>
      </w:r>
      <w:r w:rsidR="00E87BF4">
        <w:t xml:space="preserve">position </w:t>
      </w:r>
      <w:r w:rsidRPr="00A86892">
        <w:t xml:space="preserve">is Director, </w:t>
      </w:r>
      <w:r w:rsidR="00E74647">
        <w:t>Long-</w:t>
      </w:r>
      <w:r w:rsidRPr="00905948">
        <w:t xml:space="preserve">Range Planning and </w:t>
      </w:r>
      <w:r w:rsidRPr="00A86892">
        <w:t>Net Power Costs.</w:t>
      </w:r>
    </w:p>
    <w:p w:rsidR="00673D93" w:rsidRDefault="00673D93" w:rsidP="00673D93">
      <w:pPr>
        <w:pStyle w:val="Heading2"/>
      </w:pPr>
      <w:r w:rsidRPr="00A86892">
        <w:t>Qualifications</w:t>
      </w:r>
    </w:p>
    <w:p w:rsidR="00673D93" w:rsidRPr="00A86892" w:rsidRDefault="00673D93" w:rsidP="00673D93">
      <w:pPr>
        <w:tabs>
          <w:tab w:val="left" w:pos="720"/>
        </w:tabs>
        <w:spacing w:line="480" w:lineRule="auto"/>
        <w:rPr>
          <w:b/>
          <w:bCs/>
          <w:sz w:val="24"/>
          <w:szCs w:val="24"/>
        </w:rPr>
      </w:pPr>
      <w:r w:rsidRPr="00A86892">
        <w:rPr>
          <w:b/>
          <w:bCs/>
          <w:sz w:val="24"/>
          <w:szCs w:val="24"/>
        </w:rPr>
        <w:t>Q.</w:t>
      </w:r>
      <w:r w:rsidRPr="00A86892">
        <w:rPr>
          <w:b/>
          <w:bCs/>
          <w:sz w:val="24"/>
          <w:szCs w:val="24"/>
        </w:rPr>
        <w:tab/>
        <w:t>Briefly describe your education</w:t>
      </w:r>
      <w:r w:rsidR="00DC60B3">
        <w:rPr>
          <w:b/>
          <w:bCs/>
          <w:sz w:val="24"/>
          <w:szCs w:val="24"/>
        </w:rPr>
        <w:t>al and professional background</w:t>
      </w:r>
      <w:r w:rsidRPr="00A86892">
        <w:rPr>
          <w:b/>
          <w:bCs/>
          <w:sz w:val="24"/>
          <w:szCs w:val="24"/>
        </w:rPr>
        <w:t>.</w:t>
      </w:r>
    </w:p>
    <w:p w:rsidR="00673D93" w:rsidRPr="00A86892" w:rsidRDefault="00673D93" w:rsidP="00673D93">
      <w:pPr>
        <w:tabs>
          <w:tab w:val="left" w:pos="720"/>
        </w:tabs>
        <w:spacing w:line="480" w:lineRule="auto"/>
        <w:ind w:left="720" w:hanging="720"/>
        <w:rPr>
          <w:b/>
          <w:bCs/>
          <w:sz w:val="24"/>
          <w:szCs w:val="24"/>
        </w:rPr>
      </w:pPr>
      <w:r w:rsidRPr="00A86892">
        <w:rPr>
          <w:sz w:val="24"/>
          <w:szCs w:val="24"/>
        </w:rPr>
        <w:t>A.</w:t>
      </w:r>
      <w:r w:rsidRPr="00A86892">
        <w:rPr>
          <w:sz w:val="24"/>
          <w:szCs w:val="24"/>
        </w:rPr>
        <w:tab/>
      </w:r>
      <w:r w:rsidRPr="00DF1873">
        <w:rPr>
          <w:sz w:val="24"/>
          <w:szCs w:val="24"/>
        </w:rPr>
        <w:t xml:space="preserve">I received a degree in Mathematics from </w:t>
      </w:r>
      <w:smartTag w:uri="urn:schemas-microsoft-com:office:smarttags" w:element="place">
        <w:smartTag w:uri="urn:schemas-microsoft-com:office:smarttags" w:element="PlaceType">
          <w:r w:rsidRPr="00DF1873">
            <w:rPr>
              <w:sz w:val="24"/>
              <w:szCs w:val="24"/>
            </w:rPr>
            <w:t>University</w:t>
          </w:r>
        </w:smartTag>
        <w:r w:rsidRPr="00DF1873">
          <w:rPr>
            <w:sz w:val="24"/>
            <w:szCs w:val="24"/>
          </w:rPr>
          <w:t xml:space="preserve"> of </w:t>
        </w:r>
        <w:smartTag w:uri="urn:schemas-microsoft-com:office:smarttags" w:element="PlaceName">
          <w:r w:rsidRPr="00DF1873">
            <w:rPr>
              <w:sz w:val="24"/>
              <w:szCs w:val="24"/>
            </w:rPr>
            <w:t>Washington</w:t>
          </w:r>
        </w:smartTag>
      </w:smartTag>
      <w:r w:rsidRPr="00DF1873">
        <w:rPr>
          <w:sz w:val="24"/>
          <w:szCs w:val="24"/>
        </w:rPr>
        <w:t xml:space="preserve"> in 1976 and a Masters of Business Administration from </w:t>
      </w:r>
      <w:smartTag w:uri="urn:schemas-microsoft-com:office:smarttags" w:element="place">
        <w:smartTag w:uri="urn:schemas-microsoft-com:office:smarttags" w:element="PlaceType">
          <w:r w:rsidRPr="00DF1873">
            <w:rPr>
              <w:sz w:val="24"/>
              <w:szCs w:val="24"/>
            </w:rPr>
            <w:t>University</w:t>
          </w:r>
        </w:smartTag>
        <w:r w:rsidRPr="00DF1873">
          <w:rPr>
            <w:sz w:val="24"/>
            <w:szCs w:val="24"/>
          </w:rPr>
          <w:t xml:space="preserve"> of </w:t>
        </w:r>
        <w:smartTag w:uri="urn:schemas-microsoft-com:office:smarttags" w:element="PlaceName">
          <w:r w:rsidRPr="00DF1873">
            <w:rPr>
              <w:sz w:val="24"/>
              <w:szCs w:val="24"/>
            </w:rPr>
            <w:t>Portland</w:t>
          </w:r>
        </w:smartTag>
      </w:smartTag>
      <w:r w:rsidRPr="00DF1873">
        <w:rPr>
          <w:sz w:val="24"/>
          <w:szCs w:val="24"/>
        </w:rPr>
        <w:t xml:space="preserve"> in 1979.  I was first employed by Pacifi</w:t>
      </w:r>
      <w:r>
        <w:rPr>
          <w:sz w:val="24"/>
          <w:szCs w:val="24"/>
        </w:rPr>
        <w:t>Corp</w:t>
      </w:r>
      <w:r w:rsidRPr="00DF1873">
        <w:rPr>
          <w:sz w:val="24"/>
          <w:szCs w:val="24"/>
        </w:rPr>
        <w:t xml:space="preserve"> in 1976 and have held various positions in resource and transmission planning, regulation, resource acquisitions and trading.  From 1997 through 2000 I lived in </w:t>
      </w:r>
      <w:smartTag w:uri="urn:schemas-microsoft-com:office:smarttags" w:element="place">
        <w:smartTag w:uri="urn:schemas-microsoft-com:office:smarttags" w:element="country-region">
          <w:r w:rsidRPr="00DF1873">
            <w:rPr>
              <w:sz w:val="24"/>
              <w:szCs w:val="24"/>
            </w:rPr>
            <w:t>Australia</w:t>
          </w:r>
        </w:smartTag>
      </w:smartTag>
      <w:r w:rsidRPr="00DF1873">
        <w:rPr>
          <w:sz w:val="24"/>
          <w:szCs w:val="24"/>
        </w:rPr>
        <w:t xml:space="preserve"> where I managed the Energy Trading Department for </w:t>
      </w:r>
      <w:proofErr w:type="spellStart"/>
      <w:r w:rsidRPr="00DF1873">
        <w:rPr>
          <w:sz w:val="24"/>
          <w:szCs w:val="24"/>
        </w:rPr>
        <w:t>Powercor</w:t>
      </w:r>
      <w:proofErr w:type="spellEnd"/>
      <w:r w:rsidRPr="00DF1873">
        <w:rPr>
          <w:sz w:val="24"/>
          <w:szCs w:val="24"/>
        </w:rPr>
        <w:t>, a PacifiCorp subsidiary at that time.  After returning to Portland, I was involved in direct access issues in Oregon</w:t>
      </w:r>
      <w:r>
        <w:rPr>
          <w:sz w:val="24"/>
          <w:szCs w:val="24"/>
        </w:rPr>
        <w:t xml:space="preserve"> and</w:t>
      </w:r>
      <w:r w:rsidRPr="00DF1873">
        <w:rPr>
          <w:sz w:val="24"/>
          <w:szCs w:val="24"/>
        </w:rPr>
        <w:t xml:space="preserve"> was responsible for directing the analytical effort for the Multi-State Process</w:t>
      </w:r>
      <w:r>
        <w:rPr>
          <w:sz w:val="24"/>
          <w:szCs w:val="24"/>
        </w:rPr>
        <w:t>.  C</w:t>
      </w:r>
      <w:r w:rsidRPr="00DF1873">
        <w:rPr>
          <w:sz w:val="24"/>
          <w:szCs w:val="24"/>
        </w:rPr>
        <w:t>urrently</w:t>
      </w:r>
      <w:r>
        <w:rPr>
          <w:sz w:val="24"/>
          <w:szCs w:val="24"/>
        </w:rPr>
        <w:t>, I</w:t>
      </w:r>
      <w:r w:rsidRPr="00DF1873">
        <w:rPr>
          <w:sz w:val="24"/>
          <w:szCs w:val="24"/>
        </w:rPr>
        <w:t xml:space="preserve"> direct the work of the integrated resource planning group, the load forecasting group, the net power cost group</w:t>
      </w:r>
      <w:r>
        <w:rPr>
          <w:sz w:val="24"/>
          <w:szCs w:val="24"/>
        </w:rPr>
        <w:t>, and the renewable compliance</w:t>
      </w:r>
      <w:r w:rsidRPr="00DF1873">
        <w:rPr>
          <w:sz w:val="24"/>
          <w:szCs w:val="24"/>
        </w:rPr>
        <w:t xml:space="preserve"> </w:t>
      </w:r>
      <w:r>
        <w:rPr>
          <w:sz w:val="24"/>
          <w:szCs w:val="24"/>
        </w:rPr>
        <w:t>area.</w:t>
      </w:r>
    </w:p>
    <w:p w:rsidR="00B9296B" w:rsidRPr="00F94B81" w:rsidRDefault="00B9296B" w:rsidP="00B9296B">
      <w:pPr>
        <w:pStyle w:val="Answer0"/>
        <w:rPr>
          <w:b/>
        </w:rPr>
      </w:pPr>
      <w:r>
        <w:rPr>
          <w:b/>
        </w:rPr>
        <w:t>Purpose</w:t>
      </w:r>
      <w:r w:rsidRPr="00F94B81">
        <w:rPr>
          <w:b/>
        </w:rPr>
        <w:t xml:space="preserve"> of Testimony</w:t>
      </w:r>
    </w:p>
    <w:p w:rsidR="00B9296B" w:rsidRDefault="00B9296B" w:rsidP="00B9296B">
      <w:pPr>
        <w:pStyle w:val="Question"/>
        <w:jc w:val="left"/>
      </w:pPr>
      <w:r w:rsidRPr="00C11338">
        <w:t>Q.</w:t>
      </w:r>
      <w:r w:rsidRPr="00C11338">
        <w:tab/>
        <w:t>What is the purpose of your testimony</w:t>
      </w:r>
      <w:r w:rsidR="00CF79E3">
        <w:t xml:space="preserve"> in this proceeding</w:t>
      </w:r>
      <w:r w:rsidRPr="00C11338">
        <w:t>?</w:t>
      </w:r>
    </w:p>
    <w:p w:rsidR="000C223D" w:rsidRDefault="000C223D" w:rsidP="00CF79E3">
      <w:pPr>
        <w:pStyle w:val="BodyTextIndent"/>
        <w:widowControl w:val="0"/>
        <w:jc w:val="left"/>
      </w:pPr>
      <w:r>
        <w:t>A.</w:t>
      </w:r>
      <w:r>
        <w:tab/>
        <w:t>I present the proposed pr</w:t>
      </w:r>
      <w:r w:rsidR="004B754A">
        <w:t>o</w:t>
      </w:r>
      <w:r w:rsidR="008D72E5">
        <w:t xml:space="preserve"> </w:t>
      </w:r>
      <w:r>
        <w:t>forma normalized net power costs for the</w:t>
      </w:r>
      <w:r w:rsidR="0086701E">
        <w:t xml:space="preserve"> </w:t>
      </w:r>
      <w:r w:rsidR="008D72E5">
        <w:t>twelve</w:t>
      </w:r>
      <w:r w:rsidR="00551BC4">
        <w:t>-month period</w:t>
      </w:r>
      <w:r w:rsidR="0086701E">
        <w:t xml:space="preserve"> ending </w:t>
      </w:r>
      <w:r w:rsidR="00551BC4">
        <w:t>March</w:t>
      </w:r>
      <w:r w:rsidR="0086701E">
        <w:t xml:space="preserve"> 31, 201</w:t>
      </w:r>
      <w:r w:rsidR="00551BC4">
        <w:t>2</w:t>
      </w:r>
      <w:r w:rsidR="0086701E">
        <w:t xml:space="preserve">.  </w:t>
      </w:r>
      <w:r>
        <w:t>In addition, my testimony:</w:t>
      </w:r>
    </w:p>
    <w:p w:rsidR="000C223D" w:rsidRDefault="000C223D" w:rsidP="00CF79E3">
      <w:pPr>
        <w:pStyle w:val="BodyTextIndent"/>
        <w:widowControl w:val="0"/>
        <w:numPr>
          <w:ilvl w:val="0"/>
          <w:numId w:val="4"/>
        </w:numPr>
        <w:tabs>
          <w:tab w:val="clear" w:pos="720"/>
          <w:tab w:val="num" w:pos="1080"/>
        </w:tabs>
        <w:ind w:left="1080"/>
        <w:jc w:val="left"/>
        <w:rPr>
          <w:szCs w:val="24"/>
        </w:rPr>
      </w:pPr>
      <w:r>
        <w:t xml:space="preserve">Describes the </w:t>
      </w:r>
      <w:r w:rsidR="0017142C">
        <w:t xml:space="preserve">primary reasons </w:t>
      </w:r>
      <w:r w:rsidR="00766F9E">
        <w:t>for</w:t>
      </w:r>
      <w:r w:rsidR="0017142C">
        <w:t xml:space="preserve"> the </w:t>
      </w:r>
      <w:r w:rsidR="0004221A">
        <w:t xml:space="preserve">increase in </w:t>
      </w:r>
      <w:r w:rsidR="00B8046B">
        <w:t>net power cost</w:t>
      </w:r>
      <w:r w:rsidR="0004221A">
        <w:t>s</w:t>
      </w:r>
      <w:r w:rsidR="00073E13">
        <w:t xml:space="preserve"> as well as factors that mitigate the increase</w:t>
      </w:r>
      <w:r w:rsidR="00A40436">
        <w:t>;</w:t>
      </w:r>
    </w:p>
    <w:p w:rsidR="0004221A" w:rsidRDefault="0004221A" w:rsidP="00873750">
      <w:pPr>
        <w:pStyle w:val="BodyTextIndent"/>
        <w:widowControl w:val="0"/>
        <w:numPr>
          <w:ilvl w:val="0"/>
          <w:numId w:val="4"/>
        </w:numPr>
        <w:tabs>
          <w:tab w:val="clear" w:pos="720"/>
          <w:tab w:val="num" w:pos="1080"/>
        </w:tabs>
        <w:ind w:left="1080"/>
        <w:jc w:val="left"/>
      </w:pPr>
      <w:r>
        <w:lastRenderedPageBreak/>
        <w:t>Describes the modeling of net power costs under the West Control Area (WCA) allocation method</w:t>
      </w:r>
      <w:r w:rsidR="00A17D9C">
        <w:t>;</w:t>
      </w:r>
      <w:r w:rsidR="000A0753">
        <w:t xml:space="preserve"> and</w:t>
      </w:r>
    </w:p>
    <w:p w:rsidR="00EE1337" w:rsidRPr="00570C81" w:rsidRDefault="00094FF0" w:rsidP="00873750">
      <w:pPr>
        <w:pStyle w:val="BodyTextIndent"/>
        <w:numPr>
          <w:ilvl w:val="0"/>
          <w:numId w:val="4"/>
        </w:numPr>
        <w:tabs>
          <w:tab w:val="clear" w:pos="720"/>
          <w:tab w:val="num" w:pos="1080"/>
        </w:tabs>
        <w:ind w:left="1080"/>
        <w:jc w:val="left"/>
        <w:rPr>
          <w:szCs w:val="24"/>
        </w:rPr>
      </w:pPr>
      <w:r>
        <w:t xml:space="preserve">Describes </w:t>
      </w:r>
      <w:r w:rsidR="002613A8">
        <w:t xml:space="preserve">the changes </w:t>
      </w:r>
      <w:r w:rsidR="0004221A">
        <w:t>to</w:t>
      </w:r>
      <w:r w:rsidR="002613A8">
        <w:t xml:space="preserve"> modeling </w:t>
      </w:r>
      <w:r w:rsidR="000A0753">
        <w:t xml:space="preserve">hydro generation in </w:t>
      </w:r>
      <w:r w:rsidR="002613A8">
        <w:t>net power cost</w:t>
      </w:r>
      <w:r w:rsidR="0004221A">
        <w:t>s</w:t>
      </w:r>
      <w:r w:rsidR="000832EA">
        <w:t xml:space="preserve"> </w:t>
      </w:r>
      <w:r w:rsidR="002613A8">
        <w:t>since the Company’s last general rate case</w:t>
      </w:r>
      <w:r w:rsidR="0004221A">
        <w:t xml:space="preserve"> in Docket UE-</w:t>
      </w:r>
      <w:r w:rsidR="000A0753">
        <w:t xml:space="preserve">090205 </w:t>
      </w:r>
      <w:r w:rsidR="0004221A">
        <w:t>(200</w:t>
      </w:r>
      <w:r w:rsidR="000A0753">
        <w:t>9</w:t>
      </w:r>
      <w:r w:rsidR="0004221A">
        <w:t xml:space="preserve"> Rate Case)</w:t>
      </w:r>
      <w:r w:rsidR="000A0753">
        <w:t>.</w:t>
      </w:r>
    </w:p>
    <w:p w:rsidR="000C223D" w:rsidRDefault="000C223D" w:rsidP="00451FC2">
      <w:pPr>
        <w:pStyle w:val="Heading2"/>
        <w:jc w:val="both"/>
      </w:pPr>
      <w:r>
        <w:t>Net Power Cost Results</w:t>
      </w:r>
    </w:p>
    <w:p w:rsidR="000C223D" w:rsidRDefault="000C223D" w:rsidP="00873750">
      <w:pPr>
        <w:numPr>
          <w:ilvl w:val="0"/>
          <w:numId w:val="2"/>
        </w:numPr>
        <w:spacing w:line="480" w:lineRule="auto"/>
        <w:rPr>
          <w:b/>
          <w:sz w:val="24"/>
        </w:rPr>
      </w:pPr>
      <w:r>
        <w:rPr>
          <w:b/>
          <w:sz w:val="24"/>
        </w:rPr>
        <w:t xml:space="preserve">What are the proposed </w:t>
      </w:r>
      <w:r w:rsidR="00426076">
        <w:rPr>
          <w:b/>
          <w:sz w:val="24"/>
        </w:rPr>
        <w:t>pro</w:t>
      </w:r>
      <w:r w:rsidR="00873E24">
        <w:rPr>
          <w:b/>
          <w:sz w:val="24"/>
        </w:rPr>
        <w:t xml:space="preserve"> </w:t>
      </w:r>
      <w:r w:rsidR="00426076">
        <w:rPr>
          <w:b/>
          <w:sz w:val="24"/>
        </w:rPr>
        <w:t>forma</w:t>
      </w:r>
      <w:r>
        <w:rPr>
          <w:b/>
          <w:sz w:val="24"/>
        </w:rPr>
        <w:t xml:space="preserve"> normalized net power costs?</w:t>
      </w:r>
    </w:p>
    <w:p w:rsidR="000C223D" w:rsidRDefault="000C223D" w:rsidP="00451FC2">
      <w:pPr>
        <w:spacing w:line="480" w:lineRule="auto"/>
        <w:ind w:left="720" w:hanging="720"/>
        <w:rPr>
          <w:szCs w:val="24"/>
        </w:rPr>
      </w:pPr>
      <w:r>
        <w:rPr>
          <w:sz w:val="24"/>
        </w:rPr>
        <w:t>A.</w:t>
      </w:r>
      <w:r>
        <w:rPr>
          <w:sz w:val="24"/>
        </w:rPr>
        <w:tab/>
        <w:t xml:space="preserve">The proposed </w:t>
      </w:r>
      <w:r w:rsidR="00692D41">
        <w:rPr>
          <w:sz w:val="24"/>
        </w:rPr>
        <w:t xml:space="preserve">pro forma normalized </w:t>
      </w:r>
      <w:r>
        <w:rPr>
          <w:sz w:val="24"/>
        </w:rPr>
        <w:t xml:space="preserve">net power costs are approximately </w:t>
      </w:r>
      <w:r w:rsidR="00E82F42">
        <w:rPr>
          <w:sz w:val="24"/>
        </w:rPr>
        <w:t>$</w:t>
      </w:r>
      <w:r w:rsidR="006C5963">
        <w:rPr>
          <w:sz w:val="24"/>
        </w:rPr>
        <w:t>569.9</w:t>
      </w:r>
      <w:r w:rsidR="00E82F42" w:rsidRPr="00C03AE7">
        <w:rPr>
          <w:sz w:val="24"/>
        </w:rPr>
        <w:t xml:space="preserve"> </w:t>
      </w:r>
      <w:r w:rsidRPr="00C03AE7">
        <w:rPr>
          <w:sz w:val="24"/>
        </w:rPr>
        <w:t>m</w:t>
      </w:r>
      <w:r>
        <w:rPr>
          <w:sz w:val="24"/>
        </w:rPr>
        <w:t xml:space="preserve">illion </w:t>
      </w:r>
      <w:r w:rsidR="00981638">
        <w:rPr>
          <w:sz w:val="24"/>
        </w:rPr>
        <w:t xml:space="preserve">for the </w:t>
      </w:r>
      <w:r w:rsidR="00EA330C">
        <w:rPr>
          <w:sz w:val="24"/>
        </w:rPr>
        <w:t>C</w:t>
      </w:r>
      <w:r w:rsidR="00981638">
        <w:rPr>
          <w:sz w:val="24"/>
        </w:rPr>
        <w:t>ompany’s</w:t>
      </w:r>
      <w:r>
        <w:rPr>
          <w:sz w:val="24"/>
        </w:rPr>
        <w:t xml:space="preserve"> </w:t>
      </w:r>
      <w:r w:rsidR="007F53CD">
        <w:rPr>
          <w:sz w:val="24"/>
        </w:rPr>
        <w:t>west control area</w:t>
      </w:r>
      <w:r>
        <w:rPr>
          <w:sz w:val="24"/>
        </w:rPr>
        <w:t>.</w:t>
      </w:r>
      <w:r w:rsidR="00B70554">
        <w:rPr>
          <w:sz w:val="24"/>
        </w:rPr>
        <w:t xml:space="preserve">  </w:t>
      </w:r>
      <w:r w:rsidR="0004221A">
        <w:rPr>
          <w:sz w:val="24"/>
        </w:rPr>
        <w:t xml:space="preserve">As discussed in Company witness </w:t>
      </w:r>
      <w:r w:rsidR="005603EC">
        <w:rPr>
          <w:sz w:val="24"/>
        </w:rPr>
        <w:t xml:space="preserve">R. </w:t>
      </w:r>
      <w:r w:rsidR="0004221A">
        <w:rPr>
          <w:sz w:val="24"/>
        </w:rPr>
        <w:t xml:space="preserve">Bryce </w:t>
      </w:r>
      <w:proofErr w:type="spellStart"/>
      <w:r w:rsidR="0004221A">
        <w:rPr>
          <w:sz w:val="24"/>
        </w:rPr>
        <w:t>Dalley’s</w:t>
      </w:r>
      <w:proofErr w:type="spellEnd"/>
      <w:r w:rsidR="0004221A">
        <w:rPr>
          <w:sz w:val="24"/>
        </w:rPr>
        <w:t xml:space="preserve"> </w:t>
      </w:r>
      <w:r w:rsidR="00796228">
        <w:rPr>
          <w:sz w:val="24"/>
        </w:rPr>
        <w:t xml:space="preserve">direct </w:t>
      </w:r>
      <w:r w:rsidR="0004221A">
        <w:rPr>
          <w:sz w:val="24"/>
        </w:rPr>
        <w:t>testimony, t</w:t>
      </w:r>
      <w:r w:rsidR="00C41461">
        <w:rPr>
          <w:sz w:val="24"/>
        </w:rPr>
        <w:t>he Washington</w:t>
      </w:r>
      <w:r w:rsidR="005C63AF">
        <w:rPr>
          <w:sz w:val="24"/>
        </w:rPr>
        <w:t>-</w:t>
      </w:r>
      <w:r w:rsidR="00C41461">
        <w:rPr>
          <w:sz w:val="24"/>
        </w:rPr>
        <w:t xml:space="preserve">allocated </w:t>
      </w:r>
      <w:r w:rsidR="0004221A">
        <w:rPr>
          <w:sz w:val="24"/>
        </w:rPr>
        <w:t>net power costs are</w:t>
      </w:r>
      <w:r w:rsidR="00C41461">
        <w:rPr>
          <w:sz w:val="24"/>
        </w:rPr>
        <w:t xml:space="preserve"> </w:t>
      </w:r>
      <w:r w:rsidR="001D12A6">
        <w:rPr>
          <w:sz w:val="24"/>
        </w:rPr>
        <w:t xml:space="preserve">approximately </w:t>
      </w:r>
      <w:r w:rsidR="00E82F42">
        <w:rPr>
          <w:sz w:val="24"/>
        </w:rPr>
        <w:t>$</w:t>
      </w:r>
      <w:r w:rsidR="006C5963">
        <w:rPr>
          <w:sz w:val="24"/>
        </w:rPr>
        <w:t>128.9</w:t>
      </w:r>
      <w:r w:rsidR="00E82F42">
        <w:rPr>
          <w:sz w:val="24"/>
        </w:rPr>
        <w:t xml:space="preserve"> </w:t>
      </w:r>
      <w:r w:rsidR="00C41461">
        <w:rPr>
          <w:sz w:val="24"/>
        </w:rPr>
        <w:t>million</w:t>
      </w:r>
      <w:r w:rsidR="007F53CD">
        <w:rPr>
          <w:sz w:val="24"/>
        </w:rPr>
        <w:t xml:space="preserve"> </w:t>
      </w:r>
      <w:r w:rsidR="0004221A">
        <w:rPr>
          <w:sz w:val="24"/>
        </w:rPr>
        <w:t>prior to the application of the production factor adjustment</w:t>
      </w:r>
      <w:r w:rsidR="007F53CD" w:rsidRPr="00826CE2">
        <w:rPr>
          <w:sz w:val="24"/>
        </w:rPr>
        <w:t>.</w:t>
      </w:r>
    </w:p>
    <w:p w:rsidR="00315681" w:rsidRDefault="000C223D" w:rsidP="00451FC2">
      <w:pPr>
        <w:pStyle w:val="BodyTextIndent"/>
        <w:tabs>
          <w:tab w:val="clear" w:pos="720"/>
        </w:tabs>
        <w:jc w:val="left"/>
        <w:rPr>
          <w:b/>
        </w:rPr>
      </w:pPr>
      <w:r>
        <w:rPr>
          <w:b/>
        </w:rPr>
        <w:t>Q.</w:t>
      </w:r>
      <w:r w:rsidR="00DD1910">
        <w:rPr>
          <w:b/>
        </w:rPr>
        <w:tab/>
      </w:r>
      <w:r w:rsidR="00873E24">
        <w:rPr>
          <w:b/>
        </w:rPr>
        <w:t>How do the pro forma normalized net power costs in this proceeding compare to the level in the 2009 Rate Case?</w:t>
      </w:r>
      <w:r w:rsidR="00873E24" w:rsidDel="00873E24">
        <w:rPr>
          <w:b/>
        </w:rPr>
        <w:t xml:space="preserve"> </w:t>
      </w:r>
    </w:p>
    <w:p w:rsidR="00DD1910" w:rsidRDefault="00DD1910" w:rsidP="00451FC2">
      <w:pPr>
        <w:pStyle w:val="BodyTextIndent"/>
        <w:tabs>
          <w:tab w:val="clear" w:pos="720"/>
        </w:tabs>
        <w:jc w:val="left"/>
      </w:pPr>
      <w:r>
        <w:t>A.</w:t>
      </w:r>
      <w:r>
        <w:tab/>
      </w:r>
      <w:r w:rsidR="0082663D">
        <w:t xml:space="preserve">The </w:t>
      </w:r>
      <w:r w:rsidR="00426076">
        <w:t>pro</w:t>
      </w:r>
      <w:r w:rsidR="00692D41">
        <w:t xml:space="preserve"> </w:t>
      </w:r>
      <w:r w:rsidR="00426076">
        <w:t>forma</w:t>
      </w:r>
      <w:r w:rsidR="0082663D">
        <w:t xml:space="preserve"> normalized net power costs in the current proceeding </w:t>
      </w:r>
      <w:r w:rsidR="00102B16">
        <w:t>are</w:t>
      </w:r>
      <w:r w:rsidR="0082663D">
        <w:t xml:space="preserve"> approximately $</w:t>
      </w:r>
      <w:r w:rsidR="006C5963">
        <w:t>55.0</w:t>
      </w:r>
      <w:r w:rsidR="0082663D">
        <w:t xml:space="preserve"> </w:t>
      </w:r>
      <w:r w:rsidR="00E87BF4">
        <w:t xml:space="preserve">million </w:t>
      </w:r>
      <w:r w:rsidR="0082663D">
        <w:t xml:space="preserve">higher than what was filed in the Company’s 2009 </w:t>
      </w:r>
      <w:r w:rsidR="0024051D">
        <w:t>Rate C</w:t>
      </w:r>
      <w:r w:rsidR="0082663D">
        <w:t xml:space="preserve">ase on a </w:t>
      </w:r>
      <w:r w:rsidR="00940181">
        <w:t xml:space="preserve">west control area </w:t>
      </w:r>
      <w:r w:rsidR="0082663D">
        <w:t>basis</w:t>
      </w:r>
      <w:r w:rsidR="001C0CAA">
        <w:t xml:space="preserve">, and </w:t>
      </w:r>
      <w:r w:rsidR="00873E24">
        <w:t xml:space="preserve">approximately </w:t>
      </w:r>
      <w:r w:rsidR="00180654">
        <w:t>$</w:t>
      </w:r>
      <w:r w:rsidR="00CA7D32">
        <w:t>17.5</w:t>
      </w:r>
      <w:r w:rsidR="001C0CAA">
        <w:t xml:space="preserve"> million higher on a Washington</w:t>
      </w:r>
      <w:r w:rsidR="00873E24">
        <w:t>-</w:t>
      </w:r>
      <w:r w:rsidR="001C0CAA">
        <w:t>allocated basis</w:t>
      </w:r>
      <w:r w:rsidR="0082663D">
        <w:t>.</w:t>
      </w:r>
      <w:r w:rsidR="00E74647">
        <w:t xml:space="preserve"> </w:t>
      </w:r>
      <w:r w:rsidR="00873E24" w:rsidRPr="00873E24">
        <w:t xml:space="preserve"> </w:t>
      </w:r>
      <w:r w:rsidR="00873E24">
        <w:t>It is important to note that the 2009 Rate Case was settled with</w:t>
      </w:r>
      <w:r w:rsidR="00E74647">
        <w:t>out</w:t>
      </w:r>
      <w:r w:rsidR="00873E24">
        <w:t xml:space="preserve"> a specific finding o</w:t>
      </w:r>
      <w:r w:rsidR="00E74647">
        <w:t xml:space="preserve">n the level of net power costs </w:t>
      </w:r>
      <w:r w:rsidR="00873E24">
        <w:t>or the components of net power costs</w:t>
      </w:r>
      <w:r w:rsidR="00814BD6">
        <w:t xml:space="preserve">.  </w:t>
      </w:r>
      <w:r w:rsidR="00873E24">
        <w:t xml:space="preserve"> </w:t>
      </w:r>
    </w:p>
    <w:p w:rsidR="001C01E6" w:rsidRDefault="001C01E6" w:rsidP="001C01E6">
      <w:pPr>
        <w:pStyle w:val="BodyText2"/>
        <w:ind w:left="720" w:hanging="720"/>
      </w:pPr>
      <w:r>
        <w:rPr>
          <w:b/>
          <w:bCs/>
        </w:rPr>
        <w:t>Q</w:t>
      </w:r>
      <w:r w:rsidR="00814BD6">
        <w:rPr>
          <w:b/>
          <w:bCs/>
        </w:rPr>
        <w:t xml:space="preserve">.  </w:t>
      </w:r>
      <w:r>
        <w:rPr>
          <w:b/>
          <w:bCs/>
        </w:rPr>
        <w:t xml:space="preserve">    </w:t>
      </w:r>
      <w:r w:rsidRPr="0082663D">
        <w:rPr>
          <w:b/>
          <w:bCs/>
        </w:rPr>
        <w:t xml:space="preserve">What </w:t>
      </w:r>
      <w:proofErr w:type="gramStart"/>
      <w:r w:rsidRPr="0082663D">
        <w:rPr>
          <w:b/>
          <w:bCs/>
        </w:rPr>
        <w:t>are the primary</w:t>
      </w:r>
      <w:proofErr w:type="gramEnd"/>
      <w:r w:rsidRPr="0082663D">
        <w:rPr>
          <w:b/>
          <w:bCs/>
        </w:rPr>
        <w:t xml:space="preserve"> factors driv</w:t>
      </w:r>
      <w:r w:rsidR="00180654">
        <w:rPr>
          <w:b/>
          <w:bCs/>
        </w:rPr>
        <w:t>ing</w:t>
      </w:r>
      <w:r w:rsidRPr="0082663D">
        <w:rPr>
          <w:b/>
          <w:bCs/>
        </w:rPr>
        <w:t xml:space="preserve"> the increase in net power costs since the 2009 Rate Case?</w:t>
      </w:r>
    </w:p>
    <w:p w:rsidR="001C01E6" w:rsidRDefault="001C01E6" w:rsidP="001C01E6">
      <w:pPr>
        <w:pStyle w:val="BodyTextIndent"/>
        <w:tabs>
          <w:tab w:val="clear" w:pos="720"/>
        </w:tabs>
        <w:jc w:val="left"/>
      </w:pPr>
      <w:r w:rsidRPr="00AB02F3">
        <w:t>A.</w:t>
      </w:r>
      <w:r>
        <w:rPr>
          <w:b/>
        </w:rPr>
        <w:tab/>
      </w:r>
      <w:r w:rsidRPr="007F7DC3">
        <w:t>The factors with the largest impact include</w:t>
      </w:r>
      <w:r w:rsidR="00873E24">
        <w:t>:</w:t>
      </w:r>
    </w:p>
    <w:p w:rsidR="00C63236" w:rsidRDefault="001C01E6" w:rsidP="00C63236">
      <w:pPr>
        <w:pStyle w:val="BodyTextIndent"/>
        <w:numPr>
          <w:ilvl w:val="0"/>
          <w:numId w:val="8"/>
        </w:numPr>
        <w:tabs>
          <w:tab w:val="clear" w:pos="720"/>
        </w:tabs>
        <w:ind w:left="1170"/>
        <w:jc w:val="left"/>
      </w:pPr>
      <w:r>
        <w:t>E</w:t>
      </w:r>
      <w:r w:rsidRPr="007F7DC3">
        <w:t>xpiration of</w:t>
      </w:r>
      <w:r>
        <w:t xml:space="preserve"> </w:t>
      </w:r>
      <w:r w:rsidR="00873E24">
        <w:t>several</w:t>
      </w:r>
      <w:r>
        <w:t xml:space="preserve"> </w:t>
      </w:r>
      <w:r w:rsidRPr="007F7DC3">
        <w:t xml:space="preserve">long-term firm </w:t>
      </w:r>
      <w:r w:rsidR="00B47F32">
        <w:t xml:space="preserve">wholesale </w:t>
      </w:r>
      <w:r w:rsidRPr="007F7DC3">
        <w:t>purchase power contract</w:t>
      </w:r>
      <w:r>
        <w:t>s;</w:t>
      </w:r>
    </w:p>
    <w:p w:rsidR="00C63236" w:rsidRDefault="001C01E6" w:rsidP="00C63236">
      <w:pPr>
        <w:pStyle w:val="BodyTextIndent"/>
        <w:numPr>
          <w:ilvl w:val="0"/>
          <w:numId w:val="8"/>
        </w:numPr>
        <w:tabs>
          <w:tab w:val="clear" w:pos="720"/>
        </w:tabs>
        <w:ind w:left="1170"/>
        <w:jc w:val="left"/>
      </w:pPr>
      <w:r>
        <w:lastRenderedPageBreak/>
        <w:t>Expiration of the long</w:t>
      </w:r>
      <w:r w:rsidR="00873E24">
        <w:t>-</w:t>
      </w:r>
      <w:r>
        <w:t>term gas supply contracts for the Hermiston gas-fired generating plant;</w:t>
      </w:r>
    </w:p>
    <w:p w:rsidR="00C63236" w:rsidRDefault="001C01E6" w:rsidP="00C63236">
      <w:pPr>
        <w:pStyle w:val="BodyTextIndent"/>
        <w:numPr>
          <w:ilvl w:val="0"/>
          <w:numId w:val="8"/>
        </w:numPr>
        <w:tabs>
          <w:tab w:val="clear" w:pos="720"/>
        </w:tabs>
        <w:ind w:left="1170"/>
        <w:jc w:val="left"/>
      </w:pPr>
      <w:r>
        <w:t>Increases in firm wheeling expenses;</w:t>
      </w:r>
      <w:r w:rsidR="00873E24">
        <w:t xml:space="preserve"> and</w:t>
      </w:r>
    </w:p>
    <w:p w:rsidR="00315681" w:rsidRDefault="00315681" w:rsidP="00C63236">
      <w:pPr>
        <w:pStyle w:val="BodyTextIndent"/>
        <w:numPr>
          <w:ilvl w:val="0"/>
          <w:numId w:val="8"/>
        </w:numPr>
        <w:tabs>
          <w:tab w:val="clear" w:pos="720"/>
        </w:tabs>
        <w:ind w:left="1170"/>
        <w:jc w:val="left"/>
      </w:pPr>
      <w:r>
        <w:t>Increases in wind integration charges.</w:t>
      </w:r>
    </w:p>
    <w:p w:rsidR="00C63236" w:rsidRDefault="001C01E6" w:rsidP="00873E24">
      <w:pPr>
        <w:pStyle w:val="BodyTextIndent"/>
        <w:tabs>
          <w:tab w:val="clear" w:pos="720"/>
        </w:tabs>
        <w:ind w:left="810" w:firstLine="0"/>
        <w:jc w:val="left"/>
      </w:pPr>
      <w:r>
        <w:t xml:space="preserve">These factors are </w:t>
      </w:r>
      <w:r w:rsidRPr="0098219B">
        <w:t>partially</w:t>
      </w:r>
      <w:r>
        <w:t xml:space="preserve"> offset by reductions in net power costs associated with</w:t>
      </w:r>
      <w:r w:rsidR="00873E24">
        <w:t xml:space="preserve"> a </w:t>
      </w:r>
      <w:r>
        <w:t>lower load forecast, decreases in coal costs</w:t>
      </w:r>
      <w:r w:rsidR="00F442CA">
        <w:t xml:space="preserve">, </w:t>
      </w:r>
      <w:r w:rsidR="00416F3A">
        <w:t xml:space="preserve">lower market prices, </w:t>
      </w:r>
      <w:r w:rsidR="00622D13">
        <w:t xml:space="preserve">and </w:t>
      </w:r>
      <w:r w:rsidR="00F442CA">
        <w:t>extended operation of the Condit dam</w:t>
      </w:r>
      <w:r w:rsidR="00622D13">
        <w:t>.</w:t>
      </w:r>
    </w:p>
    <w:p w:rsidR="005A0A1B" w:rsidRDefault="001D2165" w:rsidP="00451FC2">
      <w:pPr>
        <w:pStyle w:val="BodyTextIndent"/>
        <w:tabs>
          <w:tab w:val="clear" w:pos="720"/>
        </w:tabs>
        <w:jc w:val="left"/>
        <w:rPr>
          <w:b/>
        </w:rPr>
      </w:pPr>
      <w:r w:rsidRPr="001D2165">
        <w:rPr>
          <w:b/>
        </w:rPr>
        <w:t>Q.</w:t>
      </w:r>
      <w:r w:rsidR="005A0A1B">
        <w:rPr>
          <w:b/>
        </w:rPr>
        <w:tab/>
        <w:t>Do you have any general ob</w:t>
      </w:r>
      <w:r w:rsidR="00E335F9">
        <w:rPr>
          <w:b/>
        </w:rPr>
        <w:t>servations about the increase to</w:t>
      </w:r>
      <w:r w:rsidR="005A0A1B">
        <w:rPr>
          <w:b/>
        </w:rPr>
        <w:t xml:space="preserve"> net power costs in this filing?</w:t>
      </w:r>
    </w:p>
    <w:p w:rsidR="00B47F32" w:rsidRDefault="001D2165" w:rsidP="00B47F32">
      <w:pPr>
        <w:pStyle w:val="BodyTextIndent"/>
        <w:tabs>
          <w:tab w:val="clear" w:pos="720"/>
        </w:tabs>
        <w:jc w:val="left"/>
      </w:pPr>
      <w:r w:rsidRPr="001D2165">
        <w:t>A.</w:t>
      </w:r>
      <w:r w:rsidR="005A0A1B">
        <w:tab/>
      </w:r>
      <w:r w:rsidR="00E335F9">
        <w:t xml:space="preserve">Yes.  As described later in my testimony, the </w:t>
      </w:r>
      <w:r w:rsidR="00B47F32">
        <w:t xml:space="preserve">pro forma period for </w:t>
      </w:r>
      <w:r w:rsidR="00E335F9">
        <w:t xml:space="preserve">net power costs in this </w:t>
      </w:r>
      <w:r w:rsidR="00B47F32">
        <w:t>proceeding</w:t>
      </w:r>
      <w:r w:rsidR="00E335F9">
        <w:t xml:space="preserve"> mark</w:t>
      </w:r>
      <w:r w:rsidR="00B47F32">
        <w:t>s</w:t>
      </w:r>
      <w:r w:rsidR="00E335F9">
        <w:t xml:space="preserve"> the end of several low</w:t>
      </w:r>
      <w:r w:rsidR="00B47F32">
        <w:t>-</w:t>
      </w:r>
      <w:r w:rsidR="00E335F9">
        <w:t xml:space="preserve">cost </w:t>
      </w:r>
      <w:r w:rsidR="00B47F32">
        <w:t xml:space="preserve">wholesale purchase </w:t>
      </w:r>
      <w:r w:rsidR="00E335F9">
        <w:t>power, natural gas, and transmission contracts</w:t>
      </w:r>
      <w:r w:rsidR="00B47F32">
        <w:t xml:space="preserve">.  PacifiCorp’s customers have benefitted from these contracts for as </w:t>
      </w:r>
      <w:r w:rsidR="001E3AF7">
        <w:t>long</w:t>
      </w:r>
      <w:r w:rsidR="00B47F32">
        <w:t xml:space="preserve"> as 50 years.</w:t>
      </w:r>
      <w:r w:rsidR="00E335F9">
        <w:t xml:space="preserve"> The expiration of these contracts </w:t>
      </w:r>
      <w:r w:rsidR="00B47F32">
        <w:t xml:space="preserve">is </w:t>
      </w:r>
      <w:r w:rsidR="00E335F9">
        <w:t>outside the control of the Company and create</w:t>
      </w:r>
      <w:r w:rsidR="00B47F32">
        <w:t>s</w:t>
      </w:r>
      <w:r w:rsidR="00E335F9">
        <w:t xml:space="preserve"> a need to </w:t>
      </w:r>
      <w:r w:rsidR="00B47F32">
        <w:t>replace these contracts</w:t>
      </w:r>
      <w:r w:rsidR="00E335F9">
        <w:t xml:space="preserve"> at current market prices.  </w:t>
      </w:r>
    </w:p>
    <w:p w:rsidR="00CD0651" w:rsidRPr="00CD0651" w:rsidDel="00B47F32" w:rsidRDefault="00F96DBF" w:rsidP="00B47F32">
      <w:pPr>
        <w:pStyle w:val="BodyTextIndent"/>
        <w:tabs>
          <w:tab w:val="clear" w:pos="720"/>
        </w:tabs>
        <w:jc w:val="left"/>
        <w:rPr>
          <w:b/>
        </w:rPr>
      </w:pPr>
      <w:r w:rsidRPr="00F96DBF">
        <w:rPr>
          <w:b/>
        </w:rPr>
        <w:t xml:space="preserve">Expiration of </w:t>
      </w:r>
      <w:r w:rsidR="002B6BFB">
        <w:rPr>
          <w:b/>
        </w:rPr>
        <w:t xml:space="preserve">Wholesale </w:t>
      </w:r>
      <w:r w:rsidRPr="00F96DBF">
        <w:rPr>
          <w:b/>
        </w:rPr>
        <w:t>Purchase Power Contracts</w:t>
      </w:r>
    </w:p>
    <w:p w:rsidR="0098219B" w:rsidRPr="00A61177" w:rsidRDefault="0098219B" w:rsidP="0098219B">
      <w:pPr>
        <w:pStyle w:val="BodyText2"/>
        <w:widowControl w:val="0"/>
        <w:tabs>
          <w:tab w:val="clear" w:pos="720"/>
        </w:tabs>
        <w:ind w:left="720" w:hanging="720"/>
        <w:rPr>
          <w:b/>
          <w:bCs/>
        </w:rPr>
      </w:pPr>
      <w:r>
        <w:rPr>
          <w:b/>
          <w:bCs/>
        </w:rPr>
        <w:t>Q.</w:t>
      </w:r>
      <w:r>
        <w:rPr>
          <w:b/>
          <w:bCs/>
        </w:rPr>
        <w:tab/>
      </w:r>
      <w:r w:rsidR="002C7859">
        <w:rPr>
          <w:b/>
          <w:bCs/>
        </w:rPr>
        <w:t xml:space="preserve">Please discuss the </w:t>
      </w:r>
      <w:r w:rsidR="00736E82">
        <w:rPr>
          <w:b/>
          <w:bCs/>
        </w:rPr>
        <w:t xml:space="preserve">major </w:t>
      </w:r>
      <w:r w:rsidR="00B47F32">
        <w:rPr>
          <w:b/>
          <w:bCs/>
        </w:rPr>
        <w:t xml:space="preserve">wholesale </w:t>
      </w:r>
      <w:r w:rsidR="002B6B87">
        <w:rPr>
          <w:b/>
          <w:bCs/>
        </w:rPr>
        <w:t>purchase</w:t>
      </w:r>
      <w:r w:rsidR="00B47F32">
        <w:rPr>
          <w:b/>
          <w:bCs/>
        </w:rPr>
        <w:t xml:space="preserve"> power</w:t>
      </w:r>
      <w:r>
        <w:rPr>
          <w:b/>
          <w:bCs/>
        </w:rPr>
        <w:t xml:space="preserve"> contracts </w:t>
      </w:r>
      <w:r w:rsidR="00E87BF4">
        <w:rPr>
          <w:b/>
          <w:bCs/>
        </w:rPr>
        <w:t>expiring during</w:t>
      </w:r>
      <w:r>
        <w:rPr>
          <w:b/>
          <w:bCs/>
        </w:rPr>
        <w:t xml:space="preserve"> the </w:t>
      </w:r>
      <w:r w:rsidR="00E87BF4">
        <w:rPr>
          <w:b/>
          <w:bCs/>
        </w:rPr>
        <w:t xml:space="preserve">pro forma </w:t>
      </w:r>
      <w:r>
        <w:rPr>
          <w:b/>
          <w:bCs/>
        </w:rPr>
        <w:t xml:space="preserve">period of </w:t>
      </w:r>
      <w:r w:rsidR="00E87BF4">
        <w:rPr>
          <w:b/>
          <w:bCs/>
        </w:rPr>
        <w:t xml:space="preserve">the </w:t>
      </w:r>
      <w:r w:rsidR="00B47F32">
        <w:rPr>
          <w:b/>
          <w:bCs/>
        </w:rPr>
        <w:t>twelve</w:t>
      </w:r>
      <w:r>
        <w:rPr>
          <w:b/>
          <w:bCs/>
        </w:rPr>
        <w:t>-month</w:t>
      </w:r>
      <w:r w:rsidR="00CB39C5">
        <w:rPr>
          <w:b/>
          <w:bCs/>
        </w:rPr>
        <w:t>s</w:t>
      </w:r>
      <w:r>
        <w:rPr>
          <w:b/>
          <w:bCs/>
        </w:rPr>
        <w:t xml:space="preserve"> ending March 2012</w:t>
      </w:r>
      <w:r w:rsidR="00736E82">
        <w:rPr>
          <w:b/>
          <w:bCs/>
        </w:rPr>
        <w:t>.</w:t>
      </w:r>
    </w:p>
    <w:p w:rsidR="00C63236" w:rsidRDefault="0098219B" w:rsidP="00C63236">
      <w:pPr>
        <w:pStyle w:val="BodyText2"/>
        <w:widowControl w:val="0"/>
        <w:tabs>
          <w:tab w:val="clear" w:pos="720"/>
        </w:tabs>
        <w:ind w:left="720" w:hanging="720"/>
      </w:pPr>
      <w:r w:rsidRPr="00A61177">
        <w:t>A.</w:t>
      </w:r>
      <w:r w:rsidR="00F36C53">
        <w:rPr>
          <w:b/>
          <w:bCs/>
        </w:rPr>
        <w:tab/>
      </w:r>
      <w:r w:rsidR="002C7859">
        <w:rPr>
          <w:bCs/>
        </w:rPr>
        <w:t xml:space="preserve">There are </w:t>
      </w:r>
      <w:r w:rsidR="00CD0651">
        <w:rPr>
          <w:bCs/>
        </w:rPr>
        <w:t xml:space="preserve">several </w:t>
      </w:r>
      <w:r w:rsidR="00736E82">
        <w:rPr>
          <w:bCs/>
        </w:rPr>
        <w:t xml:space="preserve">expiring </w:t>
      </w:r>
      <w:r w:rsidR="002C7859">
        <w:rPr>
          <w:bCs/>
        </w:rPr>
        <w:t xml:space="preserve">contracts related to wholesale purchases tied to Mid-Columbia hydroelectric projects.  First, </w:t>
      </w:r>
      <w:r w:rsidR="002C7859">
        <w:t>the contract between the Company and the Chelan Public Utility District (Chelan PUD) for generation from the Rocky Reach project expires in October 2011.  This contract has been in existence for</w:t>
      </w:r>
      <w:r w:rsidR="00315681">
        <w:t xml:space="preserve"> </w:t>
      </w:r>
      <w:r w:rsidR="00E74647">
        <w:t>approximately</w:t>
      </w:r>
      <w:r w:rsidR="002C7859">
        <w:t xml:space="preserve"> 50 years, and is priced at the embedded cost of the project.  </w:t>
      </w:r>
      <w:r w:rsidR="002C7859">
        <w:lastRenderedPageBreak/>
        <w:t xml:space="preserve">Second, </w:t>
      </w:r>
      <w:r w:rsidR="002C7859">
        <w:rPr>
          <w:bCs/>
        </w:rPr>
        <w:t>t</w:t>
      </w:r>
      <w:r w:rsidRPr="00A61177">
        <w:t xml:space="preserve">he contract between the Company and the Grant Public Utility District (Grant PUD) for </w:t>
      </w:r>
      <w:r>
        <w:t xml:space="preserve">displacement </w:t>
      </w:r>
      <w:r w:rsidRPr="00A61177">
        <w:t>generation expires</w:t>
      </w:r>
      <w:r w:rsidR="0023439B">
        <w:t xml:space="preserve"> in September 2011</w:t>
      </w:r>
      <w:r>
        <w:t xml:space="preserve">, </w:t>
      </w:r>
      <w:r w:rsidR="002C7859">
        <w:t xml:space="preserve">and </w:t>
      </w:r>
      <w:r>
        <w:t>is priced at BPA’s Priority Firm Power (PF) rate</w:t>
      </w:r>
      <w:r w:rsidRPr="00A61177">
        <w:t>.</w:t>
      </w:r>
      <w:r w:rsidR="00DC60B3">
        <w:t xml:space="preserve">  </w:t>
      </w:r>
      <w:r w:rsidR="0023439B">
        <w:t xml:space="preserve">Together with the reduction in </w:t>
      </w:r>
      <w:r w:rsidR="0023439B" w:rsidRPr="0023439B">
        <w:t>revenues from the Reasonable Portion of the contract with Grant PUD</w:t>
      </w:r>
      <w:r w:rsidR="0023439B">
        <w:t xml:space="preserve"> due to lower market prices, the impact of the changes related to the Mid</w:t>
      </w:r>
      <w:r w:rsidR="00811F19">
        <w:t>-</w:t>
      </w:r>
      <w:r w:rsidR="0023439B">
        <w:t xml:space="preserve">Columbia </w:t>
      </w:r>
      <w:r w:rsidR="002C7859">
        <w:t xml:space="preserve">purchase contracts </w:t>
      </w:r>
      <w:r w:rsidR="0023439B">
        <w:t>increases net power costs by approximately $15.5 million</w:t>
      </w:r>
      <w:r w:rsidR="002C7859">
        <w:t xml:space="preserve"> on a west control area basis</w:t>
      </w:r>
      <w:r w:rsidR="0023439B">
        <w:t>.</w:t>
      </w:r>
    </w:p>
    <w:p w:rsidR="00C63236" w:rsidRDefault="0023439B" w:rsidP="00C63236">
      <w:pPr>
        <w:pStyle w:val="BodyText2"/>
        <w:widowControl w:val="0"/>
        <w:tabs>
          <w:tab w:val="clear" w:pos="720"/>
        </w:tabs>
        <w:ind w:left="810" w:firstLine="630"/>
      </w:pPr>
      <w:r>
        <w:t xml:space="preserve">In addition, </w:t>
      </w:r>
      <w:r w:rsidR="00F36C53">
        <w:t>the exchange contract between the Company and Alcoa Power Generating Inc. (APGI) for approximately 100 megawatts of capacity from the Rocky Reach project expires</w:t>
      </w:r>
      <w:r>
        <w:t xml:space="preserve"> in June 2011, and </w:t>
      </w:r>
      <w:r w:rsidR="00F36C53">
        <w:t>the contract between the Company and the Bonneville Power Administration (BPA) for 575 megawatts of capacity expires</w:t>
      </w:r>
      <w:r>
        <w:t xml:space="preserve"> in August 2011</w:t>
      </w:r>
      <w:r w:rsidR="00F36C53">
        <w:t xml:space="preserve">.  </w:t>
      </w:r>
      <w:r w:rsidR="00DB3037">
        <w:t xml:space="preserve">The </w:t>
      </w:r>
      <w:r w:rsidR="006A033F">
        <w:t xml:space="preserve">arrangement with </w:t>
      </w:r>
      <w:r w:rsidR="00DB3037">
        <w:t xml:space="preserve">BPA </w:t>
      </w:r>
      <w:r w:rsidR="006A033F">
        <w:t xml:space="preserve">for </w:t>
      </w:r>
      <w:r w:rsidR="00DB3037">
        <w:t>peaking</w:t>
      </w:r>
      <w:r w:rsidR="006A033F">
        <w:t xml:space="preserve"> products</w:t>
      </w:r>
      <w:r w:rsidR="00DB3037">
        <w:t xml:space="preserve"> has been in existence for 40 years.  </w:t>
      </w:r>
      <w:r w:rsidR="00F36C53">
        <w:t xml:space="preserve">Under </w:t>
      </w:r>
      <w:r>
        <w:t>both of these</w:t>
      </w:r>
      <w:r w:rsidR="00F36C53">
        <w:t xml:space="preserve"> contract</w:t>
      </w:r>
      <w:r>
        <w:t>s</w:t>
      </w:r>
      <w:r w:rsidR="00F36C53">
        <w:t xml:space="preserve">, the Company receives energy during peak periods and returns energy during off-peak periods.  </w:t>
      </w:r>
      <w:r>
        <w:t>The</w:t>
      </w:r>
      <w:r w:rsidR="00F36C53">
        <w:t xml:space="preserve"> power received under </w:t>
      </w:r>
      <w:r>
        <w:t>the BPA</w:t>
      </w:r>
      <w:r w:rsidR="00F36C53">
        <w:t xml:space="preserve"> </w:t>
      </w:r>
      <w:r>
        <w:t xml:space="preserve">capacity </w:t>
      </w:r>
      <w:r w:rsidR="00F36C53">
        <w:t>contract is delivered directly to a variety of the Company’s load pockets in the west control area at the Company’s discretion.</w:t>
      </w:r>
    </w:p>
    <w:p w:rsidR="00B47F32" w:rsidRDefault="00B47F32" w:rsidP="00B47F32">
      <w:pPr>
        <w:pStyle w:val="BodyTextIndent"/>
        <w:widowControl w:val="0"/>
        <w:tabs>
          <w:tab w:val="clear" w:pos="720"/>
        </w:tabs>
        <w:jc w:val="left"/>
        <w:rPr>
          <w:b/>
        </w:rPr>
      </w:pPr>
      <w:r>
        <w:rPr>
          <w:b/>
        </w:rPr>
        <w:t>Q.</w:t>
      </w:r>
      <w:r>
        <w:rPr>
          <w:b/>
        </w:rPr>
        <w:tab/>
        <w:t xml:space="preserve">Why do expiring </w:t>
      </w:r>
      <w:r w:rsidR="00DB3037">
        <w:rPr>
          <w:b/>
        </w:rPr>
        <w:t xml:space="preserve">wholesale </w:t>
      </w:r>
      <w:r>
        <w:rPr>
          <w:b/>
        </w:rPr>
        <w:t>purchase power contracts increase net power costs?</w:t>
      </w:r>
    </w:p>
    <w:p w:rsidR="00B47F32" w:rsidRPr="00811F19" w:rsidRDefault="00B47F32" w:rsidP="00853AC9">
      <w:pPr>
        <w:pStyle w:val="BodyTextIndent"/>
        <w:widowControl w:val="0"/>
        <w:tabs>
          <w:tab w:val="clear" w:pos="720"/>
        </w:tabs>
        <w:jc w:val="left"/>
      </w:pPr>
      <w:r w:rsidRPr="00AB02F3">
        <w:t>A.</w:t>
      </w:r>
      <w:r>
        <w:rPr>
          <w:b/>
        </w:rPr>
        <w:tab/>
      </w:r>
      <w:r w:rsidR="00AA2911" w:rsidRPr="00AA2911">
        <w:t xml:space="preserve">Wholesale </w:t>
      </w:r>
      <w:r w:rsidR="00DB3037">
        <w:t>p</w:t>
      </w:r>
      <w:r w:rsidRPr="00D94217">
        <w:t xml:space="preserve">urchase power contracts generally reflect wholesale electric market prices at the time they were executed.  </w:t>
      </w:r>
      <w:r w:rsidR="00DB3037">
        <w:t xml:space="preserve">Given how long these expiring contracts have been in existence, </w:t>
      </w:r>
      <w:r w:rsidRPr="00D94217">
        <w:t xml:space="preserve">wholesale electric market prices </w:t>
      </w:r>
      <w:r>
        <w:t xml:space="preserve">have </w:t>
      </w:r>
      <w:r w:rsidRPr="00D94217">
        <w:t>increase</w:t>
      </w:r>
      <w:r>
        <w:t xml:space="preserve">d since </w:t>
      </w:r>
      <w:r w:rsidR="00DB3037">
        <w:t>the</w:t>
      </w:r>
      <w:r>
        <w:t xml:space="preserve"> contracts were executed</w:t>
      </w:r>
      <w:r w:rsidRPr="00D94217">
        <w:t xml:space="preserve"> </w:t>
      </w:r>
      <w:r>
        <w:t xml:space="preserve">and thus </w:t>
      </w:r>
      <w:r w:rsidRPr="00D94217">
        <w:t xml:space="preserve">the cost of </w:t>
      </w:r>
      <w:r>
        <w:t xml:space="preserve">the </w:t>
      </w:r>
      <w:r w:rsidRPr="00D94217">
        <w:t>replacement power</w:t>
      </w:r>
      <w:r>
        <w:t xml:space="preserve"> has increased</w:t>
      </w:r>
      <w:r w:rsidRPr="00D94217">
        <w:t>.</w:t>
      </w:r>
    </w:p>
    <w:p w:rsidR="003F5660" w:rsidRDefault="00AA2911">
      <w:pPr>
        <w:pStyle w:val="BodyTextIndent"/>
        <w:tabs>
          <w:tab w:val="clear" w:pos="720"/>
        </w:tabs>
        <w:jc w:val="left"/>
        <w:rPr>
          <w:b/>
        </w:rPr>
      </w:pPr>
      <w:r w:rsidRPr="00AA2911">
        <w:rPr>
          <w:b/>
        </w:rPr>
        <w:lastRenderedPageBreak/>
        <w:t>Expiration of Hermiston Gas-Supply Contracts</w:t>
      </w:r>
    </w:p>
    <w:p w:rsidR="001C01E6" w:rsidRDefault="001C01E6" w:rsidP="001C01E6">
      <w:pPr>
        <w:pStyle w:val="BodyTextIndent"/>
        <w:widowControl w:val="0"/>
        <w:tabs>
          <w:tab w:val="clear" w:pos="720"/>
        </w:tabs>
        <w:jc w:val="left"/>
        <w:rPr>
          <w:b/>
        </w:rPr>
      </w:pPr>
      <w:proofErr w:type="gramStart"/>
      <w:r>
        <w:rPr>
          <w:b/>
        </w:rPr>
        <w:t>Q.</w:t>
      </w:r>
      <w:r>
        <w:rPr>
          <w:b/>
        </w:rPr>
        <w:tab/>
        <w:t>Are there any major changes to the Company’s fuel supply?</w:t>
      </w:r>
      <w:proofErr w:type="gramEnd"/>
    </w:p>
    <w:p w:rsidR="001C01E6" w:rsidRDefault="001C01E6" w:rsidP="00814BD6">
      <w:pPr>
        <w:pStyle w:val="BodyTextIndent"/>
        <w:jc w:val="left"/>
      </w:pPr>
      <w:r>
        <w:t>A.</w:t>
      </w:r>
      <w:r>
        <w:tab/>
        <w:t xml:space="preserve">Yes.  </w:t>
      </w:r>
      <w:r w:rsidR="0023439B">
        <w:t xml:space="preserve">Beginning in July </w:t>
      </w:r>
      <w:r>
        <w:t>2011, the long-term natural gas supply contracts for the Hermiston plant expire and are replaced by market purchases.</w:t>
      </w:r>
      <w:r w:rsidRPr="00CC3882">
        <w:t xml:space="preserve"> </w:t>
      </w:r>
      <w:r>
        <w:t xml:space="preserve"> </w:t>
      </w:r>
      <w:r w:rsidRPr="00CC3882">
        <w:t>Th</w:t>
      </w:r>
      <w:r>
        <w:t>os</w:t>
      </w:r>
      <w:r w:rsidRPr="00CC3882">
        <w:t>e long-term contracts were entered into in 1996, when the prices for natural gas were low.  Even with escalation, the contract prices are still lower than the current market prices.</w:t>
      </w:r>
      <w:r>
        <w:t xml:space="preserve">  That is, the final gas price of the long</w:t>
      </w:r>
      <w:r w:rsidR="00053125">
        <w:t>-</w:t>
      </w:r>
      <w:r>
        <w:t xml:space="preserve">term contracts through June 2011 is at $4.17 per million-British </w:t>
      </w:r>
      <w:r w:rsidR="005211C0">
        <w:t xml:space="preserve">Thermal </w:t>
      </w:r>
      <w:r>
        <w:t>Unit</w:t>
      </w:r>
      <w:r w:rsidR="005211C0">
        <w:t xml:space="preserve"> (</w:t>
      </w:r>
      <w:proofErr w:type="spellStart"/>
      <w:r w:rsidR="005211C0">
        <w:t>MMBtu</w:t>
      </w:r>
      <w:proofErr w:type="spellEnd"/>
      <w:r w:rsidR="005211C0">
        <w:t>)</w:t>
      </w:r>
      <w:r>
        <w:t xml:space="preserve">, while the average gas price for the period from July 2011 </w:t>
      </w:r>
      <w:r w:rsidR="00E74647">
        <w:t>to</w:t>
      </w:r>
      <w:r>
        <w:t xml:space="preserve"> March 2012 is approximately $5.55</w:t>
      </w:r>
      <w:r w:rsidRPr="00670A30">
        <w:t xml:space="preserve"> </w:t>
      </w:r>
      <w:r>
        <w:t xml:space="preserve">per </w:t>
      </w:r>
      <w:proofErr w:type="spellStart"/>
      <w:r w:rsidR="005211C0">
        <w:t>MMBtu</w:t>
      </w:r>
      <w:proofErr w:type="spellEnd"/>
      <w:r>
        <w:t xml:space="preserve">.  The impact of the </w:t>
      </w:r>
      <w:r w:rsidR="00053125">
        <w:t xml:space="preserve">expiring </w:t>
      </w:r>
      <w:r>
        <w:t xml:space="preserve">Hermiston fuel contracts increases net power cost by approximately $40 million </w:t>
      </w:r>
      <w:r w:rsidR="00DB3037">
        <w:t xml:space="preserve">on a west control area basis </w:t>
      </w:r>
      <w:r>
        <w:t xml:space="preserve">for the owned and purchased portions combined. </w:t>
      </w:r>
    </w:p>
    <w:p w:rsidR="00DB3037" w:rsidRPr="00DB3037" w:rsidRDefault="00DB3037" w:rsidP="001C01E6">
      <w:pPr>
        <w:pStyle w:val="BodyTextIndent"/>
        <w:rPr>
          <w:b/>
        </w:rPr>
      </w:pPr>
      <w:r>
        <w:rPr>
          <w:b/>
        </w:rPr>
        <w:t>Firm Wheeling Expense Increases</w:t>
      </w:r>
    </w:p>
    <w:p w:rsidR="00D94217" w:rsidRPr="00710D25" w:rsidRDefault="000A258F" w:rsidP="000A258F">
      <w:pPr>
        <w:pStyle w:val="BodyTextIndent"/>
        <w:widowControl w:val="0"/>
        <w:tabs>
          <w:tab w:val="clear" w:pos="720"/>
        </w:tabs>
        <w:ind w:left="0" w:firstLine="0"/>
        <w:jc w:val="left"/>
      </w:pPr>
      <w:r w:rsidRPr="00710D25">
        <w:rPr>
          <w:b/>
        </w:rPr>
        <w:t>Q.</w:t>
      </w:r>
      <w:r w:rsidRPr="00710D25">
        <w:rPr>
          <w:b/>
        </w:rPr>
        <w:tab/>
      </w:r>
      <w:r w:rsidR="00D94217" w:rsidRPr="00710D25">
        <w:rPr>
          <w:b/>
        </w:rPr>
        <w:t xml:space="preserve">What </w:t>
      </w:r>
      <w:r w:rsidR="006E5FF8" w:rsidRPr="00710D25">
        <w:rPr>
          <w:b/>
        </w:rPr>
        <w:t>are</w:t>
      </w:r>
      <w:r w:rsidR="00D94217" w:rsidRPr="00710D25">
        <w:rPr>
          <w:b/>
        </w:rPr>
        <w:t xml:space="preserve"> the primary reason</w:t>
      </w:r>
      <w:r w:rsidR="006E5FF8" w:rsidRPr="00710D25">
        <w:rPr>
          <w:b/>
        </w:rPr>
        <w:t>s</w:t>
      </w:r>
      <w:r w:rsidR="00D94217" w:rsidRPr="00710D25">
        <w:rPr>
          <w:b/>
        </w:rPr>
        <w:t xml:space="preserve"> for the increase in firm wheeling expenses</w:t>
      </w:r>
      <w:r w:rsidR="006E5FF8" w:rsidRPr="00710D25">
        <w:rPr>
          <w:b/>
        </w:rPr>
        <w:t>?</w:t>
      </w:r>
    </w:p>
    <w:p w:rsidR="00DB3037" w:rsidRDefault="00A17D9C" w:rsidP="00A17D9C">
      <w:pPr>
        <w:pStyle w:val="BodyTextIndent"/>
        <w:widowControl w:val="0"/>
        <w:tabs>
          <w:tab w:val="clear" w:pos="720"/>
        </w:tabs>
        <w:jc w:val="left"/>
      </w:pPr>
      <w:r w:rsidRPr="00710D25">
        <w:t>A.</w:t>
      </w:r>
      <w:r w:rsidRPr="00710D25">
        <w:tab/>
      </w:r>
      <w:r w:rsidR="00573641">
        <w:t>One of the primary reasons for the increase in w</w:t>
      </w:r>
      <w:r w:rsidR="00AF1CDC" w:rsidRPr="00710D25">
        <w:t>heeling expenses</w:t>
      </w:r>
      <w:r w:rsidR="00053125">
        <w:t xml:space="preserve"> </w:t>
      </w:r>
      <w:r w:rsidR="00814BD6">
        <w:t>is</w:t>
      </w:r>
      <w:r w:rsidR="00DF3A87" w:rsidRPr="00710D25">
        <w:t xml:space="preserve"> </w:t>
      </w:r>
      <w:r w:rsidR="00710D25" w:rsidRPr="00710D25">
        <w:t>restructured wheeling contracts with BPA</w:t>
      </w:r>
      <w:r w:rsidR="00053125">
        <w:t>.  A</w:t>
      </w:r>
      <w:r w:rsidR="00710D25" w:rsidRPr="00710D25">
        <w:t>fter the</w:t>
      </w:r>
      <w:r w:rsidR="00F76D84" w:rsidRPr="00710D25">
        <w:t xml:space="preserve"> </w:t>
      </w:r>
      <w:r w:rsidR="00710D25" w:rsidRPr="00710D25">
        <w:t>low-</w:t>
      </w:r>
      <w:r w:rsidR="00F76D84" w:rsidRPr="00710D25">
        <w:t>priced formula power transfer (FPT) wheeling contract</w:t>
      </w:r>
      <w:r w:rsidR="00710D25" w:rsidRPr="00710D25">
        <w:t xml:space="preserve">s </w:t>
      </w:r>
      <w:r w:rsidR="00053125">
        <w:t xml:space="preserve">with BPA </w:t>
      </w:r>
      <w:r w:rsidR="00710D25" w:rsidRPr="00710D25">
        <w:t>expired</w:t>
      </w:r>
      <w:r w:rsidR="00053125">
        <w:t>, they were</w:t>
      </w:r>
      <w:r w:rsidR="00710D25" w:rsidRPr="00710D25">
        <w:t xml:space="preserve"> </w:t>
      </w:r>
      <w:r w:rsidR="00F76D84" w:rsidRPr="00710D25">
        <w:t>converted to higher</w:t>
      </w:r>
      <w:r w:rsidR="00710D25" w:rsidRPr="00710D25">
        <w:t>-</w:t>
      </w:r>
      <w:r w:rsidR="00F76D84" w:rsidRPr="00710D25">
        <w:t>priced point-to-point (PTP) contract</w:t>
      </w:r>
      <w:r w:rsidR="00710D25" w:rsidRPr="00710D25">
        <w:t>s</w:t>
      </w:r>
      <w:r w:rsidR="00AF1CDC" w:rsidRPr="00710D25">
        <w:t>.</w:t>
      </w:r>
      <w:r w:rsidR="00F76D84" w:rsidRPr="00710D25">
        <w:t xml:space="preserve"> </w:t>
      </w:r>
      <w:r w:rsidR="00DB3037">
        <w:t>In this case, the Company’s Coos-Curry wheeling contract with BPA</w:t>
      </w:r>
      <w:r w:rsidR="00CD0651">
        <w:t>,</w:t>
      </w:r>
      <w:r w:rsidR="00DB3037">
        <w:t xml:space="preserve"> which was based on BPA’s FPT rate</w:t>
      </w:r>
      <w:r w:rsidR="00CD0651">
        <w:t>,</w:t>
      </w:r>
      <w:r w:rsidR="00DB3037">
        <w:t xml:space="preserve"> expires.  This is a large, flexible wheeling contract that the Company has used to move power throughout the west control area for</w:t>
      </w:r>
      <w:r w:rsidR="00CD0651">
        <w:t xml:space="preserve"> 45 </w:t>
      </w:r>
      <w:r w:rsidR="00DB3037">
        <w:t xml:space="preserve">years.  BPA no longer offers the FPT rate, and requires that all new wheeling contracts be priced at their current PTP rate.  </w:t>
      </w:r>
    </w:p>
    <w:p w:rsidR="003F5660" w:rsidRDefault="00582FE9">
      <w:pPr>
        <w:pStyle w:val="BodyTextIndent"/>
        <w:widowControl w:val="0"/>
        <w:tabs>
          <w:tab w:val="clear" w:pos="720"/>
        </w:tabs>
        <w:ind w:firstLine="720"/>
        <w:jc w:val="left"/>
      </w:pPr>
      <w:r w:rsidRPr="00710D25">
        <w:t xml:space="preserve">Wheeling expenses </w:t>
      </w:r>
      <w:r w:rsidR="00573641">
        <w:t xml:space="preserve">are </w:t>
      </w:r>
      <w:r w:rsidRPr="00710D25">
        <w:t>also increas</w:t>
      </w:r>
      <w:r w:rsidR="00053125">
        <w:t>ing</w:t>
      </w:r>
      <w:r w:rsidRPr="00710D25">
        <w:t xml:space="preserve"> </w:t>
      </w:r>
      <w:r w:rsidR="00573641">
        <w:t xml:space="preserve">due </w:t>
      </w:r>
      <w:r w:rsidRPr="00710D25">
        <w:t xml:space="preserve">to </w:t>
      </w:r>
      <w:r w:rsidR="00710D25" w:rsidRPr="00710D25">
        <w:t xml:space="preserve">the changes made by the </w:t>
      </w:r>
      <w:r w:rsidR="00710D25" w:rsidRPr="00710D25">
        <w:lastRenderedPageBreak/>
        <w:t>Idaho Power Company to modify the wheeling contract associated with delivering generation from the Jim Bridger plant to the Company’s load areas</w:t>
      </w:r>
      <w:r w:rsidR="003175CB">
        <w:t xml:space="preserve"> in the west control area</w:t>
      </w:r>
      <w:r w:rsidR="00814BD6">
        <w:t xml:space="preserve">.  </w:t>
      </w:r>
    </w:p>
    <w:p w:rsidR="003F5660" w:rsidRDefault="00DB3037">
      <w:pPr>
        <w:pStyle w:val="BodyTextIndent"/>
        <w:widowControl w:val="0"/>
        <w:tabs>
          <w:tab w:val="clear" w:pos="720"/>
        </w:tabs>
        <w:ind w:firstLine="720"/>
        <w:jc w:val="left"/>
      </w:pPr>
      <w:r>
        <w:t xml:space="preserve">Finally, </w:t>
      </w:r>
      <w:r w:rsidR="00760380">
        <w:t>BPA’s wind integration charge has increased significantly since the 2009 Rate Case</w:t>
      </w:r>
      <w:r w:rsidR="00573641">
        <w:t xml:space="preserve">.  In the 2009 Rate Case, this charge was included in the wind integration charge category of net power costs at $0.68 per kilowatt-month (kW-month).  </w:t>
      </w:r>
      <w:r w:rsidR="004A4425">
        <w:t>The BPA wind integration charge is on</w:t>
      </w:r>
      <w:r w:rsidR="004B66C9">
        <w:t>e</w:t>
      </w:r>
      <w:r w:rsidR="004A4425">
        <w:t xml:space="preserve"> of BPA’s transmission charges and the Company books these charges to a wheeling account. </w:t>
      </w:r>
      <w:r w:rsidR="00CF6267">
        <w:t xml:space="preserve"> </w:t>
      </w:r>
      <w:r w:rsidR="006A033F">
        <w:t>I</w:t>
      </w:r>
      <w:r w:rsidR="00573641">
        <w:t xml:space="preserve">n </w:t>
      </w:r>
      <w:r w:rsidR="006A033F">
        <w:t>this filing</w:t>
      </w:r>
      <w:r w:rsidR="00573641">
        <w:t xml:space="preserve">, </w:t>
      </w:r>
      <w:r w:rsidR="00EF6141">
        <w:t>the</w:t>
      </w:r>
      <w:r w:rsidR="00102B16">
        <w:t xml:space="preserve"> BPA</w:t>
      </w:r>
      <w:r w:rsidR="00EF6141">
        <w:t xml:space="preserve"> wind integration charge </w:t>
      </w:r>
      <w:r w:rsidR="00760380">
        <w:t xml:space="preserve">has been updated to </w:t>
      </w:r>
      <w:r w:rsidR="00EF6141">
        <w:t xml:space="preserve">$1.29 per </w:t>
      </w:r>
      <w:r w:rsidR="00573641">
        <w:t>kW-month based on the result</w:t>
      </w:r>
      <w:r w:rsidR="00D630BE">
        <w:t>s</w:t>
      </w:r>
      <w:r w:rsidR="00573641">
        <w:t xml:space="preserve"> of BPA’s 2010-2011 transmis</w:t>
      </w:r>
      <w:r w:rsidR="00814BD6">
        <w:t>sion rate case.</w:t>
      </w:r>
      <w:r w:rsidR="00E516B7">
        <w:t xml:space="preserve"> </w:t>
      </w:r>
      <w:r w:rsidR="009A6B4B">
        <w:t xml:space="preserve"> In the current filing, the Company is assuming that BPA’s wind integration charge </w:t>
      </w:r>
      <w:r w:rsidR="006A033F">
        <w:t>and wheeling rates</w:t>
      </w:r>
      <w:r w:rsidR="009A6B4B">
        <w:t xml:space="preserve"> will remain the same beyond BPA’s current rate period that ends in October 2011.</w:t>
      </w:r>
      <w:r w:rsidR="001558E4">
        <w:t xml:space="preserve"> </w:t>
      </w:r>
      <w:r w:rsidR="00CD0651">
        <w:t xml:space="preserve">In </w:t>
      </w:r>
      <w:r w:rsidR="001558E4">
        <w:t>total</w:t>
      </w:r>
      <w:r w:rsidR="00CD0651">
        <w:t xml:space="preserve">, </w:t>
      </w:r>
      <w:r w:rsidR="001558E4">
        <w:t xml:space="preserve">these </w:t>
      </w:r>
      <w:r w:rsidR="00E516B7">
        <w:t>changes increase wheeling expense by</w:t>
      </w:r>
      <w:r w:rsidR="001558E4">
        <w:t xml:space="preserve"> approximately $8.7 million</w:t>
      </w:r>
      <w:r w:rsidR="00D630BE">
        <w:t xml:space="preserve"> on a west control area basis</w:t>
      </w:r>
      <w:r w:rsidR="001558E4">
        <w:t>.</w:t>
      </w:r>
    </w:p>
    <w:p w:rsidR="00180116" w:rsidRDefault="00180116" w:rsidP="00A17D9C">
      <w:pPr>
        <w:pStyle w:val="BodyTextIndent"/>
        <w:widowControl w:val="0"/>
        <w:tabs>
          <w:tab w:val="clear" w:pos="720"/>
        </w:tabs>
        <w:jc w:val="left"/>
        <w:rPr>
          <w:b/>
        </w:rPr>
      </w:pPr>
      <w:r>
        <w:rPr>
          <w:b/>
        </w:rPr>
        <w:t>Q.</w:t>
      </w:r>
      <w:r>
        <w:rPr>
          <w:b/>
        </w:rPr>
        <w:tab/>
        <w:t xml:space="preserve">Has the Company’s wind integration charge </w:t>
      </w:r>
      <w:r w:rsidR="00E27DA3">
        <w:rPr>
          <w:b/>
        </w:rPr>
        <w:t>increased</w:t>
      </w:r>
      <w:r>
        <w:rPr>
          <w:b/>
        </w:rPr>
        <w:t>?</w:t>
      </w:r>
    </w:p>
    <w:p w:rsidR="00661053" w:rsidRDefault="00180116" w:rsidP="005211C0">
      <w:pPr>
        <w:pStyle w:val="BodyTextIndent"/>
        <w:widowControl w:val="0"/>
        <w:tabs>
          <w:tab w:val="clear" w:pos="720"/>
        </w:tabs>
        <w:jc w:val="left"/>
      </w:pPr>
      <w:r>
        <w:t>A.</w:t>
      </w:r>
      <w:r>
        <w:tab/>
        <w:t xml:space="preserve">Yes.  </w:t>
      </w:r>
      <w:r w:rsidR="00D630BE">
        <w:t>In addition to the increase to the BPA wind integration charge discussed above,</w:t>
      </w:r>
      <w:r w:rsidR="004872BD">
        <w:t xml:space="preserve"> wind integration charges for wind resources located in the Company’s control area</w:t>
      </w:r>
      <w:r w:rsidR="00D630BE">
        <w:t xml:space="preserve"> have also increased</w:t>
      </w:r>
      <w:r w:rsidR="004872BD">
        <w:t>.  For the wind resources located in the Company’</w:t>
      </w:r>
      <w:r w:rsidR="00692D41">
        <w:t>s</w:t>
      </w:r>
      <w:r w:rsidR="004872BD">
        <w:t xml:space="preserve"> control area, b</w:t>
      </w:r>
      <w:r>
        <w:t xml:space="preserve">ased on the Company’s 2008 Integrated Resource Plan (IRP), the Company’s wind integration costs have increased from $1.15 </w:t>
      </w:r>
      <w:r w:rsidR="003175CB">
        <w:t xml:space="preserve">per megawatt-hour </w:t>
      </w:r>
      <w:r w:rsidR="0044797B">
        <w:t>(</w:t>
      </w:r>
      <w:proofErr w:type="spellStart"/>
      <w:r w:rsidR="0044797B">
        <w:t>MWh</w:t>
      </w:r>
      <w:proofErr w:type="spellEnd"/>
      <w:r w:rsidR="0044797B">
        <w:t xml:space="preserve">) </w:t>
      </w:r>
      <w:r w:rsidR="003175CB">
        <w:t>in the 2009 Rate C</w:t>
      </w:r>
      <w:r>
        <w:t>ase to approximately $</w:t>
      </w:r>
      <w:r w:rsidR="00A51A08">
        <w:t>6.97</w:t>
      </w:r>
      <w:r>
        <w:t xml:space="preserve"> per </w:t>
      </w:r>
      <w:proofErr w:type="spellStart"/>
      <w:r w:rsidR="0044797B">
        <w:t>MWh</w:t>
      </w:r>
      <w:proofErr w:type="spellEnd"/>
      <w:r w:rsidR="00814BD6">
        <w:t xml:space="preserve">.  </w:t>
      </w:r>
      <w:r w:rsidR="00FC60B1">
        <w:t>The total impact of the change in the Company’s wind integration charge is approximately $7.9 million</w:t>
      </w:r>
      <w:r w:rsidR="00D630BE">
        <w:t xml:space="preserve"> on a west control area basis</w:t>
      </w:r>
      <w:r w:rsidR="00FC60B1">
        <w:t xml:space="preserve">.  I will further discuss the </w:t>
      </w:r>
      <w:r w:rsidR="00FC60B1">
        <w:lastRenderedPageBreak/>
        <w:t xml:space="preserve">wind integration charges later in my testimony.  </w:t>
      </w:r>
    </w:p>
    <w:p w:rsidR="00D630BE" w:rsidRPr="00D630BE" w:rsidRDefault="00D630BE" w:rsidP="005211C0">
      <w:pPr>
        <w:pStyle w:val="BodyTextIndent"/>
        <w:widowControl w:val="0"/>
        <w:tabs>
          <w:tab w:val="clear" w:pos="720"/>
        </w:tabs>
        <w:jc w:val="left"/>
        <w:rPr>
          <w:b/>
        </w:rPr>
      </w:pPr>
      <w:r>
        <w:rPr>
          <w:b/>
        </w:rPr>
        <w:t>Factors Offsetting Net Power Cost Increases</w:t>
      </w:r>
    </w:p>
    <w:p w:rsidR="00D94217" w:rsidRDefault="00D94217" w:rsidP="00451FC2">
      <w:pPr>
        <w:pStyle w:val="BodyTextIndent"/>
        <w:widowControl w:val="0"/>
        <w:tabs>
          <w:tab w:val="clear" w:pos="720"/>
        </w:tabs>
        <w:jc w:val="left"/>
      </w:pPr>
      <w:r>
        <w:rPr>
          <w:b/>
        </w:rPr>
        <w:t>Q.</w:t>
      </w:r>
      <w:r>
        <w:rPr>
          <w:b/>
        </w:rPr>
        <w:tab/>
      </w:r>
      <w:r w:rsidR="00E27DA3">
        <w:rPr>
          <w:b/>
        </w:rPr>
        <w:t>H</w:t>
      </w:r>
      <w:r w:rsidR="003F0B36" w:rsidRPr="003F0B36">
        <w:rPr>
          <w:b/>
        </w:rPr>
        <w:t xml:space="preserve">ave coal costs </w:t>
      </w:r>
      <w:r w:rsidR="00E27DA3">
        <w:rPr>
          <w:b/>
        </w:rPr>
        <w:t>decreased on a net basis</w:t>
      </w:r>
      <w:r w:rsidR="000D3FEB" w:rsidRPr="003F0B36">
        <w:rPr>
          <w:b/>
        </w:rPr>
        <w:t xml:space="preserve"> </w:t>
      </w:r>
      <w:r w:rsidR="0008705C">
        <w:rPr>
          <w:b/>
        </w:rPr>
        <w:t xml:space="preserve">from what was reflected in </w:t>
      </w:r>
      <w:r w:rsidR="00BB43D2">
        <w:rPr>
          <w:b/>
        </w:rPr>
        <w:t>the 200</w:t>
      </w:r>
      <w:r w:rsidR="000D3FEB">
        <w:rPr>
          <w:b/>
        </w:rPr>
        <w:t>9</w:t>
      </w:r>
      <w:r w:rsidR="00BB43D2">
        <w:rPr>
          <w:b/>
        </w:rPr>
        <w:t xml:space="preserve"> Rate Case</w:t>
      </w:r>
      <w:r w:rsidR="003F0B36" w:rsidRPr="003F0B36">
        <w:rPr>
          <w:b/>
        </w:rPr>
        <w:t>?</w:t>
      </w:r>
    </w:p>
    <w:p w:rsidR="00E27DA3" w:rsidRDefault="00FE1B61" w:rsidP="00451FC2">
      <w:pPr>
        <w:pStyle w:val="BodyTextIndent"/>
        <w:widowControl w:val="0"/>
        <w:tabs>
          <w:tab w:val="clear" w:pos="720"/>
        </w:tabs>
        <w:jc w:val="left"/>
      </w:pPr>
      <w:r w:rsidRPr="00AB02F3">
        <w:t>A.</w:t>
      </w:r>
      <w:r>
        <w:tab/>
      </w:r>
      <w:r w:rsidR="00E27DA3">
        <w:t xml:space="preserve">Yes. </w:t>
      </w:r>
      <w:r w:rsidR="00D630BE">
        <w:t>The costs at the Jim Bridger mine have decrease</w:t>
      </w:r>
      <w:r w:rsidR="00E27DA3">
        <w:t>d</w:t>
      </w:r>
      <w:r w:rsidR="00D630BE" w:rsidRPr="007C1056">
        <w:t xml:space="preserve"> </w:t>
      </w:r>
      <w:r w:rsidR="00D630BE">
        <w:t xml:space="preserve">due to increased production and efficiency </w:t>
      </w:r>
      <w:r w:rsidR="00E27DA3">
        <w:t>in</w:t>
      </w:r>
      <w:r w:rsidR="00D630BE">
        <w:t xml:space="preserve"> the underground operation.  Th</w:t>
      </w:r>
      <w:r w:rsidR="00E27DA3">
        <w:t>is</w:t>
      </w:r>
      <w:r w:rsidR="00CF6267">
        <w:t xml:space="preserve"> decrease is</w:t>
      </w:r>
      <w:r w:rsidR="00D630BE">
        <w:t xml:space="preserve"> partially offset by increase</w:t>
      </w:r>
      <w:r w:rsidR="00692D41">
        <w:t>s</w:t>
      </w:r>
      <w:r w:rsidR="00D630BE">
        <w:t xml:space="preserve"> </w:t>
      </w:r>
      <w:r w:rsidR="00E27DA3">
        <w:t>in</w:t>
      </w:r>
      <w:r w:rsidR="00D630BE">
        <w:t xml:space="preserve"> third-party coal contracts. </w:t>
      </w:r>
      <w:r w:rsidR="007C1056">
        <w:t>T</w:t>
      </w:r>
      <w:r w:rsidR="004E55C3">
        <w:t xml:space="preserve">he </w:t>
      </w:r>
      <w:r w:rsidR="007C1056">
        <w:t xml:space="preserve">price of the </w:t>
      </w:r>
      <w:r w:rsidR="004E55C3">
        <w:t xml:space="preserve">contract with the </w:t>
      </w:r>
      <w:r w:rsidR="007C1056">
        <w:t>Black Butte Coal Company to supply additional coal to the Jim Bridger plant has increased</w:t>
      </w:r>
      <w:r w:rsidR="004E55C3">
        <w:t>, which include</w:t>
      </w:r>
      <w:r w:rsidR="007C1056">
        <w:t>s</w:t>
      </w:r>
      <w:r w:rsidR="004E55C3">
        <w:t xml:space="preserve"> the impact of the new </w:t>
      </w:r>
      <w:r w:rsidR="00BB7665">
        <w:t xml:space="preserve">contract </w:t>
      </w:r>
      <w:r w:rsidR="007C1056">
        <w:t xml:space="preserve">for a full year.  The price of </w:t>
      </w:r>
      <w:r w:rsidR="00BB7665">
        <w:t>the</w:t>
      </w:r>
      <w:r w:rsidR="00DB1BF8">
        <w:t xml:space="preserve"> contract</w:t>
      </w:r>
      <w:r w:rsidR="004E55C3">
        <w:t xml:space="preserve"> with the Westmoreland Coal Company to supply coal</w:t>
      </w:r>
      <w:r w:rsidR="00316110">
        <w:t xml:space="preserve"> </w:t>
      </w:r>
      <w:r w:rsidR="00E53CE0">
        <w:t>to</w:t>
      </w:r>
      <w:r w:rsidR="00316110">
        <w:t xml:space="preserve"> Colstrip </w:t>
      </w:r>
      <w:r w:rsidR="00E53CE0">
        <w:t xml:space="preserve">unit </w:t>
      </w:r>
      <w:r w:rsidR="0097412D">
        <w:t>4</w:t>
      </w:r>
      <w:r w:rsidR="007C1056">
        <w:t xml:space="preserve"> has also increased per terms of the contract</w:t>
      </w:r>
      <w:r w:rsidR="00814BD6">
        <w:t xml:space="preserve">.  </w:t>
      </w:r>
      <w:r w:rsidR="00D630BE">
        <w:t xml:space="preserve">In total, the </w:t>
      </w:r>
      <w:r w:rsidR="00E27DA3">
        <w:t xml:space="preserve">net </w:t>
      </w:r>
      <w:r w:rsidR="00D630BE">
        <w:t>reduction to net power costs associated with coal costs is approximately $</w:t>
      </w:r>
      <w:r w:rsidR="00E27DA3">
        <w:t xml:space="preserve">3.3 </w:t>
      </w:r>
      <w:r w:rsidR="00D630BE">
        <w:t>million on a west control area basis.</w:t>
      </w:r>
      <w:r w:rsidR="007C1056">
        <w:t xml:space="preserve"> </w:t>
      </w:r>
    </w:p>
    <w:p w:rsidR="00460645" w:rsidRDefault="00460645" w:rsidP="00451FC2">
      <w:pPr>
        <w:pStyle w:val="BodyTextIndent"/>
        <w:widowControl w:val="0"/>
        <w:tabs>
          <w:tab w:val="clear" w:pos="720"/>
        </w:tabs>
        <w:jc w:val="left"/>
        <w:rPr>
          <w:b/>
        </w:rPr>
      </w:pPr>
      <w:r>
        <w:rPr>
          <w:b/>
        </w:rPr>
        <w:t>Q.</w:t>
      </w:r>
      <w:r>
        <w:rPr>
          <w:b/>
        </w:rPr>
        <w:tab/>
        <w:t>Has the Company assumed th</w:t>
      </w:r>
      <w:r w:rsidR="00D630BE">
        <w:rPr>
          <w:b/>
        </w:rPr>
        <w:t>at</w:t>
      </w:r>
      <w:r>
        <w:rPr>
          <w:b/>
        </w:rPr>
        <w:t xml:space="preserve"> </w:t>
      </w:r>
      <w:r w:rsidR="00D630BE">
        <w:rPr>
          <w:b/>
        </w:rPr>
        <w:t xml:space="preserve">the </w:t>
      </w:r>
      <w:r>
        <w:rPr>
          <w:b/>
        </w:rPr>
        <w:t xml:space="preserve">operation of the Condit dam will </w:t>
      </w:r>
      <w:r w:rsidR="00FA4060">
        <w:rPr>
          <w:b/>
        </w:rPr>
        <w:t>continue through the end of the test period?</w:t>
      </w:r>
    </w:p>
    <w:p w:rsidR="001558E4" w:rsidRDefault="00FA4060" w:rsidP="00451FC2">
      <w:pPr>
        <w:pStyle w:val="BodyTextIndent"/>
        <w:widowControl w:val="0"/>
        <w:tabs>
          <w:tab w:val="clear" w:pos="720"/>
        </w:tabs>
        <w:jc w:val="left"/>
      </w:pPr>
      <w:r>
        <w:t>A.</w:t>
      </w:r>
      <w:r>
        <w:tab/>
        <w:t xml:space="preserve">Yes.  </w:t>
      </w:r>
      <w:r w:rsidRPr="00FA4060">
        <w:t>The Condit dam</w:t>
      </w:r>
      <w:r w:rsidR="00E53CE0">
        <w:t xml:space="preserve"> on the White Salmon River in southern Washington</w:t>
      </w:r>
      <w:r w:rsidRPr="00FA4060">
        <w:t xml:space="preserve"> is currently targeted to be decommissioned as soon as October 201</w:t>
      </w:r>
      <w:r w:rsidR="00E53CE0">
        <w:t>1</w:t>
      </w:r>
      <w:r w:rsidRPr="00FA4060">
        <w:t>.  Due to the uncertainty around obtaining various licenses in time to proceed in October 201</w:t>
      </w:r>
      <w:r w:rsidR="00E53CE0">
        <w:t>1</w:t>
      </w:r>
      <w:r w:rsidRPr="00FA4060">
        <w:t>, the Company has assumed that the dam will be in o</w:t>
      </w:r>
      <w:r>
        <w:t>peration through March 2012</w:t>
      </w:r>
      <w:r w:rsidRPr="00FA4060">
        <w:t xml:space="preserve">.  </w:t>
      </w:r>
      <w:r w:rsidR="00D630BE">
        <w:t>I</w:t>
      </w:r>
      <w:r w:rsidR="00D630BE" w:rsidRPr="00FA4060">
        <w:t>f more definitive information i</w:t>
      </w:r>
      <w:r w:rsidR="00D630BE">
        <w:t>s</w:t>
      </w:r>
      <w:r w:rsidR="00D630BE" w:rsidRPr="00FA4060">
        <w:t xml:space="preserve"> known </w:t>
      </w:r>
      <w:r w:rsidR="00D630BE">
        <w:t>during this proceeding</w:t>
      </w:r>
      <w:r w:rsidR="00D630BE" w:rsidRPr="00FA4060">
        <w:t xml:space="preserve">, then the Company will revise </w:t>
      </w:r>
      <w:r w:rsidR="00D630BE">
        <w:t>net power costs</w:t>
      </w:r>
      <w:r w:rsidR="00D630BE" w:rsidRPr="00FA4060">
        <w:t xml:space="preserve"> accordingly</w:t>
      </w:r>
      <w:r w:rsidR="00D630BE">
        <w:t xml:space="preserve"> in its rebuttal filing.</w:t>
      </w:r>
      <w:r w:rsidR="00D630BE" w:rsidRPr="00FA4060">
        <w:t xml:space="preserve"> </w:t>
      </w:r>
      <w:r w:rsidR="00E87BF4">
        <w:t xml:space="preserve"> </w:t>
      </w:r>
      <w:r w:rsidR="00D630BE">
        <w:t>I</w:t>
      </w:r>
      <w:r w:rsidR="00E87BF4">
        <w:t>f</w:t>
      </w:r>
      <w:r w:rsidR="00D630BE">
        <w:t xml:space="preserve"> not</w:t>
      </w:r>
      <w:r w:rsidRPr="00FA4060">
        <w:t xml:space="preserve">, the Company reserves the right to apply for a deferral of the increase to </w:t>
      </w:r>
      <w:r w:rsidR="006C1AC3">
        <w:t>net power costs</w:t>
      </w:r>
      <w:r w:rsidRPr="00FA4060">
        <w:t xml:space="preserve"> that would result if the Company successfully obtains all the necessary permits and </w:t>
      </w:r>
      <w:r w:rsidRPr="00FA4060">
        <w:lastRenderedPageBreak/>
        <w:t>begins decommissioning the</w:t>
      </w:r>
      <w:r>
        <w:t xml:space="preserve"> facility before </w:t>
      </w:r>
      <w:r w:rsidR="0013152D">
        <w:t>March 31, 2012</w:t>
      </w:r>
      <w:r w:rsidRPr="00FA4060">
        <w:t xml:space="preserve">.  </w:t>
      </w:r>
    </w:p>
    <w:p w:rsidR="00A930A4" w:rsidRDefault="001558E4" w:rsidP="001558E4">
      <w:pPr>
        <w:pStyle w:val="BodyTextIndent"/>
        <w:widowControl w:val="0"/>
        <w:tabs>
          <w:tab w:val="clear" w:pos="720"/>
        </w:tabs>
        <w:jc w:val="left"/>
        <w:rPr>
          <w:b/>
        </w:rPr>
      </w:pPr>
      <w:r>
        <w:rPr>
          <w:b/>
        </w:rPr>
        <w:t>Q.</w:t>
      </w:r>
      <w:r>
        <w:rPr>
          <w:b/>
        </w:rPr>
        <w:tab/>
      </w:r>
      <w:r w:rsidR="00A930A4">
        <w:rPr>
          <w:b/>
        </w:rPr>
        <w:t xml:space="preserve">Is the load in the </w:t>
      </w:r>
      <w:r w:rsidR="00CF6267">
        <w:rPr>
          <w:b/>
        </w:rPr>
        <w:t>pro forma</w:t>
      </w:r>
      <w:r w:rsidR="00A930A4">
        <w:rPr>
          <w:b/>
        </w:rPr>
        <w:t xml:space="preserve"> period lower in this filing?</w:t>
      </w:r>
    </w:p>
    <w:p w:rsidR="00A930A4" w:rsidRDefault="001558E4" w:rsidP="001558E4">
      <w:pPr>
        <w:pStyle w:val="BodyTextIndent"/>
        <w:widowControl w:val="0"/>
        <w:tabs>
          <w:tab w:val="clear" w:pos="720"/>
        </w:tabs>
        <w:jc w:val="left"/>
      </w:pPr>
      <w:r>
        <w:t>A.</w:t>
      </w:r>
      <w:r>
        <w:tab/>
        <w:t xml:space="preserve">Yes.  </w:t>
      </w:r>
      <w:r w:rsidR="00A930A4">
        <w:t xml:space="preserve">Compared with what </w:t>
      </w:r>
      <w:r w:rsidR="00A3300F">
        <w:t xml:space="preserve">was </w:t>
      </w:r>
      <w:r w:rsidR="00A930A4">
        <w:t xml:space="preserve">included in the Company’s 2009 </w:t>
      </w:r>
      <w:r w:rsidR="00A3300F">
        <w:t>Rate Case</w:t>
      </w:r>
      <w:r w:rsidR="00A930A4">
        <w:t xml:space="preserve">, the load forecast in the west control area is lower by approximately 650,000 </w:t>
      </w:r>
      <w:proofErr w:type="spellStart"/>
      <w:r w:rsidR="0044797B">
        <w:t>MWh</w:t>
      </w:r>
      <w:proofErr w:type="spellEnd"/>
      <w:r w:rsidR="00A930A4">
        <w:t>, or approximately three percent.  Holding everything else constant, lower load lead</w:t>
      </w:r>
      <w:r w:rsidR="00A3300F">
        <w:t>s</w:t>
      </w:r>
      <w:r w:rsidR="00A930A4">
        <w:t xml:space="preserve"> to </w:t>
      </w:r>
      <w:r w:rsidR="00A3300F">
        <w:t xml:space="preserve">lower market </w:t>
      </w:r>
      <w:r w:rsidR="00A930A4">
        <w:t>purchases</w:t>
      </w:r>
      <w:r w:rsidR="006C1AC3">
        <w:t>, reduced</w:t>
      </w:r>
      <w:r w:rsidR="00A930A4">
        <w:t xml:space="preserve"> generation or more sales to the market</w:t>
      </w:r>
      <w:r w:rsidR="006C1AC3">
        <w:t>, all of which lower net power costs</w:t>
      </w:r>
      <w:r w:rsidR="00A930A4">
        <w:t>.</w:t>
      </w:r>
    </w:p>
    <w:p w:rsidR="00A930A4" w:rsidRDefault="00A930A4" w:rsidP="00A930A4">
      <w:pPr>
        <w:pStyle w:val="BodyTextIndent"/>
        <w:widowControl w:val="0"/>
        <w:tabs>
          <w:tab w:val="clear" w:pos="720"/>
        </w:tabs>
        <w:jc w:val="left"/>
        <w:rPr>
          <w:b/>
        </w:rPr>
      </w:pPr>
      <w:r>
        <w:rPr>
          <w:b/>
        </w:rPr>
        <w:t>Q.</w:t>
      </w:r>
      <w:r>
        <w:rPr>
          <w:b/>
        </w:rPr>
        <w:tab/>
        <w:t>Are</w:t>
      </w:r>
      <w:r w:rsidR="0044797B">
        <w:rPr>
          <w:b/>
        </w:rPr>
        <w:t xml:space="preserve"> there</w:t>
      </w:r>
      <w:r>
        <w:rPr>
          <w:b/>
        </w:rPr>
        <w:t xml:space="preserve"> any other factors that offset the increases in the Company’s net power costs?</w:t>
      </w:r>
    </w:p>
    <w:p w:rsidR="00FA4060" w:rsidRPr="001558E4" w:rsidRDefault="00A930A4" w:rsidP="001558E4">
      <w:pPr>
        <w:pStyle w:val="BodyTextIndent"/>
        <w:widowControl w:val="0"/>
        <w:tabs>
          <w:tab w:val="clear" w:pos="720"/>
        </w:tabs>
        <w:jc w:val="left"/>
        <w:rPr>
          <w:b/>
        </w:rPr>
      </w:pPr>
      <w:r>
        <w:t>A.</w:t>
      </w:r>
      <w:r>
        <w:tab/>
        <w:t xml:space="preserve">Yes.  </w:t>
      </w:r>
      <w:r w:rsidR="001541C6">
        <w:t>The net power cost calculation in the current filing uses t</w:t>
      </w:r>
      <w:r w:rsidR="001558E4">
        <w:t>he</w:t>
      </w:r>
      <w:r w:rsidR="001558E4" w:rsidRPr="001558E4">
        <w:t xml:space="preserve"> </w:t>
      </w:r>
      <w:r w:rsidR="001541C6">
        <w:t xml:space="preserve">Company’s most recently available official forward price curve.  </w:t>
      </w:r>
      <w:r w:rsidR="006C1AC3">
        <w:t xml:space="preserve">This curve reflects lower forward prices than the curve used in filing the Company’s 2009 Rate Case. </w:t>
      </w:r>
      <w:r w:rsidR="001541C6">
        <w:t>Consistent with the Commission practice, the Company will update to the then</w:t>
      </w:r>
      <w:r w:rsidR="00940181">
        <w:t>-</w:t>
      </w:r>
      <w:r w:rsidR="001541C6">
        <w:t>most recent</w:t>
      </w:r>
      <w:r w:rsidR="00940181">
        <w:t>ly</w:t>
      </w:r>
      <w:r w:rsidR="001541C6">
        <w:t xml:space="preserve"> available prices in its rebuttal filing.</w:t>
      </w:r>
    </w:p>
    <w:p w:rsidR="00707EDD" w:rsidRPr="0018794F" w:rsidRDefault="00707EDD" w:rsidP="00707EDD">
      <w:pPr>
        <w:pStyle w:val="BodyTextIndent"/>
        <w:widowControl w:val="0"/>
        <w:tabs>
          <w:tab w:val="clear" w:pos="720"/>
        </w:tabs>
        <w:jc w:val="left"/>
        <w:rPr>
          <w:b/>
        </w:rPr>
      </w:pPr>
      <w:r w:rsidRPr="0018794F">
        <w:rPr>
          <w:b/>
        </w:rPr>
        <w:t>Determination of Net Power Costs</w:t>
      </w:r>
    </w:p>
    <w:p w:rsidR="00707EDD" w:rsidRDefault="00707EDD" w:rsidP="00873750">
      <w:pPr>
        <w:pStyle w:val="BodyTextIndent2"/>
        <w:numPr>
          <w:ilvl w:val="0"/>
          <w:numId w:val="3"/>
        </w:numPr>
        <w:tabs>
          <w:tab w:val="left" w:pos="720"/>
        </w:tabs>
        <w:rPr>
          <w:b/>
        </w:rPr>
      </w:pPr>
      <w:r>
        <w:rPr>
          <w:b/>
        </w:rPr>
        <w:t>Please explain net power costs.</w:t>
      </w:r>
    </w:p>
    <w:p w:rsidR="00707EDD" w:rsidRDefault="00707EDD" w:rsidP="00707EDD">
      <w:pPr>
        <w:pStyle w:val="BodyTextIndent2"/>
        <w:tabs>
          <w:tab w:val="clear" w:pos="720"/>
        </w:tabs>
        <w:rPr>
          <w:b/>
        </w:rPr>
      </w:pPr>
      <w:r w:rsidRPr="00AB02F3">
        <w:t>A.</w:t>
      </w:r>
      <w:r>
        <w:rPr>
          <w:b/>
        </w:rPr>
        <w:tab/>
      </w:r>
      <w:r>
        <w:t xml:space="preserve">Net power costs are defined as the sum of fuel expenses, wholesale purchase power expenses and wheeling expenses, less wholesale sales revenue. </w:t>
      </w:r>
    </w:p>
    <w:p w:rsidR="00707EDD" w:rsidRDefault="00707EDD" w:rsidP="00707EDD">
      <w:pPr>
        <w:pStyle w:val="BodyText2"/>
        <w:widowControl w:val="0"/>
        <w:ind w:left="720" w:hanging="720"/>
        <w:rPr>
          <w:szCs w:val="24"/>
        </w:rPr>
      </w:pPr>
      <w:r>
        <w:rPr>
          <w:b/>
        </w:rPr>
        <w:t>Q.</w:t>
      </w:r>
      <w:r>
        <w:rPr>
          <w:b/>
        </w:rPr>
        <w:tab/>
      </w:r>
      <w:r>
        <w:rPr>
          <w:b/>
          <w:szCs w:val="24"/>
        </w:rPr>
        <w:t xml:space="preserve">Please explain how the Company calculated </w:t>
      </w:r>
      <w:r w:rsidR="00426076">
        <w:rPr>
          <w:b/>
          <w:szCs w:val="24"/>
        </w:rPr>
        <w:t>pro</w:t>
      </w:r>
      <w:r w:rsidR="0044797B">
        <w:rPr>
          <w:b/>
          <w:szCs w:val="24"/>
        </w:rPr>
        <w:t xml:space="preserve"> </w:t>
      </w:r>
      <w:r w:rsidR="00426076">
        <w:rPr>
          <w:b/>
          <w:szCs w:val="24"/>
        </w:rPr>
        <w:t>forma</w:t>
      </w:r>
      <w:r w:rsidRPr="00923519">
        <w:rPr>
          <w:b/>
          <w:szCs w:val="24"/>
        </w:rPr>
        <w:t xml:space="preserve"> </w:t>
      </w:r>
      <w:r>
        <w:rPr>
          <w:b/>
          <w:szCs w:val="24"/>
        </w:rPr>
        <w:t>net power costs</w:t>
      </w:r>
      <w:r w:rsidR="00316D57">
        <w:rPr>
          <w:b/>
          <w:szCs w:val="24"/>
        </w:rPr>
        <w:t xml:space="preserve"> for the </w:t>
      </w:r>
      <w:r w:rsidR="00E87BF4">
        <w:rPr>
          <w:b/>
          <w:szCs w:val="24"/>
        </w:rPr>
        <w:t>twelve</w:t>
      </w:r>
      <w:r w:rsidR="00316D57">
        <w:rPr>
          <w:b/>
          <w:szCs w:val="24"/>
        </w:rPr>
        <w:t>-month period ending March 31, 2012</w:t>
      </w:r>
      <w:r>
        <w:rPr>
          <w:b/>
          <w:szCs w:val="24"/>
        </w:rPr>
        <w:t>.</w:t>
      </w:r>
    </w:p>
    <w:p w:rsidR="00707EDD" w:rsidRPr="0036309E" w:rsidRDefault="00316D57" w:rsidP="00316D57">
      <w:pPr>
        <w:pStyle w:val="BodyTextIndent2"/>
        <w:tabs>
          <w:tab w:val="clear" w:pos="720"/>
        </w:tabs>
        <w:rPr>
          <w:b/>
        </w:rPr>
      </w:pPr>
      <w:r>
        <w:rPr>
          <w:szCs w:val="24"/>
        </w:rPr>
        <w:t>A.</w:t>
      </w:r>
      <w:r>
        <w:rPr>
          <w:szCs w:val="24"/>
        </w:rPr>
        <w:tab/>
      </w:r>
      <w:r w:rsidR="00707EDD">
        <w:rPr>
          <w:szCs w:val="24"/>
        </w:rPr>
        <w:t xml:space="preserve">Net power costs are calculated using the </w:t>
      </w:r>
      <w:r w:rsidR="00451636">
        <w:rPr>
          <w:szCs w:val="24"/>
        </w:rPr>
        <w:t xml:space="preserve">Generation and Regulation Initiatives Decision </w:t>
      </w:r>
      <w:r w:rsidR="002050E7">
        <w:rPr>
          <w:szCs w:val="24"/>
        </w:rPr>
        <w:t xml:space="preserve">tools </w:t>
      </w:r>
      <w:r w:rsidR="00707EDD">
        <w:rPr>
          <w:szCs w:val="24"/>
        </w:rPr>
        <w:t xml:space="preserve">model (GRID).  For each hour in the </w:t>
      </w:r>
      <w:r w:rsidR="00426076">
        <w:rPr>
          <w:szCs w:val="24"/>
        </w:rPr>
        <w:t>pro</w:t>
      </w:r>
      <w:r w:rsidR="00A3300F">
        <w:rPr>
          <w:szCs w:val="24"/>
        </w:rPr>
        <w:t xml:space="preserve"> </w:t>
      </w:r>
      <w:r w:rsidR="00426076">
        <w:rPr>
          <w:szCs w:val="24"/>
        </w:rPr>
        <w:t>forma</w:t>
      </w:r>
      <w:r w:rsidR="00707EDD">
        <w:rPr>
          <w:szCs w:val="24"/>
        </w:rPr>
        <w:t xml:space="preserve"> period the model simulates the operation of the power supply of the Company.</w:t>
      </w:r>
      <w:r w:rsidR="00707EDD">
        <w:t xml:space="preserve"> </w:t>
      </w:r>
    </w:p>
    <w:p w:rsidR="00707EDD" w:rsidRDefault="00707EDD" w:rsidP="00707EDD">
      <w:pPr>
        <w:pStyle w:val="BodyTextIndent2"/>
        <w:rPr>
          <w:b/>
        </w:rPr>
      </w:pPr>
      <w:r>
        <w:rPr>
          <w:b/>
        </w:rPr>
        <w:lastRenderedPageBreak/>
        <w:t>Q.</w:t>
      </w:r>
      <w:r>
        <w:rPr>
          <w:b/>
        </w:rPr>
        <w:tab/>
      </w:r>
      <w:r w:rsidRPr="00795D8B">
        <w:rPr>
          <w:b/>
        </w:rPr>
        <w:t>Is the Company’s general approach to the calculation of net power costs using the GRID model the same in this case as</w:t>
      </w:r>
      <w:r>
        <w:rPr>
          <w:b/>
        </w:rPr>
        <w:t xml:space="preserve"> in the 200</w:t>
      </w:r>
      <w:r w:rsidR="00316D57">
        <w:rPr>
          <w:b/>
        </w:rPr>
        <w:t>9</w:t>
      </w:r>
      <w:r>
        <w:rPr>
          <w:b/>
        </w:rPr>
        <w:t xml:space="preserve"> Rate Case?</w:t>
      </w:r>
    </w:p>
    <w:p w:rsidR="00CF79E3" w:rsidRDefault="00707EDD" w:rsidP="00707EDD">
      <w:pPr>
        <w:tabs>
          <w:tab w:val="left" w:pos="720"/>
        </w:tabs>
        <w:spacing w:line="480" w:lineRule="auto"/>
        <w:ind w:left="720" w:hanging="720"/>
        <w:rPr>
          <w:sz w:val="24"/>
        </w:rPr>
      </w:pPr>
      <w:r>
        <w:rPr>
          <w:sz w:val="24"/>
        </w:rPr>
        <w:t>A.</w:t>
      </w:r>
      <w:r>
        <w:rPr>
          <w:sz w:val="24"/>
        </w:rPr>
        <w:tab/>
        <w:t xml:space="preserve">Yes.  </w:t>
      </w:r>
      <w:r w:rsidR="003175CB">
        <w:rPr>
          <w:sz w:val="24"/>
        </w:rPr>
        <w:t>The Company uses</w:t>
      </w:r>
      <w:r w:rsidRPr="00D5155F">
        <w:rPr>
          <w:sz w:val="24"/>
        </w:rPr>
        <w:t xml:space="preserve"> the GRID model in this case consistent with the </w:t>
      </w:r>
      <w:r w:rsidR="00E53CE0">
        <w:rPr>
          <w:sz w:val="24"/>
        </w:rPr>
        <w:t>2009 Rate C</w:t>
      </w:r>
      <w:r w:rsidRPr="00D5155F">
        <w:rPr>
          <w:sz w:val="24"/>
        </w:rPr>
        <w:t xml:space="preserve">ase.  Because none of the general background on GRID has changed, instead of including GRID background testimony, I have attached that information to my </w:t>
      </w:r>
      <w:r w:rsidR="00CF79E3">
        <w:rPr>
          <w:sz w:val="24"/>
        </w:rPr>
        <w:t>testimony as Exhibit No.__</w:t>
      </w:r>
      <w:proofErr w:type="gramStart"/>
      <w:r w:rsidR="00CF79E3">
        <w:rPr>
          <w:sz w:val="24"/>
        </w:rPr>
        <w:t>_</w:t>
      </w:r>
      <w:r>
        <w:rPr>
          <w:sz w:val="24"/>
        </w:rPr>
        <w:t>(</w:t>
      </w:r>
      <w:proofErr w:type="gramEnd"/>
      <w:r w:rsidR="00A51A08">
        <w:rPr>
          <w:sz w:val="24"/>
        </w:rPr>
        <w:t>GND</w:t>
      </w:r>
      <w:r>
        <w:rPr>
          <w:sz w:val="24"/>
        </w:rPr>
        <w:t>-</w:t>
      </w:r>
      <w:r w:rsidR="008F5156">
        <w:rPr>
          <w:sz w:val="24"/>
        </w:rPr>
        <w:t>2</w:t>
      </w:r>
      <w:r w:rsidRPr="00D5155F">
        <w:rPr>
          <w:sz w:val="24"/>
        </w:rPr>
        <w:t>)</w:t>
      </w:r>
      <w:r>
        <w:rPr>
          <w:sz w:val="24"/>
        </w:rPr>
        <w:t>.  As I discuss below, the Compan</w:t>
      </w:r>
      <w:r w:rsidR="003175CB">
        <w:rPr>
          <w:sz w:val="24"/>
        </w:rPr>
        <w:t>y has made some changes to the inputs to the GRID model</w:t>
      </w:r>
      <w:r>
        <w:rPr>
          <w:sz w:val="24"/>
        </w:rPr>
        <w:t>.</w:t>
      </w:r>
    </w:p>
    <w:p w:rsidR="00707EDD" w:rsidRPr="00CF79E3" w:rsidRDefault="00707EDD" w:rsidP="00707EDD">
      <w:pPr>
        <w:tabs>
          <w:tab w:val="left" w:pos="720"/>
        </w:tabs>
        <w:spacing w:line="480" w:lineRule="auto"/>
        <w:ind w:left="720" w:hanging="720"/>
        <w:rPr>
          <w:sz w:val="24"/>
        </w:rPr>
      </w:pPr>
      <w:r w:rsidRPr="001518D1">
        <w:rPr>
          <w:b/>
          <w:sz w:val="24"/>
          <w:szCs w:val="24"/>
        </w:rPr>
        <w:t>GRID Model Inputs</w:t>
      </w:r>
      <w:r>
        <w:rPr>
          <w:b/>
          <w:sz w:val="24"/>
          <w:szCs w:val="24"/>
        </w:rPr>
        <w:t xml:space="preserve"> and Outputs</w:t>
      </w:r>
    </w:p>
    <w:p w:rsidR="00707EDD" w:rsidRPr="001518D1" w:rsidRDefault="00707EDD" w:rsidP="00707EDD">
      <w:pPr>
        <w:tabs>
          <w:tab w:val="left" w:pos="720"/>
        </w:tabs>
        <w:spacing w:line="480" w:lineRule="auto"/>
        <w:ind w:left="720" w:hanging="720"/>
        <w:rPr>
          <w:b/>
          <w:sz w:val="24"/>
          <w:szCs w:val="24"/>
        </w:rPr>
      </w:pPr>
      <w:r w:rsidRPr="001518D1">
        <w:rPr>
          <w:b/>
          <w:sz w:val="24"/>
          <w:szCs w:val="24"/>
        </w:rPr>
        <w:t>Q.</w:t>
      </w:r>
      <w:r w:rsidRPr="001518D1">
        <w:rPr>
          <w:b/>
          <w:sz w:val="24"/>
          <w:szCs w:val="24"/>
        </w:rPr>
        <w:tab/>
      </w:r>
      <w:r>
        <w:rPr>
          <w:b/>
          <w:sz w:val="24"/>
          <w:szCs w:val="24"/>
        </w:rPr>
        <w:t>Please describe any updated inputs to GRID.</w:t>
      </w:r>
    </w:p>
    <w:p w:rsidR="00707EDD" w:rsidRDefault="00707EDD" w:rsidP="00707EDD">
      <w:pPr>
        <w:tabs>
          <w:tab w:val="left" w:pos="720"/>
        </w:tabs>
        <w:spacing w:line="480" w:lineRule="auto"/>
        <w:ind w:left="720" w:hanging="720"/>
        <w:rPr>
          <w:sz w:val="24"/>
          <w:szCs w:val="24"/>
        </w:rPr>
      </w:pPr>
      <w:r>
        <w:rPr>
          <w:sz w:val="24"/>
          <w:szCs w:val="24"/>
        </w:rPr>
        <w:t>A.</w:t>
      </w:r>
      <w:r>
        <w:rPr>
          <w:sz w:val="24"/>
          <w:szCs w:val="24"/>
        </w:rPr>
        <w:tab/>
        <w:t xml:space="preserve">The inputs to the GRID model have been updated to reflect the information available at the time the net power cost study was prepared for the current filing.  </w:t>
      </w:r>
      <w:r w:rsidR="00FC2181">
        <w:rPr>
          <w:sz w:val="24"/>
          <w:szCs w:val="24"/>
        </w:rPr>
        <w:t>This includes updates to t</w:t>
      </w:r>
      <w:r>
        <w:rPr>
          <w:sz w:val="24"/>
          <w:szCs w:val="24"/>
        </w:rPr>
        <w:t xml:space="preserve">he west control area load, wholesale sales and purchase </w:t>
      </w:r>
      <w:r w:rsidR="00AE1FB1">
        <w:rPr>
          <w:sz w:val="24"/>
          <w:szCs w:val="24"/>
        </w:rPr>
        <w:t xml:space="preserve">contracts </w:t>
      </w:r>
      <w:r w:rsidR="00AE1FB1" w:rsidRPr="00AE1FB1">
        <w:rPr>
          <w:sz w:val="24"/>
          <w:szCs w:val="24"/>
        </w:rPr>
        <w:t>for electricity, natural gas and wheeling, market prices for electricity and natural gas, fuel expenses</w:t>
      </w:r>
      <w:r>
        <w:rPr>
          <w:sz w:val="24"/>
          <w:szCs w:val="24"/>
        </w:rPr>
        <w:t xml:space="preserve">, </w:t>
      </w:r>
      <w:r w:rsidR="00E721D9">
        <w:rPr>
          <w:sz w:val="24"/>
          <w:szCs w:val="24"/>
        </w:rPr>
        <w:t>transmission capability</w:t>
      </w:r>
      <w:r w:rsidR="00AE1FB1">
        <w:rPr>
          <w:sz w:val="24"/>
          <w:szCs w:val="24"/>
        </w:rPr>
        <w:t xml:space="preserve">, </w:t>
      </w:r>
      <w:r w:rsidR="00AE1FB1" w:rsidRPr="00AE1FB1">
        <w:rPr>
          <w:sz w:val="24"/>
          <w:szCs w:val="24"/>
        </w:rPr>
        <w:t xml:space="preserve">characteristics of the Company’s generation facilities, </w:t>
      </w:r>
      <w:r w:rsidR="00FC2181">
        <w:rPr>
          <w:sz w:val="24"/>
          <w:szCs w:val="24"/>
        </w:rPr>
        <w:t xml:space="preserve">and </w:t>
      </w:r>
      <w:r w:rsidR="00AE1FB1" w:rsidRPr="00AE1FB1">
        <w:rPr>
          <w:sz w:val="24"/>
          <w:szCs w:val="24"/>
        </w:rPr>
        <w:t>planned outages and forced outages of the Company’s generation resources</w:t>
      </w:r>
      <w:r>
        <w:rPr>
          <w:sz w:val="24"/>
          <w:szCs w:val="24"/>
        </w:rPr>
        <w:t>.</w:t>
      </w:r>
    </w:p>
    <w:p w:rsidR="00707EDD" w:rsidRPr="001B1889" w:rsidRDefault="00707EDD" w:rsidP="00707EDD">
      <w:pPr>
        <w:tabs>
          <w:tab w:val="left" w:pos="720"/>
        </w:tabs>
        <w:spacing w:line="480" w:lineRule="auto"/>
        <w:ind w:left="720" w:hanging="720"/>
        <w:rPr>
          <w:b/>
          <w:sz w:val="24"/>
          <w:szCs w:val="24"/>
        </w:rPr>
      </w:pPr>
      <w:r w:rsidRPr="001B1889">
        <w:rPr>
          <w:b/>
          <w:sz w:val="24"/>
          <w:szCs w:val="24"/>
        </w:rPr>
        <w:t>Q.</w:t>
      </w:r>
      <w:r w:rsidRPr="001B1889">
        <w:rPr>
          <w:b/>
          <w:sz w:val="24"/>
          <w:szCs w:val="24"/>
        </w:rPr>
        <w:tab/>
        <w:t>What reports does the GRID model produce?</w:t>
      </w:r>
    </w:p>
    <w:p w:rsidR="00814BD6" w:rsidRPr="00814BD6" w:rsidRDefault="00707EDD" w:rsidP="00814BD6">
      <w:pPr>
        <w:tabs>
          <w:tab w:val="left" w:pos="720"/>
        </w:tabs>
        <w:spacing w:line="480" w:lineRule="auto"/>
        <w:ind w:left="720" w:hanging="720"/>
        <w:rPr>
          <w:sz w:val="24"/>
          <w:szCs w:val="24"/>
        </w:rPr>
      </w:pPr>
      <w:r w:rsidRPr="001B1889">
        <w:rPr>
          <w:sz w:val="24"/>
          <w:szCs w:val="24"/>
        </w:rPr>
        <w:t>A.</w:t>
      </w:r>
      <w:r w:rsidRPr="001B1889">
        <w:rPr>
          <w:sz w:val="24"/>
          <w:szCs w:val="24"/>
        </w:rPr>
        <w:tab/>
        <w:t>The major output from the GRID model is the net power cost report. This is attached to my testimony as Exhibit No.__</w:t>
      </w:r>
      <w:proofErr w:type="gramStart"/>
      <w:r w:rsidRPr="001B1889">
        <w:rPr>
          <w:sz w:val="24"/>
          <w:szCs w:val="24"/>
        </w:rPr>
        <w:t>_(</w:t>
      </w:r>
      <w:proofErr w:type="gramEnd"/>
      <w:r w:rsidR="00A51A08">
        <w:rPr>
          <w:sz w:val="24"/>
          <w:szCs w:val="24"/>
        </w:rPr>
        <w:t>GND</w:t>
      </w:r>
      <w:r>
        <w:rPr>
          <w:sz w:val="24"/>
          <w:szCs w:val="24"/>
        </w:rPr>
        <w:t>-</w:t>
      </w:r>
      <w:r w:rsidR="008F5156">
        <w:rPr>
          <w:sz w:val="24"/>
          <w:szCs w:val="24"/>
        </w:rPr>
        <w:t>3</w:t>
      </w:r>
      <w:r w:rsidRPr="001B1889">
        <w:rPr>
          <w:sz w:val="24"/>
          <w:szCs w:val="24"/>
        </w:rPr>
        <w:t xml:space="preserve">).  Additional data with more detailed analyses are also available in hourly, daily, monthly and annual formats by heavy load hours and light load hours. </w:t>
      </w:r>
      <w:r w:rsidR="00814BD6">
        <w:rPr>
          <w:b/>
          <w:sz w:val="24"/>
          <w:szCs w:val="24"/>
        </w:rPr>
        <w:br w:type="page"/>
      </w:r>
    </w:p>
    <w:p w:rsidR="00707EDD" w:rsidRDefault="00707EDD" w:rsidP="00707EDD">
      <w:pPr>
        <w:tabs>
          <w:tab w:val="left" w:pos="720"/>
        </w:tabs>
        <w:spacing w:line="480" w:lineRule="auto"/>
        <w:ind w:left="720" w:hanging="720"/>
        <w:rPr>
          <w:b/>
          <w:sz w:val="24"/>
          <w:szCs w:val="24"/>
        </w:rPr>
      </w:pPr>
      <w:r>
        <w:rPr>
          <w:b/>
          <w:sz w:val="24"/>
          <w:szCs w:val="24"/>
        </w:rPr>
        <w:lastRenderedPageBreak/>
        <w:t>Determination of Net Power Costs on a West Control Area Basis</w:t>
      </w:r>
    </w:p>
    <w:p w:rsidR="00707EDD" w:rsidRDefault="00707EDD" w:rsidP="00707EDD">
      <w:pPr>
        <w:tabs>
          <w:tab w:val="left" w:pos="720"/>
        </w:tabs>
        <w:spacing w:line="480" w:lineRule="auto"/>
        <w:ind w:left="720" w:hanging="720"/>
        <w:rPr>
          <w:b/>
          <w:sz w:val="24"/>
          <w:szCs w:val="24"/>
        </w:rPr>
      </w:pPr>
      <w:r>
        <w:rPr>
          <w:b/>
          <w:sz w:val="24"/>
          <w:szCs w:val="24"/>
        </w:rPr>
        <w:t>Q.</w:t>
      </w:r>
      <w:r>
        <w:rPr>
          <w:b/>
          <w:sz w:val="24"/>
          <w:szCs w:val="24"/>
        </w:rPr>
        <w:tab/>
        <w:t>How does the Company model net power costs for the west control area?</w:t>
      </w:r>
    </w:p>
    <w:p w:rsidR="00707EDD" w:rsidRDefault="00707EDD" w:rsidP="00707EDD">
      <w:pPr>
        <w:tabs>
          <w:tab w:val="left" w:pos="720"/>
        </w:tabs>
        <w:spacing w:line="480" w:lineRule="auto"/>
        <w:ind w:left="720" w:hanging="720"/>
        <w:rPr>
          <w:sz w:val="24"/>
          <w:szCs w:val="24"/>
        </w:rPr>
      </w:pPr>
      <w:r>
        <w:rPr>
          <w:sz w:val="24"/>
          <w:szCs w:val="24"/>
        </w:rPr>
        <w:t>A.</w:t>
      </w:r>
      <w:r>
        <w:rPr>
          <w:sz w:val="24"/>
          <w:szCs w:val="24"/>
        </w:rPr>
        <w:tab/>
      </w:r>
      <w:r w:rsidRPr="007F664D">
        <w:rPr>
          <w:sz w:val="24"/>
          <w:szCs w:val="24"/>
        </w:rPr>
        <w:t>The Company modeled net power costs using the WCA</w:t>
      </w:r>
      <w:r>
        <w:rPr>
          <w:sz w:val="24"/>
          <w:szCs w:val="24"/>
        </w:rPr>
        <w:t xml:space="preserve"> </w:t>
      </w:r>
      <w:r w:rsidR="00692D41">
        <w:rPr>
          <w:sz w:val="24"/>
          <w:szCs w:val="24"/>
        </w:rPr>
        <w:t xml:space="preserve">allocation </w:t>
      </w:r>
      <w:r w:rsidRPr="007F664D">
        <w:rPr>
          <w:sz w:val="24"/>
          <w:szCs w:val="24"/>
        </w:rPr>
        <w:t>methodology adopted in Order 08, Docket UE-061546.</w:t>
      </w:r>
      <w:r>
        <w:rPr>
          <w:sz w:val="24"/>
          <w:szCs w:val="24"/>
        </w:rPr>
        <w:t xml:space="preserve">  The Company has two control areas, east and west, with limited transfers between the two control areas.  Under the WCA allocation method</w:t>
      </w:r>
      <w:r w:rsidR="0044797B">
        <w:rPr>
          <w:sz w:val="24"/>
          <w:szCs w:val="24"/>
        </w:rPr>
        <w:t>ology</w:t>
      </w:r>
      <w:r>
        <w:rPr>
          <w:sz w:val="24"/>
          <w:szCs w:val="24"/>
        </w:rPr>
        <w:t>, only the load and resources in the west control area are taken into consideration.</w:t>
      </w:r>
    </w:p>
    <w:p w:rsidR="00707EDD" w:rsidRPr="00D676AD" w:rsidRDefault="00707EDD" w:rsidP="00CF79E3">
      <w:pPr>
        <w:widowControl w:val="0"/>
        <w:tabs>
          <w:tab w:val="left" w:pos="720"/>
        </w:tabs>
        <w:spacing w:line="480" w:lineRule="auto"/>
        <w:ind w:left="720" w:hanging="720"/>
        <w:rPr>
          <w:b/>
          <w:sz w:val="24"/>
          <w:szCs w:val="24"/>
        </w:rPr>
      </w:pPr>
      <w:r>
        <w:rPr>
          <w:b/>
          <w:sz w:val="24"/>
          <w:szCs w:val="24"/>
        </w:rPr>
        <w:t>Q.</w:t>
      </w:r>
      <w:r>
        <w:rPr>
          <w:b/>
          <w:sz w:val="24"/>
          <w:szCs w:val="24"/>
        </w:rPr>
        <w:tab/>
        <w:t>What are the load obligations in the west control area?</w:t>
      </w:r>
    </w:p>
    <w:p w:rsidR="00707EDD" w:rsidRDefault="00707EDD" w:rsidP="00CF79E3">
      <w:pPr>
        <w:widowControl w:val="0"/>
        <w:tabs>
          <w:tab w:val="left" w:pos="720"/>
        </w:tabs>
        <w:spacing w:line="480" w:lineRule="auto"/>
        <w:ind w:left="720" w:hanging="720"/>
        <w:rPr>
          <w:sz w:val="24"/>
          <w:szCs w:val="24"/>
        </w:rPr>
      </w:pPr>
      <w:r>
        <w:rPr>
          <w:sz w:val="24"/>
          <w:szCs w:val="24"/>
        </w:rPr>
        <w:t>A.</w:t>
      </w:r>
      <w:r>
        <w:rPr>
          <w:sz w:val="24"/>
          <w:szCs w:val="24"/>
        </w:rPr>
        <w:tab/>
        <w:t xml:space="preserve">The load in the west control area is composed of the retail load in the Company’s service territories in the states of </w:t>
      </w:r>
      <w:smartTag w:uri="urn:schemas-microsoft-com:office:smarttags" w:element="State">
        <w:smartTag w:uri="urn:schemas-microsoft-com:office:smarttags" w:element="place">
          <w:r>
            <w:rPr>
              <w:sz w:val="24"/>
              <w:szCs w:val="24"/>
            </w:rPr>
            <w:t>California</w:t>
          </w:r>
        </w:smartTag>
      </w:smartTag>
      <w:r>
        <w:rPr>
          <w:sz w:val="24"/>
          <w:szCs w:val="24"/>
        </w:rPr>
        <w:t xml:space="preserve">, </w:t>
      </w:r>
      <w:smartTag w:uri="urn:schemas-microsoft-com:office:smarttags" w:element="State">
        <w:smartTag w:uri="urn:schemas-microsoft-com:office:smarttags" w:element="place">
          <w:r>
            <w:rPr>
              <w:sz w:val="24"/>
              <w:szCs w:val="24"/>
            </w:rPr>
            <w:t>Oregon</w:t>
          </w:r>
        </w:smartTag>
      </w:smartTag>
      <w:r>
        <w:rPr>
          <w:sz w:val="24"/>
          <w:szCs w:val="24"/>
        </w:rPr>
        <w:t xml:space="preserve"> and </w:t>
      </w:r>
      <w:smartTag w:uri="urn:schemas-microsoft-com:office:smarttags" w:element="State">
        <w:smartTag w:uri="urn:schemas-microsoft-com:office:smarttags" w:element="place">
          <w:r>
            <w:rPr>
              <w:sz w:val="24"/>
              <w:szCs w:val="24"/>
            </w:rPr>
            <w:t>Washington</w:t>
          </w:r>
        </w:smartTag>
      </w:smartTag>
      <w:r>
        <w:rPr>
          <w:sz w:val="24"/>
          <w:szCs w:val="24"/>
        </w:rPr>
        <w:t xml:space="preserve">.  </w:t>
      </w:r>
    </w:p>
    <w:p w:rsidR="00707EDD" w:rsidRPr="00E73E42" w:rsidRDefault="00A95B77" w:rsidP="00707EDD">
      <w:pPr>
        <w:tabs>
          <w:tab w:val="left" w:pos="720"/>
        </w:tabs>
        <w:spacing w:line="480" w:lineRule="auto"/>
        <w:ind w:left="720" w:hanging="720"/>
        <w:rPr>
          <w:b/>
          <w:sz w:val="24"/>
          <w:szCs w:val="24"/>
        </w:rPr>
      </w:pPr>
      <w:r>
        <w:rPr>
          <w:b/>
          <w:sz w:val="24"/>
          <w:szCs w:val="24"/>
        </w:rPr>
        <w:t>Q.</w:t>
      </w:r>
      <w:r>
        <w:rPr>
          <w:b/>
          <w:sz w:val="24"/>
          <w:szCs w:val="24"/>
        </w:rPr>
        <w:tab/>
        <w:t>What are the Company-</w:t>
      </w:r>
      <w:r w:rsidR="00707EDD">
        <w:rPr>
          <w:b/>
          <w:sz w:val="24"/>
          <w:szCs w:val="24"/>
        </w:rPr>
        <w:t>owned resources in the west control area?</w:t>
      </w:r>
    </w:p>
    <w:p w:rsidR="00707EDD" w:rsidRDefault="00707EDD" w:rsidP="00707EDD">
      <w:pPr>
        <w:tabs>
          <w:tab w:val="left" w:pos="720"/>
        </w:tabs>
        <w:spacing w:line="480" w:lineRule="auto"/>
        <w:ind w:left="720" w:hanging="720"/>
        <w:rPr>
          <w:sz w:val="24"/>
          <w:szCs w:val="24"/>
        </w:rPr>
      </w:pPr>
      <w:r>
        <w:rPr>
          <w:sz w:val="24"/>
          <w:szCs w:val="24"/>
        </w:rPr>
        <w:t>A.</w:t>
      </w:r>
      <w:r>
        <w:rPr>
          <w:sz w:val="24"/>
          <w:szCs w:val="24"/>
        </w:rPr>
        <w:tab/>
        <w:t xml:space="preserve">The </w:t>
      </w:r>
      <w:r w:rsidR="00A95B77">
        <w:rPr>
          <w:sz w:val="24"/>
          <w:szCs w:val="24"/>
        </w:rPr>
        <w:t>Company-owned resources in the west control area</w:t>
      </w:r>
      <w:r>
        <w:rPr>
          <w:sz w:val="24"/>
          <w:szCs w:val="24"/>
        </w:rPr>
        <w:t xml:space="preserve"> include:</w:t>
      </w:r>
    </w:p>
    <w:p w:rsidR="003F5660" w:rsidRDefault="00AA2911">
      <w:pPr>
        <w:pStyle w:val="ListParagraph"/>
        <w:numPr>
          <w:ilvl w:val="0"/>
          <w:numId w:val="9"/>
        </w:numPr>
        <w:spacing w:line="480" w:lineRule="auto"/>
        <w:rPr>
          <w:sz w:val="24"/>
          <w:szCs w:val="24"/>
        </w:rPr>
      </w:pPr>
      <w:r w:rsidRPr="00AA2911">
        <w:rPr>
          <w:sz w:val="24"/>
          <w:szCs w:val="24"/>
        </w:rPr>
        <w:t>Hydro resources – facilities on the North Umpqua River and Rogue River in Oregon, Lewis River in Washington, Klamath River in Oregon and California, and other small hydro facilities in the west control area;</w:t>
      </w:r>
    </w:p>
    <w:p w:rsidR="003F5660" w:rsidRDefault="00AA2911">
      <w:pPr>
        <w:pStyle w:val="ListParagraph"/>
        <w:numPr>
          <w:ilvl w:val="0"/>
          <w:numId w:val="9"/>
        </w:numPr>
        <w:spacing w:line="480" w:lineRule="auto"/>
        <w:rPr>
          <w:sz w:val="24"/>
          <w:szCs w:val="24"/>
        </w:rPr>
      </w:pPr>
      <w:r w:rsidRPr="00AA2911">
        <w:rPr>
          <w:sz w:val="24"/>
          <w:szCs w:val="24"/>
        </w:rPr>
        <w:t xml:space="preserve">Wind resources – Leaning Juniper in Oregon, </w:t>
      </w:r>
      <w:proofErr w:type="spellStart"/>
      <w:r w:rsidRPr="00AA2911">
        <w:rPr>
          <w:sz w:val="24"/>
          <w:szCs w:val="24"/>
        </w:rPr>
        <w:t>Goodnoe</w:t>
      </w:r>
      <w:proofErr w:type="spellEnd"/>
      <w:r w:rsidRPr="00AA2911">
        <w:rPr>
          <w:sz w:val="24"/>
          <w:szCs w:val="24"/>
        </w:rPr>
        <w:t xml:space="preserve"> Hills, Marengo I and Marengo II in Washington; and</w:t>
      </w:r>
    </w:p>
    <w:p w:rsidR="003F5660" w:rsidRDefault="00AA2911">
      <w:pPr>
        <w:pStyle w:val="ListParagraph"/>
        <w:numPr>
          <w:ilvl w:val="0"/>
          <w:numId w:val="9"/>
        </w:numPr>
        <w:spacing w:line="480" w:lineRule="auto"/>
        <w:rPr>
          <w:sz w:val="24"/>
          <w:szCs w:val="24"/>
        </w:rPr>
      </w:pPr>
      <w:r w:rsidRPr="00AA2911">
        <w:rPr>
          <w:sz w:val="24"/>
          <w:szCs w:val="24"/>
        </w:rPr>
        <w:t>Thermal resources – Colstrip in Montana, Jim Bridger in Wyoming, Chehalis in Washington and Hermiston in Oregon.</w:t>
      </w:r>
    </w:p>
    <w:p w:rsidR="00707EDD" w:rsidRDefault="00C8486D" w:rsidP="00707EDD">
      <w:pPr>
        <w:tabs>
          <w:tab w:val="left" w:pos="720"/>
        </w:tabs>
        <w:spacing w:line="480" w:lineRule="auto"/>
        <w:ind w:left="720" w:hanging="720"/>
        <w:rPr>
          <w:sz w:val="24"/>
          <w:szCs w:val="24"/>
        </w:rPr>
      </w:pPr>
      <w:r>
        <w:rPr>
          <w:sz w:val="24"/>
          <w:szCs w:val="24"/>
        </w:rPr>
        <w:tab/>
      </w:r>
      <w:r w:rsidR="00707EDD">
        <w:rPr>
          <w:sz w:val="24"/>
          <w:szCs w:val="24"/>
        </w:rPr>
        <w:tab/>
        <w:t xml:space="preserve">The Colstrip and Jim Bridger plants are located outside the geographical area of the three western states.  However, through owned and contracted transmission capabilities, the generation from the two plants is </w:t>
      </w:r>
      <w:r w:rsidR="00A95B77">
        <w:rPr>
          <w:sz w:val="24"/>
          <w:szCs w:val="24"/>
        </w:rPr>
        <w:t xml:space="preserve">electrically </w:t>
      </w:r>
      <w:r w:rsidR="00707EDD">
        <w:rPr>
          <w:sz w:val="24"/>
          <w:szCs w:val="24"/>
        </w:rPr>
        <w:t>interconnected with the Company’s west control area.</w:t>
      </w:r>
    </w:p>
    <w:p w:rsidR="00707EDD" w:rsidRPr="00080323" w:rsidRDefault="00C8486D" w:rsidP="00CF79E3">
      <w:pPr>
        <w:widowControl w:val="0"/>
        <w:tabs>
          <w:tab w:val="left" w:pos="720"/>
        </w:tabs>
        <w:spacing w:line="480" w:lineRule="auto"/>
        <w:ind w:left="720" w:hanging="720"/>
        <w:rPr>
          <w:sz w:val="24"/>
          <w:szCs w:val="24"/>
        </w:rPr>
      </w:pPr>
      <w:r>
        <w:rPr>
          <w:sz w:val="24"/>
          <w:szCs w:val="24"/>
        </w:rPr>
        <w:lastRenderedPageBreak/>
        <w:tab/>
      </w:r>
      <w:r w:rsidR="00707EDD">
        <w:rPr>
          <w:sz w:val="24"/>
          <w:szCs w:val="24"/>
        </w:rPr>
        <w:tab/>
        <w:t>T</w:t>
      </w:r>
      <w:r w:rsidR="00A95B77">
        <w:rPr>
          <w:sz w:val="24"/>
          <w:szCs w:val="24"/>
        </w:rPr>
        <w:t>he Company has shares in two</w:t>
      </w:r>
      <w:r w:rsidR="00707EDD" w:rsidRPr="00080323">
        <w:rPr>
          <w:sz w:val="24"/>
          <w:szCs w:val="24"/>
        </w:rPr>
        <w:t xml:space="preserve"> units of the Colstrip plant.  Because only Colstrip 4 is au</w:t>
      </w:r>
      <w:r w:rsidR="00707EDD">
        <w:rPr>
          <w:sz w:val="24"/>
          <w:szCs w:val="24"/>
        </w:rPr>
        <w:t xml:space="preserve">thorized by the Commission for rate setting purposes in </w:t>
      </w:r>
      <w:smartTag w:uri="urn:schemas-microsoft-com:office:smarttags" w:element="State">
        <w:smartTag w:uri="urn:schemas-microsoft-com:office:smarttags" w:element="place">
          <w:r w:rsidR="00707EDD">
            <w:rPr>
              <w:sz w:val="24"/>
              <w:szCs w:val="24"/>
            </w:rPr>
            <w:t>Washington</w:t>
          </w:r>
        </w:smartTag>
      </w:smartTag>
      <w:r w:rsidR="00707EDD">
        <w:rPr>
          <w:sz w:val="24"/>
          <w:szCs w:val="24"/>
        </w:rPr>
        <w:t xml:space="preserve">, only Colstrip 4 is </w:t>
      </w:r>
      <w:r w:rsidR="00A95B77">
        <w:rPr>
          <w:sz w:val="24"/>
          <w:szCs w:val="24"/>
        </w:rPr>
        <w:t>included in the west control area</w:t>
      </w:r>
      <w:r w:rsidR="00707EDD">
        <w:rPr>
          <w:sz w:val="24"/>
          <w:szCs w:val="24"/>
        </w:rPr>
        <w:t xml:space="preserve"> net power costs.  In addition, because the</w:t>
      </w:r>
      <w:r w:rsidR="00A95B77">
        <w:rPr>
          <w:sz w:val="24"/>
          <w:szCs w:val="24"/>
        </w:rPr>
        <w:t>re is a</w:t>
      </w:r>
      <w:r w:rsidR="00707EDD">
        <w:rPr>
          <w:sz w:val="24"/>
          <w:szCs w:val="24"/>
        </w:rPr>
        <w:t xml:space="preserve"> </w:t>
      </w:r>
      <w:r w:rsidR="00A95B77">
        <w:rPr>
          <w:sz w:val="24"/>
          <w:szCs w:val="24"/>
        </w:rPr>
        <w:t>limitation on</w:t>
      </w:r>
      <w:r w:rsidR="00707EDD">
        <w:rPr>
          <w:sz w:val="24"/>
          <w:szCs w:val="24"/>
        </w:rPr>
        <w:t xml:space="preserve"> transmission c</w:t>
      </w:r>
      <w:r w:rsidR="00A95B77">
        <w:rPr>
          <w:sz w:val="24"/>
          <w:szCs w:val="24"/>
        </w:rPr>
        <w:t>apabilities</w:t>
      </w:r>
      <w:r w:rsidR="00707EDD">
        <w:rPr>
          <w:sz w:val="24"/>
          <w:szCs w:val="24"/>
        </w:rPr>
        <w:t>, the generation from the Jim Bridger plant that can be wheeled int</w:t>
      </w:r>
      <w:r w:rsidR="00A95B77">
        <w:rPr>
          <w:sz w:val="24"/>
          <w:szCs w:val="24"/>
        </w:rPr>
        <w:t>o the west control area is approximately</w:t>
      </w:r>
      <w:r w:rsidR="00707EDD">
        <w:rPr>
          <w:sz w:val="24"/>
          <w:szCs w:val="24"/>
        </w:rPr>
        <w:t xml:space="preserve"> 96 percent of </w:t>
      </w:r>
      <w:r w:rsidR="00A3300F">
        <w:rPr>
          <w:sz w:val="24"/>
          <w:szCs w:val="24"/>
        </w:rPr>
        <w:t xml:space="preserve">the </w:t>
      </w:r>
      <w:r w:rsidR="00707EDD">
        <w:rPr>
          <w:sz w:val="24"/>
          <w:szCs w:val="24"/>
        </w:rPr>
        <w:t>total Jim Bridger capability.</w:t>
      </w:r>
      <w:r w:rsidR="00A95B77">
        <w:rPr>
          <w:sz w:val="24"/>
          <w:szCs w:val="24"/>
        </w:rPr>
        <w:t xml:space="preserve">  As such, the WCA allocation methodology only includes </w:t>
      </w:r>
      <w:r w:rsidR="007B60F9">
        <w:rPr>
          <w:sz w:val="24"/>
          <w:szCs w:val="24"/>
        </w:rPr>
        <w:t xml:space="preserve">approximately </w:t>
      </w:r>
      <w:r w:rsidR="00A95B77">
        <w:rPr>
          <w:sz w:val="24"/>
          <w:szCs w:val="24"/>
        </w:rPr>
        <w:t>96 percent of the costs and output of Jim Bridger.</w:t>
      </w:r>
    </w:p>
    <w:p w:rsidR="00707EDD" w:rsidRDefault="00707EDD" w:rsidP="00707EDD">
      <w:pPr>
        <w:tabs>
          <w:tab w:val="left" w:pos="720"/>
        </w:tabs>
        <w:spacing w:line="480" w:lineRule="auto"/>
        <w:ind w:left="720" w:hanging="720"/>
        <w:rPr>
          <w:b/>
          <w:sz w:val="24"/>
          <w:szCs w:val="24"/>
        </w:rPr>
      </w:pPr>
      <w:r>
        <w:rPr>
          <w:b/>
          <w:sz w:val="24"/>
          <w:szCs w:val="24"/>
        </w:rPr>
        <w:t>Q.</w:t>
      </w:r>
      <w:r>
        <w:rPr>
          <w:b/>
          <w:sz w:val="24"/>
          <w:szCs w:val="24"/>
        </w:rPr>
        <w:tab/>
      </w:r>
      <w:r w:rsidR="00E2634D">
        <w:rPr>
          <w:b/>
          <w:sz w:val="24"/>
          <w:szCs w:val="24"/>
        </w:rPr>
        <w:t>Which</w:t>
      </w:r>
      <w:r>
        <w:rPr>
          <w:b/>
          <w:sz w:val="24"/>
          <w:szCs w:val="24"/>
        </w:rPr>
        <w:t xml:space="preserve"> wholesale purchase </w:t>
      </w:r>
      <w:r w:rsidR="00E2634D">
        <w:rPr>
          <w:b/>
          <w:sz w:val="24"/>
          <w:szCs w:val="24"/>
        </w:rPr>
        <w:t xml:space="preserve">and sales </w:t>
      </w:r>
      <w:r>
        <w:rPr>
          <w:b/>
          <w:sz w:val="24"/>
          <w:szCs w:val="24"/>
        </w:rPr>
        <w:t xml:space="preserve">contracts </w:t>
      </w:r>
      <w:r w:rsidR="00E2634D">
        <w:rPr>
          <w:b/>
          <w:sz w:val="24"/>
          <w:szCs w:val="24"/>
        </w:rPr>
        <w:t xml:space="preserve">are included </w:t>
      </w:r>
      <w:r>
        <w:rPr>
          <w:b/>
          <w:sz w:val="24"/>
          <w:szCs w:val="24"/>
        </w:rPr>
        <w:t>in the west control area?</w:t>
      </w:r>
    </w:p>
    <w:p w:rsidR="00F96DBF" w:rsidRDefault="00707EDD" w:rsidP="00F96DBF">
      <w:pPr>
        <w:widowControl w:val="0"/>
        <w:tabs>
          <w:tab w:val="left" w:pos="720"/>
        </w:tabs>
        <w:spacing w:line="480" w:lineRule="auto"/>
        <w:ind w:left="720" w:hanging="720"/>
        <w:rPr>
          <w:sz w:val="24"/>
          <w:szCs w:val="24"/>
        </w:rPr>
      </w:pPr>
      <w:r w:rsidRPr="00080323">
        <w:rPr>
          <w:sz w:val="24"/>
          <w:szCs w:val="24"/>
        </w:rPr>
        <w:t>A.</w:t>
      </w:r>
      <w:r w:rsidRPr="00080323">
        <w:rPr>
          <w:sz w:val="24"/>
          <w:szCs w:val="24"/>
        </w:rPr>
        <w:tab/>
      </w:r>
      <w:r w:rsidR="00A95B77">
        <w:rPr>
          <w:sz w:val="24"/>
          <w:szCs w:val="24"/>
        </w:rPr>
        <w:t xml:space="preserve"> The west control area</w:t>
      </w:r>
      <w:r>
        <w:rPr>
          <w:sz w:val="24"/>
          <w:szCs w:val="24"/>
        </w:rPr>
        <w:t xml:space="preserve"> net power costs include the Company’s wholesale purchase contracts that have delivery points within the west control area, which include the contracts for the generation from the Mid</w:t>
      </w:r>
      <w:r w:rsidR="00F72BB1">
        <w:rPr>
          <w:sz w:val="24"/>
          <w:szCs w:val="24"/>
        </w:rPr>
        <w:t>-</w:t>
      </w:r>
      <w:r>
        <w:rPr>
          <w:sz w:val="24"/>
          <w:szCs w:val="24"/>
        </w:rPr>
        <w:t xml:space="preserve">Columbia river </w:t>
      </w:r>
      <w:r w:rsidR="00A95B77">
        <w:rPr>
          <w:sz w:val="24"/>
          <w:szCs w:val="24"/>
        </w:rPr>
        <w:t xml:space="preserve">hydro </w:t>
      </w:r>
      <w:r>
        <w:rPr>
          <w:sz w:val="24"/>
          <w:szCs w:val="24"/>
        </w:rPr>
        <w:t>projects.</w:t>
      </w:r>
      <w:r w:rsidR="00E2634D" w:rsidRPr="00E2634D">
        <w:rPr>
          <w:sz w:val="24"/>
          <w:szCs w:val="24"/>
        </w:rPr>
        <w:t xml:space="preserve"> </w:t>
      </w:r>
      <w:r w:rsidR="00CE052F">
        <w:rPr>
          <w:sz w:val="24"/>
          <w:szCs w:val="24"/>
        </w:rPr>
        <w:t>Simil</w:t>
      </w:r>
      <w:r w:rsidR="00CC1C79">
        <w:rPr>
          <w:sz w:val="24"/>
          <w:szCs w:val="24"/>
        </w:rPr>
        <w:t>arl</w:t>
      </w:r>
      <w:r w:rsidR="00CE052F">
        <w:rPr>
          <w:sz w:val="24"/>
          <w:szCs w:val="24"/>
        </w:rPr>
        <w:t>y, t</w:t>
      </w:r>
      <w:r w:rsidR="00E2634D">
        <w:rPr>
          <w:sz w:val="24"/>
          <w:szCs w:val="24"/>
        </w:rPr>
        <w:t xml:space="preserve">he wholesale sales contracts included </w:t>
      </w:r>
      <w:r w:rsidR="00CE052F">
        <w:rPr>
          <w:sz w:val="24"/>
          <w:szCs w:val="24"/>
        </w:rPr>
        <w:t>all</w:t>
      </w:r>
      <w:r w:rsidR="00E2634D">
        <w:rPr>
          <w:sz w:val="24"/>
          <w:szCs w:val="24"/>
        </w:rPr>
        <w:t xml:space="preserve"> have delivery points in the Company’s west control area.</w:t>
      </w:r>
    </w:p>
    <w:p w:rsidR="00707EDD" w:rsidRDefault="00707EDD" w:rsidP="00707EDD">
      <w:pPr>
        <w:tabs>
          <w:tab w:val="left" w:pos="720"/>
        </w:tabs>
        <w:spacing w:line="480" w:lineRule="auto"/>
        <w:ind w:left="720" w:hanging="720"/>
        <w:rPr>
          <w:b/>
          <w:sz w:val="24"/>
          <w:szCs w:val="24"/>
        </w:rPr>
      </w:pPr>
      <w:r>
        <w:rPr>
          <w:b/>
          <w:sz w:val="24"/>
          <w:szCs w:val="24"/>
        </w:rPr>
        <w:t>Q.</w:t>
      </w:r>
      <w:r>
        <w:rPr>
          <w:b/>
          <w:sz w:val="24"/>
          <w:szCs w:val="24"/>
        </w:rPr>
        <w:tab/>
        <w:t>How are the Company’s owned transmission capabili</w:t>
      </w:r>
      <w:r w:rsidR="00A95B77">
        <w:rPr>
          <w:b/>
          <w:sz w:val="24"/>
          <w:szCs w:val="24"/>
        </w:rPr>
        <w:t xml:space="preserve">ties and wheeling contracts </w:t>
      </w:r>
      <w:r>
        <w:rPr>
          <w:b/>
          <w:sz w:val="24"/>
          <w:szCs w:val="24"/>
        </w:rPr>
        <w:t>treated under the WCA allocation method</w:t>
      </w:r>
      <w:r w:rsidR="00692D41">
        <w:rPr>
          <w:b/>
          <w:sz w:val="24"/>
          <w:szCs w:val="24"/>
        </w:rPr>
        <w:t>ology</w:t>
      </w:r>
      <w:r>
        <w:rPr>
          <w:b/>
          <w:sz w:val="24"/>
          <w:szCs w:val="24"/>
        </w:rPr>
        <w:t>?</w:t>
      </w:r>
    </w:p>
    <w:p w:rsidR="00814BD6" w:rsidRPr="00814BD6" w:rsidRDefault="00A95B77" w:rsidP="00814BD6">
      <w:pPr>
        <w:tabs>
          <w:tab w:val="left" w:pos="720"/>
        </w:tabs>
        <w:spacing w:line="480" w:lineRule="auto"/>
        <w:ind w:left="720" w:hanging="720"/>
        <w:rPr>
          <w:sz w:val="24"/>
          <w:szCs w:val="24"/>
        </w:rPr>
      </w:pPr>
      <w:r>
        <w:rPr>
          <w:sz w:val="24"/>
          <w:szCs w:val="24"/>
        </w:rPr>
        <w:t>A.</w:t>
      </w:r>
      <w:r>
        <w:rPr>
          <w:sz w:val="24"/>
          <w:szCs w:val="24"/>
        </w:rPr>
        <w:tab/>
        <w:t>The Company-</w:t>
      </w:r>
      <w:r w:rsidR="00707EDD">
        <w:rPr>
          <w:sz w:val="24"/>
          <w:szCs w:val="24"/>
        </w:rPr>
        <w:t>owned transmission capabilities and the rights from the wheeling contracts with third parties are included in the west control area modeling if they are used to transmit power from and to locations in the west control area.</w:t>
      </w:r>
      <w:r w:rsidR="00814BD6">
        <w:rPr>
          <w:b/>
          <w:sz w:val="24"/>
          <w:szCs w:val="24"/>
        </w:rPr>
        <w:br w:type="page"/>
      </w:r>
    </w:p>
    <w:p w:rsidR="00FC7190" w:rsidRDefault="00FC7190" w:rsidP="00FC7190">
      <w:pPr>
        <w:tabs>
          <w:tab w:val="left" w:pos="720"/>
        </w:tabs>
        <w:spacing w:line="480" w:lineRule="auto"/>
        <w:ind w:left="720" w:hanging="720"/>
        <w:rPr>
          <w:b/>
          <w:sz w:val="24"/>
          <w:szCs w:val="24"/>
        </w:rPr>
      </w:pPr>
      <w:r>
        <w:rPr>
          <w:b/>
          <w:sz w:val="24"/>
          <w:szCs w:val="24"/>
        </w:rPr>
        <w:lastRenderedPageBreak/>
        <w:t>Q.</w:t>
      </w:r>
      <w:r>
        <w:rPr>
          <w:b/>
          <w:sz w:val="24"/>
          <w:szCs w:val="24"/>
        </w:rPr>
        <w:tab/>
        <w:t>Is the WCA net power cost model constructed to include the load obligations, owned resources, wholesale contracts and transmission capabilities as described above?</w:t>
      </w:r>
    </w:p>
    <w:p w:rsidR="00FC7190" w:rsidRPr="00501B1E" w:rsidRDefault="00FC7190" w:rsidP="00FC7190">
      <w:pPr>
        <w:tabs>
          <w:tab w:val="left" w:pos="720"/>
        </w:tabs>
        <w:spacing w:line="480" w:lineRule="auto"/>
        <w:ind w:left="720" w:hanging="720"/>
        <w:rPr>
          <w:i/>
          <w:sz w:val="24"/>
          <w:szCs w:val="24"/>
        </w:rPr>
      </w:pPr>
      <w:r>
        <w:rPr>
          <w:sz w:val="24"/>
          <w:szCs w:val="24"/>
        </w:rPr>
        <w:t>A.</w:t>
      </w:r>
      <w:r>
        <w:rPr>
          <w:sz w:val="24"/>
          <w:szCs w:val="24"/>
        </w:rPr>
        <w:tab/>
        <w:t>Yes.</w:t>
      </w:r>
    </w:p>
    <w:p w:rsidR="003F5660" w:rsidRDefault="000A0753">
      <w:pPr>
        <w:pStyle w:val="BodyTextIndent"/>
        <w:widowControl w:val="0"/>
        <w:ind w:left="0" w:firstLine="0"/>
        <w:rPr>
          <w:b/>
        </w:rPr>
      </w:pPr>
      <w:r w:rsidRPr="000A0753">
        <w:rPr>
          <w:b/>
        </w:rPr>
        <w:t xml:space="preserve">Enhancements to the </w:t>
      </w:r>
      <w:r>
        <w:rPr>
          <w:b/>
        </w:rPr>
        <w:t>Hydro</w:t>
      </w:r>
      <w:r w:rsidRPr="000A0753">
        <w:rPr>
          <w:b/>
        </w:rPr>
        <w:t xml:space="preserve"> Model</w:t>
      </w:r>
      <w:r>
        <w:rPr>
          <w:b/>
        </w:rPr>
        <w:t>ing</w:t>
      </w:r>
    </w:p>
    <w:p w:rsidR="00F41405" w:rsidRDefault="00F41405" w:rsidP="00F41405">
      <w:pPr>
        <w:pStyle w:val="BodyTextIndent"/>
        <w:widowControl w:val="0"/>
        <w:jc w:val="left"/>
        <w:rPr>
          <w:b/>
        </w:rPr>
      </w:pPr>
      <w:r w:rsidRPr="004C2E5B">
        <w:rPr>
          <w:b/>
        </w:rPr>
        <w:t>Q.</w:t>
      </w:r>
      <w:r w:rsidRPr="004C2E5B">
        <w:rPr>
          <w:b/>
        </w:rPr>
        <w:tab/>
        <w:t xml:space="preserve">Please describe the enhancements </w:t>
      </w:r>
      <w:r>
        <w:rPr>
          <w:b/>
        </w:rPr>
        <w:t>to</w:t>
      </w:r>
      <w:r w:rsidRPr="004C2E5B">
        <w:rPr>
          <w:b/>
        </w:rPr>
        <w:t xml:space="preserve"> the hy</w:t>
      </w:r>
      <w:r>
        <w:rPr>
          <w:b/>
        </w:rPr>
        <w:t>dro inputs the Company ma</w:t>
      </w:r>
      <w:r w:rsidR="00CE052F">
        <w:rPr>
          <w:b/>
        </w:rPr>
        <w:t>de</w:t>
      </w:r>
      <w:r w:rsidRPr="004C2E5B">
        <w:rPr>
          <w:b/>
        </w:rPr>
        <w:t xml:space="preserve"> in the filing.</w:t>
      </w:r>
    </w:p>
    <w:p w:rsidR="00F41405" w:rsidRDefault="00F41405" w:rsidP="00F41405">
      <w:pPr>
        <w:pStyle w:val="BodyTextIndent"/>
        <w:widowControl w:val="0"/>
        <w:jc w:val="left"/>
      </w:pPr>
      <w:r>
        <w:t>A.</w:t>
      </w:r>
      <w:r>
        <w:tab/>
        <w:t xml:space="preserve">There are two enhancements to the hydro inputs of the GRID model. The first enhancement is to apply single-year median hydro generation. The second enhancement is to explicitly model the reduced generation related to operating the hydro units for reserve purposes </w:t>
      </w:r>
      <w:r w:rsidR="00355699">
        <w:t>due to</w:t>
      </w:r>
      <w:r>
        <w:t xml:space="preserve"> “motoring” and efficiency losses.</w:t>
      </w:r>
    </w:p>
    <w:p w:rsidR="00F41405" w:rsidRDefault="00F41405" w:rsidP="00F41405">
      <w:pPr>
        <w:tabs>
          <w:tab w:val="left" w:pos="720"/>
        </w:tabs>
        <w:spacing w:line="480" w:lineRule="auto"/>
        <w:ind w:left="720" w:hanging="720"/>
        <w:rPr>
          <w:b/>
          <w:sz w:val="24"/>
          <w:szCs w:val="24"/>
        </w:rPr>
      </w:pPr>
      <w:r>
        <w:rPr>
          <w:b/>
          <w:sz w:val="24"/>
          <w:szCs w:val="24"/>
        </w:rPr>
        <w:t>Q.</w:t>
      </w:r>
      <w:r>
        <w:rPr>
          <w:b/>
          <w:sz w:val="24"/>
          <w:szCs w:val="24"/>
        </w:rPr>
        <w:tab/>
        <w:t>How did the Company model normalized hydro generation in this proceeding?</w:t>
      </w:r>
    </w:p>
    <w:p w:rsidR="00F96DBF" w:rsidRDefault="00F41405" w:rsidP="00F96DBF">
      <w:pPr>
        <w:pStyle w:val="BodyTextIndent"/>
        <w:widowControl w:val="0"/>
        <w:jc w:val="left"/>
        <w:rPr>
          <w:szCs w:val="24"/>
        </w:rPr>
      </w:pPr>
      <w:r w:rsidRPr="00692D41">
        <w:rPr>
          <w:szCs w:val="24"/>
        </w:rPr>
        <w:t>A.</w:t>
      </w:r>
      <w:r w:rsidRPr="00692D41">
        <w:rPr>
          <w:szCs w:val="24"/>
        </w:rPr>
        <w:tab/>
      </w:r>
      <w:r w:rsidR="00CE052F">
        <w:rPr>
          <w:szCs w:val="24"/>
        </w:rPr>
        <w:t>T</w:t>
      </w:r>
      <w:r w:rsidR="00AA2911">
        <w:rPr>
          <w:szCs w:val="24"/>
        </w:rPr>
        <w:t>he Company is proposing to use a single-year median water year developed based on the entire available history of the Company’s hydro facilities, which range from 40 years to 90 years, instead of using the data from 40 individual water years</w:t>
      </w:r>
      <w:r w:rsidR="00692D41">
        <w:rPr>
          <w:szCs w:val="24"/>
        </w:rPr>
        <w:t>.</w:t>
      </w:r>
      <w:r w:rsidR="007C330B" w:rsidRPr="00692D41">
        <w:rPr>
          <w:szCs w:val="24"/>
        </w:rPr>
        <w:t xml:space="preserve">  </w:t>
      </w:r>
    </w:p>
    <w:p w:rsidR="009A6966" w:rsidRDefault="00947054">
      <w:pPr>
        <w:pStyle w:val="BodyTextIndent"/>
        <w:widowControl w:val="0"/>
        <w:jc w:val="left"/>
        <w:rPr>
          <w:b/>
        </w:rPr>
      </w:pPr>
      <w:r>
        <w:rPr>
          <w:b/>
        </w:rPr>
        <w:t>Q.</w:t>
      </w:r>
      <w:r>
        <w:rPr>
          <w:b/>
        </w:rPr>
        <w:tab/>
        <w:t>What is a “single-year median?”</w:t>
      </w:r>
    </w:p>
    <w:p w:rsidR="009A6966" w:rsidRDefault="00947054">
      <w:pPr>
        <w:pStyle w:val="BodyTextIndent"/>
        <w:widowControl w:val="0"/>
        <w:jc w:val="left"/>
      </w:pPr>
      <w:r>
        <w:t>A.</w:t>
      </w:r>
      <w:r>
        <w:tab/>
      </w:r>
      <w:r w:rsidR="000A0753">
        <w:t xml:space="preserve">The single-year median hydro input that the Company uses as </w:t>
      </w:r>
      <w:r w:rsidR="008B3C97">
        <w:t xml:space="preserve">the </w:t>
      </w:r>
      <w:r w:rsidR="000A0753">
        <w:t>input to GRID in</w:t>
      </w:r>
      <w:r w:rsidR="000406D9">
        <w:t xml:space="preserve"> the current proceeding has one </w:t>
      </w:r>
      <w:r w:rsidR="000A0753">
        <w:t xml:space="preserve">year </w:t>
      </w:r>
      <w:r w:rsidR="000406D9">
        <w:t xml:space="preserve">normalized </w:t>
      </w:r>
      <w:r w:rsidR="000A0753">
        <w:t xml:space="preserve">output from </w:t>
      </w:r>
      <w:r w:rsidR="002D2EF0">
        <w:t xml:space="preserve">the </w:t>
      </w:r>
      <w:r w:rsidR="000A0753">
        <w:t>Vista</w:t>
      </w:r>
      <w:r w:rsidR="002D2EF0">
        <w:t xml:space="preserve"> model</w:t>
      </w:r>
      <w:r>
        <w:t>, which is the same model that the Company has utilized in the prior filings to produce normalized hydro generation of the Company’s hydro projects</w:t>
      </w:r>
      <w:r w:rsidR="000A0753">
        <w:t xml:space="preserve">. </w:t>
      </w:r>
      <w:r w:rsidR="007D3CA1">
        <w:t>A description of the model is also included in Exhibit No.__</w:t>
      </w:r>
      <w:proofErr w:type="gramStart"/>
      <w:r w:rsidR="007D3CA1">
        <w:t>_(</w:t>
      </w:r>
      <w:proofErr w:type="gramEnd"/>
      <w:r w:rsidR="007D3CA1">
        <w:t>GND-2</w:t>
      </w:r>
      <w:r w:rsidR="007D3CA1" w:rsidRPr="00D5155F">
        <w:t>)</w:t>
      </w:r>
      <w:r w:rsidR="007D3CA1">
        <w:t xml:space="preserve"> to my </w:t>
      </w:r>
      <w:r w:rsidR="007D3CA1">
        <w:lastRenderedPageBreak/>
        <w:t xml:space="preserve">testimony. </w:t>
      </w:r>
      <w:r w:rsidR="000A0753">
        <w:t>The inputs to Vista include median inflow volumes of the hydro projects from the available water inflow history.</w:t>
      </w:r>
      <w:r>
        <w:t xml:space="preserve"> </w:t>
      </w:r>
      <w:r w:rsidR="000A0753">
        <w:t xml:space="preserve"> The inflow volumes are </w:t>
      </w:r>
      <w:r w:rsidR="00DC1410">
        <w:t>pro-rated</w:t>
      </w:r>
      <w:r w:rsidR="000A0753">
        <w:t xml:space="preserve"> </w:t>
      </w:r>
      <w:r w:rsidR="002D2EF0">
        <w:t xml:space="preserve">daily or </w:t>
      </w:r>
      <w:r w:rsidR="00DC1410">
        <w:t>week</w:t>
      </w:r>
      <w:r w:rsidR="002D2EF0">
        <w:t>ly</w:t>
      </w:r>
      <w:r w:rsidR="00DC1410">
        <w:t xml:space="preserve"> </w:t>
      </w:r>
      <w:r w:rsidR="000A0753">
        <w:t xml:space="preserve">based on </w:t>
      </w:r>
      <w:r w:rsidR="00DC1410">
        <w:t xml:space="preserve">weighting factors derived from </w:t>
      </w:r>
      <w:r w:rsidR="002D2EF0">
        <w:t>corresponding</w:t>
      </w:r>
      <w:r w:rsidR="00DC1410">
        <w:t xml:space="preserve"> median </w:t>
      </w:r>
      <w:r w:rsidR="000A0753">
        <w:t>inflow</w:t>
      </w:r>
      <w:r w:rsidR="00DC1410">
        <w:t>s</w:t>
      </w:r>
      <w:r w:rsidR="000A0753">
        <w:t xml:space="preserve">.  The </w:t>
      </w:r>
      <w:r w:rsidR="00DC1410">
        <w:t xml:space="preserve">annual volume of </w:t>
      </w:r>
      <w:r w:rsidR="000A0753">
        <w:t>stream</w:t>
      </w:r>
      <w:r w:rsidR="00DC1410">
        <w:t xml:space="preserve"> </w:t>
      </w:r>
      <w:r w:rsidR="000A0753">
        <w:t>flow</w:t>
      </w:r>
      <w:r w:rsidR="00DC1410">
        <w:t>s</w:t>
      </w:r>
      <w:r w:rsidR="000A0753">
        <w:t xml:space="preserve"> are </w:t>
      </w:r>
      <w:r w:rsidR="00DC1410">
        <w:t xml:space="preserve">based on </w:t>
      </w:r>
      <w:r w:rsidR="000A0753">
        <w:t>a single year, hence the “</w:t>
      </w:r>
      <w:r w:rsidR="005D27C2">
        <w:t>s</w:t>
      </w:r>
      <w:r w:rsidR="000A0753">
        <w:t>ingle</w:t>
      </w:r>
      <w:r w:rsidR="005D27C2">
        <w:t>-y</w:t>
      </w:r>
      <w:r w:rsidR="000A0753">
        <w:t>ear” reference.</w:t>
      </w:r>
    </w:p>
    <w:p w:rsidR="009A6966" w:rsidRDefault="00EE6085">
      <w:pPr>
        <w:pStyle w:val="BodyTextIndent"/>
        <w:widowControl w:val="0"/>
        <w:jc w:val="left"/>
        <w:rPr>
          <w:b/>
        </w:rPr>
      </w:pPr>
      <w:r w:rsidRPr="00947054">
        <w:rPr>
          <w:b/>
        </w:rPr>
        <w:t>Q.</w:t>
      </w:r>
      <w:r w:rsidRPr="00947054">
        <w:rPr>
          <w:b/>
        </w:rPr>
        <w:tab/>
        <w:t>Please describe how the median hydro forecast is created.</w:t>
      </w:r>
    </w:p>
    <w:p w:rsidR="009A6966" w:rsidRDefault="00EE6085">
      <w:pPr>
        <w:pStyle w:val="BodyTextIndent"/>
        <w:widowControl w:val="0"/>
        <w:jc w:val="left"/>
      </w:pPr>
      <w:r w:rsidRPr="00EE6085">
        <w:t>A.</w:t>
      </w:r>
      <w:r w:rsidRPr="00EE6085">
        <w:tab/>
        <w:t>For run-of-river projects, the single</w:t>
      </w:r>
      <w:r w:rsidR="00947054">
        <w:t>-</w:t>
      </w:r>
      <w:r w:rsidRPr="00EE6085">
        <w:t>year forecast is simply the median generation of the available historical data.  For other river systems with reservoirs and the Mid</w:t>
      </w:r>
      <w:r w:rsidR="00692D41">
        <w:t>-</w:t>
      </w:r>
      <w:r w:rsidRPr="00EE6085">
        <w:t>Columbia projects, the single</w:t>
      </w:r>
      <w:r w:rsidR="00947054">
        <w:t>-</w:t>
      </w:r>
      <w:r w:rsidRPr="00EE6085">
        <w:t xml:space="preserve">year inflow forecast is created based on the average daily or weekly shape and median annual volume of the available historical inflow data, which can range from about </w:t>
      </w:r>
      <w:r w:rsidR="00460645">
        <w:t xml:space="preserve">40 </w:t>
      </w:r>
      <w:r w:rsidRPr="00EE6085">
        <w:t xml:space="preserve">years to about </w:t>
      </w:r>
      <w:r w:rsidR="00460645">
        <w:t>9</w:t>
      </w:r>
      <w:r w:rsidRPr="00EE6085">
        <w:t>0 years depending on the river system.</w:t>
      </w:r>
    </w:p>
    <w:p w:rsidR="007D3CA1" w:rsidRPr="00196E6F" w:rsidRDefault="007D3CA1" w:rsidP="007D3CA1">
      <w:pPr>
        <w:pStyle w:val="BodyTextIndent"/>
        <w:widowControl w:val="0"/>
        <w:jc w:val="left"/>
        <w:rPr>
          <w:b/>
          <w:szCs w:val="24"/>
        </w:rPr>
      </w:pPr>
      <w:r w:rsidRPr="00196E6F">
        <w:rPr>
          <w:b/>
          <w:szCs w:val="24"/>
        </w:rPr>
        <w:t>Q.</w:t>
      </w:r>
      <w:r w:rsidRPr="00196E6F">
        <w:rPr>
          <w:b/>
          <w:szCs w:val="24"/>
        </w:rPr>
        <w:tab/>
        <w:t xml:space="preserve">Why did the Company </w:t>
      </w:r>
      <w:proofErr w:type="gramStart"/>
      <w:r w:rsidRPr="00196E6F">
        <w:rPr>
          <w:b/>
          <w:szCs w:val="24"/>
        </w:rPr>
        <w:t>make</w:t>
      </w:r>
      <w:proofErr w:type="gramEnd"/>
      <w:r w:rsidRPr="00196E6F">
        <w:rPr>
          <w:b/>
          <w:szCs w:val="24"/>
        </w:rPr>
        <w:t xml:space="preserve"> this enhancement to hydro modeling?</w:t>
      </w:r>
    </w:p>
    <w:p w:rsidR="00C0579A" w:rsidRDefault="007D3CA1" w:rsidP="007D3CA1">
      <w:pPr>
        <w:pStyle w:val="BodyTextIndent"/>
        <w:tabs>
          <w:tab w:val="clear" w:pos="720"/>
        </w:tabs>
        <w:jc w:val="left"/>
      </w:pPr>
      <w:r>
        <w:t>A.</w:t>
      </w:r>
      <w:r>
        <w:tab/>
        <w:t>It is transparent and easy to understand and it is consistent with the hydro condition used by the Company for operational planning.  The single-year median captures the most likely generation, rather than generation that may potentially be distorted by unlikely wet or dry years in the 40-water year history.</w:t>
      </w:r>
    </w:p>
    <w:p w:rsidR="004C2E5B" w:rsidRDefault="004C2E5B" w:rsidP="00EE6085">
      <w:pPr>
        <w:pStyle w:val="BodyTextIndent"/>
        <w:widowControl w:val="0"/>
        <w:rPr>
          <w:b/>
        </w:rPr>
      </w:pPr>
      <w:r>
        <w:rPr>
          <w:b/>
        </w:rPr>
        <w:t>Q.</w:t>
      </w:r>
      <w:r>
        <w:rPr>
          <w:b/>
        </w:rPr>
        <w:tab/>
        <w:t>Has the format of hydro generation data as inputs to GRID also changed?</w:t>
      </w:r>
    </w:p>
    <w:p w:rsidR="004C2E5B" w:rsidRPr="004C2E5B" w:rsidRDefault="00EA3370" w:rsidP="00EE6085">
      <w:pPr>
        <w:pStyle w:val="BodyTextIndent"/>
        <w:widowControl w:val="0"/>
      </w:pPr>
      <w:r>
        <w:t>A.</w:t>
      </w:r>
      <w:r>
        <w:tab/>
        <w:t xml:space="preserve">Yes.  </w:t>
      </w:r>
      <w:r w:rsidR="00A26B29">
        <w:t xml:space="preserve">GRID </w:t>
      </w:r>
      <w:r>
        <w:t>now takes the optimally shaped hourly hydro generation directly from the Vista model</w:t>
      </w:r>
      <w:r w:rsidR="004C2E5B">
        <w:t xml:space="preserve">, </w:t>
      </w:r>
      <w:r>
        <w:t>rather than taking in</w:t>
      </w:r>
      <w:r w:rsidR="004C2E5B">
        <w:t xml:space="preserve"> weekly </w:t>
      </w:r>
      <w:r>
        <w:t xml:space="preserve">hydro generation and shaping </w:t>
      </w:r>
      <w:r w:rsidR="005D27C2">
        <w:t xml:space="preserve">it </w:t>
      </w:r>
      <w:r>
        <w:t>into hourly</w:t>
      </w:r>
      <w:r w:rsidR="00FE4588">
        <w:t xml:space="preserve"> hydro generation</w:t>
      </w:r>
      <w:r>
        <w:t xml:space="preserve"> in GRID</w:t>
      </w:r>
      <w:r w:rsidR="004C2E5B">
        <w:t>.</w:t>
      </w:r>
    </w:p>
    <w:p w:rsidR="00EE6085" w:rsidRPr="00947054" w:rsidRDefault="00EE6085" w:rsidP="00EE6085">
      <w:pPr>
        <w:pStyle w:val="BodyTextIndent"/>
        <w:widowControl w:val="0"/>
        <w:rPr>
          <w:b/>
        </w:rPr>
      </w:pPr>
      <w:r w:rsidRPr="00947054">
        <w:rPr>
          <w:b/>
        </w:rPr>
        <w:t>Q.</w:t>
      </w:r>
      <w:r w:rsidRPr="00947054">
        <w:rPr>
          <w:b/>
        </w:rPr>
        <w:tab/>
      </w:r>
      <w:r w:rsidR="00AD0DEC">
        <w:rPr>
          <w:b/>
        </w:rPr>
        <w:t>D</w:t>
      </w:r>
      <w:r w:rsidRPr="00947054">
        <w:rPr>
          <w:b/>
        </w:rPr>
        <w:t xml:space="preserve">oes this </w:t>
      </w:r>
      <w:r w:rsidR="00AD0DEC">
        <w:rPr>
          <w:b/>
        </w:rPr>
        <w:t xml:space="preserve">significantly </w:t>
      </w:r>
      <w:r w:rsidRPr="00947054">
        <w:rPr>
          <w:b/>
        </w:rPr>
        <w:t xml:space="preserve">change the </w:t>
      </w:r>
      <w:r w:rsidR="00AD0DEC">
        <w:rPr>
          <w:b/>
        </w:rPr>
        <w:t>net power costs</w:t>
      </w:r>
      <w:r w:rsidRPr="00947054">
        <w:rPr>
          <w:b/>
        </w:rPr>
        <w:t xml:space="preserve"> in </w:t>
      </w:r>
      <w:r w:rsidR="008C0171">
        <w:rPr>
          <w:b/>
        </w:rPr>
        <w:t>the current filing</w:t>
      </w:r>
      <w:r w:rsidRPr="00947054">
        <w:rPr>
          <w:b/>
        </w:rPr>
        <w:t>?</w:t>
      </w:r>
    </w:p>
    <w:p w:rsidR="00EE6085" w:rsidRPr="00EE6085" w:rsidRDefault="00EE6085" w:rsidP="00EE6085">
      <w:pPr>
        <w:pStyle w:val="BodyTextIndent"/>
        <w:widowControl w:val="0"/>
        <w:tabs>
          <w:tab w:val="clear" w:pos="720"/>
        </w:tabs>
        <w:jc w:val="left"/>
      </w:pPr>
      <w:r w:rsidRPr="00EE6085">
        <w:t>A.</w:t>
      </w:r>
      <w:r w:rsidRPr="00EE6085">
        <w:tab/>
      </w:r>
      <w:r w:rsidR="00AD0DEC">
        <w:t>No.  T</w:t>
      </w:r>
      <w:r w:rsidR="004C2E5B">
        <w:t xml:space="preserve">he net power costs </w:t>
      </w:r>
      <w:r w:rsidR="00AD0DEC">
        <w:t xml:space="preserve">using the single-year median are lower </w:t>
      </w:r>
      <w:r w:rsidR="004C2E5B">
        <w:t xml:space="preserve">by </w:t>
      </w:r>
      <w:r w:rsidR="004C2E5B">
        <w:lastRenderedPageBreak/>
        <w:t>approximately $</w:t>
      </w:r>
      <w:r w:rsidR="00CC1C79">
        <w:t>1.5</w:t>
      </w:r>
      <w:r w:rsidR="00460645">
        <w:t xml:space="preserve"> million </w:t>
      </w:r>
      <w:r w:rsidR="00CB6D43">
        <w:t xml:space="preserve">on a west control area basis </w:t>
      </w:r>
      <w:r w:rsidR="004C2E5B">
        <w:t xml:space="preserve">as compared </w:t>
      </w:r>
      <w:r w:rsidR="00CB6D43">
        <w:t xml:space="preserve">to </w:t>
      </w:r>
      <w:r w:rsidR="004C2E5B">
        <w:t>using the 40-water year hydro generation inputs.</w:t>
      </w:r>
    </w:p>
    <w:p w:rsidR="00E91649" w:rsidRDefault="00E91649" w:rsidP="00451FC2">
      <w:pPr>
        <w:pStyle w:val="BodyTextIndent"/>
        <w:widowControl w:val="0"/>
        <w:tabs>
          <w:tab w:val="clear" w:pos="720"/>
        </w:tabs>
        <w:jc w:val="left"/>
        <w:rPr>
          <w:b/>
        </w:rPr>
      </w:pPr>
      <w:r w:rsidRPr="008C241E">
        <w:rPr>
          <w:b/>
        </w:rPr>
        <w:t>Q.</w:t>
      </w:r>
      <w:r w:rsidRPr="008C241E">
        <w:rPr>
          <w:b/>
        </w:rPr>
        <w:tab/>
      </w:r>
      <w:r w:rsidR="008C241E">
        <w:rPr>
          <w:b/>
        </w:rPr>
        <w:t>Does the single-year median hydro input improve</w:t>
      </w:r>
      <w:r w:rsidRPr="008C241E">
        <w:rPr>
          <w:b/>
        </w:rPr>
        <w:t xml:space="preserve"> the </w:t>
      </w:r>
      <w:r w:rsidR="008C241E">
        <w:rPr>
          <w:b/>
        </w:rPr>
        <w:t xml:space="preserve">efficiency of </w:t>
      </w:r>
      <w:r w:rsidRPr="008C241E">
        <w:rPr>
          <w:b/>
        </w:rPr>
        <w:t>modeling</w:t>
      </w:r>
      <w:r w:rsidR="008C241E">
        <w:rPr>
          <w:b/>
        </w:rPr>
        <w:t xml:space="preserve"> </w:t>
      </w:r>
      <w:r w:rsidRPr="008C241E">
        <w:rPr>
          <w:b/>
        </w:rPr>
        <w:t>net power costs?</w:t>
      </w:r>
    </w:p>
    <w:p w:rsidR="008C241E" w:rsidRPr="00EE6085" w:rsidRDefault="008C241E" w:rsidP="008C241E">
      <w:pPr>
        <w:pStyle w:val="BodyTextIndent"/>
        <w:widowControl w:val="0"/>
        <w:tabs>
          <w:tab w:val="clear" w:pos="720"/>
        </w:tabs>
        <w:jc w:val="left"/>
      </w:pPr>
      <w:r>
        <w:t>A.</w:t>
      </w:r>
      <w:r>
        <w:tab/>
        <w:t xml:space="preserve">Yes.  Using 40-water year hydro inputs requires </w:t>
      </w:r>
      <w:r w:rsidR="00C72F5A">
        <w:t xml:space="preserve">40 Vista runs and </w:t>
      </w:r>
      <w:r>
        <w:t xml:space="preserve">40 GRID runs, </w:t>
      </w:r>
      <w:r w:rsidR="008C0171">
        <w:t>consolidated</w:t>
      </w:r>
      <w:r>
        <w:t xml:space="preserve"> into one single output for the </w:t>
      </w:r>
      <w:r w:rsidR="0044797B">
        <w:t xml:space="preserve">pro forma </w:t>
      </w:r>
      <w:r>
        <w:t>period</w:t>
      </w:r>
      <w:r w:rsidR="008C0171">
        <w:t xml:space="preserve"> using simple averages</w:t>
      </w:r>
      <w:r>
        <w:t>.</w:t>
      </w:r>
      <w:r w:rsidR="008C0171">
        <w:t xml:space="preserve">  </w:t>
      </w:r>
      <w:r w:rsidR="00EA07A3">
        <w:t>The multiple runs may not provide more and b</w:t>
      </w:r>
      <w:r w:rsidR="00E74647">
        <w:t>etter information, but increase</w:t>
      </w:r>
      <w:r w:rsidR="00EA07A3">
        <w:t xml:space="preserve"> the complexity of the modeling and causes the run time to be unnecessarily long</w:t>
      </w:r>
      <w:r w:rsidR="00363A5D">
        <w:t xml:space="preserve"> </w:t>
      </w:r>
      <w:r>
        <w:t xml:space="preserve">  </w:t>
      </w:r>
      <w:r w:rsidR="00363A5D">
        <w:t xml:space="preserve">In contrast, </w:t>
      </w:r>
      <w:r w:rsidR="00EA07A3">
        <w:t xml:space="preserve">the single-year </w:t>
      </w:r>
      <w:r w:rsidRPr="008C241E">
        <w:t xml:space="preserve">median hydro </w:t>
      </w:r>
      <w:r w:rsidR="00C72F5A">
        <w:t>requires only one Vista run and one GRID run</w:t>
      </w:r>
      <w:r w:rsidR="00363A5D">
        <w:t xml:space="preserve">. Given </w:t>
      </w:r>
      <w:r w:rsidRPr="008C241E">
        <w:t xml:space="preserve">the </w:t>
      </w:r>
      <w:r w:rsidR="00622D13">
        <w:t xml:space="preserve">alignment with the Company’s operational practices, the increased transparency and simplicity, and the </w:t>
      </w:r>
      <w:r w:rsidRPr="008C241E">
        <w:t xml:space="preserve">relatively small effect on </w:t>
      </w:r>
      <w:r>
        <w:t>Washington’s</w:t>
      </w:r>
      <w:r w:rsidRPr="008C241E">
        <w:t xml:space="preserve"> revenue requirement, the Company </w:t>
      </w:r>
      <w:r w:rsidR="00F41405">
        <w:t>believes that</w:t>
      </w:r>
      <w:r w:rsidRPr="008C241E">
        <w:t xml:space="preserve"> the use of </w:t>
      </w:r>
      <w:r>
        <w:t xml:space="preserve">the single-year </w:t>
      </w:r>
      <w:r w:rsidRPr="008C241E">
        <w:t xml:space="preserve">median hydro for normalizing hydro generation </w:t>
      </w:r>
      <w:r w:rsidR="00927F63">
        <w:t xml:space="preserve">is appropriate </w:t>
      </w:r>
      <w:r w:rsidRPr="008C241E">
        <w:t>in this proceeding.</w:t>
      </w:r>
    </w:p>
    <w:p w:rsidR="009A6966" w:rsidRDefault="00040B67">
      <w:pPr>
        <w:pStyle w:val="BodyTextIndent"/>
        <w:widowControl w:val="0"/>
        <w:jc w:val="left"/>
        <w:rPr>
          <w:b/>
        </w:rPr>
      </w:pPr>
      <w:r w:rsidRPr="00A26B29">
        <w:rPr>
          <w:b/>
        </w:rPr>
        <w:t>Q</w:t>
      </w:r>
      <w:r w:rsidR="00814BD6">
        <w:rPr>
          <w:b/>
        </w:rPr>
        <w:t xml:space="preserve">.  </w:t>
      </w:r>
      <w:r w:rsidRPr="00A26B29">
        <w:rPr>
          <w:b/>
        </w:rPr>
        <w:t xml:space="preserve"> </w:t>
      </w:r>
      <w:r w:rsidR="00FE4588">
        <w:rPr>
          <w:b/>
        </w:rPr>
        <w:tab/>
      </w:r>
      <w:r w:rsidRPr="00A26B29">
        <w:rPr>
          <w:b/>
        </w:rPr>
        <w:t xml:space="preserve">Please explain the reduction in hydro generation due to motoring for spinning reserves. </w:t>
      </w:r>
    </w:p>
    <w:p w:rsidR="009A6966" w:rsidRDefault="00842DBB">
      <w:pPr>
        <w:pStyle w:val="BodyTextIndent"/>
        <w:widowControl w:val="0"/>
        <w:jc w:val="left"/>
      </w:pPr>
      <w:r>
        <w:t>A</w:t>
      </w:r>
      <w:r w:rsidR="00814BD6">
        <w:t xml:space="preserve">.  </w:t>
      </w:r>
      <w:r>
        <w:t xml:space="preserve"> </w:t>
      </w:r>
      <w:r w:rsidR="00FE4588">
        <w:tab/>
      </w:r>
      <w:r w:rsidR="00040B67">
        <w:t xml:space="preserve">In order to meet spinning reserve requirements, the Company must keep generating resources connected to the </w:t>
      </w:r>
      <w:r w:rsidR="006C74A9">
        <w:t xml:space="preserve">transmission </w:t>
      </w:r>
      <w:r w:rsidR="00040B67">
        <w:t xml:space="preserve">grid and </w:t>
      </w:r>
      <w:r w:rsidR="006C74A9">
        <w:t xml:space="preserve">be </w:t>
      </w:r>
      <w:r w:rsidR="00040B67">
        <w:t xml:space="preserve">responsive to automatic generation control.  One option for providing spinning reserves is to “motor” a unit which means the unit is connected to the grid and spinning with electrical energy rather than with water. </w:t>
      </w:r>
      <w:r w:rsidR="006C74A9">
        <w:t xml:space="preserve"> </w:t>
      </w:r>
      <w:r w:rsidR="004A4425">
        <w:t xml:space="preserve">The Company motors units at both the Swift and Yale hydro projects located on the Lewis River in Washington.  </w:t>
      </w:r>
      <w:r w:rsidR="00040B67">
        <w:t xml:space="preserve">At the Swift </w:t>
      </w:r>
      <w:r w:rsidR="004A4425">
        <w:t>project</w:t>
      </w:r>
      <w:r w:rsidR="00040B67">
        <w:t xml:space="preserve">, the normal amount of energy required to motor a unit is </w:t>
      </w:r>
      <w:r w:rsidR="004A4425">
        <w:lastRenderedPageBreak/>
        <w:t xml:space="preserve">approximately </w:t>
      </w:r>
      <w:r w:rsidR="00040B67">
        <w:t xml:space="preserve">two megawatts. </w:t>
      </w:r>
      <w:r w:rsidR="009A6B4B">
        <w:t xml:space="preserve"> </w:t>
      </w:r>
      <w:proofErr w:type="gramStart"/>
      <w:r w:rsidR="00040B67">
        <w:t>Motoring</w:t>
      </w:r>
      <w:proofErr w:type="gramEnd"/>
      <w:r w:rsidR="00040B67">
        <w:t xml:space="preserve"> the unit with two megawatts of energy provides spinning reserve for the full range of unit output. </w:t>
      </w:r>
      <w:r w:rsidR="009A6B4B">
        <w:t xml:space="preserve"> </w:t>
      </w:r>
      <w:r w:rsidR="00040B67">
        <w:t xml:space="preserve">To spin the unit at minimum load with water would require a flow through the turbine of </w:t>
      </w:r>
      <w:r w:rsidR="004A4425">
        <w:t xml:space="preserve">approximately </w:t>
      </w:r>
      <w:r w:rsidR="00040B67">
        <w:t xml:space="preserve">350 cubic feet per second, which is extremely inefficient and would consume the equivalent of </w:t>
      </w:r>
      <w:r w:rsidR="004A4425">
        <w:t xml:space="preserve">approximately </w:t>
      </w:r>
      <w:r w:rsidR="00040B67">
        <w:t xml:space="preserve">10 megawatts. </w:t>
      </w:r>
      <w:r w:rsidR="009A6B4B">
        <w:t xml:space="preserve"> </w:t>
      </w:r>
      <w:r w:rsidR="00040B67">
        <w:t>Even though motoring consumes energy, it is more efficient and cost-effective than spinning a unit with water.</w:t>
      </w:r>
    </w:p>
    <w:p w:rsidR="009A6966" w:rsidRDefault="00040B67">
      <w:pPr>
        <w:pStyle w:val="BodyTextIndent"/>
        <w:widowControl w:val="0"/>
        <w:jc w:val="left"/>
        <w:rPr>
          <w:b/>
        </w:rPr>
      </w:pPr>
      <w:r w:rsidRPr="006C74A9">
        <w:rPr>
          <w:b/>
        </w:rPr>
        <w:t>Q</w:t>
      </w:r>
      <w:r w:rsidR="00814BD6">
        <w:rPr>
          <w:b/>
        </w:rPr>
        <w:t xml:space="preserve">.  </w:t>
      </w:r>
      <w:r w:rsidRPr="006C74A9">
        <w:rPr>
          <w:b/>
        </w:rPr>
        <w:t xml:space="preserve">   </w:t>
      </w:r>
      <w:r w:rsidR="00FE4588">
        <w:rPr>
          <w:b/>
        </w:rPr>
        <w:tab/>
      </w:r>
      <w:r w:rsidRPr="006C74A9">
        <w:rPr>
          <w:b/>
        </w:rPr>
        <w:t>What are the efficiency losses</w:t>
      </w:r>
      <w:r w:rsidR="00363A5D">
        <w:rPr>
          <w:b/>
        </w:rPr>
        <w:t xml:space="preserve"> </w:t>
      </w:r>
      <w:r w:rsidR="00CC1C79">
        <w:rPr>
          <w:b/>
        </w:rPr>
        <w:t>the Company</w:t>
      </w:r>
      <w:r w:rsidR="00363A5D">
        <w:rPr>
          <w:b/>
        </w:rPr>
        <w:t xml:space="preserve"> propose</w:t>
      </w:r>
      <w:r w:rsidR="00CC1C79">
        <w:rPr>
          <w:b/>
        </w:rPr>
        <w:t>s</w:t>
      </w:r>
      <w:r w:rsidR="00363A5D">
        <w:rPr>
          <w:b/>
        </w:rPr>
        <w:t xml:space="preserve"> to capture in </w:t>
      </w:r>
      <w:r w:rsidR="00CC1C79">
        <w:rPr>
          <w:b/>
        </w:rPr>
        <w:t>its</w:t>
      </w:r>
      <w:r w:rsidR="00363A5D">
        <w:rPr>
          <w:b/>
        </w:rPr>
        <w:t xml:space="preserve"> hydro modeling</w:t>
      </w:r>
      <w:r w:rsidRPr="006C74A9">
        <w:rPr>
          <w:b/>
        </w:rPr>
        <w:t xml:space="preserve">? </w:t>
      </w:r>
    </w:p>
    <w:p w:rsidR="009A6966" w:rsidRDefault="00842DBB">
      <w:pPr>
        <w:pStyle w:val="BodyTextIndent"/>
        <w:widowControl w:val="0"/>
        <w:jc w:val="left"/>
      </w:pPr>
      <w:r>
        <w:t>A</w:t>
      </w:r>
      <w:r w:rsidR="00814BD6">
        <w:t xml:space="preserve">.  </w:t>
      </w:r>
      <w:r w:rsidR="00FE4588">
        <w:tab/>
      </w:r>
      <w:r w:rsidR="00040B67">
        <w:t xml:space="preserve">To provide load following and system regulating requirements, </w:t>
      </w:r>
      <w:r w:rsidR="006C74A9">
        <w:t>the</w:t>
      </w:r>
      <w:r w:rsidR="00040B67">
        <w:t xml:space="preserve"> </w:t>
      </w:r>
      <w:proofErr w:type="spellStart"/>
      <w:r w:rsidR="00040B67">
        <w:t>dispatchable</w:t>
      </w:r>
      <w:proofErr w:type="spellEnd"/>
      <w:r w:rsidR="00040B67">
        <w:t xml:space="preserve"> hydro units at the Swift and Yale </w:t>
      </w:r>
      <w:r w:rsidR="004A4425">
        <w:t xml:space="preserve">projects </w:t>
      </w:r>
      <w:r w:rsidR="00040B67">
        <w:t xml:space="preserve">from time to time operate significantly below peak efficiency.  However, the forecasted hydro generation data from the Vista model is optimized at peak efficiency. </w:t>
      </w:r>
      <w:r w:rsidR="009A6B4B">
        <w:t xml:space="preserve"> </w:t>
      </w:r>
      <w:r w:rsidR="00040B67">
        <w:t xml:space="preserve">The cumulative effect of load following with hydro units is less efficient operations. </w:t>
      </w:r>
      <w:r w:rsidR="009A6B4B">
        <w:t xml:space="preserve"> </w:t>
      </w:r>
      <w:r w:rsidR="00040B67">
        <w:t>In other words, less energy is generated with the same amount of water than would have been generated at peak efficiency.</w:t>
      </w:r>
    </w:p>
    <w:p w:rsidR="00040B67" w:rsidRPr="006C74A9" w:rsidRDefault="00040B67" w:rsidP="00040B67">
      <w:pPr>
        <w:pStyle w:val="BodyTextIndent"/>
        <w:widowControl w:val="0"/>
        <w:rPr>
          <w:b/>
        </w:rPr>
      </w:pPr>
      <w:r w:rsidRPr="006C74A9">
        <w:rPr>
          <w:b/>
        </w:rPr>
        <w:t>Q.</w:t>
      </w:r>
      <w:r w:rsidRPr="006C74A9">
        <w:rPr>
          <w:b/>
        </w:rPr>
        <w:tab/>
        <w:t xml:space="preserve">How does the Company </w:t>
      </w:r>
      <w:proofErr w:type="gramStart"/>
      <w:r w:rsidRPr="006C74A9">
        <w:rPr>
          <w:b/>
        </w:rPr>
        <w:t>adjust</w:t>
      </w:r>
      <w:proofErr w:type="gramEnd"/>
      <w:r w:rsidRPr="006C74A9">
        <w:rPr>
          <w:b/>
        </w:rPr>
        <w:t xml:space="preserve"> for the lost generation?</w:t>
      </w:r>
    </w:p>
    <w:p w:rsidR="000613E5" w:rsidRDefault="00040B67" w:rsidP="00040B67">
      <w:pPr>
        <w:pStyle w:val="BodyTextIndent"/>
        <w:widowControl w:val="0"/>
        <w:tabs>
          <w:tab w:val="clear" w:pos="720"/>
        </w:tabs>
        <w:jc w:val="left"/>
      </w:pPr>
      <w:r>
        <w:t>A.</w:t>
      </w:r>
      <w:r>
        <w:tab/>
        <w:t xml:space="preserve">The lost generation from the </w:t>
      </w:r>
      <w:r w:rsidR="00E84ED9">
        <w:t>Swift and Yale projects</w:t>
      </w:r>
      <w:r>
        <w:t xml:space="preserve"> is </w:t>
      </w:r>
      <w:r w:rsidR="006C74A9">
        <w:t xml:space="preserve">deducted from </w:t>
      </w:r>
      <w:r w:rsidR="00842DBB">
        <w:t>its</w:t>
      </w:r>
      <w:r w:rsidR="006C74A9">
        <w:t xml:space="preserve"> optimized generation</w:t>
      </w:r>
      <w:r>
        <w:t>.  The amount of the adjustment is based on 200</w:t>
      </w:r>
      <w:r w:rsidR="006C74A9">
        <w:t>9</w:t>
      </w:r>
      <w:r>
        <w:t xml:space="preserve"> historical information.</w:t>
      </w:r>
    </w:p>
    <w:p w:rsidR="008C0171" w:rsidRPr="00FE4588" w:rsidRDefault="00FE4588" w:rsidP="00040B67">
      <w:pPr>
        <w:pStyle w:val="BodyTextIndent"/>
        <w:widowControl w:val="0"/>
        <w:tabs>
          <w:tab w:val="clear" w:pos="720"/>
        </w:tabs>
        <w:jc w:val="left"/>
        <w:rPr>
          <w:b/>
        </w:rPr>
      </w:pPr>
      <w:r>
        <w:rPr>
          <w:b/>
        </w:rPr>
        <w:t>Wind Integration Charges</w:t>
      </w:r>
    </w:p>
    <w:p w:rsidR="00E63A0E" w:rsidRDefault="00E63A0E" w:rsidP="00E63A0E">
      <w:pPr>
        <w:pStyle w:val="BodyText2"/>
        <w:widowControl w:val="0"/>
        <w:ind w:left="720" w:hanging="720"/>
        <w:rPr>
          <w:b/>
          <w:bCs/>
        </w:rPr>
      </w:pPr>
      <w:r w:rsidRPr="00DD41DF">
        <w:rPr>
          <w:b/>
          <w:bCs/>
        </w:rPr>
        <w:t>Q.</w:t>
      </w:r>
      <w:r w:rsidRPr="00DD41DF">
        <w:rPr>
          <w:b/>
          <w:bCs/>
        </w:rPr>
        <w:tab/>
      </w:r>
      <w:r>
        <w:rPr>
          <w:b/>
          <w:bCs/>
        </w:rPr>
        <w:t>What h</w:t>
      </w:r>
      <w:r w:rsidRPr="00DD41DF">
        <w:rPr>
          <w:b/>
          <w:bCs/>
        </w:rPr>
        <w:t xml:space="preserve">as the Company </w:t>
      </w:r>
      <w:r>
        <w:rPr>
          <w:b/>
          <w:bCs/>
        </w:rPr>
        <w:t xml:space="preserve">included for </w:t>
      </w:r>
      <w:r w:rsidRPr="00DD41DF">
        <w:rPr>
          <w:b/>
          <w:bCs/>
        </w:rPr>
        <w:t>wind integration charges</w:t>
      </w:r>
      <w:r>
        <w:rPr>
          <w:b/>
          <w:bCs/>
        </w:rPr>
        <w:t xml:space="preserve"> in </w:t>
      </w:r>
      <w:r w:rsidR="00355699">
        <w:rPr>
          <w:b/>
          <w:bCs/>
        </w:rPr>
        <w:t>this filing</w:t>
      </w:r>
      <w:r>
        <w:rPr>
          <w:b/>
          <w:bCs/>
        </w:rPr>
        <w:t>?</w:t>
      </w:r>
    </w:p>
    <w:p w:rsidR="00E63A0E" w:rsidRDefault="00E63A0E" w:rsidP="00E63A0E">
      <w:pPr>
        <w:pStyle w:val="BodyText2"/>
        <w:widowControl w:val="0"/>
        <w:ind w:left="720" w:hanging="720"/>
      </w:pPr>
      <w:r w:rsidRPr="00EB73DB">
        <w:t>A.</w:t>
      </w:r>
      <w:r w:rsidRPr="00EB73DB">
        <w:tab/>
      </w:r>
      <w:r w:rsidR="00676DE3">
        <w:t>As previously mentioned, t</w:t>
      </w:r>
      <w:r w:rsidRPr="00EB73DB">
        <w:t xml:space="preserve">here are two categories of wind integration charges, </w:t>
      </w:r>
      <w:r w:rsidRPr="00EB73DB">
        <w:lastRenderedPageBreak/>
        <w:t xml:space="preserve">one for the Company’s wind resources located in BPA’s control area, and one for the wind resources located in Company’s control area.  </w:t>
      </w:r>
    </w:p>
    <w:p w:rsidR="00E63A0E" w:rsidRDefault="00E63A0E" w:rsidP="00E63A0E">
      <w:pPr>
        <w:pStyle w:val="BodyText2"/>
        <w:ind w:left="720" w:hanging="720"/>
      </w:pPr>
      <w:r>
        <w:tab/>
      </w:r>
      <w:r>
        <w:tab/>
      </w:r>
      <w:r w:rsidRPr="00EB73DB">
        <w:t xml:space="preserve">For the </w:t>
      </w:r>
      <w:r>
        <w:t>wind resources located in BPA’s control area</w:t>
      </w:r>
      <w:r w:rsidRPr="00EB73DB">
        <w:t xml:space="preserve">, </w:t>
      </w:r>
      <w:r>
        <w:t xml:space="preserve">the Company is relying on </w:t>
      </w:r>
      <w:r w:rsidRPr="00EB73DB">
        <w:t>BPA</w:t>
      </w:r>
      <w:r>
        <w:t>’s</w:t>
      </w:r>
      <w:r w:rsidRPr="00EB73DB">
        <w:t xml:space="preserve"> Record of Decision (ROD) on July 21, 2009 that </w:t>
      </w:r>
      <w:r>
        <w:t>set the</w:t>
      </w:r>
      <w:r w:rsidRPr="00EB73DB">
        <w:t xml:space="preserve"> wind integration charges to $1.29 per kW-month beginning in October 2009 for variations in the wind generation within 30 minutes</w:t>
      </w:r>
      <w:r>
        <w:t>.  This charge</w:t>
      </w:r>
      <w:r w:rsidRPr="00EB73DB">
        <w:t xml:space="preserve"> is approximately $5.89 per </w:t>
      </w:r>
      <w:proofErr w:type="spellStart"/>
      <w:r w:rsidR="0044797B">
        <w:t>MWh</w:t>
      </w:r>
      <w:proofErr w:type="spellEnd"/>
      <w:r w:rsidRPr="00EB73DB">
        <w:t xml:space="preserve"> based on a 30 percent capacity factor for the wind resource</w:t>
      </w:r>
      <w:r w:rsidR="00CC1C79">
        <w:t xml:space="preserve"> and</w:t>
      </w:r>
      <w:r>
        <w:t xml:space="preserve"> is an intra-hour wind integration charge only, because BPA does not perform inter-hour wind integration. </w:t>
      </w:r>
    </w:p>
    <w:p w:rsidR="00E63A0E" w:rsidRPr="00EB73DB" w:rsidRDefault="00E63A0E" w:rsidP="00E63A0E">
      <w:pPr>
        <w:pStyle w:val="BodyText2"/>
        <w:ind w:left="720" w:hanging="720"/>
      </w:pPr>
      <w:r>
        <w:tab/>
      </w:r>
      <w:r>
        <w:tab/>
      </w:r>
      <w:r w:rsidRPr="00EB73DB">
        <w:t>For the</w:t>
      </w:r>
      <w:r>
        <w:t xml:space="preserve"> resources in the Company’s control area</w:t>
      </w:r>
      <w:r w:rsidRPr="00EB73DB">
        <w:t xml:space="preserve">, the Company has updated the </w:t>
      </w:r>
      <w:r>
        <w:t xml:space="preserve">wind </w:t>
      </w:r>
      <w:r w:rsidRPr="00EB73DB">
        <w:t xml:space="preserve">integration charge to incorporate the latest information in the Company’s 2008 </w:t>
      </w:r>
      <w:r>
        <w:t>IRP</w:t>
      </w:r>
      <w:r w:rsidRPr="00EB73DB">
        <w:t xml:space="preserve">. </w:t>
      </w:r>
    </w:p>
    <w:p w:rsidR="00E63A0E" w:rsidRPr="00C943CA" w:rsidRDefault="00E63A0E" w:rsidP="00E63A0E">
      <w:pPr>
        <w:pStyle w:val="BodyText2"/>
        <w:ind w:left="720" w:hanging="720"/>
        <w:rPr>
          <w:b/>
          <w:bCs/>
        </w:rPr>
      </w:pPr>
      <w:proofErr w:type="gramStart"/>
      <w:r w:rsidRPr="00C943CA">
        <w:rPr>
          <w:b/>
          <w:bCs/>
        </w:rPr>
        <w:t>Q.</w:t>
      </w:r>
      <w:r w:rsidRPr="00C943CA">
        <w:rPr>
          <w:b/>
          <w:bCs/>
        </w:rPr>
        <w:tab/>
      </w:r>
      <w:r>
        <w:rPr>
          <w:b/>
          <w:bCs/>
        </w:rPr>
        <w:t xml:space="preserve">Please explain the </w:t>
      </w:r>
      <w:r w:rsidR="00CC1C79">
        <w:rPr>
          <w:b/>
          <w:bCs/>
        </w:rPr>
        <w:t xml:space="preserve">increase in </w:t>
      </w:r>
      <w:r>
        <w:rPr>
          <w:b/>
          <w:bCs/>
        </w:rPr>
        <w:t>the Company’s wind integration charges.</w:t>
      </w:r>
      <w:proofErr w:type="gramEnd"/>
    </w:p>
    <w:p w:rsidR="00814BD6" w:rsidRPr="00814BD6" w:rsidRDefault="00E63A0E" w:rsidP="00814BD6">
      <w:pPr>
        <w:pStyle w:val="BodyText2"/>
        <w:widowControl w:val="0"/>
        <w:ind w:left="720" w:hanging="720"/>
      </w:pPr>
      <w:r w:rsidRPr="00EB73DB">
        <w:t>A.</w:t>
      </w:r>
      <w:r w:rsidRPr="00EB73DB">
        <w:tab/>
        <w:t xml:space="preserve">As part of its 2008 IRP filed with the Commission on </w:t>
      </w:r>
      <w:r w:rsidRPr="00996D5B">
        <w:t>May 29, 2009</w:t>
      </w:r>
      <w:r w:rsidRPr="00EB73DB">
        <w:t>, the Company performed studies o</w:t>
      </w:r>
      <w:r>
        <w:t>f</w:t>
      </w:r>
      <w:r w:rsidRPr="00EB73DB">
        <w:t xml:space="preserve"> the impact of integrating the generation from wind projects into its system.  Based on the same assumptions and methodology but using the data applicable to the </w:t>
      </w:r>
      <w:r w:rsidR="00F72BB1">
        <w:t xml:space="preserve">pro forma </w:t>
      </w:r>
      <w:r w:rsidRPr="00EB73DB">
        <w:t>test period, the Company calculated the costs incurred for wind integration as $6.9</w:t>
      </w:r>
      <w:r>
        <w:t>7</w:t>
      </w:r>
      <w:r w:rsidRPr="00EB73DB">
        <w:t xml:space="preserve"> per </w:t>
      </w:r>
      <w:proofErr w:type="spellStart"/>
      <w:r w:rsidR="0044797B">
        <w:t>MWh</w:t>
      </w:r>
      <w:proofErr w:type="spellEnd"/>
      <w:r>
        <w:t>,</w:t>
      </w:r>
      <w:r w:rsidRPr="00EB73DB">
        <w:t xml:space="preserve"> which is composed of </w:t>
      </w:r>
      <w:r w:rsidRPr="00996D5B">
        <w:t>$</w:t>
      </w:r>
      <w:r>
        <w:t>5.16</w:t>
      </w:r>
      <w:r w:rsidRPr="00EB73DB">
        <w:t xml:space="preserve"> per </w:t>
      </w:r>
      <w:proofErr w:type="spellStart"/>
      <w:r w:rsidR="0044797B">
        <w:t>MWh</w:t>
      </w:r>
      <w:proofErr w:type="spellEnd"/>
      <w:r>
        <w:t xml:space="preserve"> for intra-hour costs </w:t>
      </w:r>
      <w:r w:rsidRPr="00EB73DB">
        <w:t>and $</w:t>
      </w:r>
      <w:r>
        <w:t>1.81</w:t>
      </w:r>
      <w:r w:rsidRPr="00EB73DB">
        <w:t xml:space="preserve"> per </w:t>
      </w:r>
      <w:proofErr w:type="spellStart"/>
      <w:r w:rsidR="0044797B">
        <w:t>MWh</w:t>
      </w:r>
      <w:proofErr w:type="spellEnd"/>
      <w:r w:rsidRPr="00EB73DB">
        <w:t xml:space="preserve"> for inter-hour rebalancing costs.  Appendix F to the Company’s 2008 IRP, which is included as </w:t>
      </w:r>
      <w:r>
        <w:t>Exhibit No._</w:t>
      </w:r>
      <w:proofErr w:type="gramStart"/>
      <w:r>
        <w:t>_(</w:t>
      </w:r>
      <w:proofErr w:type="gramEnd"/>
      <w:r>
        <w:t>GND-4)</w:t>
      </w:r>
      <w:r w:rsidRPr="00EB73DB">
        <w:t>, discusses the components of the Company’s wind integration charges in further detail</w:t>
      </w:r>
      <w:r>
        <w:t>.</w:t>
      </w:r>
      <w:r w:rsidR="00814BD6">
        <w:rPr>
          <w:b/>
          <w:bCs/>
        </w:rPr>
        <w:br w:type="page"/>
      </w:r>
    </w:p>
    <w:p w:rsidR="00E63A0E" w:rsidRDefault="00E63A0E" w:rsidP="00E63A0E">
      <w:pPr>
        <w:pStyle w:val="BodyText2"/>
        <w:widowControl w:val="0"/>
        <w:ind w:left="720" w:hanging="720"/>
        <w:rPr>
          <w:b/>
          <w:bCs/>
        </w:rPr>
      </w:pPr>
      <w:proofErr w:type="gramStart"/>
      <w:r>
        <w:rPr>
          <w:b/>
          <w:bCs/>
        </w:rPr>
        <w:lastRenderedPageBreak/>
        <w:t>Q.</w:t>
      </w:r>
      <w:r>
        <w:rPr>
          <w:b/>
          <w:bCs/>
        </w:rPr>
        <w:tab/>
      </w:r>
      <w:r w:rsidRPr="002C1932">
        <w:rPr>
          <w:b/>
          <w:bCs/>
        </w:rPr>
        <w:t>Which wind plants are assessed the Company’s wind integration charges?</w:t>
      </w:r>
      <w:proofErr w:type="gramEnd"/>
    </w:p>
    <w:p w:rsidR="00E63A0E" w:rsidRDefault="00E63A0E" w:rsidP="00E63A0E">
      <w:pPr>
        <w:pStyle w:val="BodyText2"/>
        <w:widowControl w:val="0"/>
        <w:ind w:left="720" w:hanging="720"/>
      </w:pPr>
      <w:r w:rsidRPr="00EB73DB">
        <w:t>A.</w:t>
      </w:r>
      <w:r w:rsidRPr="00EB73DB">
        <w:tab/>
        <w:t xml:space="preserve">All wind plants in the Company’s </w:t>
      </w:r>
      <w:r>
        <w:t xml:space="preserve">west </w:t>
      </w:r>
      <w:r w:rsidRPr="00EB73DB">
        <w:t xml:space="preserve">control area including non Company-owned wind plants, with the exception of Leaning Juniper and </w:t>
      </w:r>
      <w:proofErr w:type="spellStart"/>
      <w:r w:rsidRPr="00EB73DB">
        <w:t>Goodnoe</w:t>
      </w:r>
      <w:proofErr w:type="spellEnd"/>
      <w:r w:rsidRPr="00EB73DB">
        <w:t xml:space="preserve"> Hills, are assessed the Company’s </w:t>
      </w:r>
      <w:r w:rsidR="00355699">
        <w:t xml:space="preserve">full </w:t>
      </w:r>
      <w:r w:rsidRPr="00EB73DB">
        <w:t xml:space="preserve">wind integration charge. </w:t>
      </w:r>
      <w:r>
        <w:t xml:space="preserve"> </w:t>
      </w:r>
      <w:r w:rsidRPr="00EB73DB">
        <w:t xml:space="preserve">Leaning Juniper and </w:t>
      </w:r>
      <w:proofErr w:type="spellStart"/>
      <w:r w:rsidRPr="00EB73DB">
        <w:t>Goodnoe</w:t>
      </w:r>
      <w:proofErr w:type="spellEnd"/>
      <w:r w:rsidRPr="00EB73DB">
        <w:t xml:space="preserve"> Hills are in BPA’s control area and are assessed the BPA </w:t>
      </w:r>
      <w:r>
        <w:t>intra-hour wind</w:t>
      </w:r>
      <w:r w:rsidRPr="00EB73DB">
        <w:t xml:space="preserve"> integration charge</w:t>
      </w:r>
      <w:r w:rsidR="00F8397F">
        <w:t xml:space="preserve">, </w:t>
      </w:r>
      <w:r w:rsidR="00355699">
        <w:t xml:space="preserve">plus </w:t>
      </w:r>
      <w:r w:rsidRPr="00EB73DB">
        <w:t xml:space="preserve">the </w:t>
      </w:r>
      <w:r w:rsidR="00355699">
        <w:t xml:space="preserve">Company’s </w:t>
      </w:r>
      <w:r w:rsidRPr="00EB73DB">
        <w:t>inter-hour wind integration costs.</w:t>
      </w:r>
    </w:p>
    <w:p w:rsidR="004872BD" w:rsidRPr="00661053" w:rsidRDefault="004872BD" w:rsidP="004872BD">
      <w:pPr>
        <w:pStyle w:val="BodyTextIndent"/>
        <w:widowControl w:val="0"/>
        <w:rPr>
          <w:b/>
        </w:rPr>
      </w:pPr>
      <w:r w:rsidRPr="00661053">
        <w:rPr>
          <w:b/>
        </w:rPr>
        <w:t>Q.</w:t>
      </w:r>
      <w:r w:rsidRPr="00661053">
        <w:rPr>
          <w:b/>
        </w:rPr>
        <w:tab/>
        <w:t>Does the Company p</w:t>
      </w:r>
      <w:r w:rsidR="00CC1C79">
        <w:rPr>
          <w:b/>
        </w:rPr>
        <w:t>lan</w:t>
      </w:r>
      <w:r w:rsidRPr="00661053">
        <w:rPr>
          <w:b/>
        </w:rPr>
        <w:t xml:space="preserve"> to update its wind integration charges during this proceeding?</w:t>
      </w:r>
    </w:p>
    <w:p w:rsidR="004872BD" w:rsidRPr="00EB73DB" w:rsidRDefault="004872BD" w:rsidP="00C72F5A">
      <w:pPr>
        <w:pStyle w:val="BodyText2"/>
        <w:widowControl w:val="0"/>
        <w:ind w:left="720" w:hanging="720"/>
      </w:pPr>
      <w:r>
        <w:t>A.</w:t>
      </w:r>
      <w:r>
        <w:tab/>
        <w:t>Yes.  In its IRP process, the Company agreed to update the wind integration study by August 2, 2010, addressing comments from parties to the IRP process</w:t>
      </w:r>
      <w:r w:rsidR="00C72F5A">
        <w:t xml:space="preserve">.  </w:t>
      </w:r>
      <w:r w:rsidR="00927F63">
        <w:t>T</w:t>
      </w:r>
      <w:r>
        <w:t>he Company will update its wind integration charge</w:t>
      </w:r>
      <w:r w:rsidR="00CF6267">
        <w:t>s</w:t>
      </w:r>
      <w:r>
        <w:t xml:space="preserve"> when the outcome from the wind integration study is available.</w:t>
      </w:r>
    </w:p>
    <w:p w:rsidR="000C223D" w:rsidRDefault="000C223D" w:rsidP="00451FC2">
      <w:pPr>
        <w:tabs>
          <w:tab w:val="left" w:pos="720"/>
        </w:tabs>
        <w:spacing w:line="480" w:lineRule="auto"/>
        <w:rPr>
          <w:b/>
          <w:sz w:val="24"/>
        </w:rPr>
      </w:pPr>
      <w:r>
        <w:rPr>
          <w:b/>
          <w:sz w:val="24"/>
        </w:rPr>
        <w:t>Q.</w:t>
      </w:r>
      <w:r>
        <w:rPr>
          <w:b/>
          <w:sz w:val="24"/>
        </w:rPr>
        <w:tab/>
        <w:t>Does this conclude your direct testimony?</w:t>
      </w:r>
    </w:p>
    <w:p w:rsidR="000C223D" w:rsidRPr="00451FC2" w:rsidRDefault="000C223D" w:rsidP="00451FC2">
      <w:pPr>
        <w:pStyle w:val="BodyTextIndent"/>
        <w:widowControl w:val="0"/>
        <w:ind w:right="-90"/>
        <w:jc w:val="left"/>
        <w:rPr>
          <w:b/>
        </w:rPr>
      </w:pPr>
      <w:r>
        <w:t>A.</w:t>
      </w:r>
      <w:r>
        <w:tab/>
        <w:t>Yes.</w:t>
      </w:r>
    </w:p>
    <w:sectPr w:rsidR="000C223D" w:rsidRPr="00451FC2" w:rsidSect="00CF79E3">
      <w:headerReference w:type="default" r:id="rId7"/>
      <w:footerReference w:type="even"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B3" w:rsidRDefault="00DC60B3">
      <w:r>
        <w:separator/>
      </w:r>
    </w:p>
  </w:endnote>
  <w:endnote w:type="continuationSeparator" w:id="0">
    <w:p w:rsidR="00DC60B3" w:rsidRDefault="00DC6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B3" w:rsidRDefault="000713E4">
    <w:pPr>
      <w:pStyle w:val="Footer"/>
      <w:framePr w:wrap="around" w:vAnchor="text" w:hAnchor="margin" w:xAlign="right" w:y="1"/>
      <w:rPr>
        <w:rStyle w:val="PageNumber"/>
      </w:rPr>
    </w:pPr>
    <w:r>
      <w:rPr>
        <w:rStyle w:val="PageNumber"/>
      </w:rPr>
      <w:fldChar w:fldCharType="begin"/>
    </w:r>
    <w:r w:rsidR="00DC60B3">
      <w:rPr>
        <w:rStyle w:val="PageNumber"/>
      </w:rPr>
      <w:instrText xml:space="preserve">PAGE  </w:instrText>
    </w:r>
    <w:r>
      <w:rPr>
        <w:rStyle w:val="PageNumber"/>
      </w:rPr>
      <w:fldChar w:fldCharType="separate"/>
    </w:r>
    <w:r w:rsidR="00DC60B3">
      <w:rPr>
        <w:rStyle w:val="PageNumber"/>
        <w:noProof/>
      </w:rPr>
      <w:t>10</w:t>
    </w:r>
    <w:r>
      <w:rPr>
        <w:rStyle w:val="PageNumber"/>
      </w:rPr>
      <w:fldChar w:fldCharType="end"/>
    </w:r>
  </w:p>
  <w:p w:rsidR="00DC60B3" w:rsidRDefault="00DC60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B3" w:rsidRDefault="00DC60B3" w:rsidP="00AB02F3">
    <w:pPr>
      <w:pStyle w:val="Footer"/>
      <w:tabs>
        <w:tab w:val="clear" w:pos="8640"/>
        <w:tab w:val="right" w:pos="9000"/>
      </w:tabs>
      <w:rPr>
        <w:sz w:val="24"/>
        <w:szCs w:val="24"/>
      </w:rPr>
    </w:pPr>
    <w:r w:rsidRPr="00FF34E0">
      <w:rPr>
        <w:sz w:val="24"/>
        <w:szCs w:val="24"/>
      </w:rPr>
      <w:t xml:space="preserve">Direct Testimony of </w:t>
    </w:r>
    <w:r>
      <w:rPr>
        <w:sz w:val="24"/>
        <w:szCs w:val="24"/>
      </w:rPr>
      <w:t>Gregory N. Duvall</w:t>
    </w:r>
    <w:r w:rsidRPr="00FF34E0">
      <w:rPr>
        <w:sz w:val="24"/>
        <w:szCs w:val="24"/>
      </w:rPr>
      <w:t xml:space="preserve"> </w:t>
    </w:r>
    <w:r>
      <w:rPr>
        <w:sz w:val="24"/>
        <w:szCs w:val="24"/>
      </w:rPr>
      <w:tab/>
    </w:r>
    <w:r>
      <w:rPr>
        <w:sz w:val="24"/>
        <w:szCs w:val="24"/>
      </w:rPr>
      <w:tab/>
      <w:t>Exhibit No.__</w:t>
    </w:r>
    <w:proofErr w:type="gramStart"/>
    <w:r>
      <w:rPr>
        <w:sz w:val="24"/>
        <w:szCs w:val="24"/>
      </w:rPr>
      <w:t>_(</w:t>
    </w:r>
    <w:proofErr w:type="gramEnd"/>
    <w:r>
      <w:rPr>
        <w:sz w:val="24"/>
        <w:szCs w:val="24"/>
      </w:rPr>
      <w:t xml:space="preserve">GND-1T) </w:t>
    </w:r>
  </w:p>
  <w:p w:rsidR="00DC60B3" w:rsidRPr="00FF34E0" w:rsidRDefault="00DC60B3" w:rsidP="00FF34E0">
    <w:pPr>
      <w:pStyle w:val="Footer"/>
      <w:tabs>
        <w:tab w:val="clear" w:pos="8640"/>
        <w:tab w:val="right" w:pos="9000"/>
      </w:tabs>
      <w:rPr>
        <w:sz w:val="24"/>
        <w:szCs w:val="24"/>
      </w:rPr>
    </w:pPr>
    <w:r>
      <w:rPr>
        <w:sz w:val="24"/>
        <w:szCs w:val="24"/>
      </w:rPr>
      <w:tab/>
    </w:r>
    <w:r>
      <w:rPr>
        <w:sz w:val="24"/>
        <w:szCs w:val="24"/>
      </w:rPr>
      <w:tab/>
      <w:t xml:space="preserve">       P</w:t>
    </w:r>
    <w:r w:rsidRPr="00FF34E0">
      <w:rPr>
        <w:sz w:val="24"/>
        <w:szCs w:val="24"/>
      </w:rPr>
      <w:t xml:space="preserve">age </w:t>
    </w:r>
    <w:r w:rsidR="000713E4" w:rsidRPr="00FF34E0">
      <w:rPr>
        <w:rStyle w:val="PageNumber"/>
        <w:sz w:val="24"/>
        <w:szCs w:val="24"/>
      </w:rPr>
      <w:fldChar w:fldCharType="begin"/>
    </w:r>
    <w:r w:rsidRPr="00FF34E0">
      <w:rPr>
        <w:rStyle w:val="PageNumber"/>
        <w:sz w:val="24"/>
        <w:szCs w:val="24"/>
      </w:rPr>
      <w:instrText xml:space="preserve"> PAGE </w:instrText>
    </w:r>
    <w:r w:rsidR="000713E4" w:rsidRPr="00FF34E0">
      <w:rPr>
        <w:rStyle w:val="PageNumber"/>
        <w:sz w:val="24"/>
        <w:szCs w:val="24"/>
      </w:rPr>
      <w:fldChar w:fldCharType="separate"/>
    </w:r>
    <w:r w:rsidR="00853AC9">
      <w:rPr>
        <w:rStyle w:val="PageNumber"/>
        <w:noProof/>
        <w:sz w:val="24"/>
        <w:szCs w:val="24"/>
      </w:rPr>
      <w:t>17</w:t>
    </w:r>
    <w:r w:rsidR="000713E4" w:rsidRPr="00FF34E0">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B3" w:rsidRDefault="00DC60B3">
      <w:r>
        <w:separator/>
      </w:r>
    </w:p>
  </w:footnote>
  <w:footnote w:type="continuationSeparator" w:id="0">
    <w:p w:rsidR="00DC60B3" w:rsidRDefault="00DC6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B3" w:rsidRDefault="00DC60B3" w:rsidP="00AB02F3">
    <w:pPr>
      <w:pStyle w:val="Header"/>
      <w:jc w:val="right"/>
      <w:rPr>
        <w:b/>
        <w:sz w:val="16"/>
        <w:szCs w:val="16"/>
      </w:rPr>
    </w:pPr>
    <w:r w:rsidRPr="00FF34E0">
      <w:rPr>
        <w:sz w:val="24"/>
        <w:szCs w:val="24"/>
      </w:rPr>
      <w:t xml:space="preserve">Page </w:t>
    </w:r>
    <w:r w:rsidR="000713E4" w:rsidRPr="00FF34E0">
      <w:rPr>
        <w:rStyle w:val="PageNumber"/>
        <w:sz w:val="24"/>
        <w:szCs w:val="24"/>
      </w:rPr>
      <w:fldChar w:fldCharType="begin"/>
    </w:r>
    <w:r w:rsidRPr="00FF34E0">
      <w:rPr>
        <w:rStyle w:val="PageNumber"/>
        <w:sz w:val="24"/>
        <w:szCs w:val="24"/>
      </w:rPr>
      <w:instrText xml:space="preserve"> PAGE </w:instrText>
    </w:r>
    <w:r w:rsidR="000713E4" w:rsidRPr="00FF34E0">
      <w:rPr>
        <w:rStyle w:val="PageNumber"/>
        <w:sz w:val="24"/>
        <w:szCs w:val="24"/>
      </w:rPr>
      <w:fldChar w:fldCharType="separate"/>
    </w:r>
    <w:r w:rsidR="00853AC9">
      <w:rPr>
        <w:rStyle w:val="PageNumber"/>
        <w:noProof/>
        <w:sz w:val="24"/>
        <w:szCs w:val="24"/>
      </w:rPr>
      <w:t>17</w:t>
    </w:r>
    <w:r w:rsidR="000713E4" w:rsidRPr="00FF34E0">
      <w:rPr>
        <w:rStyle w:val="PageNumbe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1">
    <w:nsid w:val="13B35EBC"/>
    <w:multiLevelType w:val="singleLevel"/>
    <w:tmpl w:val="4A4CA5D4"/>
    <w:lvl w:ilvl="0">
      <w:start w:val="1"/>
      <w:numFmt w:val="upperLetter"/>
      <w:pStyle w:val="Heading1"/>
      <w:lvlText w:val="%1."/>
      <w:lvlJc w:val="left"/>
      <w:pPr>
        <w:tabs>
          <w:tab w:val="num" w:pos="360"/>
        </w:tabs>
        <w:ind w:left="360" w:hanging="360"/>
      </w:pPr>
      <w:rPr>
        <w:rFonts w:hint="default"/>
      </w:rPr>
    </w:lvl>
  </w:abstractNum>
  <w:abstractNum w:abstractNumId="2">
    <w:nsid w:val="2FDC49AC"/>
    <w:multiLevelType w:val="hybridMultilevel"/>
    <w:tmpl w:val="796C9E4A"/>
    <w:lvl w:ilvl="0" w:tplc="19B8F85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F17862"/>
    <w:multiLevelType w:val="hybridMultilevel"/>
    <w:tmpl w:val="E470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nsid w:val="5B405D07"/>
    <w:multiLevelType w:val="singleLevel"/>
    <w:tmpl w:val="4E883D2A"/>
    <w:lvl w:ilvl="0">
      <w:start w:val="17"/>
      <w:numFmt w:val="upperLetter"/>
      <w:lvlText w:val="%1."/>
      <w:lvlJc w:val="left"/>
      <w:pPr>
        <w:tabs>
          <w:tab w:val="num" w:pos="720"/>
        </w:tabs>
        <w:ind w:left="720" w:hanging="720"/>
      </w:pPr>
      <w:rPr>
        <w:rFonts w:hint="default"/>
      </w:rPr>
    </w:lvl>
  </w:abstractNum>
  <w:abstractNum w:abstractNumId="6">
    <w:nsid w:val="5CD5230F"/>
    <w:multiLevelType w:val="hybridMultilevel"/>
    <w:tmpl w:val="819CC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E7163"/>
    <w:multiLevelType w:val="hybridMultilevel"/>
    <w:tmpl w:val="595A6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2"/>
  </w:num>
  <w:num w:numId="6">
    <w:abstractNumId w:val="6"/>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EE6923"/>
    <w:rsid w:val="0000098A"/>
    <w:rsid w:val="00010737"/>
    <w:rsid w:val="00021401"/>
    <w:rsid w:val="00023B2C"/>
    <w:rsid w:val="000259BD"/>
    <w:rsid w:val="00025B48"/>
    <w:rsid w:val="0003397A"/>
    <w:rsid w:val="0003675B"/>
    <w:rsid w:val="00037509"/>
    <w:rsid w:val="000406D9"/>
    <w:rsid w:val="00040B67"/>
    <w:rsid w:val="000412D0"/>
    <w:rsid w:val="0004221A"/>
    <w:rsid w:val="00044FCA"/>
    <w:rsid w:val="00050AA1"/>
    <w:rsid w:val="00053125"/>
    <w:rsid w:val="00060F2D"/>
    <w:rsid w:val="000613E5"/>
    <w:rsid w:val="0006171E"/>
    <w:rsid w:val="000656B0"/>
    <w:rsid w:val="000713E4"/>
    <w:rsid w:val="00073E13"/>
    <w:rsid w:val="000754B1"/>
    <w:rsid w:val="000764C2"/>
    <w:rsid w:val="00080323"/>
    <w:rsid w:val="000832EA"/>
    <w:rsid w:val="0008457C"/>
    <w:rsid w:val="00084B9D"/>
    <w:rsid w:val="00086479"/>
    <w:rsid w:val="0008705C"/>
    <w:rsid w:val="00091E92"/>
    <w:rsid w:val="00094FF0"/>
    <w:rsid w:val="000969B1"/>
    <w:rsid w:val="00096DB3"/>
    <w:rsid w:val="000A0753"/>
    <w:rsid w:val="000A258F"/>
    <w:rsid w:val="000A4C46"/>
    <w:rsid w:val="000B06E9"/>
    <w:rsid w:val="000B5D40"/>
    <w:rsid w:val="000B771C"/>
    <w:rsid w:val="000C0E3D"/>
    <w:rsid w:val="000C1DD5"/>
    <w:rsid w:val="000C2158"/>
    <w:rsid w:val="000C223D"/>
    <w:rsid w:val="000C2D76"/>
    <w:rsid w:val="000C4313"/>
    <w:rsid w:val="000D2D15"/>
    <w:rsid w:val="000D2DF3"/>
    <w:rsid w:val="000D3D23"/>
    <w:rsid w:val="000D3FEB"/>
    <w:rsid w:val="000D5D22"/>
    <w:rsid w:val="000E0CA4"/>
    <w:rsid w:val="000E176A"/>
    <w:rsid w:val="000F5CF6"/>
    <w:rsid w:val="000F60AC"/>
    <w:rsid w:val="00102B16"/>
    <w:rsid w:val="00104A08"/>
    <w:rsid w:val="00106410"/>
    <w:rsid w:val="001076F4"/>
    <w:rsid w:val="00110AFA"/>
    <w:rsid w:val="00111E99"/>
    <w:rsid w:val="0011308B"/>
    <w:rsid w:val="0011331F"/>
    <w:rsid w:val="00115E99"/>
    <w:rsid w:val="001165C9"/>
    <w:rsid w:val="0012314F"/>
    <w:rsid w:val="0013152D"/>
    <w:rsid w:val="001328B4"/>
    <w:rsid w:val="0013344A"/>
    <w:rsid w:val="001339BB"/>
    <w:rsid w:val="00136A4F"/>
    <w:rsid w:val="00150894"/>
    <w:rsid w:val="001518D1"/>
    <w:rsid w:val="001538C8"/>
    <w:rsid w:val="001541C6"/>
    <w:rsid w:val="0015450F"/>
    <w:rsid w:val="001558E4"/>
    <w:rsid w:val="00163DBD"/>
    <w:rsid w:val="00164071"/>
    <w:rsid w:val="00166F18"/>
    <w:rsid w:val="0017142C"/>
    <w:rsid w:val="001725F4"/>
    <w:rsid w:val="00174218"/>
    <w:rsid w:val="00175F89"/>
    <w:rsid w:val="00180116"/>
    <w:rsid w:val="0018022F"/>
    <w:rsid w:val="00180654"/>
    <w:rsid w:val="00181533"/>
    <w:rsid w:val="00184FAD"/>
    <w:rsid w:val="0018794F"/>
    <w:rsid w:val="001908CA"/>
    <w:rsid w:val="00191D4F"/>
    <w:rsid w:val="00196E6F"/>
    <w:rsid w:val="001A0745"/>
    <w:rsid w:val="001A3868"/>
    <w:rsid w:val="001A6EC0"/>
    <w:rsid w:val="001B09D2"/>
    <w:rsid w:val="001B1889"/>
    <w:rsid w:val="001B19E4"/>
    <w:rsid w:val="001B4A90"/>
    <w:rsid w:val="001B4FCB"/>
    <w:rsid w:val="001C01E6"/>
    <w:rsid w:val="001C0CAA"/>
    <w:rsid w:val="001C0D2A"/>
    <w:rsid w:val="001C1DAE"/>
    <w:rsid w:val="001C2E72"/>
    <w:rsid w:val="001C4581"/>
    <w:rsid w:val="001C51F6"/>
    <w:rsid w:val="001D12A6"/>
    <w:rsid w:val="001D2165"/>
    <w:rsid w:val="001D3418"/>
    <w:rsid w:val="001D4A54"/>
    <w:rsid w:val="001D5E39"/>
    <w:rsid w:val="001D63D8"/>
    <w:rsid w:val="001E241B"/>
    <w:rsid w:val="001E3AF7"/>
    <w:rsid w:val="001E4A88"/>
    <w:rsid w:val="001E4F61"/>
    <w:rsid w:val="001F0452"/>
    <w:rsid w:val="001F100A"/>
    <w:rsid w:val="001F20C4"/>
    <w:rsid w:val="001F60E5"/>
    <w:rsid w:val="002050E7"/>
    <w:rsid w:val="00210B4F"/>
    <w:rsid w:val="0021219D"/>
    <w:rsid w:val="00212A8A"/>
    <w:rsid w:val="00215542"/>
    <w:rsid w:val="00217AD1"/>
    <w:rsid w:val="00224D4A"/>
    <w:rsid w:val="00227DCB"/>
    <w:rsid w:val="00230B55"/>
    <w:rsid w:val="00232A91"/>
    <w:rsid w:val="00232C03"/>
    <w:rsid w:val="0023439B"/>
    <w:rsid w:val="00234D45"/>
    <w:rsid w:val="0023652E"/>
    <w:rsid w:val="00236DE9"/>
    <w:rsid w:val="0024051D"/>
    <w:rsid w:val="00243D7F"/>
    <w:rsid w:val="00246210"/>
    <w:rsid w:val="00247638"/>
    <w:rsid w:val="002528FB"/>
    <w:rsid w:val="0025366F"/>
    <w:rsid w:val="002544B5"/>
    <w:rsid w:val="00257DE6"/>
    <w:rsid w:val="002613A8"/>
    <w:rsid w:val="00266202"/>
    <w:rsid w:val="00273645"/>
    <w:rsid w:val="00275DBD"/>
    <w:rsid w:val="00277AD4"/>
    <w:rsid w:val="002814DA"/>
    <w:rsid w:val="00281D38"/>
    <w:rsid w:val="00286070"/>
    <w:rsid w:val="00286423"/>
    <w:rsid w:val="00291537"/>
    <w:rsid w:val="00291BBA"/>
    <w:rsid w:val="002924F2"/>
    <w:rsid w:val="0029494D"/>
    <w:rsid w:val="002958E5"/>
    <w:rsid w:val="002A0AF4"/>
    <w:rsid w:val="002A11B3"/>
    <w:rsid w:val="002A33B4"/>
    <w:rsid w:val="002A51CE"/>
    <w:rsid w:val="002A62B4"/>
    <w:rsid w:val="002A6568"/>
    <w:rsid w:val="002B6B87"/>
    <w:rsid w:val="002B6BFB"/>
    <w:rsid w:val="002C4CE1"/>
    <w:rsid w:val="002C7859"/>
    <w:rsid w:val="002D2EF0"/>
    <w:rsid w:val="002D70DD"/>
    <w:rsid w:val="002E533E"/>
    <w:rsid w:val="002F6350"/>
    <w:rsid w:val="002F7122"/>
    <w:rsid w:val="003140CE"/>
    <w:rsid w:val="00314DF4"/>
    <w:rsid w:val="00315681"/>
    <w:rsid w:val="00316110"/>
    <w:rsid w:val="00316B8D"/>
    <w:rsid w:val="00316D57"/>
    <w:rsid w:val="003175CB"/>
    <w:rsid w:val="00322617"/>
    <w:rsid w:val="0032533E"/>
    <w:rsid w:val="00325F6A"/>
    <w:rsid w:val="003330D9"/>
    <w:rsid w:val="0033481C"/>
    <w:rsid w:val="00337DC0"/>
    <w:rsid w:val="0034179F"/>
    <w:rsid w:val="00343F69"/>
    <w:rsid w:val="00346A19"/>
    <w:rsid w:val="00347C8A"/>
    <w:rsid w:val="003543E3"/>
    <w:rsid w:val="00355699"/>
    <w:rsid w:val="00360AAE"/>
    <w:rsid w:val="0036309E"/>
    <w:rsid w:val="00363A5D"/>
    <w:rsid w:val="00375E8E"/>
    <w:rsid w:val="003761D9"/>
    <w:rsid w:val="003825CC"/>
    <w:rsid w:val="00390719"/>
    <w:rsid w:val="003950D9"/>
    <w:rsid w:val="003959D9"/>
    <w:rsid w:val="003A012A"/>
    <w:rsid w:val="003A0958"/>
    <w:rsid w:val="003A3BD0"/>
    <w:rsid w:val="003A3D4F"/>
    <w:rsid w:val="003A7F0C"/>
    <w:rsid w:val="003B354D"/>
    <w:rsid w:val="003B6F3C"/>
    <w:rsid w:val="003C001A"/>
    <w:rsid w:val="003C04D2"/>
    <w:rsid w:val="003D1BEA"/>
    <w:rsid w:val="003D34C3"/>
    <w:rsid w:val="003D7FB0"/>
    <w:rsid w:val="003E0273"/>
    <w:rsid w:val="003E06A0"/>
    <w:rsid w:val="003E4B35"/>
    <w:rsid w:val="003E5894"/>
    <w:rsid w:val="003E6846"/>
    <w:rsid w:val="003E6E92"/>
    <w:rsid w:val="003E7938"/>
    <w:rsid w:val="003F0B36"/>
    <w:rsid w:val="003F1FAE"/>
    <w:rsid w:val="003F2EBE"/>
    <w:rsid w:val="003F5660"/>
    <w:rsid w:val="00402569"/>
    <w:rsid w:val="0040266F"/>
    <w:rsid w:val="00402973"/>
    <w:rsid w:val="0041069E"/>
    <w:rsid w:val="004117EE"/>
    <w:rsid w:val="004132BF"/>
    <w:rsid w:val="00416F3A"/>
    <w:rsid w:val="00423861"/>
    <w:rsid w:val="00426076"/>
    <w:rsid w:val="00427688"/>
    <w:rsid w:val="004354BE"/>
    <w:rsid w:val="00446092"/>
    <w:rsid w:val="0044797B"/>
    <w:rsid w:val="004505D2"/>
    <w:rsid w:val="00451636"/>
    <w:rsid w:val="00451FC2"/>
    <w:rsid w:val="004528E4"/>
    <w:rsid w:val="004530DC"/>
    <w:rsid w:val="00457086"/>
    <w:rsid w:val="00457D48"/>
    <w:rsid w:val="00457E1A"/>
    <w:rsid w:val="00460645"/>
    <w:rsid w:val="004607D8"/>
    <w:rsid w:val="00464A49"/>
    <w:rsid w:val="00466DD3"/>
    <w:rsid w:val="00470B39"/>
    <w:rsid w:val="00471FA8"/>
    <w:rsid w:val="00477829"/>
    <w:rsid w:val="00480145"/>
    <w:rsid w:val="004872BD"/>
    <w:rsid w:val="004A20AB"/>
    <w:rsid w:val="004A2AAD"/>
    <w:rsid w:val="004A397A"/>
    <w:rsid w:val="004A4425"/>
    <w:rsid w:val="004A70F1"/>
    <w:rsid w:val="004B002B"/>
    <w:rsid w:val="004B2246"/>
    <w:rsid w:val="004B44F3"/>
    <w:rsid w:val="004B5063"/>
    <w:rsid w:val="004B66C9"/>
    <w:rsid w:val="004B754A"/>
    <w:rsid w:val="004C01BB"/>
    <w:rsid w:val="004C2E5B"/>
    <w:rsid w:val="004C7844"/>
    <w:rsid w:val="004D2F35"/>
    <w:rsid w:val="004E1F8D"/>
    <w:rsid w:val="004E472E"/>
    <w:rsid w:val="004E4B1A"/>
    <w:rsid w:val="004E51FD"/>
    <w:rsid w:val="004E55C3"/>
    <w:rsid w:val="004F6395"/>
    <w:rsid w:val="00501B1E"/>
    <w:rsid w:val="00501FE5"/>
    <w:rsid w:val="00505AFC"/>
    <w:rsid w:val="00510A1B"/>
    <w:rsid w:val="00515D4E"/>
    <w:rsid w:val="005161A3"/>
    <w:rsid w:val="005211C0"/>
    <w:rsid w:val="005330A5"/>
    <w:rsid w:val="00533DA2"/>
    <w:rsid w:val="0054757A"/>
    <w:rsid w:val="00551BC4"/>
    <w:rsid w:val="00556BE0"/>
    <w:rsid w:val="005603EC"/>
    <w:rsid w:val="005651BB"/>
    <w:rsid w:val="00570C81"/>
    <w:rsid w:val="00573641"/>
    <w:rsid w:val="00575AD7"/>
    <w:rsid w:val="0057684E"/>
    <w:rsid w:val="00582FE9"/>
    <w:rsid w:val="00586227"/>
    <w:rsid w:val="00586511"/>
    <w:rsid w:val="0058717D"/>
    <w:rsid w:val="005871B0"/>
    <w:rsid w:val="00592B00"/>
    <w:rsid w:val="00592B6E"/>
    <w:rsid w:val="00594D47"/>
    <w:rsid w:val="005A0A1B"/>
    <w:rsid w:val="005A37FB"/>
    <w:rsid w:val="005B234E"/>
    <w:rsid w:val="005B7B1B"/>
    <w:rsid w:val="005C63AF"/>
    <w:rsid w:val="005C6A6A"/>
    <w:rsid w:val="005C74E2"/>
    <w:rsid w:val="005D2506"/>
    <w:rsid w:val="005D27C2"/>
    <w:rsid w:val="005D29BF"/>
    <w:rsid w:val="005D3CFF"/>
    <w:rsid w:val="005E6CA3"/>
    <w:rsid w:val="006001DD"/>
    <w:rsid w:val="00603F59"/>
    <w:rsid w:val="0060600F"/>
    <w:rsid w:val="00607472"/>
    <w:rsid w:val="00622D13"/>
    <w:rsid w:val="00626B77"/>
    <w:rsid w:val="00627C19"/>
    <w:rsid w:val="00630238"/>
    <w:rsid w:val="00631844"/>
    <w:rsid w:val="00641D80"/>
    <w:rsid w:val="00643189"/>
    <w:rsid w:val="00650110"/>
    <w:rsid w:val="00650A76"/>
    <w:rsid w:val="00661053"/>
    <w:rsid w:val="00666CBE"/>
    <w:rsid w:val="006673AA"/>
    <w:rsid w:val="00670A30"/>
    <w:rsid w:val="00673452"/>
    <w:rsid w:val="00673D93"/>
    <w:rsid w:val="00674C63"/>
    <w:rsid w:val="00676DE3"/>
    <w:rsid w:val="00684312"/>
    <w:rsid w:val="00685162"/>
    <w:rsid w:val="00686F14"/>
    <w:rsid w:val="0068781F"/>
    <w:rsid w:val="00692410"/>
    <w:rsid w:val="00692D41"/>
    <w:rsid w:val="00694304"/>
    <w:rsid w:val="00695DFF"/>
    <w:rsid w:val="006A033F"/>
    <w:rsid w:val="006A11C7"/>
    <w:rsid w:val="006A4241"/>
    <w:rsid w:val="006A44F9"/>
    <w:rsid w:val="006A6F07"/>
    <w:rsid w:val="006B0B09"/>
    <w:rsid w:val="006B0C32"/>
    <w:rsid w:val="006B51AF"/>
    <w:rsid w:val="006B6BC4"/>
    <w:rsid w:val="006C1AC3"/>
    <w:rsid w:val="006C481E"/>
    <w:rsid w:val="006C57ED"/>
    <w:rsid w:val="006C5963"/>
    <w:rsid w:val="006C74A9"/>
    <w:rsid w:val="006D10A8"/>
    <w:rsid w:val="006D2304"/>
    <w:rsid w:val="006D3D8B"/>
    <w:rsid w:val="006D686A"/>
    <w:rsid w:val="006E0753"/>
    <w:rsid w:val="006E5238"/>
    <w:rsid w:val="006E5FF8"/>
    <w:rsid w:val="006F0A9E"/>
    <w:rsid w:val="006F1292"/>
    <w:rsid w:val="006F55B9"/>
    <w:rsid w:val="00707B30"/>
    <w:rsid w:val="00707EDD"/>
    <w:rsid w:val="00710BAB"/>
    <w:rsid w:val="00710D25"/>
    <w:rsid w:val="007120A9"/>
    <w:rsid w:val="00714E4A"/>
    <w:rsid w:val="00717481"/>
    <w:rsid w:val="007250A2"/>
    <w:rsid w:val="00730C9A"/>
    <w:rsid w:val="00731A10"/>
    <w:rsid w:val="00733D16"/>
    <w:rsid w:val="00736CE6"/>
    <w:rsid w:val="00736E82"/>
    <w:rsid w:val="00741B47"/>
    <w:rsid w:val="00743716"/>
    <w:rsid w:val="00746110"/>
    <w:rsid w:val="007535CD"/>
    <w:rsid w:val="0075414B"/>
    <w:rsid w:val="007576D8"/>
    <w:rsid w:val="00760380"/>
    <w:rsid w:val="00762730"/>
    <w:rsid w:val="00765173"/>
    <w:rsid w:val="00766F9E"/>
    <w:rsid w:val="0076741E"/>
    <w:rsid w:val="00767F39"/>
    <w:rsid w:val="00770210"/>
    <w:rsid w:val="0077238B"/>
    <w:rsid w:val="00773116"/>
    <w:rsid w:val="00774922"/>
    <w:rsid w:val="007754AA"/>
    <w:rsid w:val="00776E79"/>
    <w:rsid w:val="007777B3"/>
    <w:rsid w:val="00782416"/>
    <w:rsid w:val="00782BE9"/>
    <w:rsid w:val="00792E27"/>
    <w:rsid w:val="0079317D"/>
    <w:rsid w:val="00795D8B"/>
    <w:rsid w:val="00796228"/>
    <w:rsid w:val="00797A41"/>
    <w:rsid w:val="007A2BF5"/>
    <w:rsid w:val="007A32E5"/>
    <w:rsid w:val="007A6D88"/>
    <w:rsid w:val="007B36B8"/>
    <w:rsid w:val="007B60F9"/>
    <w:rsid w:val="007B6885"/>
    <w:rsid w:val="007B7CD2"/>
    <w:rsid w:val="007C1056"/>
    <w:rsid w:val="007C2351"/>
    <w:rsid w:val="007C2E31"/>
    <w:rsid w:val="007C30FE"/>
    <w:rsid w:val="007C330B"/>
    <w:rsid w:val="007C5D01"/>
    <w:rsid w:val="007D3560"/>
    <w:rsid w:val="007D3CA1"/>
    <w:rsid w:val="007E46C0"/>
    <w:rsid w:val="007F0B96"/>
    <w:rsid w:val="007F2459"/>
    <w:rsid w:val="007F53CD"/>
    <w:rsid w:val="007F664D"/>
    <w:rsid w:val="007F6702"/>
    <w:rsid w:val="007F7DC3"/>
    <w:rsid w:val="00805E5B"/>
    <w:rsid w:val="008064E2"/>
    <w:rsid w:val="00811F19"/>
    <w:rsid w:val="00812876"/>
    <w:rsid w:val="00814BD6"/>
    <w:rsid w:val="00814C00"/>
    <w:rsid w:val="0081516F"/>
    <w:rsid w:val="00817E86"/>
    <w:rsid w:val="00820643"/>
    <w:rsid w:val="00821D4F"/>
    <w:rsid w:val="008238A4"/>
    <w:rsid w:val="0082407A"/>
    <w:rsid w:val="0082663D"/>
    <w:rsid w:val="00826CE2"/>
    <w:rsid w:val="00830320"/>
    <w:rsid w:val="008328AD"/>
    <w:rsid w:val="00836588"/>
    <w:rsid w:val="00837C4E"/>
    <w:rsid w:val="00840D14"/>
    <w:rsid w:val="0084220B"/>
    <w:rsid w:val="008423C9"/>
    <w:rsid w:val="00842DBB"/>
    <w:rsid w:val="00843244"/>
    <w:rsid w:val="0084593C"/>
    <w:rsid w:val="00846162"/>
    <w:rsid w:val="0084706C"/>
    <w:rsid w:val="00853AC9"/>
    <w:rsid w:val="0085416A"/>
    <w:rsid w:val="00856B02"/>
    <w:rsid w:val="00860C4C"/>
    <w:rsid w:val="0086701E"/>
    <w:rsid w:val="008677D5"/>
    <w:rsid w:val="00871B38"/>
    <w:rsid w:val="00871D8C"/>
    <w:rsid w:val="008726BA"/>
    <w:rsid w:val="00873158"/>
    <w:rsid w:val="00873750"/>
    <w:rsid w:val="00873E24"/>
    <w:rsid w:val="00873F52"/>
    <w:rsid w:val="008742C3"/>
    <w:rsid w:val="00877E7F"/>
    <w:rsid w:val="008817E6"/>
    <w:rsid w:val="00881AAA"/>
    <w:rsid w:val="00882313"/>
    <w:rsid w:val="0088514C"/>
    <w:rsid w:val="008868E3"/>
    <w:rsid w:val="0089208D"/>
    <w:rsid w:val="00894E42"/>
    <w:rsid w:val="00895615"/>
    <w:rsid w:val="00897898"/>
    <w:rsid w:val="008A0AAC"/>
    <w:rsid w:val="008A4E33"/>
    <w:rsid w:val="008A4E36"/>
    <w:rsid w:val="008B09F9"/>
    <w:rsid w:val="008B0A51"/>
    <w:rsid w:val="008B2541"/>
    <w:rsid w:val="008B3584"/>
    <w:rsid w:val="008B3C97"/>
    <w:rsid w:val="008B42A9"/>
    <w:rsid w:val="008C0171"/>
    <w:rsid w:val="008C241E"/>
    <w:rsid w:val="008C3C7C"/>
    <w:rsid w:val="008C49E8"/>
    <w:rsid w:val="008C540E"/>
    <w:rsid w:val="008C6535"/>
    <w:rsid w:val="008C6FEA"/>
    <w:rsid w:val="008C752B"/>
    <w:rsid w:val="008C7FEE"/>
    <w:rsid w:val="008D567E"/>
    <w:rsid w:val="008D72E5"/>
    <w:rsid w:val="008D7A79"/>
    <w:rsid w:val="008E1251"/>
    <w:rsid w:val="008E440D"/>
    <w:rsid w:val="008F5156"/>
    <w:rsid w:val="008F5173"/>
    <w:rsid w:val="009027C4"/>
    <w:rsid w:val="0090467D"/>
    <w:rsid w:val="00907FB2"/>
    <w:rsid w:val="009108C6"/>
    <w:rsid w:val="00914E45"/>
    <w:rsid w:val="00915074"/>
    <w:rsid w:val="009155D9"/>
    <w:rsid w:val="00922A38"/>
    <w:rsid w:val="00923431"/>
    <w:rsid w:val="00923519"/>
    <w:rsid w:val="009257AA"/>
    <w:rsid w:val="00926D84"/>
    <w:rsid w:val="0092749F"/>
    <w:rsid w:val="00927F63"/>
    <w:rsid w:val="009355EE"/>
    <w:rsid w:val="0093768F"/>
    <w:rsid w:val="00940181"/>
    <w:rsid w:val="009406F0"/>
    <w:rsid w:val="0094259D"/>
    <w:rsid w:val="009456A1"/>
    <w:rsid w:val="009464C0"/>
    <w:rsid w:val="00947054"/>
    <w:rsid w:val="00950114"/>
    <w:rsid w:val="00954FAF"/>
    <w:rsid w:val="0095671B"/>
    <w:rsid w:val="00960686"/>
    <w:rsid w:val="00967B25"/>
    <w:rsid w:val="00970A2C"/>
    <w:rsid w:val="00970DAA"/>
    <w:rsid w:val="0097412D"/>
    <w:rsid w:val="0097458C"/>
    <w:rsid w:val="00981638"/>
    <w:rsid w:val="00981A6A"/>
    <w:rsid w:val="0098219B"/>
    <w:rsid w:val="009859AC"/>
    <w:rsid w:val="00985AFD"/>
    <w:rsid w:val="0099711E"/>
    <w:rsid w:val="00997EBF"/>
    <w:rsid w:val="009A1EA6"/>
    <w:rsid w:val="009A223A"/>
    <w:rsid w:val="009A6966"/>
    <w:rsid w:val="009A6B4B"/>
    <w:rsid w:val="009A7DE7"/>
    <w:rsid w:val="009B04E1"/>
    <w:rsid w:val="009B1011"/>
    <w:rsid w:val="009B4AFC"/>
    <w:rsid w:val="009B5BDD"/>
    <w:rsid w:val="009C1FA5"/>
    <w:rsid w:val="009C3010"/>
    <w:rsid w:val="009C3893"/>
    <w:rsid w:val="009C54DC"/>
    <w:rsid w:val="009C63BA"/>
    <w:rsid w:val="009D3C6A"/>
    <w:rsid w:val="009E0088"/>
    <w:rsid w:val="009E5083"/>
    <w:rsid w:val="009E771D"/>
    <w:rsid w:val="009F3856"/>
    <w:rsid w:val="009F493F"/>
    <w:rsid w:val="00A01537"/>
    <w:rsid w:val="00A016C3"/>
    <w:rsid w:val="00A10485"/>
    <w:rsid w:val="00A111BD"/>
    <w:rsid w:val="00A14959"/>
    <w:rsid w:val="00A16572"/>
    <w:rsid w:val="00A177F4"/>
    <w:rsid w:val="00A17D9C"/>
    <w:rsid w:val="00A2123E"/>
    <w:rsid w:val="00A25175"/>
    <w:rsid w:val="00A26B29"/>
    <w:rsid w:val="00A3300F"/>
    <w:rsid w:val="00A3737F"/>
    <w:rsid w:val="00A40436"/>
    <w:rsid w:val="00A40893"/>
    <w:rsid w:val="00A40EDF"/>
    <w:rsid w:val="00A43230"/>
    <w:rsid w:val="00A44284"/>
    <w:rsid w:val="00A44C99"/>
    <w:rsid w:val="00A51A08"/>
    <w:rsid w:val="00A51DCE"/>
    <w:rsid w:val="00A5202A"/>
    <w:rsid w:val="00A5492D"/>
    <w:rsid w:val="00A57311"/>
    <w:rsid w:val="00A608F8"/>
    <w:rsid w:val="00A6462D"/>
    <w:rsid w:val="00A7006B"/>
    <w:rsid w:val="00A70094"/>
    <w:rsid w:val="00A75169"/>
    <w:rsid w:val="00A75A85"/>
    <w:rsid w:val="00A8167B"/>
    <w:rsid w:val="00A82773"/>
    <w:rsid w:val="00A836DC"/>
    <w:rsid w:val="00A84FD4"/>
    <w:rsid w:val="00A8612A"/>
    <w:rsid w:val="00A930A4"/>
    <w:rsid w:val="00A95B77"/>
    <w:rsid w:val="00AA0732"/>
    <w:rsid w:val="00AA2911"/>
    <w:rsid w:val="00AA31CF"/>
    <w:rsid w:val="00AA367E"/>
    <w:rsid w:val="00AA3EC2"/>
    <w:rsid w:val="00AB02F3"/>
    <w:rsid w:val="00AB0D95"/>
    <w:rsid w:val="00AC18AC"/>
    <w:rsid w:val="00AC1B48"/>
    <w:rsid w:val="00AC3104"/>
    <w:rsid w:val="00AC5F98"/>
    <w:rsid w:val="00AC618B"/>
    <w:rsid w:val="00AD0DEC"/>
    <w:rsid w:val="00AD5977"/>
    <w:rsid w:val="00AD5AA0"/>
    <w:rsid w:val="00AD6494"/>
    <w:rsid w:val="00AD6C6F"/>
    <w:rsid w:val="00AD7098"/>
    <w:rsid w:val="00AE1472"/>
    <w:rsid w:val="00AE1658"/>
    <w:rsid w:val="00AE1FB1"/>
    <w:rsid w:val="00AE5089"/>
    <w:rsid w:val="00AE6316"/>
    <w:rsid w:val="00AF1139"/>
    <w:rsid w:val="00AF1CDC"/>
    <w:rsid w:val="00AF2732"/>
    <w:rsid w:val="00AF27BE"/>
    <w:rsid w:val="00AF2A09"/>
    <w:rsid w:val="00AF2D16"/>
    <w:rsid w:val="00AF458C"/>
    <w:rsid w:val="00AF5F6C"/>
    <w:rsid w:val="00AF6CA0"/>
    <w:rsid w:val="00B041A3"/>
    <w:rsid w:val="00B0681E"/>
    <w:rsid w:val="00B07B5C"/>
    <w:rsid w:val="00B129A5"/>
    <w:rsid w:val="00B20B92"/>
    <w:rsid w:val="00B24E9B"/>
    <w:rsid w:val="00B252DF"/>
    <w:rsid w:val="00B255C6"/>
    <w:rsid w:val="00B2580C"/>
    <w:rsid w:val="00B318F8"/>
    <w:rsid w:val="00B31D43"/>
    <w:rsid w:val="00B35372"/>
    <w:rsid w:val="00B365EF"/>
    <w:rsid w:val="00B40622"/>
    <w:rsid w:val="00B431AB"/>
    <w:rsid w:val="00B47114"/>
    <w:rsid w:val="00B47E26"/>
    <w:rsid w:val="00B47F32"/>
    <w:rsid w:val="00B50195"/>
    <w:rsid w:val="00B50304"/>
    <w:rsid w:val="00B53A29"/>
    <w:rsid w:val="00B6001E"/>
    <w:rsid w:val="00B60A2A"/>
    <w:rsid w:val="00B63B19"/>
    <w:rsid w:val="00B662F1"/>
    <w:rsid w:val="00B66FA0"/>
    <w:rsid w:val="00B70554"/>
    <w:rsid w:val="00B71B0B"/>
    <w:rsid w:val="00B72113"/>
    <w:rsid w:val="00B744EC"/>
    <w:rsid w:val="00B759BF"/>
    <w:rsid w:val="00B8046B"/>
    <w:rsid w:val="00B82B02"/>
    <w:rsid w:val="00B856BF"/>
    <w:rsid w:val="00B9296B"/>
    <w:rsid w:val="00B92E9F"/>
    <w:rsid w:val="00BA0BB2"/>
    <w:rsid w:val="00BA1766"/>
    <w:rsid w:val="00BA2CE0"/>
    <w:rsid w:val="00BA67E5"/>
    <w:rsid w:val="00BB217D"/>
    <w:rsid w:val="00BB43D2"/>
    <w:rsid w:val="00BB7665"/>
    <w:rsid w:val="00BC33D7"/>
    <w:rsid w:val="00BC4DE0"/>
    <w:rsid w:val="00BC63E8"/>
    <w:rsid w:val="00BD03FA"/>
    <w:rsid w:val="00BD6D78"/>
    <w:rsid w:val="00BD7948"/>
    <w:rsid w:val="00BE0729"/>
    <w:rsid w:val="00BE0877"/>
    <w:rsid w:val="00BF4017"/>
    <w:rsid w:val="00BF5481"/>
    <w:rsid w:val="00C00104"/>
    <w:rsid w:val="00C03AE7"/>
    <w:rsid w:val="00C041F5"/>
    <w:rsid w:val="00C0579A"/>
    <w:rsid w:val="00C06DDB"/>
    <w:rsid w:val="00C070D5"/>
    <w:rsid w:val="00C16FC6"/>
    <w:rsid w:val="00C219FC"/>
    <w:rsid w:val="00C258EF"/>
    <w:rsid w:val="00C26233"/>
    <w:rsid w:val="00C277DD"/>
    <w:rsid w:val="00C27E70"/>
    <w:rsid w:val="00C3077F"/>
    <w:rsid w:val="00C31375"/>
    <w:rsid w:val="00C33DDD"/>
    <w:rsid w:val="00C3583D"/>
    <w:rsid w:val="00C36089"/>
    <w:rsid w:val="00C40438"/>
    <w:rsid w:val="00C41461"/>
    <w:rsid w:val="00C5104E"/>
    <w:rsid w:val="00C63236"/>
    <w:rsid w:val="00C63EFE"/>
    <w:rsid w:val="00C64CB1"/>
    <w:rsid w:val="00C65D6D"/>
    <w:rsid w:val="00C664F2"/>
    <w:rsid w:val="00C72AF9"/>
    <w:rsid w:val="00C72F5A"/>
    <w:rsid w:val="00C73731"/>
    <w:rsid w:val="00C8237E"/>
    <w:rsid w:val="00C82C71"/>
    <w:rsid w:val="00C8486D"/>
    <w:rsid w:val="00C8673E"/>
    <w:rsid w:val="00C9005A"/>
    <w:rsid w:val="00C91838"/>
    <w:rsid w:val="00C919B5"/>
    <w:rsid w:val="00CA0C89"/>
    <w:rsid w:val="00CA22B2"/>
    <w:rsid w:val="00CA4BD9"/>
    <w:rsid w:val="00CA7D32"/>
    <w:rsid w:val="00CB03DA"/>
    <w:rsid w:val="00CB249C"/>
    <w:rsid w:val="00CB3713"/>
    <w:rsid w:val="00CB39C5"/>
    <w:rsid w:val="00CB5470"/>
    <w:rsid w:val="00CB6D43"/>
    <w:rsid w:val="00CC017E"/>
    <w:rsid w:val="00CC1C79"/>
    <w:rsid w:val="00CC24FC"/>
    <w:rsid w:val="00CC3882"/>
    <w:rsid w:val="00CD0651"/>
    <w:rsid w:val="00CD1B83"/>
    <w:rsid w:val="00CE052F"/>
    <w:rsid w:val="00CE0B5C"/>
    <w:rsid w:val="00CE2E44"/>
    <w:rsid w:val="00CE46EF"/>
    <w:rsid w:val="00CE5A74"/>
    <w:rsid w:val="00CE5ABE"/>
    <w:rsid w:val="00CE67F4"/>
    <w:rsid w:val="00CE6F28"/>
    <w:rsid w:val="00CF4187"/>
    <w:rsid w:val="00CF4446"/>
    <w:rsid w:val="00CF58F6"/>
    <w:rsid w:val="00CF59E9"/>
    <w:rsid w:val="00CF6267"/>
    <w:rsid w:val="00CF79E3"/>
    <w:rsid w:val="00D07967"/>
    <w:rsid w:val="00D07C01"/>
    <w:rsid w:val="00D11E68"/>
    <w:rsid w:val="00D1355D"/>
    <w:rsid w:val="00D20AE5"/>
    <w:rsid w:val="00D20BD1"/>
    <w:rsid w:val="00D23E58"/>
    <w:rsid w:val="00D273E3"/>
    <w:rsid w:val="00D33987"/>
    <w:rsid w:val="00D428FE"/>
    <w:rsid w:val="00D43548"/>
    <w:rsid w:val="00D446DE"/>
    <w:rsid w:val="00D5155F"/>
    <w:rsid w:val="00D56060"/>
    <w:rsid w:val="00D630BE"/>
    <w:rsid w:val="00D6754A"/>
    <w:rsid w:val="00D676AD"/>
    <w:rsid w:val="00D706B6"/>
    <w:rsid w:val="00D745DE"/>
    <w:rsid w:val="00D77CA5"/>
    <w:rsid w:val="00D80F1E"/>
    <w:rsid w:val="00D839BB"/>
    <w:rsid w:val="00D87E93"/>
    <w:rsid w:val="00D90B51"/>
    <w:rsid w:val="00D94217"/>
    <w:rsid w:val="00D94586"/>
    <w:rsid w:val="00D9668A"/>
    <w:rsid w:val="00DA0A1E"/>
    <w:rsid w:val="00DA6D6B"/>
    <w:rsid w:val="00DB1BF8"/>
    <w:rsid w:val="00DB3037"/>
    <w:rsid w:val="00DB3D4A"/>
    <w:rsid w:val="00DB76BD"/>
    <w:rsid w:val="00DB7873"/>
    <w:rsid w:val="00DC031D"/>
    <w:rsid w:val="00DC1410"/>
    <w:rsid w:val="00DC208D"/>
    <w:rsid w:val="00DC60B3"/>
    <w:rsid w:val="00DC6939"/>
    <w:rsid w:val="00DD1910"/>
    <w:rsid w:val="00DD26ED"/>
    <w:rsid w:val="00DD3127"/>
    <w:rsid w:val="00DD46D5"/>
    <w:rsid w:val="00DD601B"/>
    <w:rsid w:val="00DD72F6"/>
    <w:rsid w:val="00DE0124"/>
    <w:rsid w:val="00DE578A"/>
    <w:rsid w:val="00DE6623"/>
    <w:rsid w:val="00DE6D9F"/>
    <w:rsid w:val="00DE7BAC"/>
    <w:rsid w:val="00DF2030"/>
    <w:rsid w:val="00DF3A87"/>
    <w:rsid w:val="00DF5939"/>
    <w:rsid w:val="00E13AF4"/>
    <w:rsid w:val="00E1414C"/>
    <w:rsid w:val="00E15342"/>
    <w:rsid w:val="00E2238F"/>
    <w:rsid w:val="00E253D0"/>
    <w:rsid w:val="00E2634D"/>
    <w:rsid w:val="00E27DA3"/>
    <w:rsid w:val="00E32462"/>
    <w:rsid w:val="00E335F9"/>
    <w:rsid w:val="00E35A56"/>
    <w:rsid w:val="00E43A66"/>
    <w:rsid w:val="00E459FE"/>
    <w:rsid w:val="00E4674C"/>
    <w:rsid w:val="00E50C71"/>
    <w:rsid w:val="00E516B7"/>
    <w:rsid w:val="00E5308D"/>
    <w:rsid w:val="00E53565"/>
    <w:rsid w:val="00E53CE0"/>
    <w:rsid w:val="00E559C9"/>
    <w:rsid w:val="00E63353"/>
    <w:rsid w:val="00E63A0E"/>
    <w:rsid w:val="00E64138"/>
    <w:rsid w:val="00E66557"/>
    <w:rsid w:val="00E665F5"/>
    <w:rsid w:val="00E66C12"/>
    <w:rsid w:val="00E67988"/>
    <w:rsid w:val="00E721D9"/>
    <w:rsid w:val="00E7233F"/>
    <w:rsid w:val="00E73E42"/>
    <w:rsid w:val="00E74647"/>
    <w:rsid w:val="00E81587"/>
    <w:rsid w:val="00E81646"/>
    <w:rsid w:val="00E82F42"/>
    <w:rsid w:val="00E836C9"/>
    <w:rsid w:val="00E84ED9"/>
    <w:rsid w:val="00E860FE"/>
    <w:rsid w:val="00E87BF4"/>
    <w:rsid w:val="00E91649"/>
    <w:rsid w:val="00EA07A3"/>
    <w:rsid w:val="00EA330C"/>
    <w:rsid w:val="00EA3370"/>
    <w:rsid w:val="00EA53DC"/>
    <w:rsid w:val="00EB2776"/>
    <w:rsid w:val="00EC0681"/>
    <w:rsid w:val="00EC7592"/>
    <w:rsid w:val="00ED1995"/>
    <w:rsid w:val="00ED37C9"/>
    <w:rsid w:val="00ED60C3"/>
    <w:rsid w:val="00ED6AC1"/>
    <w:rsid w:val="00ED73F1"/>
    <w:rsid w:val="00EE1337"/>
    <w:rsid w:val="00EE6085"/>
    <w:rsid w:val="00EE6923"/>
    <w:rsid w:val="00EF4636"/>
    <w:rsid w:val="00EF4ACA"/>
    <w:rsid w:val="00EF6141"/>
    <w:rsid w:val="00F014DE"/>
    <w:rsid w:val="00F06BF7"/>
    <w:rsid w:val="00F06D97"/>
    <w:rsid w:val="00F11821"/>
    <w:rsid w:val="00F152F5"/>
    <w:rsid w:val="00F16BD2"/>
    <w:rsid w:val="00F1794D"/>
    <w:rsid w:val="00F20EB4"/>
    <w:rsid w:val="00F32F27"/>
    <w:rsid w:val="00F36C53"/>
    <w:rsid w:val="00F41405"/>
    <w:rsid w:val="00F442CA"/>
    <w:rsid w:val="00F45143"/>
    <w:rsid w:val="00F52BA4"/>
    <w:rsid w:val="00F55ADD"/>
    <w:rsid w:val="00F55C31"/>
    <w:rsid w:val="00F617D3"/>
    <w:rsid w:val="00F640B3"/>
    <w:rsid w:val="00F668FF"/>
    <w:rsid w:val="00F67A89"/>
    <w:rsid w:val="00F70979"/>
    <w:rsid w:val="00F72BB1"/>
    <w:rsid w:val="00F75E3E"/>
    <w:rsid w:val="00F76D84"/>
    <w:rsid w:val="00F8397F"/>
    <w:rsid w:val="00F85644"/>
    <w:rsid w:val="00F90472"/>
    <w:rsid w:val="00F91680"/>
    <w:rsid w:val="00F93230"/>
    <w:rsid w:val="00F946C7"/>
    <w:rsid w:val="00F967A3"/>
    <w:rsid w:val="00F96DBF"/>
    <w:rsid w:val="00FA4060"/>
    <w:rsid w:val="00FC2181"/>
    <w:rsid w:val="00FC2381"/>
    <w:rsid w:val="00FC60B1"/>
    <w:rsid w:val="00FC6532"/>
    <w:rsid w:val="00FC6CFA"/>
    <w:rsid w:val="00FC7190"/>
    <w:rsid w:val="00FD262D"/>
    <w:rsid w:val="00FE1B61"/>
    <w:rsid w:val="00FE3FD2"/>
    <w:rsid w:val="00FE43F9"/>
    <w:rsid w:val="00FE4588"/>
    <w:rsid w:val="00FE7502"/>
    <w:rsid w:val="00FF12E2"/>
    <w:rsid w:val="00FF34E0"/>
    <w:rsid w:val="00FF3530"/>
    <w:rsid w:val="00FF3685"/>
    <w:rsid w:val="00FF6A82"/>
    <w:rsid w:val="00FF7B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CB"/>
    <w:rPr>
      <w:lang w:eastAsia="en-US"/>
    </w:rPr>
  </w:style>
  <w:style w:type="paragraph" w:styleId="Heading1">
    <w:name w:val="heading 1"/>
    <w:basedOn w:val="Normal"/>
    <w:next w:val="Normal"/>
    <w:qFormat/>
    <w:rsid w:val="001B4FCB"/>
    <w:pPr>
      <w:keepNext/>
      <w:numPr>
        <w:numId w:val="1"/>
      </w:numPr>
      <w:tabs>
        <w:tab w:val="clear" w:pos="360"/>
        <w:tab w:val="left" w:pos="720"/>
      </w:tabs>
      <w:spacing w:line="480" w:lineRule="auto"/>
      <w:ind w:left="720" w:hanging="720"/>
      <w:outlineLvl w:val="0"/>
    </w:pPr>
    <w:rPr>
      <w:sz w:val="24"/>
    </w:rPr>
  </w:style>
  <w:style w:type="paragraph" w:styleId="Heading2">
    <w:name w:val="heading 2"/>
    <w:basedOn w:val="Normal"/>
    <w:next w:val="Normal"/>
    <w:qFormat/>
    <w:rsid w:val="001B4FCB"/>
    <w:pPr>
      <w:keepNext/>
      <w:tabs>
        <w:tab w:val="left" w:pos="720"/>
      </w:tabs>
      <w:spacing w:line="480" w:lineRule="auto"/>
      <w:outlineLvl w:val="1"/>
    </w:pPr>
    <w:rPr>
      <w:b/>
      <w:sz w:val="24"/>
    </w:rPr>
  </w:style>
  <w:style w:type="paragraph" w:styleId="Heading3">
    <w:name w:val="heading 3"/>
    <w:basedOn w:val="Normal"/>
    <w:next w:val="Normal"/>
    <w:qFormat/>
    <w:rsid w:val="001B4FCB"/>
    <w:pPr>
      <w:keepNext/>
      <w:tabs>
        <w:tab w:val="left" w:pos="720"/>
      </w:tabs>
      <w:spacing w:line="480" w:lineRule="auto"/>
      <w:ind w:left="720" w:hanging="720"/>
      <w:outlineLvl w:val="2"/>
    </w:pPr>
    <w:rPr>
      <w:b/>
      <w:sz w:val="24"/>
    </w:rPr>
  </w:style>
  <w:style w:type="paragraph" w:styleId="Heading4">
    <w:name w:val="heading 4"/>
    <w:basedOn w:val="Normal"/>
    <w:next w:val="Normal"/>
    <w:qFormat/>
    <w:rsid w:val="001B4FCB"/>
    <w:pPr>
      <w:keepNext/>
      <w:tabs>
        <w:tab w:val="left" w:pos="720"/>
      </w:tabs>
      <w:spacing w:line="480" w:lineRule="auto"/>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1B4FCB"/>
    <w:rPr>
      <w:rFonts w:ascii="Times New Roman" w:hAnsi="Times New Roman"/>
      <w:sz w:val="24"/>
    </w:rPr>
  </w:style>
  <w:style w:type="paragraph" w:styleId="Header">
    <w:name w:val="header"/>
    <w:basedOn w:val="Normal"/>
    <w:rsid w:val="001B4FCB"/>
    <w:pPr>
      <w:tabs>
        <w:tab w:val="center" w:pos="4320"/>
        <w:tab w:val="right" w:pos="8640"/>
      </w:tabs>
    </w:pPr>
  </w:style>
  <w:style w:type="paragraph" w:styleId="Footer">
    <w:name w:val="footer"/>
    <w:basedOn w:val="Normal"/>
    <w:rsid w:val="001B4FCB"/>
    <w:pPr>
      <w:tabs>
        <w:tab w:val="center" w:pos="4320"/>
        <w:tab w:val="right" w:pos="8640"/>
      </w:tabs>
    </w:pPr>
  </w:style>
  <w:style w:type="character" w:styleId="PageNumber">
    <w:name w:val="page number"/>
    <w:basedOn w:val="DefaultParagraphFont"/>
    <w:rsid w:val="001B4FCB"/>
  </w:style>
  <w:style w:type="paragraph" w:styleId="BodyTextIndent">
    <w:name w:val="Body Text Indent"/>
    <w:basedOn w:val="Normal"/>
    <w:rsid w:val="001B4FCB"/>
    <w:pPr>
      <w:tabs>
        <w:tab w:val="left" w:pos="720"/>
      </w:tabs>
      <w:spacing w:line="480" w:lineRule="auto"/>
      <w:ind w:left="720" w:hanging="720"/>
      <w:jc w:val="both"/>
    </w:pPr>
    <w:rPr>
      <w:sz w:val="24"/>
    </w:rPr>
  </w:style>
  <w:style w:type="paragraph" w:styleId="BodyText">
    <w:name w:val="Body Text"/>
    <w:basedOn w:val="Normal"/>
    <w:rsid w:val="001B4FCB"/>
    <w:pPr>
      <w:tabs>
        <w:tab w:val="left" w:pos="720"/>
      </w:tabs>
      <w:spacing w:line="480" w:lineRule="auto"/>
      <w:jc w:val="both"/>
    </w:pPr>
    <w:rPr>
      <w:sz w:val="24"/>
    </w:rPr>
  </w:style>
  <w:style w:type="paragraph" w:styleId="BodyText2">
    <w:name w:val="Body Text 2"/>
    <w:basedOn w:val="Normal"/>
    <w:rsid w:val="001B4FCB"/>
    <w:pPr>
      <w:tabs>
        <w:tab w:val="left" w:pos="720"/>
      </w:tabs>
      <w:spacing w:line="480" w:lineRule="auto"/>
    </w:pPr>
    <w:rPr>
      <w:sz w:val="24"/>
    </w:rPr>
  </w:style>
  <w:style w:type="paragraph" w:styleId="BodyTextIndent2">
    <w:name w:val="Body Text Indent 2"/>
    <w:basedOn w:val="Normal"/>
    <w:rsid w:val="001B4FCB"/>
    <w:pPr>
      <w:tabs>
        <w:tab w:val="left" w:pos="720"/>
      </w:tabs>
      <w:spacing w:line="480" w:lineRule="auto"/>
      <w:ind w:left="720" w:hanging="720"/>
    </w:pPr>
    <w:rPr>
      <w:sz w:val="24"/>
    </w:rPr>
  </w:style>
  <w:style w:type="paragraph" w:styleId="BalloonText">
    <w:name w:val="Balloon Text"/>
    <w:basedOn w:val="Normal"/>
    <w:semiHidden/>
    <w:rsid w:val="001B4FCB"/>
    <w:rPr>
      <w:rFonts w:ascii="Tahoma" w:hAnsi="Tahoma" w:cs="Tahoma"/>
      <w:sz w:val="16"/>
      <w:szCs w:val="16"/>
    </w:rPr>
  </w:style>
  <w:style w:type="paragraph" w:styleId="DocumentMap">
    <w:name w:val="Document Map"/>
    <w:basedOn w:val="Normal"/>
    <w:semiHidden/>
    <w:rsid w:val="001B4FCB"/>
    <w:pPr>
      <w:shd w:val="clear" w:color="auto" w:fill="000080"/>
    </w:pPr>
    <w:rPr>
      <w:rFonts w:ascii="Tahoma" w:hAnsi="Tahoma" w:cs="Tahoma"/>
    </w:rPr>
  </w:style>
  <w:style w:type="paragraph" w:customStyle="1" w:styleId="answer">
    <w:name w:val="answer"/>
    <w:basedOn w:val="Normal"/>
    <w:rsid w:val="001B4FCB"/>
    <w:pPr>
      <w:spacing w:before="120" w:after="120" w:line="480" w:lineRule="auto"/>
      <w:ind w:left="720" w:hanging="720"/>
    </w:pPr>
    <w:rPr>
      <w:sz w:val="24"/>
    </w:rPr>
  </w:style>
  <w:style w:type="paragraph" w:customStyle="1" w:styleId="Question">
    <w:name w:val="Question"/>
    <w:basedOn w:val="Normal"/>
    <w:link w:val="QuestionChar"/>
    <w:rsid w:val="00B9296B"/>
    <w:pPr>
      <w:spacing w:line="480" w:lineRule="auto"/>
      <w:ind w:left="720" w:hanging="720"/>
      <w:jc w:val="both"/>
    </w:pPr>
    <w:rPr>
      <w:b/>
      <w:bCs/>
      <w:sz w:val="24"/>
    </w:rPr>
  </w:style>
  <w:style w:type="character" w:customStyle="1" w:styleId="QuestionChar">
    <w:name w:val="Question Char"/>
    <w:basedOn w:val="DefaultParagraphFont"/>
    <w:link w:val="Question"/>
    <w:rsid w:val="00B9296B"/>
    <w:rPr>
      <w:b/>
      <w:bCs/>
      <w:sz w:val="24"/>
      <w:lang w:val="en-US" w:eastAsia="en-US" w:bidi="ar-SA"/>
    </w:rPr>
  </w:style>
  <w:style w:type="paragraph" w:customStyle="1" w:styleId="Answer0">
    <w:name w:val="Answer"/>
    <w:basedOn w:val="Normal"/>
    <w:link w:val="AnswerChar1"/>
    <w:rsid w:val="00B9296B"/>
    <w:pPr>
      <w:spacing w:line="480" w:lineRule="auto"/>
      <w:ind w:left="720" w:hanging="720"/>
      <w:jc w:val="both"/>
    </w:pPr>
    <w:rPr>
      <w:sz w:val="24"/>
    </w:rPr>
  </w:style>
  <w:style w:type="character" w:customStyle="1" w:styleId="AnswerChar1">
    <w:name w:val="Answer Char1"/>
    <w:basedOn w:val="DefaultParagraphFont"/>
    <w:link w:val="Answer0"/>
    <w:rsid w:val="00B9296B"/>
    <w:rPr>
      <w:sz w:val="24"/>
      <w:lang w:val="en-US" w:eastAsia="en-US" w:bidi="ar-SA"/>
    </w:rPr>
  </w:style>
  <w:style w:type="paragraph" w:customStyle="1" w:styleId="CharChar1">
    <w:name w:val="Char Char1"/>
    <w:basedOn w:val="Normal"/>
    <w:rsid w:val="00B9296B"/>
    <w:pPr>
      <w:spacing w:after="160" w:line="240" w:lineRule="exact"/>
    </w:pPr>
    <w:rPr>
      <w:rFonts w:ascii="Verdana" w:hAnsi="Verdana"/>
    </w:rPr>
  </w:style>
  <w:style w:type="paragraph" w:customStyle="1" w:styleId="CharCharCharCharCharCharCharChar">
    <w:name w:val="Char Char Char Char Char Char Char Char"/>
    <w:basedOn w:val="Normal"/>
    <w:rsid w:val="00967B25"/>
    <w:pPr>
      <w:spacing w:after="160" w:line="240" w:lineRule="exact"/>
    </w:pPr>
    <w:rPr>
      <w:rFonts w:ascii="Verdana" w:hAnsi="Verdana"/>
    </w:rPr>
  </w:style>
  <w:style w:type="paragraph" w:customStyle="1" w:styleId="CharChar2CharCharCharCharCharChar">
    <w:name w:val="Char Char2 Char Char Char Char Char Char"/>
    <w:basedOn w:val="Normal"/>
    <w:rsid w:val="0090467D"/>
    <w:pPr>
      <w:spacing w:after="160" w:line="240" w:lineRule="exact"/>
    </w:pPr>
    <w:rPr>
      <w:rFonts w:ascii="Verdana" w:hAnsi="Verdana"/>
    </w:rPr>
  </w:style>
  <w:style w:type="paragraph" w:styleId="FootnoteText">
    <w:name w:val="footnote text"/>
    <w:basedOn w:val="Normal"/>
    <w:link w:val="FootnoteTextChar"/>
    <w:semiHidden/>
    <w:rsid w:val="0034179F"/>
    <w:pPr>
      <w:autoSpaceDE w:val="0"/>
      <w:autoSpaceDN w:val="0"/>
      <w:spacing w:after="100"/>
      <w:ind w:firstLine="720"/>
    </w:pPr>
    <w:rPr>
      <w:rFonts w:ascii="Verdana" w:eastAsia="Calibri" w:hAnsi="Verdana"/>
      <w:sz w:val="24"/>
      <w:szCs w:val="24"/>
    </w:rPr>
  </w:style>
  <w:style w:type="character" w:customStyle="1" w:styleId="FootnoteTextChar">
    <w:name w:val="Footnote Text Char"/>
    <w:basedOn w:val="DefaultParagraphFont"/>
    <w:link w:val="FootnoteText"/>
    <w:semiHidden/>
    <w:rsid w:val="0034179F"/>
    <w:rPr>
      <w:rFonts w:ascii="Verdana" w:eastAsia="Calibri" w:hAnsi="Verdana"/>
      <w:sz w:val="24"/>
      <w:szCs w:val="24"/>
      <w:lang w:val="en-US" w:eastAsia="en-US" w:bidi="ar-SA"/>
    </w:rPr>
  </w:style>
  <w:style w:type="character" w:styleId="FootnoteReference">
    <w:name w:val="footnote reference"/>
    <w:basedOn w:val="DefaultParagraphFont"/>
    <w:semiHidden/>
    <w:rsid w:val="0034179F"/>
    <w:rPr>
      <w:rFonts w:ascii="Times New Roman" w:hAnsi="Times New Roman"/>
      <w:sz w:val="20"/>
      <w:szCs w:val="20"/>
      <w:vertAlign w:val="superscript"/>
      <w:lang w:val="en-US" w:eastAsia="en-US" w:bidi="ar-SA"/>
    </w:rPr>
  </w:style>
  <w:style w:type="character" w:styleId="CommentReference">
    <w:name w:val="annotation reference"/>
    <w:basedOn w:val="DefaultParagraphFont"/>
    <w:semiHidden/>
    <w:rsid w:val="002A11B3"/>
    <w:rPr>
      <w:sz w:val="16"/>
      <w:szCs w:val="16"/>
    </w:rPr>
  </w:style>
  <w:style w:type="paragraph" w:styleId="CommentText">
    <w:name w:val="annotation text"/>
    <w:basedOn w:val="Normal"/>
    <w:semiHidden/>
    <w:rsid w:val="002A11B3"/>
  </w:style>
  <w:style w:type="paragraph" w:styleId="CommentSubject">
    <w:name w:val="annotation subject"/>
    <w:basedOn w:val="CommentText"/>
    <w:next w:val="CommentText"/>
    <w:semiHidden/>
    <w:rsid w:val="002A11B3"/>
    <w:rPr>
      <w:b/>
      <w:bCs/>
    </w:rPr>
  </w:style>
  <w:style w:type="paragraph" w:styleId="ListParagraph">
    <w:name w:val="List Paragraph"/>
    <w:basedOn w:val="Normal"/>
    <w:uiPriority w:val="34"/>
    <w:qFormat/>
    <w:rsid w:val="00A33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6E9D7-F81E-4B91-AF72-2BF5E23AC86C}"/>
</file>

<file path=customXml/itemProps2.xml><?xml version="1.0" encoding="utf-8"?>
<ds:datastoreItem xmlns:ds="http://schemas.openxmlformats.org/officeDocument/2006/customXml" ds:itemID="{2446878B-B9A0-463A-8051-29A2A62E8453}"/>
</file>

<file path=customXml/itemProps3.xml><?xml version="1.0" encoding="utf-8"?>
<ds:datastoreItem xmlns:ds="http://schemas.openxmlformats.org/officeDocument/2006/customXml" ds:itemID="{13C48F35-CE34-4BD1-B41D-FDB4E7E399E7}"/>
</file>

<file path=customXml/itemProps4.xml><?xml version="1.0" encoding="utf-8"?>
<ds:datastoreItem xmlns:ds="http://schemas.openxmlformats.org/officeDocument/2006/customXml" ds:itemID="{DB57786D-2EBC-4055-A09F-B4BD6AB4259A}"/>
</file>

<file path=docProps/app.xml><?xml version="1.0" encoding="utf-8"?>
<Properties xmlns="http://schemas.openxmlformats.org/officeDocument/2006/extended-properties" xmlns:vt="http://schemas.openxmlformats.org/officeDocument/2006/docPropsVTypes">
  <Template>Normal.dotm</Template>
  <TotalTime>19</TotalTime>
  <Pages>17</Pages>
  <Words>4027</Words>
  <Characters>21163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Q</vt:lpstr>
    </vt:vector>
  </TitlesOfParts>
  <Company>PacifiCorp</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Dan Johannsen</dc:creator>
  <cp:keywords/>
  <dc:description/>
  <cp:lastModifiedBy>P20165</cp:lastModifiedBy>
  <cp:revision>5</cp:revision>
  <cp:lastPrinted>2009-01-27T20:33:00Z</cp:lastPrinted>
  <dcterms:created xsi:type="dcterms:W3CDTF">2010-04-30T19:30:00Z</dcterms:created>
  <dcterms:modified xsi:type="dcterms:W3CDTF">2010-05-02T18:32:00Z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