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Pr="00263F7B" w:rsidRDefault="00154718" w:rsidP="00BE5610">
      <w:r w:rsidRPr="00263F7B">
        <w:t xml:space="preserve">Agenda Date: </w:t>
      </w:r>
      <w:r w:rsidRPr="00263F7B">
        <w:tab/>
      </w:r>
      <w:r w:rsidRPr="00263F7B">
        <w:tab/>
      </w:r>
      <w:r w:rsidR="00767D9E" w:rsidRPr="00263F7B">
        <w:t>May 13,</w:t>
      </w:r>
      <w:r w:rsidR="008833DF" w:rsidRPr="00263F7B">
        <w:t xml:space="preserve"> 2010</w:t>
      </w:r>
      <w:r w:rsidR="004456FB" w:rsidRPr="00263F7B">
        <w:tab/>
      </w:r>
      <w:r w:rsidR="004456FB" w:rsidRPr="00263F7B">
        <w:tab/>
      </w:r>
    </w:p>
    <w:p w:rsidR="00154718" w:rsidRPr="00263F7B" w:rsidRDefault="00154718" w:rsidP="00BE5610">
      <w:r w:rsidRPr="00263F7B">
        <w:t>Item Number:</w:t>
      </w:r>
      <w:r w:rsidRPr="00263F7B">
        <w:tab/>
      </w:r>
      <w:r w:rsidRPr="00263F7B">
        <w:tab/>
      </w:r>
      <w:r w:rsidR="002C6110" w:rsidRPr="00263F7B">
        <w:t>A</w:t>
      </w:r>
      <w:r w:rsidR="002E330C">
        <w:t>4</w:t>
      </w:r>
    </w:p>
    <w:p w:rsidR="006E3B58" w:rsidRPr="00263F7B" w:rsidRDefault="006E3B58" w:rsidP="00BE5610"/>
    <w:p w:rsidR="00154718" w:rsidRPr="00263F7B" w:rsidRDefault="00154718" w:rsidP="00BE5610">
      <w:r w:rsidRPr="00263F7B">
        <w:t xml:space="preserve">Docket: </w:t>
      </w:r>
      <w:r w:rsidRPr="00263F7B">
        <w:tab/>
      </w:r>
      <w:r w:rsidRPr="00263F7B">
        <w:tab/>
        <w:t>UW-09</w:t>
      </w:r>
      <w:r w:rsidR="00143CDB" w:rsidRPr="00263F7B">
        <w:t>1466</w:t>
      </w:r>
    </w:p>
    <w:p w:rsidR="00154718" w:rsidRPr="00263F7B" w:rsidRDefault="00A41C23" w:rsidP="00BE5610">
      <w:r w:rsidRPr="00263F7B">
        <w:t>Company Name:</w:t>
      </w:r>
      <w:r w:rsidRPr="00263F7B">
        <w:tab/>
      </w:r>
      <w:r w:rsidR="00143CDB" w:rsidRPr="00263F7B">
        <w:t>Rainier View</w:t>
      </w:r>
      <w:r w:rsidR="006E3B58" w:rsidRPr="00263F7B">
        <w:t xml:space="preserve"> Water Company, </w:t>
      </w:r>
      <w:r w:rsidR="00F93D9C" w:rsidRPr="00263F7B">
        <w:t>I</w:t>
      </w:r>
      <w:r w:rsidR="00B45CF2" w:rsidRPr="00263F7B">
        <w:t>nc.</w:t>
      </w:r>
    </w:p>
    <w:p w:rsidR="00154718" w:rsidRPr="00263F7B" w:rsidRDefault="00154718" w:rsidP="00BE5610"/>
    <w:p w:rsidR="00154718" w:rsidRPr="00263F7B" w:rsidRDefault="00595023" w:rsidP="00BE5610">
      <w:r w:rsidRPr="00263F7B">
        <w:t xml:space="preserve">Staff: </w:t>
      </w:r>
      <w:r w:rsidRPr="00263F7B">
        <w:tab/>
      </w:r>
      <w:r w:rsidRPr="00263F7B">
        <w:tab/>
      </w:r>
      <w:r w:rsidRPr="00263F7B">
        <w:tab/>
        <w:t>Jim Ward</w:t>
      </w:r>
      <w:r w:rsidR="00154718" w:rsidRPr="00263F7B">
        <w:t>, Regulatory Analyst</w:t>
      </w:r>
    </w:p>
    <w:p w:rsidR="00143CDB" w:rsidRPr="00263F7B" w:rsidRDefault="00143CDB" w:rsidP="00143CDB">
      <w:pPr>
        <w:ind w:left="1440" w:firstLine="720"/>
      </w:pPr>
      <w:r w:rsidRPr="00263F7B">
        <w:t>Amy White, Regulatory Analyst</w:t>
      </w:r>
    </w:p>
    <w:p w:rsidR="00143CDB" w:rsidRPr="00263F7B" w:rsidRDefault="000625B1" w:rsidP="00143CDB">
      <w:pPr>
        <w:ind w:left="1440" w:firstLine="720"/>
      </w:pPr>
      <w:r w:rsidRPr="00263F7B">
        <w:t>Chris</w:t>
      </w:r>
      <w:r w:rsidR="00143CDB" w:rsidRPr="00263F7B">
        <w:t xml:space="preserve"> Mickelson, Regulatory Analyst</w:t>
      </w:r>
    </w:p>
    <w:p w:rsidR="00154718" w:rsidRPr="00263F7B" w:rsidRDefault="00154718" w:rsidP="00BE5610">
      <w:r w:rsidRPr="00263F7B">
        <w:tab/>
      </w:r>
      <w:r w:rsidRPr="00263F7B">
        <w:tab/>
      </w:r>
      <w:r w:rsidRPr="00263F7B">
        <w:tab/>
        <w:t>Dennis Shutler, Consumer Protection Staff</w:t>
      </w:r>
    </w:p>
    <w:p w:rsidR="00154718" w:rsidRPr="00263F7B" w:rsidRDefault="00154718" w:rsidP="00BE5610"/>
    <w:p w:rsidR="00154718" w:rsidRPr="00263F7B" w:rsidRDefault="00154718" w:rsidP="00BE5610">
      <w:pPr>
        <w:rPr>
          <w:b/>
          <w:u w:val="single"/>
        </w:rPr>
      </w:pPr>
      <w:r w:rsidRPr="00263F7B">
        <w:rPr>
          <w:b/>
          <w:u w:val="single"/>
        </w:rPr>
        <w:t>Recommendation</w:t>
      </w:r>
    </w:p>
    <w:p w:rsidR="00583C2F" w:rsidRPr="00263F7B" w:rsidRDefault="00583C2F" w:rsidP="00583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B569F1" w:rsidRPr="00263F7B" w:rsidRDefault="00B569F1" w:rsidP="00583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pPr>
      <w:r w:rsidRPr="00263F7B">
        <w:t>Issue an Order to:</w:t>
      </w:r>
    </w:p>
    <w:p w:rsidR="00B569F1" w:rsidRPr="00263F7B" w:rsidRDefault="00B569F1" w:rsidP="00583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583C2F" w:rsidRPr="00263F7B" w:rsidRDefault="00583C2F" w:rsidP="00583C2F">
      <w:pPr>
        <w:widowControl w:val="0"/>
        <w:numPr>
          <w:ilvl w:val="0"/>
          <w:numId w:val="12"/>
        </w:numPr>
        <w:autoSpaceDE w:val="0"/>
        <w:autoSpaceDN w:val="0"/>
        <w:adjustRightInd w:val="0"/>
        <w:rPr>
          <w:rFonts w:eastAsia="Times New Roman"/>
          <w:color w:val="000000"/>
          <w:lang w:bidi="ar-SA"/>
        </w:rPr>
      </w:pPr>
      <w:r w:rsidRPr="00263F7B">
        <w:rPr>
          <w:rFonts w:eastAsia="Times New Roman"/>
          <w:color w:val="000000"/>
          <w:lang w:bidi="ar-SA"/>
        </w:rPr>
        <w:t xml:space="preserve">Dismiss the Complaint and Order Suspending the Tariff Revisions filed by </w:t>
      </w:r>
      <w:r w:rsidR="00FC579B" w:rsidRPr="00263F7B">
        <w:rPr>
          <w:rFonts w:eastAsia="Times New Roman"/>
          <w:color w:val="000000"/>
          <w:lang w:bidi="ar-SA"/>
        </w:rPr>
        <w:t>Rainier V</w:t>
      </w:r>
      <w:r w:rsidR="00DF78BF" w:rsidRPr="00263F7B">
        <w:rPr>
          <w:rFonts w:eastAsia="Times New Roman"/>
          <w:color w:val="000000"/>
          <w:lang w:bidi="ar-SA"/>
        </w:rPr>
        <w:t>iew Water Company, Inc.</w:t>
      </w:r>
      <w:r w:rsidR="00F749BA" w:rsidRPr="00263F7B">
        <w:rPr>
          <w:rFonts w:eastAsia="Times New Roman"/>
          <w:color w:val="000000"/>
          <w:lang w:bidi="ar-SA"/>
        </w:rPr>
        <w:t>, in Docket UW-091466.</w:t>
      </w:r>
    </w:p>
    <w:p w:rsidR="00583C2F" w:rsidRPr="00263F7B" w:rsidRDefault="00583C2F" w:rsidP="00583C2F">
      <w:pPr>
        <w:widowControl w:val="0"/>
        <w:autoSpaceDE w:val="0"/>
        <w:autoSpaceDN w:val="0"/>
        <w:adjustRightInd w:val="0"/>
        <w:rPr>
          <w:rFonts w:eastAsia="Times New Roman"/>
          <w:color w:val="000000"/>
          <w:lang w:bidi="ar-SA"/>
        </w:rPr>
      </w:pPr>
    </w:p>
    <w:p w:rsidR="00940A7F" w:rsidRPr="00263F7B" w:rsidRDefault="00583C2F" w:rsidP="00940A7F">
      <w:pPr>
        <w:widowControl w:val="0"/>
        <w:numPr>
          <w:ilvl w:val="0"/>
          <w:numId w:val="12"/>
        </w:numPr>
        <w:autoSpaceDE w:val="0"/>
        <w:autoSpaceDN w:val="0"/>
        <w:adjustRightInd w:val="0"/>
        <w:rPr>
          <w:rFonts w:eastAsia="Times New Roman"/>
          <w:color w:val="000000"/>
          <w:lang w:bidi="ar-SA"/>
        </w:rPr>
      </w:pPr>
      <w:r w:rsidRPr="00263F7B">
        <w:rPr>
          <w:rFonts w:eastAsia="Times New Roman"/>
          <w:color w:val="000000"/>
          <w:lang w:bidi="ar-SA"/>
        </w:rPr>
        <w:t>Approve staff</w:t>
      </w:r>
      <w:r w:rsidR="00F749BA" w:rsidRPr="00263F7B">
        <w:rPr>
          <w:rFonts w:eastAsia="Times New Roman"/>
          <w:color w:val="000000"/>
          <w:lang w:bidi="ar-SA"/>
        </w:rPr>
        <w:t>-</w:t>
      </w:r>
      <w:r w:rsidRPr="00263F7B">
        <w:rPr>
          <w:rFonts w:eastAsia="Times New Roman"/>
          <w:color w:val="000000"/>
          <w:lang w:bidi="ar-SA"/>
        </w:rPr>
        <w:t xml:space="preserve">recommended revised rates as filed by the company on </w:t>
      </w:r>
      <w:r w:rsidR="0017069C" w:rsidRPr="00263F7B">
        <w:rPr>
          <w:rFonts w:eastAsia="Times New Roman"/>
          <w:color w:val="000000"/>
          <w:lang w:bidi="ar-SA"/>
        </w:rPr>
        <w:t>May 3</w:t>
      </w:r>
      <w:r w:rsidR="00DF78BF" w:rsidRPr="00263F7B">
        <w:rPr>
          <w:rFonts w:eastAsia="Times New Roman"/>
          <w:color w:val="000000"/>
          <w:lang w:bidi="ar-SA"/>
        </w:rPr>
        <w:t>, 2010</w:t>
      </w:r>
      <w:r w:rsidRPr="00263F7B">
        <w:rPr>
          <w:rFonts w:eastAsia="Times New Roman"/>
          <w:color w:val="000000"/>
          <w:lang w:bidi="ar-SA"/>
        </w:rPr>
        <w:t xml:space="preserve">, to become effective </w:t>
      </w:r>
      <w:r w:rsidR="000C2BAD" w:rsidRPr="00263F7B">
        <w:rPr>
          <w:rFonts w:eastAsia="Times New Roman"/>
          <w:color w:val="000000"/>
          <w:lang w:bidi="ar-SA"/>
        </w:rPr>
        <w:t>June 1</w:t>
      </w:r>
      <w:r w:rsidRPr="00263F7B">
        <w:rPr>
          <w:rFonts w:eastAsia="Times New Roman"/>
          <w:color w:val="000000"/>
          <w:lang w:bidi="ar-SA"/>
        </w:rPr>
        <w:t>, 20</w:t>
      </w:r>
      <w:r w:rsidR="00DF78BF" w:rsidRPr="00263F7B">
        <w:rPr>
          <w:rFonts w:eastAsia="Times New Roman"/>
          <w:color w:val="000000"/>
          <w:lang w:bidi="ar-SA"/>
        </w:rPr>
        <w:t>10</w:t>
      </w:r>
      <w:r w:rsidR="001117CE" w:rsidRPr="00263F7B">
        <w:rPr>
          <w:rFonts w:eastAsia="Times New Roman"/>
          <w:color w:val="000000"/>
          <w:lang w:bidi="ar-SA"/>
        </w:rPr>
        <w:t>.</w:t>
      </w:r>
    </w:p>
    <w:p w:rsidR="001A023C" w:rsidRPr="00263F7B" w:rsidRDefault="001A023C" w:rsidP="001117CE">
      <w:pPr>
        <w:widowControl w:val="0"/>
        <w:autoSpaceDE w:val="0"/>
        <w:autoSpaceDN w:val="0"/>
        <w:adjustRightInd w:val="0"/>
        <w:rPr>
          <w:rFonts w:eastAsia="Times New Roman"/>
          <w:color w:val="000000"/>
          <w:lang w:bidi="ar-SA"/>
        </w:rPr>
      </w:pPr>
    </w:p>
    <w:p w:rsidR="0036001A" w:rsidRPr="00263F7B" w:rsidRDefault="0036001A" w:rsidP="00583C2F">
      <w:pPr>
        <w:widowControl w:val="0"/>
        <w:numPr>
          <w:ilvl w:val="0"/>
          <w:numId w:val="12"/>
        </w:numPr>
        <w:autoSpaceDE w:val="0"/>
        <w:autoSpaceDN w:val="0"/>
        <w:adjustRightInd w:val="0"/>
        <w:rPr>
          <w:rFonts w:eastAsia="Times New Roman"/>
          <w:color w:val="000000"/>
          <w:lang w:bidi="ar-SA"/>
        </w:rPr>
      </w:pPr>
      <w:r w:rsidRPr="00263F7B">
        <w:rPr>
          <w:rFonts w:eastAsia="Times New Roman"/>
          <w:color w:val="000000"/>
          <w:lang w:bidi="ar-SA"/>
        </w:rPr>
        <w:t>Grant the</w:t>
      </w:r>
      <w:r w:rsidRPr="00263F7B">
        <w:rPr>
          <w:rFonts w:eastAsia="Times New Roman"/>
          <w:lang w:bidi="ar-SA"/>
        </w:rPr>
        <w:t xml:space="preserve"> company’s request for an exemption from WAC 480-110-431, Tariffs, to allow the revised rates that result in increases above the level noticed to customers to become effective on June 1, 2010, on less than statutory notice.</w:t>
      </w:r>
    </w:p>
    <w:p w:rsidR="001117CE" w:rsidRPr="00263F7B" w:rsidRDefault="001117CE" w:rsidP="001117CE">
      <w:pPr>
        <w:widowControl w:val="0"/>
        <w:autoSpaceDE w:val="0"/>
        <w:autoSpaceDN w:val="0"/>
        <w:adjustRightInd w:val="0"/>
        <w:ind w:left="360"/>
        <w:rPr>
          <w:rFonts w:eastAsia="Times New Roman"/>
          <w:color w:val="000000"/>
          <w:lang w:bidi="ar-SA"/>
        </w:rPr>
      </w:pPr>
      <w:r w:rsidRPr="00263F7B">
        <w:rPr>
          <w:rFonts w:eastAsia="Times New Roman"/>
          <w:lang w:bidi="ar-SA"/>
        </w:rPr>
        <w:t xml:space="preserve"> </w:t>
      </w:r>
    </w:p>
    <w:p w:rsidR="001117CE" w:rsidRPr="00263F7B" w:rsidRDefault="001117CE" w:rsidP="001117CE">
      <w:pPr>
        <w:widowControl w:val="0"/>
        <w:numPr>
          <w:ilvl w:val="0"/>
          <w:numId w:val="12"/>
        </w:numPr>
        <w:autoSpaceDE w:val="0"/>
        <w:autoSpaceDN w:val="0"/>
        <w:adjustRightInd w:val="0"/>
        <w:rPr>
          <w:rFonts w:eastAsia="Times New Roman"/>
          <w:color w:val="000000"/>
          <w:lang w:bidi="ar-SA"/>
        </w:rPr>
      </w:pPr>
      <w:r w:rsidRPr="00263F7B">
        <w:rPr>
          <w:rFonts w:eastAsia="Times New Roman"/>
          <w:color w:val="000000"/>
          <w:lang w:bidi="ar-SA"/>
        </w:rPr>
        <w:t>Grant the company’s request for an exemption from WAC 480-110-425, Customer Notice, to allow the company to notify customers of increases in the next billing cycle.</w:t>
      </w:r>
    </w:p>
    <w:p w:rsidR="004D7E01" w:rsidRPr="00263F7B" w:rsidRDefault="004D7E01" w:rsidP="006E3B58">
      <w:pPr>
        <w:widowControl w:val="0"/>
        <w:autoSpaceDE w:val="0"/>
        <w:autoSpaceDN w:val="0"/>
        <w:adjustRightInd w:val="0"/>
        <w:ind w:left="360"/>
        <w:rPr>
          <w:color w:val="000000"/>
          <w:sz w:val="22"/>
          <w:szCs w:val="22"/>
          <w:lang w:bidi="ar-SA"/>
        </w:rPr>
      </w:pPr>
    </w:p>
    <w:p w:rsidR="00154718" w:rsidRPr="00263F7B" w:rsidRDefault="00154718" w:rsidP="00BE5610">
      <w:pPr>
        <w:rPr>
          <w:b/>
          <w:u w:val="single"/>
        </w:rPr>
      </w:pPr>
      <w:r w:rsidRPr="00263F7B">
        <w:rPr>
          <w:b/>
          <w:u w:val="single"/>
        </w:rPr>
        <w:t>Discussion</w:t>
      </w:r>
    </w:p>
    <w:p w:rsidR="00154718" w:rsidRPr="00263F7B" w:rsidRDefault="00154718" w:rsidP="00BE5610"/>
    <w:p w:rsidR="008C168F" w:rsidRPr="00263F7B" w:rsidRDefault="00DD65A6" w:rsidP="008C168F">
      <w:r w:rsidRPr="00263F7B">
        <w:rPr>
          <w:color w:val="000000"/>
        </w:rPr>
        <w:t xml:space="preserve">On </w:t>
      </w:r>
      <w:r w:rsidR="00143CDB" w:rsidRPr="00263F7B">
        <w:t>September 15</w:t>
      </w:r>
      <w:r w:rsidRPr="00263F7B">
        <w:rPr>
          <w:color w:val="000000"/>
        </w:rPr>
        <w:t xml:space="preserve">, 2009, </w:t>
      </w:r>
      <w:r w:rsidR="00143CDB" w:rsidRPr="00263F7B">
        <w:t>Rainier View</w:t>
      </w:r>
      <w:r w:rsidR="006E3B58" w:rsidRPr="00263F7B">
        <w:t xml:space="preserve"> Water Company, </w:t>
      </w:r>
      <w:r w:rsidR="00F93D9C" w:rsidRPr="00263F7B">
        <w:t>Inc.</w:t>
      </w:r>
      <w:r w:rsidRPr="00263F7B">
        <w:t>, (</w:t>
      </w:r>
      <w:r w:rsidR="00143CDB" w:rsidRPr="00263F7B">
        <w:t>Rainier View</w:t>
      </w:r>
      <w:r w:rsidRPr="00263F7B">
        <w:t xml:space="preserve"> or company</w:t>
      </w:r>
      <w:r w:rsidR="00A201C0" w:rsidRPr="00263F7B">
        <w:t>)</w:t>
      </w:r>
      <w:r w:rsidR="00D0403B" w:rsidRPr="00263F7B">
        <w:t>,</w:t>
      </w:r>
      <w:r w:rsidR="00A201C0" w:rsidRPr="00263F7B">
        <w:t xml:space="preserve"> filed</w:t>
      </w:r>
      <w:r w:rsidRPr="00263F7B">
        <w:t xml:space="preserve"> </w:t>
      </w:r>
      <w:r w:rsidR="008C168F" w:rsidRPr="00263F7B">
        <w:t>t</w:t>
      </w:r>
      <w:r w:rsidR="008C168F" w:rsidRPr="00263F7B">
        <w:rPr>
          <w:rFonts w:eastAsia="Times New Roman"/>
          <w:lang w:bidi="ar-SA"/>
        </w:rPr>
        <w:t>ariff revision</w:t>
      </w:r>
      <w:r w:rsidR="006E3B58" w:rsidRPr="00263F7B">
        <w:rPr>
          <w:rFonts w:eastAsia="Times New Roman"/>
          <w:lang w:bidi="ar-SA"/>
        </w:rPr>
        <w:t>s</w:t>
      </w:r>
      <w:r w:rsidR="008C168F" w:rsidRPr="00263F7B">
        <w:rPr>
          <w:rFonts w:eastAsia="Times New Roman"/>
          <w:lang w:bidi="ar-SA"/>
        </w:rPr>
        <w:t xml:space="preserve"> to </w:t>
      </w:r>
      <w:r w:rsidR="00B84E56" w:rsidRPr="00263F7B">
        <w:rPr>
          <w:rFonts w:eastAsia="Times New Roman"/>
          <w:lang w:bidi="ar-SA"/>
        </w:rPr>
        <w:t xml:space="preserve">its </w:t>
      </w:r>
      <w:r w:rsidR="006E3B58" w:rsidRPr="00263F7B">
        <w:rPr>
          <w:rFonts w:eastAsia="Times New Roman"/>
          <w:lang w:bidi="ar-SA"/>
        </w:rPr>
        <w:t>currently effective tariff</w:t>
      </w:r>
      <w:r w:rsidR="00863543" w:rsidRPr="00263F7B">
        <w:rPr>
          <w:rFonts w:eastAsia="Times New Roman"/>
          <w:lang w:bidi="ar-SA"/>
        </w:rPr>
        <w:t xml:space="preserve"> that would generate </w:t>
      </w:r>
      <w:r w:rsidR="0099460C" w:rsidRPr="00263F7B">
        <w:rPr>
          <w:rFonts w:eastAsia="Times New Roman"/>
          <w:lang w:bidi="ar-SA"/>
        </w:rPr>
        <w:t xml:space="preserve">approximately </w:t>
      </w:r>
      <w:r w:rsidR="00CC4FE2" w:rsidRPr="00263F7B">
        <w:t>$</w:t>
      </w:r>
      <w:r w:rsidR="004F5398" w:rsidRPr="00263F7B">
        <w:t>739,971</w:t>
      </w:r>
      <w:r w:rsidR="00CC4FE2" w:rsidRPr="00263F7B">
        <w:t xml:space="preserve"> (</w:t>
      </w:r>
      <w:r w:rsidR="004F5398" w:rsidRPr="00263F7B">
        <w:t>16.4</w:t>
      </w:r>
      <w:r w:rsidR="00CC4FE2" w:rsidRPr="00263F7B">
        <w:t xml:space="preserve"> percent) </w:t>
      </w:r>
      <w:r w:rsidR="008B479D" w:rsidRPr="00263F7B">
        <w:t xml:space="preserve">in </w:t>
      </w:r>
      <w:r w:rsidR="00863543" w:rsidRPr="00263F7B">
        <w:t>additional annual revenue</w:t>
      </w:r>
      <w:r w:rsidR="00CC4FE2" w:rsidRPr="00263F7B">
        <w:t xml:space="preserve">. </w:t>
      </w:r>
      <w:r w:rsidR="00E8074A" w:rsidRPr="00263F7B">
        <w:t>The filing also cancels the current</w:t>
      </w:r>
      <w:r w:rsidR="00D12604" w:rsidRPr="00263F7B">
        <w:t xml:space="preserve"> $</w:t>
      </w:r>
      <w:r w:rsidR="00F749BA" w:rsidRPr="00263F7B">
        <w:t>0</w:t>
      </w:r>
      <w:r w:rsidR="00D12604" w:rsidRPr="00263F7B">
        <w:t>.61 per month generator surcharge.</w:t>
      </w:r>
      <w:r w:rsidR="00E8074A" w:rsidRPr="00263F7B">
        <w:t xml:space="preserve"> </w:t>
      </w:r>
      <w:r w:rsidR="00A8090E" w:rsidRPr="00263F7B">
        <w:t xml:space="preserve">The company </w:t>
      </w:r>
      <w:r w:rsidR="008B479D" w:rsidRPr="00263F7B">
        <w:t>states the</w:t>
      </w:r>
      <w:r w:rsidR="0099460C" w:rsidRPr="00263F7B">
        <w:t xml:space="preserve"> increase </w:t>
      </w:r>
      <w:r w:rsidR="009C55E2" w:rsidRPr="00263F7B">
        <w:t xml:space="preserve">is </w:t>
      </w:r>
      <w:r w:rsidR="0099460C" w:rsidRPr="00263F7B">
        <w:t xml:space="preserve">prompted by </w:t>
      </w:r>
      <w:r w:rsidR="008B479D" w:rsidRPr="00263F7B">
        <w:t>increase</w:t>
      </w:r>
      <w:r w:rsidR="00B603AA" w:rsidRPr="00263F7B">
        <w:t xml:space="preserve">s in wages, medical benefits, cost of chemicals used for treatment, and most products used </w:t>
      </w:r>
      <w:r w:rsidR="000625B1" w:rsidRPr="00263F7B">
        <w:t>to provide</w:t>
      </w:r>
      <w:r w:rsidR="00B603AA" w:rsidRPr="00263F7B">
        <w:t xml:space="preserve"> service.</w:t>
      </w:r>
      <w:r w:rsidR="00A8090E" w:rsidRPr="00263F7B">
        <w:t xml:space="preserve"> </w:t>
      </w:r>
      <w:r w:rsidR="006E3B58" w:rsidRPr="00263F7B">
        <w:t xml:space="preserve">The company serves about </w:t>
      </w:r>
      <w:r w:rsidR="007E0743" w:rsidRPr="00263F7B">
        <w:t>16,000</w:t>
      </w:r>
      <w:r w:rsidR="006E3B58" w:rsidRPr="00263F7B">
        <w:t xml:space="preserve"> c</w:t>
      </w:r>
      <w:r w:rsidR="00E60353" w:rsidRPr="00263F7B">
        <w:t>onnection</w:t>
      </w:r>
      <w:r w:rsidR="006E3B58" w:rsidRPr="00263F7B">
        <w:t>s on</w:t>
      </w:r>
      <w:r w:rsidR="000C2481" w:rsidRPr="00263F7B">
        <w:t xml:space="preserve"> 26 water systems </w:t>
      </w:r>
      <w:r w:rsidR="0099460C" w:rsidRPr="00263F7B">
        <w:t xml:space="preserve">located </w:t>
      </w:r>
      <w:r w:rsidR="00B603AA" w:rsidRPr="00263F7B">
        <w:t xml:space="preserve">in Pierce </w:t>
      </w:r>
      <w:r w:rsidR="006E3B58" w:rsidRPr="00263F7B">
        <w:t>County</w:t>
      </w:r>
      <w:r w:rsidR="00597882" w:rsidRPr="00263F7B">
        <w:t xml:space="preserve"> and </w:t>
      </w:r>
      <w:r w:rsidR="000C2481" w:rsidRPr="00263F7B">
        <w:t xml:space="preserve">on two water systems </w:t>
      </w:r>
      <w:r w:rsidR="0099460C" w:rsidRPr="00263F7B">
        <w:t xml:space="preserve">located </w:t>
      </w:r>
      <w:r w:rsidR="000C2481" w:rsidRPr="00263F7B">
        <w:t>in Kitsap County</w:t>
      </w:r>
      <w:r w:rsidR="006E3B58" w:rsidRPr="00263F7B">
        <w:t xml:space="preserve">. The proposed effective date is </w:t>
      </w:r>
      <w:r w:rsidR="00143CDB" w:rsidRPr="00263F7B">
        <w:t>October 16</w:t>
      </w:r>
      <w:r w:rsidR="006E3B58" w:rsidRPr="00263F7B">
        <w:t xml:space="preserve">, 2009. The company’s last rate increase was </w:t>
      </w:r>
      <w:r w:rsidR="008B479D" w:rsidRPr="00263F7B">
        <w:t xml:space="preserve">in </w:t>
      </w:r>
      <w:r w:rsidR="00B603AA" w:rsidRPr="00263F7B">
        <w:t>July</w:t>
      </w:r>
      <w:r w:rsidR="006E3B58" w:rsidRPr="00263F7B">
        <w:t xml:space="preserve"> 200</w:t>
      </w:r>
      <w:r w:rsidR="00B603AA" w:rsidRPr="00263F7B">
        <w:t>1</w:t>
      </w:r>
      <w:r w:rsidR="006E3B58" w:rsidRPr="00263F7B">
        <w:t>.</w:t>
      </w:r>
    </w:p>
    <w:p w:rsidR="00806746" w:rsidRPr="00263F7B" w:rsidRDefault="00806746" w:rsidP="008C168F"/>
    <w:p w:rsidR="00806746" w:rsidRPr="00263F7B" w:rsidRDefault="00806746" w:rsidP="008067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sidRPr="00263F7B">
        <w:rPr>
          <w:rFonts w:eastAsia="Times New Roman"/>
          <w:lang w:bidi="ar-SA"/>
        </w:rPr>
        <w:t>On October 15, 2009, the commission issued a complaint and order suspending the proposed tariff revisions.</w:t>
      </w:r>
    </w:p>
    <w:p w:rsidR="007E0743" w:rsidRPr="00263F7B" w:rsidRDefault="007E0743" w:rsidP="008067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p w:rsidR="00806746" w:rsidRPr="00263F7B" w:rsidRDefault="00806746" w:rsidP="00806746">
      <w:pPr>
        <w:rPr>
          <w:rFonts w:eastAsia="Times New Roman"/>
          <w:lang w:bidi="ar-SA"/>
        </w:rPr>
      </w:pPr>
      <w:r w:rsidRPr="00263F7B">
        <w:rPr>
          <w:rFonts w:eastAsia="Times New Roman"/>
          <w:lang w:bidi="ar-SA"/>
        </w:rPr>
        <w:t>After review and discussions, staff and the company agreed to a revised revenue requirement of $</w:t>
      </w:r>
      <w:r w:rsidR="00137913" w:rsidRPr="00263F7B">
        <w:rPr>
          <w:rFonts w:eastAsia="Times New Roman"/>
          <w:lang w:bidi="ar-SA"/>
        </w:rPr>
        <w:t>363,611 (8.1</w:t>
      </w:r>
      <w:r w:rsidRPr="00263F7B">
        <w:rPr>
          <w:rFonts w:eastAsia="Times New Roman"/>
          <w:lang w:bidi="ar-SA"/>
        </w:rPr>
        <w:t xml:space="preserve"> percent) in additional annual revenue and revised rates. On </w:t>
      </w:r>
      <w:r w:rsidR="000C2BAD" w:rsidRPr="00263F7B">
        <w:rPr>
          <w:rFonts w:eastAsia="Times New Roman"/>
          <w:lang w:bidi="ar-SA"/>
        </w:rPr>
        <w:t>May 3</w:t>
      </w:r>
      <w:r w:rsidR="008833DF" w:rsidRPr="00263F7B">
        <w:t>, 2010</w:t>
      </w:r>
      <w:r w:rsidRPr="00263F7B">
        <w:rPr>
          <w:rFonts w:eastAsia="Times New Roman"/>
          <w:lang w:bidi="ar-SA"/>
        </w:rPr>
        <w:t>, the company filed revised rates at staff</w:t>
      </w:r>
      <w:r w:rsidR="00F749BA" w:rsidRPr="00263F7B">
        <w:rPr>
          <w:rFonts w:eastAsia="Times New Roman"/>
          <w:lang w:bidi="ar-SA"/>
        </w:rPr>
        <w:t>-</w:t>
      </w:r>
      <w:r w:rsidRPr="00263F7B">
        <w:rPr>
          <w:rFonts w:eastAsia="Times New Roman"/>
          <w:lang w:bidi="ar-SA"/>
        </w:rPr>
        <w:t>recommended levels.</w:t>
      </w:r>
    </w:p>
    <w:p w:rsidR="000C2BAD" w:rsidRPr="00263F7B" w:rsidRDefault="000C2BAD" w:rsidP="00806746">
      <w:pPr>
        <w:rPr>
          <w:rFonts w:eastAsia="Times New Roman"/>
          <w:lang w:bidi="ar-SA"/>
        </w:rPr>
      </w:pPr>
    </w:p>
    <w:p w:rsidR="00C27500" w:rsidRPr="00263F7B" w:rsidRDefault="00C27500" w:rsidP="00806746">
      <w:pPr>
        <w:rPr>
          <w:rFonts w:eastAsia="Times New Roman"/>
          <w:u w:val="single"/>
          <w:lang w:bidi="ar-SA"/>
        </w:rPr>
      </w:pPr>
    </w:p>
    <w:p w:rsidR="00BB58FC" w:rsidRPr="00263F7B" w:rsidRDefault="00AA1ADC" w:rsidP="00806746">
      <w:pPr>
        <w:rPr>
          <w:rFonts w:eastAsia="Times New Roman"/>
          <w:u w:val="single"/>
          <w:lang w:bidi="ar-SA"/>
        </w:rPr>
      </w:pPr>
      <w:r w:rsidRPr="00263F7B">
        <w:rPr>
          <w:rFonts w:eastAsia="Times New Roman"/>
          <w:u w:val="single"/>
          <w:lang w:bidi="ar-SA"/>
        </w:rPr>
        <w:lastRenderedPageBreak/>
        <w:t xml:space="preserve">Rate </w:t>
      </w:r>
      <w:r w:rsidR="00DC4B0B" w:rsidRPr="00263F7B">
        <w:rPr>
          <w:rFonts w:eastAsia="Times New Roman"/>
          <w:u w:val="single"/>
          <w:lang w:bidi="ar-SA"/>
        </w:rPr>
        <w:t>Case</w:t>
      </w:r>
      <w:r w:rsidR="00B740B3" w:rsidRPr="00263F7B">
        <w:rPr>
          <w:rFonts w:eastAsia="Times New Roman"/>
          <w:u w:val="single"/>
          <w:lang w:bidi="ar-SA"/>
        </w:rPr>
        <w:t xml:space="preserve"> </w:t>
      </w:r>
      <w:r w:rsidRPr="00263F7B">
        <w:rPr>
          <w:rFonts w:eastAsia="Times New Roman"/>
          <w:u w:val="single"/>
          <w:lang w:bidi="ar-SA"/>
        </w:rPr>
        <w:t>Issues</w:t>
      </w:r>
    </w:p>
    <w:p w:rsidR="00D23384" w:rsidRPr="00263F7B" w:rsidRDefault="005E03DD" w:rsidP="00806746">
      <w:pPr>
        <w:rPr>
          <w:rFonts w:eastAsia="Times New Roman"/>
          <w:lang w:bidi="ar-SA"/>
        </w:rPr>
      </w:pPr>
      <w:r w:rsidRPr="00263F7B">
        <w:rPr>
          <w:rFonts w:eastAsia="Times New Roman"/>
          <w:lang w:bidi="ar-SA"/>
        </w:rPr>
        <w:t xml:space="preserve">During its review, staff determined that the company did not use all meters for billing purposes. The company’s new billing software program properly identifies those meters used for “non-billing” purposes. Staff made adjustments to </w:t>
      </w:r>
      <w:r w:rsidR="00134CD2" w:rsidRPr="00263F7B">
        <w:rPr>
          <w:rFonts w:eastAsia="Times New Roman"/>
          <w:lang w:bidi="ar-SA"/>
        </w:rPr>
        <w:t>t</w:t>
      </w:r>
      <w:r w:rsidR="00EE79A4" w:rsidRPr="00263F7B">
        <w:rPr>
          <w:rFonts w:eastAsia="Times New Roman"/>
          <w:lang w:bidi="ar-SA"/>
        </w:rPr>
        <w:t>he company</w:t>
      </w:r>
      <w:r w:rsidR="007E0743" w:rsidRPr="00263F7B">
        <w:rPr>
          <w:rFonts w:eastAsia="Times New Roman"/>
          <w:lang w:bidi="ar-SA"/>
        </w:rPr>
        <w:t>’s</w:t>
      </w:r>
      <w:r w:rsidR="00D23384" w:rsidRPr="00263F7B">
        <w:rPr>
          <w:rFonts w:eastAsia="Times New Roman"/>
          <w:lang w:bidi="ar-SA"/>
        </w:rPr>
        <w:t xml:space="preserve"> </w:t>
      </w:r>
      <w:r w:rsidR="004428BF" w:rsidRPr="00263F7B">
        <w:rPr>
          <w:rFonts w:eastAsia="Times New Roman"/>
          <w:lang w:bidi="ar-SA"/>
        </w:rPr>
        <w:t xml:space="preserve">test period </w:t>
      </w:r>
      <w:r w:rsidR="00EE79A4" w:rsidRPr="00263F7B">
        <w:rPr>
          <w:rFonts w:eastAsia="Times New Roman"/>
          <w:lang w:bidi="ar-SA"/>
        </w:rPr>
        <w:t xml:space="preserve">usage data to extract </w:t>
      </w:r>
      <w:r w:rsidR="0069055F" w:rsidRPr="00263F7B">
        <w:rPr>
          <w:rFonts w:eastAsia="Times New Roman"/>
          <w:lang w:bidi="ar-SA"/>
        </w:rPr>
        <w:t>master meters</w:t>
      </w:r>
      <w:r w:rsidR="00D23384" w:rsidRPr="00263F7B">
        <w:rPr>
          <w:rStyle w:val="FootnoteReference"/>
          <w:rFonts w:eastAsia="Times New Roman"/>
          <w:lang w:bidi="ar-SA"/>
        </w:rPr>
        <w:footnoteReference w:id="1"/>
      </w:r>
      <w:r w:rsidR="00D23384" w:rsidRPr="00263F7B">
        <w:rPr>
          <w:rFonts w:eastAsia="Times New Roman"/>
          <w:lang w:bidi="ar-SA"/>
        </w:rPr>
        <w:t xml:space="preserve">, reclassify meter </w:t>
      </w:r>
      <w:r w:rsidR="00131944" w:rsidRPr="00263F7B">
        <w:rPr>
          <w:rFonts w:eastAsia="Times New Roman"/>
          <w:lang w:bidi="ar-SA"/>
        </w:rPr>
        <w:t>sizes</w:t>
      </w:r>
      <w:r w:rsidR="00D23384" w:rsidRPr="00263F7B">
        <w:rPr>
          <w:rFonts w:eastAsia="Times New Roman"/>
          <w:lang w:bidi="ar-SA"/>
        </w:rPr>
        <w:t xml:space="preserve"> and</w:t>
      </w:r>
      <w:r w:rsidR="0069055F" w:rsidRPr="00263F7B">
        <w:rPr>
          <w:rFonts w:eastAsia="Times New Roman"/>
          <w:lang w:bidi="ar-SA"/>
        </w:rPr>
        <w:t xml:space="preserve"> accurately account for </w:t>
      </w:r>
      <w:r w:rsidR="001117CE" w:rsidRPr="00263F7B">
        <w:rPr>
          <w:rFonts w:eastAsia="Times New Roman"/>
          <w:lang w:bidi="ar-SA"/>
        </w:rPr>
        <w:t xml:space="preserve">water usage </w:t>
      </w:r>
      <w:r w:rsidR="00D17B76" w:rsidRPr="00263F7B">
        <w:rPr>
          <w:rFonts w:eastAsia="Times New Roman"/>
          <w:lang w:bidi="ar-SA"/>
        </w:rPr>
        <w:t xml:space="preserve">associated with </w:t>
      </w:r>
      <w:r w:rsidR="0069055F" w:rsidRPr="00263F7B">
        <w:rPr>
          <w:rFonts w:eastAsia="Times New Roman"/>
          <w:lang w:bidi="ar-SA"/>
        </w:rPr>
        <w:t>compound</w:t>
      </w:r>
      <w:r w:rsidR="00162778" w:rsidRPr="00263F7B">
        <w:rPr>
          <w:rStyle w:val="FootnoteReference"/>
          <w:rFonts w:eastAsia="Times New Roman"/>
          <w:lang w:bidi="ar-SA"/>
        </w:rPr>
        <w:footnoteReference w:id="2"/>
      </w:r>
      <w:r w:rsidR="001A023C" w:rsidRPr="00263F7B">
        <w:rPr>
          <w:rFonts w:eastAsia="Times New Roman"/>
          <w:lang w:bidi="ar-SA"/>
        </w:rPr>
        <w:t xml:space="preserve"> </w:t>
      </w:r>
      <w:r w:rsidR="006A23A9" w:rsidRPr="00263F7B">
        <w:rPr>
          <w:rFonts w:eastAsia="Times New Roman"/>
          <w:lang w:bidi="ar-SA"/>
        </w:rPr>
        <w:t>meters</w:t>
      </w:r>
      <w:r w:rsidR="0069055F" w:rsidRPr="00263F7B">
        <w:rPr>
          <w:rFonts w:eastAsia="Times New Roman"/>
          <w:lang w:bidi="ar-SA"/>
        </w:rPr>
        <w:t>.</w:t>
      </w:r>
    </w:p>
    <w:p w:rsidR="00D23384" w:rsidRPr="00263F7B" w:rsidRDefault="00D23384" w:rsidP="00806746">
      <w:pPr>
        <w:rPr>
          <w:rFonts w:eastAsia="Times New Roman"/>
          <w:lang w:bidi="ar-SA"/>
        </w:rPr>
      </w:pPr>
    </w:p>
    <w:p w:rsidR="00BA0B45" w:rsidRPr="00263F7B" w:rsidRDefault="00BA0B45" w:rsidP="00BA0B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u w:val="single"/>
          <w:lang w:bidi="ar-SA"/>
        </w:rPr>
      </w:pPr>
      <w:r w:rsidRPr="00263F7B">
        <w:rPr>
          <w:rFonts w:eastAsia="Times New Roman"/>
          <w:u w:val="single"/>
          <w:lang w:bidi="ar-SA"/>
        </w:rPr>
        <w:t>Single-Tariff Pricing</w:t>
      </w:r>
    </w:p>
    <w:p w:rsidR="00BA0B45" w:rsidRPr="00263F7B" w:rsidRDefault="00BA0B45"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Under single-tariff pricing, customers on some water systems pay more and customers on some water systems pay less than what they would pay if the commission set separate, stand-alone rates for each water system. Since all water systems will eventually require capital improvements, single-tariff pricing distributes the risk of the individual water system customers in much the same way as an insurance pool and diminishes the impact of major capital investments on the individual water system’s customers.</w:t>
      </w:r>
      <w:r w:rsidR="00CA2894" w:rsidRPr="00263F7B">
        <w:rPr>
          <w:rFonts w:eastAsia="Times New Roman"/>
          <w:lang w:bidi="ar-SA"/>
        </w:rPr>
        <w:t xml:space="preserve"> Single-tariff pricing also includes a single rate design that applies to all customers. </w:t>
      </w:r>
    </w:p>
    <w:p w:rsidR="00BA0B45" w:rsidRPr="00263F7B" w:rsidRDefault="00BA0B45"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p>
    <w:p w:rsidR="00E5664C" w:rsidRPr="00263F7B" w:rsidRDefault="00BA0B45"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Staff h</w:t>
      </w:r>
      <w:r w:rsidR="00BB4D94" w:rsidRPr="00263F7B">
        <w:rPr>
          <w:rFonts w:eastAsia="Times New Roman"/>
          <w:lang w:bidi="ar-SA"/>
        </w:rPr>
        <w:t xml:space="preserve">as consistently supported single-tariff pricing and, except for very unusual circumstances, has consistently recommended the commission use single-tariff pricing to set rates. Staff </w:t>
      </w:r>
      <w:r w:rsidR="00CA2894" w:rsidRPr="00263F7B">
        <w:rPr>
          <w:rFonts w:eastAsia="Times New Roman"/>
          <w:lang w:bidi="ar-SA"/>
        </w:rPr>
        <w:t>thinks</w:t>
      </w:r>
      <w:r w:rsidR="00171857" w:rsidRPr="00263F7B">
        <w:rPr>
          <w:rFonts w:eastAsia="Times New Roman"/>
          <w:lang w:bidi="ar-SA"/>
        </w:rPr>
        <w:t xml:space="preserve"> </w:t>
      </w:r>
      <w:r w:rsidR="00CA2894" w:rsidRPr="00263F7B">
        <w:rPr>
          <w:rFonts w:eastAsia="Times New Roman"/>
          <w:lang w:bidi="ar-SA"/>
        </w:rPr>
        <w:t xml:space="preserve">this rate case presents unusual </w:t>
      </w:r>
      <w:r w:rsidR="00BB4D94" w:rsidRPr="00263F7B">
        <w:rPr>
          <w:rFonts w:eastAsia="Times New Roman"/>
          <w:lang w:bidi="ar-SA"/>
        </w:rPr>
        <w:t>circumstance</w:t>
      </w:r>
      <w:r w:rsidR="00CA2894" w:rsidRPr="00263F7B">
        <w:rPr>
          <w:rFonts w:eastAsia="Times New Roman"/>
          <w:lang w:bidi="ar-SA"/>
        </w:rPr>
        <w:t>s</w:t>
      </w:r>
      <w:r w:rsidR="00BB4D94" w:rsidRPr="00263F7B">
        <w:rPr>
          <w:rFonts w:eastAsia="Times New Roman"/>
          <w:lang w:bidi="ar-SA"/>
        </w:rPr>
        <w:t xml:space="preserve"> that warrant an exception to the single-tariff pricing policy</w:t>
      </w:r>
      <w:r w:rsidR="004428BF" w:rsidRPr="00263F7B">
        <w:rPr>
          <w:rFonts w:eastAsia="Times New Roman"/>
          <w:lang w:bidi="ar-SA"/>
        </w:rPr>
        <w:t xml:space="preserve"> and recommends that the commission approve two </w:t>
      </w:r>
      <w:r w:rsidR="00582E8D" w:rsidRPr="00263F7B">
        <w:rPr>
          <w:rFonts w:eastAsia="Times New Roman"/>
          <w:lang w:bidi="ar-SA"/>
        </w:rPr>
        <w:t>separate</w:t>
      </w:r>
      <w:r w:rsidR="004428BF" w:rsidRPr="00263F7B">
        <w:rPr>
          <w:rFonts w:eastAsia="Times New Roman"/>
          <w:lang w:bidi="ar-SA"/>
        </w:rPr>
        <w:t xml:space="preserve"> rate designs: one for </w:t>
      </w:r>
      <w:r w:rsidR="00263F7B">
        <w:rPr>
          <w:rFonts w:eastAsia="Times New Roman"/>
          <w:lang w:bidi="ar-SA"/>
        </w:rPr>
        <w:t xml:space="preserve">residential customers and </w:t>
      </w:r>
      <w:r w:rsidR="004428BF" w:rsidRPr="00263F7B">
        <w:rPr>
          <w:rFonts w:eastAsia="Times New Roman"/>
          <w:lang w:bidi="ar-SA"/>
        </w:rPr>
        <w:t xml:space="preserve"> one for </w:t>
      </w:r>
      <w:r w:rsidR="00263F7B">
        <w:rPr>
          <w:rFonts w:eastAsia="Times New Roman"/>
          <w:lang w:bidi="ar-SA"/>
        </w:rPr>
        <w:t xml:space="preserve">commercial </w:t>
      </w:r>
      <w:r w:rsidR="00F63BBF">
        <w:rPr>
          <w:rFonts w:eastAsia="Times New Roman"/>
          <w:lang w:bidi="ar-SA"/>
        </w:rPr>
        <w:t>customers</w:t>
      </w:r>
      <w:r w:rsidR="004428BF" w:rsidRPr="00263F7B">
        <w:rPr>
          <w:rFonts w:eastAsia="Times New Roman"/>
          <w:lang w:bidi="ar-SA"/>
        </w:rPr>
        <w:t>.</w:t>
      </w:r>
    </w:p>
    <w:p w:rsidR="00E5664C" w:rsidRPr="00263F7B" w:rsidRDefault="00E5664C"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p>
    <w:p w:rsidR="00DC4B0B" w:rsidRPr="00263F7B" w:rsidRDefault="00DA0CE2" w:rsidP="00CA2894">
      <w:pPr>
        <w:rPr>
          <w:rFonts w:eastAsia="Times New Roman"/>
          <w:u w:val="single"/>
          <w:lang w:bidi="ar-SA"/>
        </w:rPr>
      </w:pPr>
      <w:r w:rsidRPr="00263F7B">
        <w:rPr>
          <w:rFonts w:eastAsia="Times New Roman"/>
          <w:u w:val="single"/>
          <w:lang w:bidi="ar-SA"/>
        </w:rPr>
        <w:t>Rate Design History</w:t>
      </w:r>
    </w:p>
    <w:p w:rsidR="00CA2894" w:rsidRPr="00263F7B" w:rsidRDefault="00BB4D94" w:rsidP="00CA2894">
      <w:r w:rsidRPr="00263F7B">
        <w:rPr>
          <w:rFonts w:eastAsia="Times New Roman"/>
          <w:lang w:bidi="ar-SA"/>
        </w:rPr>
        <w:t>Rainier View previously applied a single</w:t>
      </w:r>
      <w:r w:rsidR="007E0743" w:rsidRPr="00263F7B">
        <w:rPr>
          <w:rFonts w:eastAsia="Times New Roman"/>
          <w:lang w:bidi="ar-SA"/>
        </w:rPr>
        <w:t>-</w:t>
      </w:r>
      <w:r w:rsidRPr="00263F7B">
        <w:rPr>
          <w:rFonts w:eastAsia="Times New Roman"/>
          <w:lang w:bidi="ar-SA"/>
        </w:rPr>
        <w:t xml:space="preserve">tariff pricing format. </w:t>
      </w:r>
      <w:r w:rsidR="00CA2894" w:rsidRPr="00263F7B">
        <w:rPr>
          <w:rFonts w:eastAsia="Times New Roman"/>
          <w:lang w:bidi="ar-SA"/>
        </w:rPr>
        <w:t>T</w:t>
      </w:r>
      <w:r w:rsidR="00CA2894" w:rsidRPr="00263F7B">
        <w:t xml:space="preserve">he company used a simple rate design that included 500 cubic feet in the base charge and $0.85 per 100 cubic feet for all usage that exceeded 500 cubic feet. </w:t>
      </w:r>
      <w:r w:rsidR="00825B25" w:rsidRPr="00263F7B">
        <w:t>That rate scale applied to a</w:t>
      </w:r>
      <w:r w:rsidR="00CA2894" w:rsidRPr="00263F7B">
        <w:t xml:space="preserve">ll customers, regardless of classification or meter size. </w:t>
      </w:r>
    </w:p>
    <w:p w:rsidR="00825B25" w:rsidRPr="00263F7B" w:rsidRDefault="00825B25" w:rsidP="00CA2894"/>
    <w:p w:rsidR="00E5664C" w:rsidRPr="00263F7B" w:rsidRDefault="007E0743" w:rsidP="00E5664C">
      <w:pPr>
        <w:widowControl w:val="0"/>
        <w:autoSpaceDE w:val="0"/>
        <w:autoSpaceDN w:val="0"/>
        <w:adjustRightInd w:val="0"/>
        <w:rPr>
          <w:rFonts w:eastAsia="Times New Roman"/>
          <w:lang w:bidi="ar-SA"/>
        </w:rPr>
      </w:pPr>
      <w:r w:rsidRPr="00263F7B">
        <w:rPr>
          <w:rFonts w:eastAsia="Times New Roman"/>
          <w:lang w:bidi="ar-SA"/>
        </w:rPr>
        <w:t xml:space="preserve">Over time, </w:t>
      </w:r>
      <w:r w:rsidR="00771F16" w:rsidRPr="00263F7B">
        <w:rPr>
          <w:rFonts w:eastAsia="Times New Roman"/>
          <w:lang w:bidi="ar-SA"/>
        </w:rPr>
        <w:t xml:space="preserve">total </w:t>
      </w:r>
      <w:r w:rsidR="00825B25" w:rsidRPr="00263F7B">
        <w:rPr>
          <w:rFonts w:eastAsia="Times New Roman"/>
          <w:lang w:bidi="ar-SA"/>
        </w:rPr>
        <w:t xml:space="preserve">customer </w:t>
      </w:r>
      <w:r w:rsidR="00771F16" w:rsidRPr="00263F7B">
        <w:rPr>
          <w:rFonts w:eastAsia="Times New Roman"/>
          <w:lang w:bidi="ar-SA"/>
        </w:rPr>
        <w:t xml:space="preserve">usage exceeded the Washington Department of Health’s (DOH) allotment of </w:t>
      </w:r>
      <w:r w:rsidRPr="00263F7B">
        <w:rPr>
          <w:rFonts w:eastAsia="Times New Roman"/>
          <w:lang w:bidi="ar-SA"/>
        </w:rPr>
        <w:t xml:space="preserve">Equivalent </w:t>
      </w:r>
      <w:r w:rsidR="00D17B76" w:rsidRPr="00263F7B">
        <w:rPr>
          <w:rFonts w:eastAsia="Times New Roman"/>
          <w:lang w:bidi="ar-SA"/>
        </w:rPr>
        <w:t>Residential</w:t>
      </w:r>
      <w:r w:rsidRPr="00263F7B">
        <w:rPr>
          <w:rFonts w:eastAsia="Times New Roman"/>
          <w:lang w:bidi="ar-SA"/>
        </w:rPr>
        <w:t xml:space="preserve"> Unit</w:t>
      </w:r>
      <w:r w:rsidR="00771F16" w:rsidRPr="00263F7B">
        <w:rPr>
          <w:rFonts w:eastAsia="Times New Roman"/>
          <w:lang w:bidi="ar-SA"/>
        </w:rPr>
        <w:t>s</w:t>
      </w:r>
      <w:r w:rsidRPr="00263F7B">
        <w:rPr>
          <w:rFonts w:eastAsia="Times New Roman"/>
          <w:lang w:bidi="ar-SA"/>
        </w:rPr>
        <w:t xml:space="preserve"> (ERU). </w:t>
      </w:r>
      <w:r w:rsidR="00AA1ADC" w:rsidRPr="00263F7B">
        <w:rPr>
          <w:rFonts w:eastAsia="Times New Roman"/>
          <w:lang w:bidi="ar-SA"/>
        </w:rPr>
        <w:t xml:space="preserve">Staff’s review of the </w:t>
      </w:r>
      <w:r w:rsidR="00825B25" w:rsidRPr="00263F7B">
        <w:rPr>
          <w:rFonts w:eastAsia="Times New Roman"/>
          <w:lang w:bidi="ar-SA"/>
        </w:rPr>
        <w:t>c</w:t>
      </w:r>
      <w:r w:rsidR="00AA1ADC" w:rsidRPr="00263F7B">
        <w:rPr>
          <w:rFonts w:eastAsia="Times New Roman"/>
          <w:lang w:bidi="ar-SA"/>
        </w:rPr>
        <w:t xml:space="preserve">ompany’s data showed a need </w:t>
      </w:r>
      <w:r w:rsidR="00DC4B0B" w:rsidRPr="00263F7B">
        <w:rPr>
          <w:rFonts w:eastAsia="Times New Roman"/>
          <w:lang w:bidi="ar-SA"/>
        </w:rPr>
        <w:t>to reduce consumption</w:t>
      </w:r>
      <w:r w:rsidR="00AA1ADC" w:rsidRPr="00263F7B">
        <w:rPr>
          <w:rFonts w:eastAsia="Times New Roman"/>
          <w:lang w:bidi="ar-SA"/>
        </w:rPr>
        <w:t xml:space="preserve">. </w:t>
      </w:r>
      <w:r w:rsidR="00850DE6" w:rsidRPr="00263F7B">
        <w:rPr>
          <w:rFonts w:eastAsia="Times New Roman"/>
          <w:lang w:bidi="ar-SA"/>
        </w:rPr>
        <w:t>C</w:t>
      </w:r>
      <w:r w:rsidR="00AA1ADC" w:rsidRPr="00263F7B">
        <w:rPr>
          <w:rFonts w:eastAsia="Times New Roman"/>
          <w:lang w:bidi="ar-SA"/>
        </w:rPr>
        <w:t xml:space="preserve">ustomers using </w:t>
      </w:r>
      <w:r w:rsidR="00DE757B" w:rsidRPr="00263F7B">
        <w:rPr>
          <w:rFonts w:eastAsia="Times New Roman"/>
          <w:lang w:bidi="ar-SA"/>
        </w:rPr>
        <w:t>more than</w:t>
      </w:r>
      <w:r w:rsidR="00AA1ADC" w:rsidRPr="00263F7B">
        <w:rPr>
          <w:rFonts w:eastAsia="Times New Roman"/>
          <w:lang w:bidi="ar-SA"/>
        </w:rPr>
        <w:t xml:space="preserve"> 3,000 cubic feet of water a month caused peak</w:t>
      </w:r>
      <w:r w:rsidR="00F749BA" w:rsidRPr="00263F7B">
        <w:rPr>
          <w:rFonts w:eastAsia="Times New Roman"/>
          <w:lang w:bidi="ar-SA"/>
        </w:rPr>
        <w:t>-</w:t>
      </w:r>
      <w:r w:rsidR="00AA1ADC" w:rsidRPr="00263F7B">
        <w:rPr>
          <w:rFonts w:eastAsia="Times New Roman"/>
          <w:lang w:bidi="ar-SA"/>
        </w:rPr>
        <w:t xml:space="preserve">day demand to increase from 800 gallons per day </w:t>
      </w:r>
      <w:r w:rsidR="00DC4B0B" w:rsidRPr="00263F7B">
        <w:rPr>
          <w:rFonts w:eastAsia="Times New Roman"/>
          <w:lang w:bidi="ar-SA"/>
        </w:rPr>
        <w:t xml:space="preserve">(gpd) </w:t>
      </w:r>
      <w:r w:rsidR="00AA1ADC" w:rsidRPr="00263F7B">
        <w:rPr>
          <w:rFonts w:eastAsia="Times New Roman"/>
          <w:lang w:bidi="ar-SA"/>
        </w:rPr>
        <w:t>per customer in 1996, to 1,000 gpd</w:t>
      </w:r>
      <w:r w:rsidR="00DC4B0B" w:rsidRPr="00263F7B">
        <w:rPr>
          <w:rFonts w:eastAsia="Times New Roman"/>
          <w:lang w:bidi="ar-SA"/>
        </w:rPr>
        <w:t xml:space="preserve"> per </w:t>
      </w:r>
      <w:r w:rsidR="00AA1ADC" w:rsidRPr="00263F7B">
        <w:rPr>
          <w:rFonts w:eastAsia="Times New Roman"/>
          <w:lang w:bidi="ar-SA"/>
        </w:rPr>
        <w:t xml:space="preserve">customer during 2000 and subsequent years. During peak demand, high usage can adversely affect the entire system’s water pressure. </w:t>
      </w:r>
    </w:p>
    <w:p w:rsidR="00825B25" w:rsidRPr="00263F7B" w:rsidRDefault="00825B25" w:rsidP="00825B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p>
    <w:p w:rsidR="00825B25" w:rsidRPr="00263F7B" w:rsidRDefault="00825B25" w:rsidP="00825B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In 2004</w:t>
      </w:r>
      <w:r w:rsidR="00D17B76" w:rsidRPr="00263F7B">
        <w:rPr>
          <w:rFonts w:eastAsia="Times New Roman"/>
          <w:lang w:bidi="ar-SA"/>
        </w:rPr>
        <w:t>,</w:t>
      </w:r>
      <w:r w:rsidRPr="00263F7B">
        <w:rPr>
          <w:rFonts w:eastAsia="Times New Roman"/>
          <w:lang w:bidi="ar-SA"/>
        </w:rPr>
        <w:t xml:space="preserve"> the company filed, and the commission allowed to become effective, a conservation rate for only </w:t>
      </w:r>
      <w:r w:rsidR="00D17B76" w:rsidRPr="00263F7B">
        <w:rPr>
          <w:rFonts w:eastAsia="Times New Roman"/>
          <w:lang w:bidi="ar-SA"/>
        </w:rPr>
        <w:t>residential</w:t>
      </w:r>
      <w:r w:rsidRPr="00263F7B">
        <w:rPr>
          <w:rFonts w:eastAsia="Times New Roman"/>
          <w:lang w:bidi="ar-SA"/>
        </w:rPr>
        <w:t xml:space="preserve"> customers and only for </w:t>
      </w:r>
      <w:r w:rsidR="00D17B76" w:rsidRPr="00263F7B">
        <w:rPr>
          <w:rFonts w:eastAsia="Times New Roman"/>
          <w:lang w:bidi="ar-SA"/>
        </w:rPr>
        <w:t xml:space="preserve">the months of </w:t>
      </w:r>
      <w:r w:rsidRPr="00263F7B">
        <w:rPr>
          <w:rFonts w:eastAsia="Times New Roman"/>
          <w:lang w:bidi="ar-SA"/>
        </w:rPr>
        <w:t xml:space="preserve">May through September. The goal was to comply with DOH ERU requirements by decreasing summer peak usage demand. The company believed that the </w:t>
      </w:r>
      <w:r w:rsidR="00D17B76" w:rsidRPr="00263F7B">
        <w:rPr>
          <w:rFonts w:eastAsia="Times New Roman"/>
          <w:lang w:bidi="ar-SA"/>
        </w:rPr>
        <w:t>residential</w:t>
      </w:r>
      <w:r w:rsidRPr="00263F7B">
        <w:rPr>
          <w:rFonts w:eastAsia="Times New Roman"/>
          <w:lang w:bidi="ar-SA"/>
        </w:rPr>
        <w:t xml:space="preserve"> conservation rate and customer education would cause customers to reduce the amount of water they used.</w:t>
      </w:r>
    </w:p>
    <w:p w:rsidR="00825B25" w:rsidRPr="00263F7B" w:rsidRDefault="00825B25" w:rsidP="00E5664C">
      <w:pPr>
        <w:widowControl w:val="0"/>
        <w:autoSpaceDE w:val="0"/>
        <w:autoSpaceDN w:val="0"/>
        <w:adjustRightInd w:val="0"/>
        <w:rPr>
          <w:rFonts w:eastAsia="Times New Roman"/>
          <w:lang w:bidi="ar-SA"/>
        </w:rPr>
      </w:pPr>
    </w:p>
    <w:p w:rsidR="00E5664C" w:rsidRPr="00263F7B" w:rsidRDefault="00850DE6" w:rsidP="00E5664C">
      <w:pPr>
        <w:widowControl w:val="0"/>
        <w:autoSpaceDE w:val="0"/>
        <w:autoSpaceDN w:val="0"/>
        <w:adjustRightInd w:val="0"/>
        <w:rPr>
          <w:rFonts w:eastAsia="Times New Roman"/>
          <w:lang w:bidi="ar-SA"/>
        </w:rPr>
      </w:pPr>
      <w:r w:rsidRPr="00263F7B">
        <w:rPr>
          <w:rFonts w:eastAsia="Times New Roman"/>
          <w:lang w:bidi="ar-SA"/>
        </w:rPr>
        <w:t>Commercial</w:t>
      </w:r>
      <w:r w:rsidR="001A023C" w:rsidRPr="00263F7B">
        <w:rPr>
          <w:rFonts w:eastAsia="Times New Roman"/>
          <w:lang w:bidi="ar-SA"/>
        </w:rPr>
        <w:t xml:space="preserve"> customers us</w:t>
      </w:r>
      <w:r w:rsidRPr="00263F7B">
        <w:rPr>
          <w:rFonts w:eastAsia="Times New Roman"/>
          <w:lang w:bidi="ar-SA"/>
        </w:rPr>
        <w:t>ing</w:t>
      </w:r>
      <w:r w:rsidR="001A023C" w:rsidRPr="00263F7B">
        <w:rPr>
          <w:rFonts w:eastAsia="Times New Roman"/>
          <w:lang w:bidi="ar-SA"/>
        </w:rPr>
        <w:t xml:space="preserve"> more than 3,000 cubic feet per month</w:t>
      </w:r>
      <w:r w:rsidRPr="00263F7B">
        <w:rPr>
          <w:rFonts w:eastAsia="Times New Roman"/>
          <w:lang w:bidi="ar-SA"/>
        </w:rPr>
        <w:t xml:space="preserve"> were addressed </w:t>
      </w:r>
      <w:r w:rsidR="00741AA2" w:rsidRPr="00263F7B">
        <w:rPr>
          <w:rFonts w:eastAsia="Times New Roman"/>
          <w:lang w:bidi="ar-SA"/>
        </w:rPr>
        <w:t>separately</w:t>
      </w:r>
      <w:r w:rsidR="001A023C" w:rsidRPr="00263F7B">
        <w:rPr>
          <w:rFonts w:eastAsia="Times New Roman"/>
          <w:lang w:bidi="ar-SA"/>
        </w:rPr>
        <w:t xml:space="preserve">. Although </w:t>
      </w:r>
      <w:r w:rsidR="00741AA2" w:rsidRPr="00263F7B">
        <w:rPr>
          <w:rFonts w:eastAsia="Times New Roman"/>
          <w:lang w:bidi="ar-SA"/>
        </w:rPr>
        <w:t>commercial</w:t>
      </w:r>
      <w:r w:rsidR="001A023C" w:rsidRPr="00263F7B">
        <w:rPr>
          <w:rFonts w:eastAsia="Times New Roman"/>
          <w:lang w:bidi="ar-SA"/>
        </w:rPr>
        <w:t xml:space="preserve"> customers use</w:t>
      </w:r>
      <w:r w:rsidRPr="00263F7B">
        <w:rPr>
          <w:rFonts w:eastAsia="Times New Roman"/>
          <w:lang w:bidi="ar-SA"/>
        </w:rPr>
        <w:t>d</w:t>
      </w:r>
      <w:r w:rsidR="001A023C" w:rsidRPr="00263F7B">
        <w:rPr>
          <w:rFonts w:eastAsia="Times New Roman"/>
          <w:lang w:bidi="ar-SA"/>
        </w:rPr>
        <w:t xml:space="preserve"> more than one ERU, the company classified them as one customer and one ERU. </w:t>
      </w:r>
      <w:r w:rsidR="005E03DD" w:rsidRPr="00263F7B">
        <w:rPr>
          <w:rFonts w:eastAsia="Times New Roman"/>
          <w:lang w:bidi="ar-SA"/>
        </w:rPr>
        <w:t xml:space="preserve">Instead of </w:t>
      </w:r>
      <w:r w:rsidR="001A023C" w:rsidRPr="00263F7B">
        <w:rPr>
          <w:rFonts w:eastAsia="Times New Roman"/>
          <w:lang w:bidi="ar-SA"/>
        </w:rPr>
        <w:t xml:space="preserve">imposing a conservation tariff on </w:t>
      </w:r>
      <w:r w:rsidRPr="00263F7B">
        <w:rPr>
          <w:rFonts w:eastAsia="Times New Roman"/>
          <w:lang w:bidi="ar-SA"/>
        </w:rPr>
        <w:t xml:space="preserve">the </w:t>
      </w:r>
      <w:r w:rsidR="00741AA2" w:rsidRPr="00263F7B">
        <w:rPr>
          <w:rFonts w:eastAsia="Times New Roman"/>
          <w:lang w:bidi="ar-SA"/>
        </w:rPr>
        <w:t>smaller</w:t>
      </w:r>
      <w:r w:rsidRPr="00263F7B">
        <w:rPr>
          <w:rFonts w:eastAsia="Times New Roman"/>
          <w:lang w:bidi="ar-SA"/>
        </w:rPr>
        <w:t xml:space="preserve"> number of </w:t>
      </w:r>
      <w:r w:rsidRPr="00263F7B">
        <w:rPr>
          <w:rFonts w:eastAsia="Times New Roman"/>
          <w:lang w:bidi="ar-SA"/>
        </w:rPr>
        <w:lastRenderedPageBreak/>
        <w:t xml:space="preserve">commercial </w:t>
      </w:r>
      <w:r w:rsidR="001A023C" w:rsidRPr="00263F7B">
        <w:rPr>
          <w:rFonts w:eastAsia="Times New Roman"/>
          <w:lang w:bidi="ar-SA"/>
        </w:rPr>
        <w:t xml:space="preserve">customers, the company worked with its </w:t>
      </w:r>
      <w:r w:rsidR="00741AA2" w:rsidRPr="00263F7B">
        <w:rPr>
          <w:rFonts w:eastAsia="Times New Roman"/>
          <w:lang w:bidi="ar-SA"/>
        </w:rPr>
        <w:t>commercial</w:t>
      </w:r>
      <w:r w:rsidR="001A023C" w:rsidRPr="00263F7B">
        <w:rPr>
          <w:rFonts w:eastAsia="Times New Roman"/>
          <w:lang w:bidi="ar-SA"/>
        </w:rPr>
        <w:t xml:space="preserve"> customers to reconfigure the ERU allocation</w:t>
      </w:r>
      <w:r w:rsidR="005E03DD" w:rsidRPr="00263F7B">
        <w:rPr>
          <w:rFonts w:eastAsia="Times New Roman"/>
          <w:lang w:bidi="ar-SA"/>
        </w:rPr>
        <w:t>s</w:t>
      </w:r>
      <w:r w:rsidR="001A023C" w:rsidRPr="00263F7B">
        <w:rPr>
          <w:rFonts w:eastAsia="Times New Roman"/>
          <w:lang w:bidi="ar-SA"/>
        </w:rPr>
        <w:t xml:space="preserve"> to more accurately reflect the usage.</w:t>
      </w:r>
    </w:p>
    <w:p w:rsidR="00E5664C" w:rsidRPr="00263F7B" w:rsidRDefault="00E5664C" w:rsidP="00E5664C">
      <w:pPr>
        <w:widowControl w:val="0"/>
        <w:autoSpaceDE w:val="0"/>
        <w:autoSpaceDN w:val="0"/>
        <w:adjustRightInd w:val="0"/>
        <w:rPr>
          <w:rFonts w:eastAsia="Times New Roman"/>
          <w:lang w:bidi="ar-SA"/>
        </w:rPr>
      </w:pPr>
    </w:p>
    <w:p w:rsidR="00304367" w:rsidRPr="00263F7B" w:rsidRDefault="001A023C" w:rsidP="00304367">
      <w:r w:rsidRPr="00263F7B">
        <w:rPr>
          <w:rFonts w:eastAsia="Times New Roman"/>
          <w:lang w:bidi="ar-SA"/>
        </w:rPr>
        <w:t>Over the last several years</w:t>
      </w:r>
      <w:r w:rsidR="00771F16" w:rsidRPr="00263F7B">
        <w:rPr>
          <w:rFonts w:eastAsia="Times New Roman"/>
          <w:lang w:bidi="ar-SA"/>
        </w:rPr>
        <w:t>,</w:t>
      </w:r>
      <w:r w:rsidRPr="00263F7B">
        <w:rPr>
          <w:rFonts w:eastAsia="Times New Roman"/>
          <w:lang w:bidi="ar-SA"/>
        </w:rPr>
        <w:t xml:space="preserve"> both </w:t>
      </w:r>
      <w:r w:rsidR="00771F16" w:rsidRPr="00263F7B">
        <w:rPr>
          <w:rFonts w:eastAsia="Times New Roman"/>
          <w:lang w:bidi="ar-SA"/>
        </w:rPr>
        <w:t xml:space="preserve">the </w:t>
      </w:r>
      <w:r w:rsidR="00D17B76" w:rsidRPr="00263F7B">
        <w:rPr>
          <w:rFonts w:eastAsia="Times New Roman"/>
          <w:lang w:bidi="ar-SA"/>
        </w:rPr>
        <w:t>residential</w:t>
      </w:r>
      <w:r w:rsidRPr="00263F7B">
        <w:rPr>
          <w:rFonts w:eastAsia="Times New Roman"/>
          <w:lang w:bidi="ar-SA"/>
        </w:rPr>
        <w:t xml:space="preserve"> and </w:t>
      </w:r>
      <w:r w:rsidR="00771F16" w:rsidRPr="00263F7B">
        <w:rPr>
          <w:rFonts w:eastAsia="Times New Roman"/>
          <w:lang w:bidi="ar-SA"/>
        </w:rPr>
        <w:t xml:space="preserve">the </w:t>
      </w:r>
      <w:r w:rsidR="00766FA4" w:rsidRPr="00263F7B">
        <w:rPr>
          <w:rFonts w:eastAsia="Times New Roman"/>
          <w:lang w:bidi="ar-SA"/>
        </w:rPr>
        <w:t xml:space="preserve">commercial </w:t>
      </w:r>
      <w:r w:rsidRPr="00263F7B">
        <w:rPr>
          <w:rFonts w:eastAsia="Times New Roman"/>
          <w:lang w:bidi="ar-SA"/>
        </w:rPr>
        <w:t>customers ha</w:t>
      </w:r>
      <w:r w:rsidR="00771F16" w:rsidRPr="00263F7B">
        <w:rPr>
          <w:rFonts w:eastAsia="Times New Roman"/>
          <w:lang w:bidi="ar-SA"/>
        </w:rPr>
        <w:t>ve</w:t>
      </w:r>
      <w:r w:rsidRPr="00263F7B">
        <w:rPr>
          <w:rFonts w:eastAsia="Times New Roman"/>
          <w:lang w:bidi="ar-SA"/>
        </w:rPr>
        <w:t xml:space="preserve"> grown accustomed to the rate</w:t>
      </w:r>
      <w:r w:rsidR="00E16E8B" w:rsidRPr="00263F7B">
        <w:rPr>
          <w:rFonts w:eastAsia="Times New Roman"/>
          <w:lang w:bidi="ar-SA"/>
        </w:rPr>
        <w:t>s</w:t>
      </w:r>
      <w:r w:rsidRPr="00263F7B">
        <w:rPr>
          <w:rFonts w:eastAsia="Times New Roman"/>
          <w:lang w:bidi="ar-SA"/>
        </w:rPr>
        <w:t xml:space="preserve"> </w:t>
      </w:r>
      <w:r w:rsidR="00657181" w:rsidRPr="00263F7B">
        <w:rPr>
          <w:rFonts w:eastAsia="Times New Roman"/>
          <w:lang w:bidi="ar-SA"/>
        </w:rPr>
        <w:t xml:space="preserve">adopted in 2004 </w:t>
      </w:r>
      <w:r w:rsidRPr="00263F7B">
        <w:rPr>
          <w:rFonts w:eastAsia="Times New Roman"/>
          <w:lang w:bidi="ar-SA"/>
        </w:rPr>
        <w:t>and have slowly increase</w:t>
      </w:r>
      <w:r w:rsidR="00E16E8B" w:rsidRPr="00263F7B">
        <w:rPr>
          <w:rFonts w:eastAsia="Times New Roman"/>
          <w:lang w:bidi="ar-SA"/>
        </w:rPr>
        <w:t>d</w:t>
      </w:r>
      <w:r w:rsidRPr="00263F7B">
        <w:rPr>
          <w:rFonts w:eastAsia="Times New Roman"/>
          <w:lang w:bidi="ar-SA"/>
        </w:rPr>
        <w:t xml:space="preserve"> usage </w:t>
      </w:r>
      <w:r w:rsidR="004428BF" w:rsidRPr="00263F7B">
        <w:rPr>
          <w:rFonts w:eastAsia="Times New Roman"/>
          <w:lang w:bidi="ar-SA"/>
        </w:rPr>
        <w:t>year-round</w:t>
      </w:r>
      <w:r w:rsidRPr="00263F7B">
        <w:rPr>
          <w:rFonts w:eastAsia="Times New Roman"/>
          <w:lang w:bidi="ar-SA"/>
        </w:rPr>
        <w:t>.</w:t>
      </w:r>
      <w:r w:rsidR="00643607" w:rsidRPr="00263F7B">
        <w:t xml:space="preserve"> Historical data shows that </w:t>
      </w:r>
      <w:r w:rsidR="00D17B76" w:rsidRPr="00263F7B">
        <w:t>residential</w:t>
      </w:r>
      <w:r w:rsidR="00643607" w:rsidRPr="00263F7B">
        <w:t xml:space="preserve"> customers started</w:t>
      </w:r>
      <w:r w:rsidR="007B42C1" w:rsidRPr="00263F7B">
        <w:t xml:space="preserve"> using more water in the winter months </w:t>
      </w:r>
      <w:r w:rsidR="00643607" w:rsidRPr="00263F7B">
        <w:t>and commercial customers served by up-size meters used more water year</w:t>
      </w:r>
      <w:r w:rsidR="004428BF" w:rsidRPr="00263F7B">
        <w:t>-</w:t>
      </w:r>
      <w:r w:rsidR="00643607" w:rsidRPr="00263F7B">
        <w:t xml:space="preserve">round. </w:t>
      </w:r>
      <w:r w:rsidR="00304367" w:rsidRPr="00263F7B">
        <w:t>The up-size meter customers use a disproportionately large amount of water compared to the revenue paid by those customers.</w:t>
      </w:r>
    </w:p>
    <w:p w:rsidR="00304367" w:rsidRPr="00263F7B" w:rsidRDefault="00E7391E" w:rsidP="00304367">
      <w:r w:rsidRPr="00263F7B">
        <w:rPr>
          <w:noProof/>
          <w:lang w:bidi="ar-SA"/>
        </w:rPr>
        <w:drawing>
          <wp:inline distT="0" distB="0" distL="0" distR="0">
            <wp:extent cx="5943600" cy="380424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1857" w:rsidRPr="00263F7B" w:rsidRDefault="00171857" w:rsidP="00E5664C">
      <w:pPr>
        <w:widowControl w:val="0"/>
        <w:autoSpaceDE w:val="0"/>
        <w:autoSpaceDN w:val="0"/>
        <w:adjustRightInd w:val="0"/>
        <w:rPr>
          <w:rFonts w:eastAsia="Times New Roman"/>
          <w:lang w:bidi="ar-SA"/>
        </w:rPr>
      </w:pPr>
    </w:p>
    <w:p w:rsidR="00AA59CE" w:rsidRPr="00263F7B" w:rsidRDefault="00643607" w:rsidP="00AA59CE">
      <w:pPr>
        <w:rPr>
          <w:rFonts w:eastAsiaTheme="minorHAnsi"/>
          <w:lang w:bidi="ar-SA"/>
        </w:rPr>
      </w:pPr>
      <w:r w:rsidRPr="00263F7B">
        <w:rPr>
          <w:rFonts w:eastAsiaTheme="minorHAnsi"/>
          <w:lang w:bidi="ar-SA"/>
        </w:rPr>
        <w:t>Customer d</w:t>
      </w:r>
      <w:r w:rsidR="00AA59CE" w:rsidRPr="00263F7B">
        <w:rPr>
          <w:rFonts w:eastAsiaTheme="minorHAnsi"/>
          <w:lang w:bidi="ar-SA"/>
        </w:rPr>
        <w:t xml:space="preserve">emand exceeds </w:t>
      </w:r>
      <w:r w:rsidRPr="00263F7B">
        <w:rPr>
          <w:rFonts w:eastAsiaTheme="minorHAnsi"/>
          <w:lang w:bidi="ar-SA"/>
        </w:rPr>
        <w:t>Rainier View’s</w:t>
      </w:r>
      <w:r w:rsidR="00AA59CE" w:rsidRPr="00263F7B">
        <w:rPr>
          <w:rFonts w:eastAsiaTheme="minorHAnsi"/>
          <w:lang w:bidi="ar-SA"/>
        </w:rPr>
        <w:t xml:space="preserve"> available source production during the summer months. Rainier </w:t>
      </w:r>
      <w:r w:rsidRPr="00263F7B">
        <w:rPr>
          <w:rFonts w:eastAsiaTheme="minorHAnsi"/>
          <w:lang w:bidi="ar-SA"/>
        </w:rPr>
        <w:t>V</w:t>
      </w:r>
      <w:r w:rsidR="00AA59CE" w:rsidRPr="00263F7B">
        <w:rPr>
          <w:rFonts w:eastAsiaTheme="minorHAnsi"/>
          <w:lang w:bidi="ar-SA"/>
        </w:rPr>
        <w:t xml:space="preserve">iew purchased water from the </w:t>
      </w:r>
      <w:r w:rsidR="007B42C1" w:rsidRPr="00263F7B">
        <w:rPr>
          <w:rFonts w:eastAsiaTheme="minorHAnsi"/>
          <w:lang w:bidi="ar-SA"/>
        </w:rPr>
        <w:t>c</w:t>
      </w:r>
      <w:r w:rsidR="00AA59CE" w:rsidRPr="00263F7B">
        <w:rPr>
          <w:rFonts w:eastAsiaTheme="minorHAnsi"/>
          <w:lang w:bidi="ar-SA"/>
        </w:rPr>
        <w:t xml:space="preserve">ity of Tacoma </w:t>
      </w:r>
      <w:r w:rsidR="007B42C1" w:rsidRPr="00263F7B">
        <w:rPr>
          <w:rFonts w:eastAsiaTheme="minorHAnsi"/>
          <w:lang w:bidi="ar-SA"/>
        </w:rPr>
        <w:t xml:space="preserve">for </w:t>
      </w:r>
      <w:r w:rsidR="00AA59CE" w:rsidRPr="00263F7B">
        <w:rPr>
          <w:rFonts w:eastAsiaTheme="minorHAnsi"/>
          <w:lang w:bidi="ar-SA"/>
        </w:rPr>
        <w:t xml:space="preserve">$1.85 per 100 cubic feet to meet summer peak demand. The </w:t>
      </w:r>
      <w:r w:rsidR="004428BF" w:rsidRPr="00263F7B">
        <w:rPr>
          <w:rFonts w:eastAsiaTheme="minorHAnsi"/>
          <w:lang w:bidi="ar-SA"/>
        </w:rPr>
        <w:t xml:space="preserve">customers served by </w:t>
      </w:r>
      <w:r w:rsidR="00AA59CE" w:rsidRPr="00263F7B">
        <w:rPr>
          <w:rFonts w:eastAsiaTheme="minorHAnsi"/>
          <w:lang w:bidi="ar-SA"/>
        </w:rPr>
        <w:t xml:space="preserve">up-size meters, </w:t>
      </w:r>
      <w:r w:rsidR="00DE757B" w:rsidRPr="00263F7B">
        <w:rPr>
          <w:rFonts w:eastAsiaTheme="minorHAnsi"/>
          <w:lang w:bidi="ar-SA"/>
        </w:rPr>
        <w:t xml:space="preserve">the </w:t>
      </w:r>
      <w:r w:rsidR="00AA59CE" w:rsidRPr="00263F7B">
        <w:rPr>
          <w:rFonts w:eastAsiaTheme="minorHAnsi"/>
          <w:lang w:bidi="ar-SA"/>
        </w:rPr>
        <w:t xml:space="preserve">largest users, </w:t>
      </w:r>
      <w:r w:rsidR="007B42C1" w:rsidRPr="00263F7B">
        <w:rPr>
          <w:rFonts w:eastAsiaTheme="minorHAnsi"/>
          <w:lang w:bidi="ar-SA"/>
        </w:rPr>
        <w:t xml:space="preserve">paid </w:t>
      </w:r>
      <w:r w:rsidR="00AA59CE" w:rsidRPr="00263F7B">
        <w:rPr>
          <w:rFonts w:eastAsiaTheme="minorHAnsi"/>
          <w:lang w:bidi="ar-SA"/>
        </w:rPr>
        <w:t xml:space="preserve">the $0.85 per 100 cubic feet while the company bought water </w:t>
      </w:r>
      <w:r w:rsidR="007B42C1" w:rsidRPr="00263F7B">
        <w:rPr>
          <w:rFonts w:eastAsiaTheme="minorHAnsi"/>
          <w:lang w:bidi="ar-SA"/>
        </w:rPr>
        <w:t>for</w:t>
      </w:r>
      <w:r w:rsidR="00AA59CE" w:rsidRPr="00263F7B">
        <w:rPr>
          <w:rFonts w:eastAsiaTheme="minorHAnsi"/>
          <w:lang w:bidi="ar-SA"/>
        </w:rPr>
        <w:t xml:space="preserve"> $1.85 per 100 cubic feet. Th</w:t>
      </w:r>
      <w:r w:rsidR="00DE757B" w:rsidRPr="00263F7B">
        <w:rPr>
          <w:rFonts w:eastAsiaTheme="minorHAnsi"/>
          <w:lang w:bidi="ar-SA"/>
        </w:rPr>
        <w:t>e</w:t>
      </w:r>
      <w:r w:rsidR="00AA59CE" w:rsidRPr="00263F7B">
        <w:rPr>
          <w:rFonts w:eastAsiaTheme="minorHAnsi"/>
          <w:lang w:bidi="ar-SA"/>
        </w:rPr>
        <w:t xml:space="preserve"> year-round </w:t>
      </w:r>
      <w:r w:rsidR="00DE757B" w:rsidRPr="00263F7B">
        <w:rPr>
          <w:rFonts w:eastAsiaTheme="minorHAnsi"/>
          <w:lang w:bidi="ar-SA"/>
        </w:rPr>
        <w:t>$.85 per 100 cubi</w:t>
      </w:r>
      <w:r w:rsidR="004428BF" w:rsidRPr="00263F7B">
        <w:rPr>
          <w:rFonts w:eastAsiaTheme="minorHAnsi"/>
          <w:lang w:bidi="ar-SA"/>
        </w:rPr>
        <w:t>c</w:t>
      </w:r>
      <w:r w:rsidR="00DE757B" w:rsidRPr="00263F7B">
        <w:rPr>
          <w:rFonts w:eastAsiaTheme="minorHAnsi"/>
          <w:lang w:bidi="ar-SA"/>
        </w:rPr>
        <w:t xml:space="preserve"> feet </w:t>
      </w:r>
      <w:r w:rsidR="00AA59CE" w:rsidRPr="00263F7B">
        <w:rPr>
          <w:rFonts w:eastAsiaTheme="minorHAnsi"/>
          <w:lang w:bidi="ar-SA"/>
        </w:rPr>
        <w:t xml:space="preserve">rate </w:t>
      </w:r>
      <w:r w:rsidR="00DE757B" w:rsidRPr="00263F7B">
        <w:rPr>
          <w:rFonts w:eastAsiaTheme="minorHAnsi"/>
          <w:lang w:bidi="ar-SA"/>
        </w:rPr>
        <w:t xml:space="preserve">for </w:t>
      </w:r>
      <w:r w:rsidR="00AA59CE" w:rsidRPr="00263F7B">
        <w:rPr>
          <w:rFonts w:eastAsiaTheme="minorHAnsi"/>
          <w:lang w:bidi="ar-SA"/>
        </w:rPr>
        <w:t>up-size meters</w:t>
      </w:r>
      <w:r w:rsidR="00DE757B" w:rsidRPr="00263F7B">
        <w:rPr>
          <w:rFonts w:eastAsiaTheme="minorHAnsi"/>
          <w:lang w:bidi="ar-SA"/>
        </w:rPr>
        <w:t xml:space="preserve"> </w:t>
      </w:r>
      <w:r w:rsidR="00AA59CE" w:rsidRPr="00263F7B">
        <w:rPr>
          <w:rFonts w:eastAsiaTheme="minorHAnsi"/>
          <w:lang w:bidi="ar-SA"/>
        </w:rPr>
        <w:t>d</w:t>
      </w:r>
      <w:r w:rsidR="00DE757B" w:rsidRPr="00263F7B">
        <w:rPr>
          <w:rFonts w:eastAsiaTheme="minorHAnsi"/>
          <w:lang w:bidi="ar-SA"/>
        </w:rPr>
        <w:t>o</w:t>
      </w:r>
      <w:r w:rsidR="004428BF" w:rsidRPr="00263F7B">
        <w:rPr>
          <w:rFonts w:eastAsiaTheme="minorHAnsi"/>
          <w:lang w:bidi="ar-SA"/>
        </w:rPr>
        <w:t>es</w:t>
      </w:r>
      <w:r w:rsidR="00AA59CE" w:rsidRPr="00263F7B">
        <w:rPr>
          <w:rFonts w:eastAsiaTheme="minorHAnsi"/>
          <w:lang w:bidi="ar-SA"/>
        </w:rPr>
        <w:t xml:space="preserve"> not encourage conversation.</w:t>
      </w:r>
    </w:p>
    <w:p w:rsidR="00BA0B45" w:rsidRPr="00263F7B" w:rsidRDefault="00BA0B45"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p>
    <w:p w:rsidR="000F5913" w:rsidRPr="00263F7B" w:rsidRDefault="00C27500"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noProof/>
          <w:lang w:bidi="ar-SA"/>
        </w:rPr>
        <w:lastRenderedPageBreak/>
        <w:drawing>
          <wp:inline distT="0" distB="0" distL="0" distR="0">
            <wp:extent cx="5943600" cy="3890513"/>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5913" w:rsidRPr="00263F7B" w:rsidRDefault="000F5913"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p>
    <w:p w:rsidR="0071713F" w:rsidRPr="00263F7B" w:rsidRDefault="00DA0CE2"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u w:val="single"/>
          <w:lang w:bidi="ar-SA"/>
        </w:rPr>
        <w:t>Rate Design</w:t>
      </w:r>
    </w:p>
    <w:p w:rsidR="00741AA2" w:rsidRPr="00263F7B" w:rsidRDefault="00F136EE" w:rsidP="00F136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 xml:space="preserve">Ideally, staff would propose </w:t>
      </w:r>
      <w:r w:rsidR="00263F7B" w:rsidRPr="00263F7B">
        <w:rPr>
          <w:rFonts w:eastAsia="Times New Roman"/>
          <w:lang w:bidi="ar-SA"/>
        </w:rPr>
        <w:t>one</w:t>
      </w:r>
      <w:r w:rsidRPr="00263F7B">
        <w:rPr>
          <w:rFonts w:eastAsia="Times New Roman"/>
          <w:lang w:bidi="ar-SA"/>
        </w:rPr>
        <w:t xml:space="preserve"> rate design to apply to </w:t>
      </w:r>
      <w:r w:rsidR="00373FBA" w:rsidRPr="00263F7B">
        <w:rPr>
          <w:rFonts w:eastAsia="Times New Roman"/>
          <w:lang w:bidi="ar-SA"/>
        </w:rPr>
        <w:t xml:space="preserve">all </w:t>
      </w:r>
      <w:r w:rsidRPr="00263F7B">
        <w:rPr>
          <w:rFonts w:eastAsia="Times New Roman"/>
          <w:lang w:bidi="ar-SA"/>
        </w:rPr>
        <w:t>customers</w:t>
      </w:r>
      <w:r w:rsidR="00373FBA" w:rsidRPr="00263F7B">
        <w:rPr>
          <w:rFonts w:eastAsia="Times New Roman"/>
          <w:lang w:bidi="ar-SA"/>
        </w:rPr>
        <w:t>. H</w:t>
      </w:r>
      <w:r w:rsidRPr="00263F7B">
        <w:rPr>
          <w:rFonts w:eastAsia="Times New Roman"/>
          <w:lang w:bidi="ar-SA"/>
        </w:rPr>
        <w:t>owever, the d</w:t>
      </w:r>
      <w:r w:rsidR="00304367" w:rsidRPr="00263F7B">
        <w:rPr>
          <w:rFonts w:eastAsia="Times New Roman"/>
          <w:lang w:bidi="ar-SA"/>
        </w:rPr>
        <w:t xml:space="preserve">ifferences </w:t>
      </w:r>
      <w:r w:rsidR="00C774F8" w:rsidRPr="00263F7B">
        <w:rPr>
          <w:rFonts w:eastAsia="Times New Roman"/>
          <w:lang w:bidi="ar-SA"/>
        </w:rPr>
        <w:t xml:space="preserve">between the </w:t>
      </w:r>
      <w:r w:rsidRPr="00263F7B">
        <w:rPr>
          <w:rFonts w:eastAsia="Times New Roman"/>
          <w:lang w:bidi="ar-SA"/>
        </w:rPr>
        <w:t>current rate designs make that impractical</w:t>
      </w:r>
      <w:r w:rsidR="00373FBA" w:rsidRPr="00263F7B">
        <w:rPr>
          <w:rFonts w:eastAsia="Times New Roman"/>
          <w:lang w:bidi="ar-SA"/>
        </w:rPr>
        <w:t xml:space="preserve">. Staff’s effort to create a single rate design resulted in a significant decrease in the base </w:t>
      </w:r>
      <w:r w:rsidR="008308A3" w:rsidRPr="00263F7B">
        <w:rPr>
          <w:rFonts w:eastAsia="Times New Roman"/>
          <w:lang w:bidi="ar-SA"/>
        </w:rPr>
        <w:t>charge</w:t>
      </w:r>
      <w:r w:rsidR="00373FBA" w:rsidRPr="00263F7B">
        <w:rPr>
          <w:rFonts w:eastAsia="Times New Roman"/>
          <w:lang w:bidi="ar-SA"/>
        </w:rPr>
        <w:t xml:space="preserve"> to $8.78, increases in usage charges in blocks one and two, and a significant decrease in the block three usage charge. The result creates cash flow problems for the company during the winter months, reverses the current conservation pricing in effect for usage that exceeds 3,000 cubic feet per month, and increases annual charges paid by commercial customers of up to 707 percent.</w:t>
      </w:r>
    </w:p>
    <w:p w:rsidR="00741AA2" w:rsidRPr="00263F7B" w:rsidRDefault="00741AA2" w:rsidP="00F136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p>
    <w:p w:rsidR="00F136EE" w:rsidRPr="00263F7B" w:rsidRDefault="00662530" w:rsidP="00F136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Staff</w:t>
      </w:r>
      <w:r w:rsidR="00F136EE" w:rsidRPr="00263F7B">
        <w:rPr>
          <w:rFonts w:eastAsia="Times New Roman"/>
          <w:lang w:bidi="ar-SA"/>
        </w:rPr>
        <w:t xml:space="preserve"> recommend</w:t>
      </w:r>
      <w:r w:rsidRPr="00263F7B">
        <w:rPr>
          <w:rFonts w:eastAsia="Times New Roman"/>
          <w:lang w:bidi="ar-SA"/>
        </w:rPr>
        <w:t>s</w:t>
      </w:r>
      <w:r w:rsidR="00F136EE" w:rsidRPr="00263F7B">
        <w:rPr>
          <w:rFonts w:eastAsia="Times New Roman"/>
          <w:lang w:bidi="ar-SA"/>
        </w:rPr>
        <w:t xml:space="preserve"> one rate </w:t>
      </w:r>
      <w:r w:rsidR="001D149F" w:rsidRPr="00263F7B">
        <w:rPr>
          <w:rFonts w:eastAsia="Times New Roman"/>
          <w:lang w:bidi="ar-SA"/>
        </w:rPr>
        <w:t>design</w:t>
      </w:r>
      <w:r w:rsidR="00F136EE" w:rsidRPr="00263F7B">
        <w:rPr>
          <w:rFonts w:eastAsia="Times New Roman"/>
          <w:lang w:bidi="ar-SA"/>
        </w:rPr>
        <w:t xml:space="preserve"> for </w:t>
      </w:r>
      <w:r w:rsidR="004428BF" w:rsidRPr="00263F7B">
        <w:rPr>
          <w:rFonts w:eastAsia="Times New Roman"/>
          <w:lang w:bidi="ar-SA"/>
        </w:rPr>
        <w:t xml:space="preserve">5/8-inch meters </w:t>
      </w:r>
      <w:r w:rsidR="00F136EE" w:rsidRPr="00263F7B">
        <w:rPr>
          <w:rFonts w:eastAsia="Times New Roman"/>
          <w:lang w:bidi="ar-SA"/>
        </w:rPr>
        <w:t xml:space="preserve">and a second rate </w:t>
      </w:r>
      <w:r w:rsidR="001D149F" w:rsidRPr="00263F7B">
        <w:rPr>
          <w:rFonts w:eastAsia="Times New Roman"/>
          <w:lang w:bidi="ar-SA"/>
        </w:rPr>
        <w:t>design</w:t>
      </w:r>
      <w:r w:rsidR="00F136EE" w:rsidRPr="00263F7B">
        <w:rPr>
          <w:rFonts w:eastAsia="Times New Roman"/>
          <w:lang w:bidi="ar-SA"/>
        </w:rPr>
        <w:t xml:space="preserve"> for </w:t>
      </w:r>
      <w:r w:rsidR="004428BF" w:rsidRPr="00263F7B">
        <w:rPr>
          <w:rFonts w:eastAsia="Times New Roman"/>
          <w:lang w:bidi="ar-SA"/>
        </w:rPr>
        <w:t xml:space="preserve">up-size meters </w:t>
      </w:r>
      <w:r w:rsidR="00F136EE" w:rsidRPr="00263F7B">
        <w:rPr>
          <w:rFonts w:eastAsia="Times New Roman"/>
          <w:lang w:bidi="ar-SA"/>
        </w:rPr>
        <w:t>that make improvements to the current rate design and are a positive step toward a single rate design.</w:t>
      </w:r>
    </w:p>
    <w:p w:rsidR="00F136EE" w:rsidRPr="00263F7B" w:rsidRDefault="00F136EE"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p>
    <w:p w:rsidR="00EE5467" w:rsidRPr="00263F7B" w:rsidRDefault="00F136EE"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S</w:t>
      </w:r>
      <w:r w:rsidR="0071713F" w:rsidRPr="00263F7B">
        <w:rPr>
          <w:rFonts w:eastAsia="Times New Roman"/>
          <w:lang w:bidi="ar-SA"/>
        </w:rPr>
        <w:t xml:space="preserve">taff </w:t>
      </w:r>
      <w:r w:rsidR="00F31157" w:rsidRPr="00263F7B">
        <w:rPr>
          <w:rFonts w:eastAsia="Times New Roman"/>
          <w:lang w:bidi="ar-SA"/>
        </w:rPr>
        <w:t xml:space="preserve">and the company agreed </w:t>
      </w:r>
      <w:r w:rsidRPr="00263F7B">
        <w:rPr>
          <w:rFonts w:eastAsia="Times New Roman"/>
          <w:lang w:bidi="ar-SA"/>
        </w:rPr>
        <w:t xml:space="preserve">on a </w:t>
      </w:r>
      <w:r w:rsidR="00493FBF" w:rsidRPr="00263F7B">
        <w:rPr>
          <w:rFonts w:eastAsia="Times New Roman"/>
          <w:lang w:bidi="ar-SA"/>
        </w:rPr>
        <w:t xml:space="preserve">revised </w:t>
      </w:r>
      <w:r w:rsidRPr="00263F7B">
        <w:rPr>
          <w:rFonts w:eastAsia="Times New Roman"/>
          <w:lang w:bidi="ar-SA"/>
        </w:rPr>
        <w:t xml:space="preserve">rate design that incorporates the </w:t>
      </w:r>
      <w:r w:rsidR="00F31157" w:rsidRPr="00263F7B">
        <w:rPr>
          <w:rFonts w:eastAsia="Times New Roman"/>
          <w:lang w:bidi="ar-SA"/>
        </w:rPr>
        <w:t>following elements:</w:t>
      </w:r>
    </w:p>
    <w:p w:rsidR="00F11A43" w:rsidRPr="00263F7B" w:rsidRDefault="00F11A43"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p>
    <w:p w:rsidR="00792693" w:rsidRPr="00263F7B" w:rsidRDefault="00DA0CE2">
      <w:pPr>
        <w:pStyle w:val="ListParagraph"/>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 xml:space="preserve">Eliminate the usage allowance included in the </w:t>
      </w:r>
      <w:r w:rsidR="005F27B0" w:rsidRPr="00263F7B">
        <w:rPr>
          <w:rFonts w:eastAsia="Times New Roman"/>
          <w:lang w:bidi="ar-SA"/>
        </w:rPr>
        <w:t>5/8-inch</w:t>
      </w:r>
      <w:r w:rsidR="00AE0E71" w:rsidRPr="00263F7B">
        <w:rPr>
          <w:rFonts w:eastAsia="Times New Roman"/>
          <w:lang w:bidi="ar-SA"/>
        </w:rPr>
        <w:t xml:space="preserve"> meter </w:t>
      </w:r>
      <w:r w:rsidRPr="00263F7B">
        <w:rPr>
          <w:rFonts w:eastAsia="Times New Roman"/>
          <w:lang w:bidi="ar-SA"/>
        </w:rPr>
        <w:t xml:space="preserve">base charge to ensure </w:t>
      </w:r>
      <w:r w:rsidR="00C464B6" w:rsidRPr="00263F7B">
        <w:rPr>
          <w:rFonts w:eastAsia="Times New Roman"/>
          <w:lang w:bidi="ar-SA"/>
        </w:rPr>
        <w:t xml:space="preserve">all </w:t>
      </w:r>
      <w:r w:rsidRPr="00263F7B">
        <w:rPr>
          <w:rFonts w:eastAsia="Times New Roman"/>
          <w:lang w:bidi="ar-SA"/>
        </w:rPr>
        <w:t xml:space="preserve">customers pay only for the water they use. </w:t>
      </w:r>
    </w:p>
    <w:p w:rsidR="00792693" w:rsidRPr="00263F7B" w:rsidRDefault="00EE5467">
      <w:pPr>
        <w:pStyle w:val="ListParagraph"/>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 xml:space="preserve">Maintain the $5.00 conservation rate for </w:t>
      </w:r>
      <w:r w:rsidR="00A70974" w:rsidRPr="00263F7B">
        <w:rPr>
          <w:rFonts w:eastAsia="Times New Roman"/>
          <w:lang w:bidi="ar-SA"/>
        </w:rPr>
        <w:t xml:space="preserve">usage exceeding 3,000 cubic feet for 5/8-inch meter </w:t>
      </w:r>
      <w:r w:rsidR="00F11A43" w:rsidRPr="00263F7B">
        <w:rPr>
          <w:rFonts w:eastAsia="Times New Roman"/>
          <w:lang w:bidi="ar-SA"/>
        </w:rPr>
        <w:t>customers</w:t>
      </w:r>
      <w:r w:rsidRPr="00263F7B">
        <w:rPr>
          <w:rFonts w:eastAsia="Times New Roman"/>
          <w:lang w:bidi="ar-SA"/>
        </w:rPr>
        <w:t>.</w:t>
      </w:r>
    </w:p>
    <w:p w:rsidR="00792693" w:rsidRPr="00263F7B" w:rsidRDefault="00EE5467">
      <w:pPr>
        <w:pStyle w:val="ListParagraph"/>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 xml:space="preserve">Extend the application of the $5.00 conservation rate for usage exceeding 3,000 cubic feet from May through September to </w:t>
      </w:r>
      <w:r w:rsidR="004428BF" w:rsidRPr="00263F7B">
        <w:rPr>
          <w:rFonts w:eastAsia="Times New Roman"/>
          <w:lang w:bidi="ar-SA"/>
        </w:rPr>
        <w:t>year-round</w:t>
      </w:r>
      <w:r w:rsidRPr="00263F7B">
        <w:rPr>
          <w:rFonts w:eastAsia="Times New Roman"/>
          <w:lang w:bidi="ar-SA"/>
        </w:rPr>
        <w:t>.</w:t>
      </w:r>
    </w:p>
    <w:p w:rsidR="00F136EE" w:rsidRPr="00263F7B" w:rsidRDefault="00DA0CE2" w:rsidP="00F136EE">
      <w:pPr>
        <w:pStyle w:val="ListParagraph"/>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 xml:space="preserve">Adjust the </w:t>
      </w:r>
      <w:r w:rsidR="00AE0E71" w:rsidRPr="00263F7B">
        <w:rPr>
          <w:rFonts w:eastAsia="Times New Roman"/>
          <w:lang w:bidi="ar-SA"/>
        </w:rPr>
        <w:t xml:space="preserve">up-size meter base charge and usage blocks to reflect </w:t>
      </w:r>
      <w:r w:rsidRPr="00263F7B">
        <w:rPr>
          <w:rFonts w:eastAsia="Times New Roman"/>
          <w:lang w:bidi="ar-SA"/>
        </w:rPr>
        <w:t xml:space="preserve">standard AWWA </w:t>
      </w:r>
      <w:r w:rsidR="00A70974" w:rsidRPr="00263F7B">
        <w:rPr>
          <w:rFonts w:eastAsia="Times New Roman"/>
          <w:lang w:bidi="ar-SA"/>
        </w:rPr>
        <w:t xml:space="preserve">capacity </w:t>
      </w:r>
      <w:r w:rsidRPr="00263F7B">
        <w:rPr>
          <w:rFonts w:eastAsia="Times New Roman"/>
          <w:lang w:bidi="ar-SA"/>
        </w:rPr>
        <w:t>factors.</w:t>
      </w:r>
    </w:p>
    <w:p w:rsidR="00F136EE" w:rsidRPr="00263F7B" w:rsidRDefault="00F136EE" w:rsidP="00F136EE">
      <w:pPr>
        <w:pStyle w:val="ListParagraph"/>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 xml:space="preserve">Increase the revenue that </w:t>
      </w:r>
      <w:r w:rsidR="00A70974" w:rsidRPr="00263F7B">
        <w:rPr>
          <w:rFonts w:eastAsia="Times New Roman"/>
          <w:lang w:bidi="ar-SA"/>
        </w:rPr>
        <w:t xml:space="preserve">up-size </w:t>
      </w:r>
      <w:r w:rsidRPr="00263F7B">
        <w:rPr>
          <w:rFonts w:eastAsia="Times New Roman"/>
          <w:lang w:bidi="ar-SA"/>
        </w:rPr>
        <w:t>customers pay to more closely reflect the amount of</w:t>
      </w:r>
      <w:r w:rsidR="00F11A43" w:rsidRPr="00263F7B">
        <w:rPr>
          <w:rFonts w:eastAsia="Times New Roman"/>
          <w:lang w:bidi="ar-SA"/>
        </w:rPr>
        <w:t xml:space="preserve"> </w:t>
      </w:r>
      <w:r w:rsidRPr="00263F7B">
        <w:rPr>
          <w:rFonts w:eastAsia="Times New Roman"/>
          <w:lang w:bidi="ar-SA"/>
        </w:rPr>
        <w:t>water they use</w:t>
      </w:r>
      <w:r w:rsidR="00F11A43" w:rsidRPr="00263F7B">
        <w:rPr>
          <w:rFonts w:eastAsia="Times New Roman"/>
          <w:lang w:bidi="ar-SA"/>
        </w:rPr>
        <w:t xml:space="preserve"> by implementing a three block inc</w:t>
      </w:r>
      <w:r w:rsidR="005F27B0" w:rsidRPr="00263F7B">
        <w:rPr>
          <w:rFonts w:eastAsia="Times New Roman"/>
          <w:lang w:bidi="ar-SA"/>
        </w:rPr>
        <w:t>lin</w:t>
      </w:r>
      <w:r w:rsidR="00F11A43" w:rsidRPr="00263F7B">
        <w:rPr>
          <w:rFonts w:eastAsia="Times New Roman"/>
          <w:lang w:bidi="ar-SA"/>
        </w:rPr>
        <w:t>ing rate design.</w:t>
      </w:r>
    </w:p>
    <w:p w:rsidR="00792693" w:rsidRPr="00263F7B" w:rsidRDefault="0079269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ind w:left="360"/>
        <w:rPr>
          <w:rFonts w:eastAsia="Times New Roman"/>
          <w:lang w:bidi="ar-SA"/>
        </w:rPr>
      </w:pPr>
    </w:p>
    <w:p w:rsidR="00105DC8" w:rsidRPr="00263F7B" w:rsidRDefault="005F27B0">
      <w:pPr>
        <w:rPr>
          <w:rFonts w:eastAsia="Times New Roman"/>
          <w:lang w:bidi="ar-SA"/>
        </w:rPr>
      </w:pPr>
      <w:r w:rsidRPr="00263F7B">
        <w:rPr>
          <w:rFonts w:eastAsia="Times New Roman"/>
          <w:u w:val="single"/>
          <w:lang w:bidi="ar-SA"/>
        </w:rPr>
        <w:t>5/8-inch</w:t>
      </w:r>
      <w:r w:rsidR="006C320E" w:rsidRPr="00263F7B">
        <w:rPr>
          <w:rFonts w:eastAsia="Times New Roman"/>
          <w:u w:val="single"/>
          <w:lang w:bidi="ar-SA"/>
        </w:rPr>
        <w:t xml:space="preserve"> </w:t>
      </w:r>
      <w:r w:rsidR="00DA0CE2" w:rsidRPr="00263F7B">
        <w:rPr>
          <w:rFonts w:eastAsia="Times New Roman"/>
          <w:u w:val="single"/>
          <w:lang w:bidi="ar-SA"/>
        </w:rPr>
        <w:t>Base Charge</w:t>
      </w:r>
    </w:p>
    <w:p w:rsidR="00D60F21" w:rsidRPr="00263F7B" w:rsidRDefault="00D60F21">
      <w:pPr>
        <w:rPr>
          <w:rFonts w:eastAsia="Times New Roman"/>
          <w:lang w:bidi="ar-SA"/>
        </w:rPr>
      </w:pPr>
      <w:r w:rsidRPr="00263F7B">
        <w:rPr>
          <w:rFonts w:eastAsia="Times New Roman"/>
          <w:lang w:bidi="ar-SA"/>
        </w:rPr>
        <w:t>The company proposed a 5/8</w:t>
      </w:r>
      <w:r w:rsidR="005F27B0" w:rsidRPr="00263F7B">
        <w:rPr>
          <w:rFonts w:eastAsia="Times New Roman"/>
          <w:lang w:bidi="ar-SA"/>
        </w:rPr>
        <w:t>-</w:t>
      </w:r>
      <w:r w:rsidRPr="00263F7B">
        <w:rPr>
          <w:rFonts w:eastAsia="Times New Roman"/>
          <w:lang w:bidi="ar-SA"/>
        </w:rPr>
        <w:t>inch base charge, with no usage included, at $</w:t>
      </w:r>
      <w:r w:rsidR="00C464B6" w:rsidRPr="00263F7B">
        <w:rPr>
          <w:rFonts w:eastAsia="Times New Roman"/>
          <w:lang w:bidi="ar-SA"/>
        </w:rPr>
        <w:t>12.20</w:t>
      </w:r>
      <w:r w:rsidRPr="00263F7B">
        <w:rPr>
          <w:rFonts w:eastAsia="Times New Roman"/>
          <w:lang w:bidi="ar-SA"/>
        </w:rPr>
        <w:t xml:space="preserve"> and the staff revised rate </w:t>
      </w:r>
      <w:r w:rsidR="00662530" w:rsidRPr="00263F7B">
        <w:rPr>
          <w:rFonts w:eastAsia="Times New Roman"/>
          <w:lang w:bidi="ar-SA"/>
        </w:rPr>
        <w:t>is</w:t>
      </w:r>
      <w:r w:rsidRPr="00263F7B">
        <w:rPr>
          <w:rFonts w:eastAsia="Times New Roman"/>
          <w:lang w:bidi="ar-SA"/>
        </w:rPr>
        <w:t xml:space="preserve"> $</w:t>
      </w:r>
      <w:r w:rsidR="00C464B6" w:rsidRPr="00263F7B">
        <w:rPr>
          <w:rFonts w:eastAsia="Times New Roman"/>
          <w:lang w:bidi="ar-SA"/>
        </w:rPr>
        <w:t>11.55</w:t>
      </w:r>
      <w:r w:rsidRPr="00263F7B">
        <w:rPr>
          <w:rFonts w:eastAsia="Times New Roman"/>
          <w:lang w:bidi="ar-SA"/>
        </w:rPr>
        <w:t>.</w:t>
      </w:r>
    </w:p>
    <w:p w:rsidR="00D60F21" w:rsidRPr="00263F7B" w:rsidRDefault="00D60F21">
      <w:pPr>
        <w:rPr>
          <w:rFonts w:eastAsia="Times New Roman"/>
          <w:lang w:bidi="ar-SA"/>
        </w:rPr>
      </w:pPr>
    </w:p>
    <w:p w:rsidR="00D60F21" w:rsidRPr="00263F7B" w:rsidRDefault="005F27B0">
      <w:pPr>
        <w:rPr>
          <w:rFonts w:eastAsia="Times New Roman"/>
          <w:u w:val="single"/>
          <w:lang w:bidi="ar-SA"/>
        </w:rPr>
      </w:pPr>
      <w:r w:rsidRPr="00263F7B">
        <w:rPr>
          <w:rFonts w:eastAsia="Times New Roman"/>
          <w:u w:val="single"/>
          <w:lang w:bidi="ar-SA"/>
        </w:rPr>
        <w:t>5/8-inch</w:t>
      </w:r>
      <w:r w:rsidR="006C320E" w:rsidRPr="00263F7B">
        <w:rPr>
          <w:rFonts w:eastAsia="Times New Roman"/>
          <w:u w:val="single"/>
          <w:lang w:bidi="ar-SA"/>
        </w:rPr>
        <w:t xml:space="preserve"> </w:t>
      </w:r>
      <w:r w:rsidR="00DA0CE2" w:rsidRPr="00263F7B">
        <w:rPr>
          <w:rFonts w:eastAsia="Times New Roman"/>
          <w:u w:val="single"/>
          <w:lang w:bidi="ar-SA"/>
        </w:rPr>
        <w:t>Usage Blocks</w:t>
      </w:r>
    </w:p>
    <w:p w:rsidR="00D60F21" w:rsidRPr="00263F7B" w:rsidRDefault="00D60F21">
      <w:pPr>
        <w:rPr>
          <w:rFonts w:eastAsia="Times New Roman"/>
          <w:lang w:bidi="ar-SA"/>
        </w:rPr>
      </w:pPr>
      <w:r w:rsidRPr="00263F7B">
        <w:rPr>
          <w:rFonts w:eastAsia="Times New Roman"/>
          <w:lang w:bidi="ar-SA"/>
        </w:rPr>
        <w:t>The company proposed to maintain the current usage blocks</w:t>
      </w:r>
      <w:r w:rsidR="006C320E" w:rsidRPr="00263F7B">
        <w:rPr>
          <w:rFonts w:eastAsia="Times New Roman"/>
          <w:lang w:bidi="ar-SA"/>
        </w:rPr>
        <w:t xml:space="preserve">, staff and the company agreed on a small change in the lowest usage block from 0 </w:t>
      </w:r>
      <w:r w:rsidR="005F27B0" w:rsidRPr="00263F7B">
        <w:rPr>
          <w:rFonts w:eastAsia="Times New Roman"/>
          <w:lang w:bidi="ar-SA"/>
        </w:rPr>
        <w:t>–</w:t>
      </w:r>
      <w:r w:rsidR="006C320E" w:rsidRPr="00263F7B">
        <w:rPr>
          <w:rFonts w:eastAsia="Times New Roman"/>
          <w:lang w:bidi="ar-SA"/>
        </w:rPr>
        <w:t xml:space="preserve"> 500 </w:t>
      </w:r>
      <w:r w:rsidR="00662530" w:rsidRPr="00263F7B">
        <w:rPr>
          <w:rFonts w:eastAsia="Times New Roman"/>
          <w:lang w:bidi="ar-SA"/>
        </w:rPr>
        <w:t xml:space="preserve">cubic feet </w:t>
      </w:r>
      <w:r w:rsidR="006C320E" w:rsidRPr="00263F7B">
        <w:rPr>
          <w:rFonts w:eastAsia="Times New Roman"/>
          <w:lang w:bidi="ar-SA"/>
        </w:rPr>
        <w:t>to 0 – 600</w:t>
      </w:r>
      <w:r w:rsidR="00662530" w:rsidRPr="00263F7B">
        <w:rPr>
          <w:rFonts w:eastAsia="Times New Roman"/>
          <w:lang w:bidi="ar-SA"/>
        </w:rPr>
        <w:t xml:space="preserve"> cubic feet.</w:t>
      </w:r>
    </w:p>
    <w:p w:rsidR="006C320E" w:rsidRPr="00263F7B" w:rsidRDefault="006C320E">
      <w:pPr>
        <w:rPr>
          <w:rFonts w:eastAsia="Times New Roman"/>
          <w:lang w:bidi="ar-SA"/>
        </w:rPr>
      </w:pPr>
    </w:p>
    <w:p w:rsidR="006C320E" w:rsidRPr="00263F7B" w:rsidRDefault="00DA0CE2">
      <w:pPr>
        <w:rPr>
          <w:rFonts w:eastAsia="Times New Roman"/>
          <w:u w:val="single"/>
          <w:lang w:bidi="ar-SA"/>
        </w:rPr>
      </w:pPr>
      <w:r w:rsidRPr="00263F7B">
        <w:rPr>
          <w:rFonts w:eastAsia="Times New Roman"/>
          <w:u w:val="single"/>
          <w:lang w:bidi="ar-SA"/>
        </w:rPr>
        <w:t xml:space="preserve">$5.00 Conservation Rate </w:t>
      </w:r>
    </w:p>
    <w:p w:rsidR="006C320E" w:rsidRPr="00263F7B" w:rsidRDefault="006C320E">
      <w:pPr>
        <w:rPr>
          <w:rFonts w:eastAsia="Times New Roman"/>
          <w:lang w:bidi="ar-SA"/>
        </w:rPr>
      </w:pPr>
      <w:r w:rsidRPr="00263F7B">
        <w:rPr>
          <w:rFonts w:eastAsia="Times New Roman"/>
          <w:lang w:bidi="ar-SA"/>
        </w:rPr>
        <w:t>The company proposed</w:t>
      </w:r>
      <w:r w:rsidR="00662530" w:rsidRPr="00263F7B">
        <w:rPr>
          <w:rFonts w:eastAsia="Times New Roman"/>
          <w:lang w:bidi="ar-SA"/>
        </w:rPr>
        <w:t>,</w:t>
      </w:r>
      <w:r w:rsidRPr="00263F7B">
        <w:rPr>
          <w:rFonts w:eastAsia="Times New Roman"/>
          <w:lang w:bidi="ar-SA"/>
        </w:rPr>
        <w:t xml:space="preserve"> and staff agrees</w:t>
      </w:r>
      <w:r w:rsidR="00662530" w:rsidRPr="00263F7B">
        <w:rPr>
          <w:rFonts w:eastAsia="Times New Roman"/>
          <w:lang w:bidi="ar-SA"/>
        </w:rPr>
        <w:t>,</w:t>
      </w:r>
      <w:r w:rsidRPr="00263F7B">
        <w:rPr>
          <w:rFonts w:eastAsia="Times New Roman"/>
          <w:lang w:bidi="ar-SA"/>
        </w:rPr>
        <w:t xml:space="preserve"> to extend </w:t>
      </w:r>
      <w:r w:rsidR="00662530" w:rsidRPr="00263F7B">
        <w:rPr>
          <w:rFonts w:eastAsia="Times New Roman"/>
          <w:lang w:bidi="ar-SA"/>
        </w:rPr>
        <w:t xml:space="preserve">the application of </w:t>
      </w:r>
      <w:r w:rsidRPr="00263F7B">
        <w:rPr>
          <w:rFonts w:eastAsia="Times New Roman"/>
          <w:lang w:bidi="ar-SA"/>
        </w:rPr>
        <w:t xml:space="preserve">this rate from May through September to </w:t>
      </w:r>
      <w:r w:rsidR="004428BF" w:rsidRPr="00263F7B">
        <w:rPr>
          <w:rFonts w:eastAsia="Times New Roman"/>
          <w:lang w:bidi="ar-SA"/>
        </w:rPr>
        <w:t>year-round</w:t>
      </w:r>
      <w:r w:rsidR="005F27B0" w:rsidRPr="00263F7B">
        <w:rPr>
          <w:rFonts w:eastAsia="Times New Roman"/>
          <w:lang w:bidi="ar-SA"/>
        </w:rPr>
        <w:t xml:space="preserve"> for </w:t>
      </w:r>
      <w:r w:rsidR="00D17B76" w:rsidRPr="00263F7B">
        <w:rPr>
          <w:rFonts w:eastAsia="Times New Roman"/>
          <w:lang w:bidi="ar-SA"/>
        </w:rPr>
        <w:t>residential</w:t>
      </w:r>
      <w:r w:rsidR="005F27B0" w:rsidRPr="00263F7B">
        <w:rPr>
          <w:rFonts w:eastAsia="Times New Roman"/>
          <w:lang w:bidi="ar-SA"/>
        </w:rPr>
        <w:t xml:space="preserve"> customer</w:t>
      </w:r>
      <w:r w:rsidR="00662530" w:rsidRPr="00263F7B">
        <w:rPr>
          <w:rFonts w:eastAsia="Times New Roman"/>
          <w:lang w:bidi="ar-SA"/>
        </w:rPr>
        <w:t>s</w:t>
      </w:r>
      <w:r w:rsidR="005F27B0" w:rsidRPr="00263F7B">
        <w:rPr>
          <w:rFonts w:eastAsia="Times New Roman"/>
          <w:lang w:bidi="ar-SA"/>
        </w:rPr>
        <w:t xml:space="preserve"> only.</w:t>
      </w:r>
    </w:p>
    <w:p w:rsidR="006C320E" w:rsidRPr="00263F7B" w:rsidRDefault="006C320E">
      <w:pPr>
        <w:rPr>
          <w:rFonts w:eastAsia="Times New Roman"/>
          <w:lang w:bidi="ar-SA"/>
        </w:rPr>
      </w:pPr>
    </w:p>
    <w:p w:rsidR="006C320E" w:rsidRPr="00263F7B" w:rsidRDefault="00DA0CE2">
      <w:pPr>
        <w:rPr>
          <w:rFonts w:eastAsia="Times New Roman"/>
          <w:u w:val="single"/>
          <w:lang w:bidi="ar-SA"/>
        </w:rPr>
      </w:pPr>
      <w:r w:rsidRPr="00263F7B">
        <w:rPr>
          <w:rFonts w:eastAsia="Times New Roman"/>
          <w:u w:val="single"/>
          <w:lang w:bidi="ar-SA"/>
        </w:rPr>
        <w:t xml:space="preserve">Up-size Meter </w:t>
      </w:r>
      <w:r w:rsidR="00304367" w:rsidRPr="00263F7B">
        <w:rPr>
          <w:rFonts w:eastAsia="Times New Roman"/>
          <w:u w:val="single"/>
          <w:lang w:bidi="ar-SA"/>
        </w:rPr>
        <w:t xml:space="preserve">Rates </w:t>
      </w:r>
      <w:r w:rsidRPr="00263F7B">
        <w:rPr>
          <w:rFonts w:eastAsia="Times New Roman"/>
          <w:u w:val="single"/>
          <w:lang w:bidi="ar-SA"/>
        </w:rPr>
        <w:t>–</w:t>
      </w:r>
      <w:r w:rsidR="005F27B0" w:rsidRPr="00263F7B">
        <w:rPr>
          <w:rFonts w:eastAsia="Times New Roman"/>
          <w:u w:val="single"/>
          <w:lang w:bidi="ar-SA"/>
        </w:rPr>
        <w:t xml:space="preserve"> </w:t>
      </w:r>
      <w:r w:rsidR="00304367" w:rsidRPr="00263F7B">
        <w:rPr>
          <w:rFonts w:eastAsia="Times New Roman"/>
          <w:u w:val="single"/>
          <w:lang w:bidi="ar-SA"/>
        </w:rPr>
        <w:t>B</w:t>
      </w:r>
      <w:r w:rsidRPr="00263F7B">
        <w:rPr>
          <w:rFonts w:eastAsia="Times New Roman"/>
          <w:u w:val="single"/>
          <w:lang w:bidi="ar-SA"/>
        </w:rPr>
        <w:t xml:space="preserve">ase and </w:t>
      </w:r>
      <w:r w:rsidR="00304367" w:rsidRPr="00263F7B">
        <w:rPr>
          <w:rFonts w:eastAsia="Times New Roman"/>
          <w:u w:val="single"/>
          <w:lang w:bidi="ar-SA"/>
        </w:rPr>
        <w:t>U</w:t>
      </w:r>
      <w:r w:rsidRPr="00263F7B">
        <w:rPr>
          <w:rFonts w:eastAsia="Times New Roman"/>
          <w:u w:val="single"/>
          <w:lang w:bidi="ar-SA"/>
        </w:rPr>
        <w:t xml:space="preserve">sage </w:t>
      </w:r>
      <w:r w:rsidR="00304367" w:rsidRPr="00263F7B">
        <w:rPr>
          <w:rFonts w:eastAsia="Times New Roman"/>
          <w:u w:val="single"/>
          <w:lang w:bidi="ar-SA"/>
        </w:rPr>
        <w:t>B</w:t>
      </w:r>
      <w:r w:rsidRPr="00263F7B">
        <w:rPr>
          <w:rFonts w:eastAsia="Times New Roman"/>
          <w:u w:val="single"/>
          <w:lang w:bidi="ar-SA"/>
        </w:rPr>
        <w:t>locks</w:t>
      </w:r>
    </w:p>
    <w:p w:rsidR="006C320E" w:rsidRPr="00263F7B" w:rsidRDefault="00643607">
      <w:pPr>
        <w:rPr>
          <w:rFonts w:eastAsia="Times New Roman"/>
          <w:lang w:bidi="ar-SA"/>
        </w:rPr>
      </w:pPr>
      <w:r w:rsidRPr="00263F7B">
        <w:rPr>
          <w:rFonts w:eastAsia="Times New Roman"/>
          <w:lang w:bidi="ar-SA"/>
        </w:rPr>
        <w:t>Although t</w:t>
      </w:r>
      <w:r w:rsidR="006C320E" w:rsidRPr="00263F7B">
        <w:rPr>
          <w:rFonts w:eastAsia="Times New Roman"/>
          <w:lang w:bidi="ar-SA"/>
        </w:rPr>
        <w:t xml:space="preserve">he company proposed to adjust the base charges </w:t>
      </w:r>
      <w:r w:rsidR="00F136EE" w:rsidRPr="00263F7B">
        <w:rPr>
          <w:rFonts w:eastAsia="Times New Roman"/>
          <w:lang w:bidi="ar-SA"/>
        </w:rPr>
        <w:t xml:space="preserve">for up-size meters, its proposal did not reflect the AWWA standard </w:t>
      </w:r>
      <w:r w:rsidR="00A70974" w:rsidRPr="00263F7B">
        <w:rPr>
          <w:rFonts w:eastAsia="Times New Roman"/>
          <w:lang w:bidi="ar-SA"/>
        </w:rPr>
        <w:t>capacity</w:t>
      </w:r>
      <w:r w:rsidR="00F136EE" w:rsidRPr="00263F7B">
        <w:rPr>
          <w:rFonts w:eastAsia="Times New Roman"/>
          <w:lang w:bidi="ar-SA"/>
        </w:rPr>
        <w:t xml:space="preserve"> factors. Staff and the company agreed to adjust the </w:t>
      </w:r>
      <w:r w:rsidR="00662530" w:rsidRPr="00263F7B">
        <w:rPr>
          <w:rFonts w:eastAsia="Times New Roman"/>
          <w:lang w:bidi="ar-SA"/>
        </w:rPr>
        <w:t xml:space="preserve">up-size meter </w:t>
      </w:r>
      <w:r w:rsidR="00F136EE" w:rsidRPr="00263F7B">
        <w:rPr>
          <w:rFonts w:eastAsia="Times New Roman"/>
          <w:lang w:bidi="ar-SA"/>
        </w:rPr>
        <w:t>base charge</w:t>
      </w:r>
      <w:r w:rsidRPr="00263F7B">
        <w:rPr>
          <w:rFonts w:eastAsia="Times New Roman"/>
          <w:lang w:bidi="ar-SA"/>
        </w:rPr>
        <w:t>s</w:t>
      </w:r>
      <w:r w:rsidR="00F136EE" w:rsidRPr="00263F7B">
        <w:rPr>
          <w:rFonts w:eastAsia="Times New Roman"/>
          <w:lang w:bidi="ar-SA"/>
        </w:rPr>
        <w:t xml:space="preserve"> using 50 percent of the AWWA </w:t>
      </w:r>
      <w:r w:rsidR="00A70974" w:rsidRPr="00263F7B">
        <w:rPr>
          <w:rFonts w:eastAsia="Times New Roman"/>
          <w:lang w:bidi="ar-SA"/>
        </w:rPr>
        <w:t>capacity</w:t>
      </w:r>
      <w:r w:rsidR="00F136EE" w:rsidRPr="00263F7B">
        <w:rPr>
          <w:rFonts w:eastAsia="Times New Roman"/>
          <w:lang w:bidi="ar-SA"/>
        </w:rPr>
        <w:t xml:space="preserve"> factors. Staff and the company </w:t>
      </w:r>
      <w:r w:rsidRPr="00263F7B">
        <w:rPr>
          <w:rFonts w:eastAsia="Times New Roman"/>
          <w:lang w:bidi="ar-SA"/>
        </w:rPr>
        <w:t xml:space="preserve">also </w:t>
      </w:r>
      <w:r w:rsidR="00F136EE" w:rsidRPr="00263F7B">
        <w:rPr>
          <w:rFonts w:eastAsia="Times New Roman"/>
          <w:lang w:bidi="ar-SA"/>
        </w:rPr>
        <w:t>agreed to increase the commercial usage blocks from two to three</w:t>
      </w:r>
      <w:r w:rsidR="00662530" w:rsidRPr="00263F7B">
        <w:rPr>
          <w:rFonts w:eastAsia="Times New Roman"/>
          <w:lang w:bidi="ar-SA"/>
        </w:rPr>
        <w:t xml:space="preserve">, using the 5/8-inch meter usage blocks as the base, and adjusting the usage using </w:t>
      </w:r>
      <w:r w:rsidR="00F136EE" w:rsidRPr="00263F7B">
        <w:rPr>
          <w:rFonts w:eastAsia="Times New Roman"/>
          <w:lang w:bidi="ar-SA"/>
        </w:rPr>
        <w:t>the</w:t>
      </w:r>
      <w:r w:rsidR="00493FBF" w:rsidRPr="00263F7B">
        <w:rPr>
          <w:rFonts w:eastAsia="Times New Roman"/>
          <w:lang w:bidi="ar-SA"/>
        </w:rPr>
        <w:t xml:space="preserve"> AWWA</w:t>
      </w:r>
      <w:r w:rsidR="00F136EE" w:rsidRPr="00263F7B">
        <w:rPr>
          <w:rFonts w:eastAsia="Times New Roman"/>
          <w:lang w:bidi="ar-SA"/>
        </w:rPr>
        <w:t xml:space="preserve"> </w:t>
      </w:r>
      <w:r w:rsidR="00493FBF" w:rsidRPr="00263F7B">
        <w:rPr>
          <w:rFonts w:eastAsia="Times New Roman"/>
          <w:lang w:bidi="ar-SA"/>
        </w:rPr>
        <w:t xml:space="preserve">standard </w:t>
      </w:r>
      <w:r w:rsidR="00A70974" w:rsidRPr="00263F7B">
        <w:rPr>
          <w:rFonts w:eastAsia="Times New Roman"/>
          <w:lang w:bidi="ar-SA"/>
        </w:rPr>
        <w:t>capacity</w:t>
      </w:r>
      <w:r w:rsidR="00F136EE" w:rsidRPr="00263F7B">
        <w:rPr>
          <w:rFonts w:eastAsia="Times New Roman"/>
          <w:lang w:bidi="ar-SA"/>
        </w:rPr>
        <w:t xml:space="preserve"> </w:t>
      </w:r>
      <w:r w:rsidR="00493FBF" w:rsidRPr="00263F7B">
        <w:rPr>
          <w:rFonts w:eastAsia="Times New Roman"/>
          <w:lang w:bidi="ar-SA"/>
        </w:rPr>
        <w:t xml:space="preserve">factors. </w:t>
      </w:r>
    </w:p>
    <w:p w:rsidR="00F136EE" w:rsidRPr="00263F7B" w:rsidRDefault="00F136EE">
      <w:pPr>
        <w:rPr>
          <w:rFonts w:eastAsia="Times New Roman"/>
          <w:lang w:bidi="ar-SA"/>
        </w:rPr>
      </w:pPr>
    </w:p>
    <w:p w:rsidR="008640E0" w:rsidRPr="00263F7B" w:rsidRDefault="008640E0" w:rsidP="008640E0">
      <w:pPr>
        <w:rPr>
          <w:rFonts w:eastAsia="Times New Roman"/>
          <w:lang w:bidi="ar-SA"/>
        </w:rPr>
      </w:pPr>
      <w:r w:rsidRPr="00263F7B">
        <w:rPr>
          <w:rFonts w:eastAsia="Times New Roman"/>
          <w:lang w:bidi="ar-SA"/>
        </w:rPr>
        <w:t xml:space="preserve">With the addition of an up-size meter rate design and multi-block conservation oriented rates, </w:t>
      </w:r>
      <w:r w:rsidR="00657181" w:rsidRPr="00263F7B">
        <w:rPr>
          <w:rFonts w:eastAsia="Times New Roman"/>
          <w:lang w:bidi="ar-SA"/>
        </w:rPr>
        <w:t>and considering</w:t>
      </w:r>
      <w:r w:rsidR="00493FBF" w:rsidRPr="00263F7B">
        <w:rPr>
          <w:rFonts w:eastAsia="Times New Roman"/>
          <w:lang w:bidi="ar-SA"/>
        </w:rPr>
        <w:t xml:space="preserve"> historical data</w:t>
      </w:r>
      <w:r w:rsidR="00657181" w:rsidRPr="00263F7B">
        <w:rPr>
          <w:rFonts w:eastAsia="Times New Roman"/>
          <w:lang w:bidi="ar-SA"/>
        </w:rPr>
        <w:t>,</w:t>
      </w:r>
      <w:r w:rsidR="00493FBF" w:rsidRPr="00263F7B">
        <w:rPr>
          <w:rFonts w:eastAsia="Times New Roman"/>
          <w:lang w:bidi="ar-SA"/>
        </w:rPr>
        <w:t xml:space="preserve"> a maximum of </w:t>
      </w:r>
      <w:r w:rsidR="00C464B6" w:rsidRPr="00263F7B">
        <w:rPr>
          <w:rFonts w:eastAsia="Times New Roman"/>
          <w:lang w:bidi="ar-SA"/>
        </w:rPr>
        <w:t>55</w:t>
      </w:r>
      <w:r w:rsidR="00493FBF" w:rsidRPr="00263F7B">
        <w:rPr>
          <w:rFonts w:eastAsia="Times New Roman"/>
          <w:lang w:bidi="ar-SA"/>
        </w:rPr>
        <w:t xml:space="preserve"> </w:t>
      </w:r>
      <w:r w:rsidR="00781771" w:rsidRPr="00263F7B">
        <w:rPr>
          <w:rFonts w:eastAsia="Times New Roman"/>
          <w:lang w:bidi="ar-SA"/>
        </w:rPr>
        <w:t xml:space="preserve">customers </w:t>
      </w:r>
      <w:r w:rsidR="00A70974" w:rsidRPr="00263F7B">
        <w:rPr>
          <w:rFonts w:eastAsia="Times New Roman"/>
          <w:lang w:bidi="ar-SA"/>
        </w:rPr>
        <w:t xml:space="preserve">(mostly commercial) </w:t>
      </w:r>
      <w:r w:rsidR="00643607" w:rsidRPr="00263F7B">
        <w:rPr>
          <w:rFonts w:eastAsia="Times New Roman"/>
          <w:lang w:bidi="ar-SA"/>
        </w:rPr>
        <w:t xml:space="preserve">could </w:t>
      </w:r>
      <w:r w:rsidR="00781771" w:rsidRPr="00263F7B">
        <w:rPr>
          <w:rFonts w:eastAsia="Times New Roman"/>
          <w:lang w:bidi="ar-SA"/>
        </w:rPr>
        <w:t xml:space="preserve">experience </w:t>
      </w:r>
      <w:r w:rsidR="00304367" w:rsidRPr="00263F7B">
        <w:rPr>
          <w:rFonts w:eastAsia="Times New Roman"/>
          <w:lang w:bidi="ar-SA"/>
        </w:rPr>
        <w:t xml:space="preserve">annual bill </w:t>
      </w:r>
      <w:r w:rsidRPr="00263F7B">
        <w:rPr>
          <w:rFonts w:eastAsia="Times New Roman"/>
          <w:lang w:bidi="ar-SA"/>
        </w:rPr>
        <w:t>increases</w:t>
      </w:r>
      <w:r w:rsidR="00493FBF" w:rsidRPr="00263F7B">
        <w:rPr>
          <w:rFonts w:eastAsia="Times New Roman"/>
          <w:lang w:bidi="ar-SA"/>
        </w:rPr>
        <w:t xml:space="preserve"> of 13.9 percent</w:t>
      </w:r>
      <w:r w:rsidR="00643607" w:rsidRPr="00263F7B">
        <w:rPr>
          <w:rFonts w:eastAsia="Times New Roman"/>
          <w:lang w:bidi="ar-SA"/>
        </w:rPr>
        <w:t xml:space="preserve"> </w:t>
      </w:r>
      <w:r w:rsidR="00A70974" w:rsidRPr="00263F7B">
        <w:rPr>
          <w:rFonts w:eastAsia="Times New Roman"/>
          <w:lang w:bidi="ar-SA"/>
        </w:rPr>
        <w:t>more</w:t>
      </w:r>
      <w:r w:rsidR="00643607" w:rsidRPr="00263F7B">
        <w:rPr>
          <w:rFonts w:eastAsia="Times New Roman"/>
          <w:lang w:bidi="ar-SA"/>
        </w:rPr>
        <w:t xml:space="preserve"> than</w:t>
      </w:r>
      <w:r w:rsidR="00493FBF" w:rsidRPr="00263F7B">
        <w:rPr>
          <w:rFonts w:eastAsia="Times New Roman"/>
          <w:lang w:bidi="ar-SA"/>
        </w:rPr>
        <w:t xml:space="preserve"> </w:t>
      </w:r>
      <w:r w:rsidR="00741AA2" w:rsidRPr="00263F7B">
        <w:rPr>
          <w:rFonts w:eastAsia="Times New Roman"/>
          <w:lang w:bidi="ar-SA"/>
        </w:rPr>
        <w:t>the</w:t>
      </w:r>
      <w:r w:rsidR="00643607" w:rsidRPr="00263F7B">
        <w:rPr>
          <w:rFonts w:eastAsia="Times New Roman"/>
          <w:lang w:bidi="ar-SA"/>
        </w:rPr>
        <w:t xml:space="preserve"> </w:t>
      </w:r>
      <w:r w:rsidR="00A70974" w:rsidRPr="00263F7B">
        <w:rPr>
          <w:rFonts w:eastAsia="Times New Roman"/>
          <w:lang w:bidi="ar-SA"/>
        </w:rPr>
        <w:t xml:space="preserve">rates the </w:t>
      </w:r>
      <w:r w:rsidR="00493FBF" w:rsidRPr="00263F7B">
        <w:rPr>
          <w:rFonts w:eastAsia="Times New Roman"/>
          <w:lang w:bidi="ar-SA"/>
        </w:rPr>
        <w:t xml:space="preserve">company </w:t>
      </w:r>
      <w:r w:rsidR="00643607" w:rsidRPr="00263F7B">
        <w:rPr>
          <w:rFonts w:eastAsia="Times New Roman"/>
          <w:lang w:bidi="ar-SA"/>
        </w:rPr>
        <w:t>original</w:t>
      </w:r>
      <w:r w:rsidR="00662530" w:rsidRPr="00263F7B">
        <w:rPr>
          <w:rFonts w:eastAsia="Times New Roman"/>
          <w:lang w:bidi="ar-SA"/>
        </w:rPr>
        <w:t>ly</w:t>
      </w:r>
      <w:r w:rsidR="00493FBF" w:rsidRPr="00263F7B">
        <w:rPr>
          <w:rFonts w:eastAsia="Times New Roman"/>
          <w:lang w:bidi="ar-SA"/>
        </w:rPr>
        <w:t xml:space="preserve"> proposed</w:t>
      </w:r>
      <w:r w:rsidRPr="00263F7B">
        <w:rPr>
          <w:rFonts w:eastAsia="Times New Roman"/>
          <w:lang w:bidi="ar-SA"/>
        </w:rPr>
        <w:t xml:space="preserve">. The company has committed to </w:t>
      </w:r>
      <w:r w:rsidR="00643607" w:rsidRPr="00263F7B">
        <w:rPr>
          <w:rFonts w:eastAsia="Times New Roman"/>
          <w:lang w:bidi="ar-SA"/>
        </w:rPr>
        <w:t xml:space="preserve">work directly </w:t>
      </w:r>
      <w:r w:rsidRPr="00263F7B">
        <w:rPr>
          <w:rFonts w:eastAsia="Times New Roman"/>
          <w:lang w:bidi="ar-SA"/>
        </w:rPr>
        <w:t>with th</w:t>
      </w:r>
      <w:r w:rsidR="00781771" w:rsidRPr="00263F7B">
        <w:rPr>
          <w:rFonts w:eastAsia="Times New Roman"/>
          <w:lang w:bidi="ar-SA"/>
        </w:rPr>
        <w:t>o</w:t>
      </w:r>
      <w:r w:rsidRPr="00263F7B">
        <w:rPr>
          <w:rFonts w:eastAsia="Times New Roman"/>
          <w:lang w:bidi="ar-SA"/>
        </w:rPr>
        <w:t xml:space="preserve">se customers to explain the </w:t>
      </w:r>
      <w:r w:rsidR="00643607" w:rsidRPr="00263F7B">
        <w:rPr>
          <w:rFonts w:eastAsia="Times New Roman"/>
          <w:lang w:bidi="ar-SA"/>
        </w:rPr>
        <w:t>effects</w:t>
      </w:r>
      <w:r w:rsidRPr="00263F7B">
        <w:rPr>
          <w:rFonts w:eastAsia="Times New Roman"/>
          <w:lang w:bidi="ar-SA"/>
        </w:rPr>
        <w:t xml:space="preserve"> of the </w:t>
      </w:r>
      <w:r w:rsidR="00493FBF" w:rsidRPr="00263F7B">
        <w:rPr>
          <w:rFonts w:eastAsia="Times New Roman"/>
          <w:lang w:bidi="ar-SA"/>
        </w:rPr>
        <w:t>revised</w:t>
      </w:r>
      <w:r w:rsidRPr="00263F7B">
        <w:rPr>
          <w:rFonts w:eastAsia="Times New Roman"/>
          <w:lang w:bidi="ar-SA"/>
        </w:rPr>
        <w:t xml:space="preserve"> rate design on their bills</w:t>
      </w:r>
      <w:r w:rsidR="00781771" w:rsidRPr="00263F7B">
        <w:rPr>
          <w:rFonts w:eastAsia="Times New Roman"/>
          <w:lang w:bidi="ar-SA"/>
        </w:rPr>
        <w:t xml:space="preserve"> and to work with th</w:t>
      </w:r>
      <w:r w:rsidR="00643607" w:rsidRPr="00263F7B">
        <w:rPr>
          <w:rFonts w:eastAsia="Times New Roman"/>
          <w:lang w:bidi="ar-SA"/>
        </w:rPr>
        <w:t>os</w:t>
      </w:r>
      <w:r w:rsidR="00781771" w:rsidRPr="00263F7B">
        <w:rPr>
          <w:rFonts w:eastAsia="Times New Roman"/>
          <w:lang w:bidi="ar-SA"/>
        </w:rPr>
        <w:t>e customers to decrease their total usage</w:t>
      </w:r>
      <w:r w:rsidRPr="00263F7B">
        <w:rPr>
          <w:rFonts w:eastAsia="Times New Roman"/>
          <w:lang w:bidi="ar-SA"/>
        </w:rPr>
        <w:t xml:space="preserve">. </w:t>
      </w:r>
    </w:p>
    <w:p w:rsidR="000F5913" w:rsidRPr="00263F7B" w:rsidRDefault="000F5913" w:rsidP="00CB4B32">
      <w:pPr>
        <w:rPr>
          <w:rFonts w:eastAsia="Times New Roman"/>
          <w:u w:val="single"/>
          <w:lang w:bidi="ar-SA"/>
        </w:rPr>
      </w:pPr>
    </w:p>
    <w:p w:rsidR="000F5913" w:rsidRPr="00263F7B" w:rsidRDefault="00C27500" w:rsidP="00CB4B32">
      <w:pPr>
        <w:rPr>
          <w:rFonts w:eastAsia="Times New Roman"/>
          <w:u w:val="single"/>
          <w:lang w:bidi="ar-SA"/>
        </w:rPr>
      </w:pPr>
      <w:r w:rsidRPr="00263F7B">
        <w:rPr>
          <w:rFonts w:eastAsia="Times New Roman"/>
          <w:noProof/>
          <w:u w:val="single"/>
          <w:lang w:bidi="ar-SA"/>
        </w:rPr>
        <w:lastRenderedPageBreak/>
        <w:drawing>
          <wp:inline distT="0" distB="0" distL="0" distR="0">
            <wp:extent cx="5943600" cy="383875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4B32" w:rsidRPr="00263F7B" w:rsidRDefault="00CB4B32" w:rsidP="00CB4B32">
      <w:pPr>
        <w:rPr>
          <w:rFonts w:eastAsia="Times New Roman"/>
          <w:lang w:bidi="ar-SA"/>
        </w:rPr>
      </w:pPr>
    </w:p>
    <w:p w:rsidR="00CB4B32" w:rsidRPr="00263F7B" w:rsidRDefault="00CB4B32" w:rsidP="00263F7B">
      <w:pPr>
        <w:ind w:left="720"/>
        <w:rPr>
          <w:rFonts w:eastAsiaTheme="minorHAnsi"/>
          <w:lang w:bidi="ar-SA"/>
        </w:rPr>
      </w:pPr>
      <w:r w:rsidRPr="00263F7B">
        <w:rPr>
          <w:rFonts w:eastAsiaTheme="minorHAnsi"/>
          <w:lang w:bidi="ar-SA"/>
        </w:rPr>
        <w:t>As a step towards single</w:t>
      </w:r>
      <w:r w:rsidR="00E20E13" w:rsidRPr="00263F7B">
        <w:rPr>
          <w:rFonts w:eastAsiaTheme="minorHAnsi"/>
          <w:lang w:bidi="ar-SA"/>
        </w:rPr>
        <w:t>-</w:t>
      </w:r>
      <w:r w:rsidRPr="00263F7B">
        <w:rPr>
          <w:rFonts w:eastAsiaTheme="minorHAnsi"/>
          <w:lang w:bidi="ar-SA"/>
        </w:rPr>
        <w:t xml:space="preserve">tariff pricing and recognizing historical usage, the revised rate design does have different rate levels for </w:t>
      </w:r>
      <w:r w:rsidR="00D17B76" w:rsidRPr="00263F7B">
        <w:rPr>
          <w:rFonts w:eastAsiaTheme="minorHAnsi"/>
          <w:lang w:bidi="ar-SA"/>
        </w:rPr>
        <w:t>residential</w:t>
      </w:r>
      <w:r w:rsidRPr="00263F7B">
        <w:rPr>
          <w:rFonts w:eastAsiaTheme="minorHAnsi"/>
          <w:lang w:bidi="ar-SA"/>
        </w:rPr>
        <w:t xml:space="preserve"> meters and </w:t>
      </w:r>
      <w:r w:rsidR="00E20E13" w:rsidRPr="00263F7B">
        <w:rPr>
          <w:rFonts w:eastAsiaTheme="minorHAnsi"/>
          <w:lang w:bidi="ar-SA"/>
        </w:rPr>
        <w:t xml:space="preserve">commercial, </w:t>
      </w:r>
      <w:r w:rsidRPr="00263F7B">
        <w:rPr>
          <w:rFonts w:eastAsiaTheme="minorHAnsi"/>
          <w:lang w:bidi="ar-SA"/>
        </w:rPr>
        <w:t xml:space="preserve">up-size meters. The first block is set at $0.85 for all customers. The second and third blocks for up-size meters </w:t>
      </w:r>
      <w:r w:rsidR="00A70974" w:rsidRPr="00263F7B">
        <w:rPr>
          <w:rFonts w:eastAsiaTheme="minorHAnsi"/>
          <w:lang w:bidi="ar-SA"/>
        </w:rPr>
        <w:t>have</w:t>
      </w:r>
      <w:r w:rsidRPr="00263F7B">
        <w:rPr>
          <w:rFonts w:eastAsiaTheme="minorHAnsi"/>
          <w:lang w:bidi="ar-SA"/>
        </w:rPr>
        <w:t xml:space="preserve"> been set to more appropriately match </w:t>
      </w:r>
      <w:r w:rsidR="00196594" w:rsidRPr="00263F7B">
        <w:rPr>
          <w:rFonts w:eastAsiaTheme="minorHAnsi"/>
          <w:lang w:bidi="ar-SA"/>
        </w:rPr>
        <w:t xml:space="preserve">the </w:t>
      </w:r>
      <w:r w:rsidR="00E20E13" w:rsidRPr="00263F7B">
        <w:rPr>
          <w:rFonts w:eastAsiaTheme="minorHAnsi"/>
          <w:lang w:bidi="ar-SA"/>
        </w:rPr>
        <w:t xml:space="preserve">percentage of </w:t>
      </w:r>
      <w:r w:rsidRPr="00263F7B">
        <w:rPr>
          <w:rFonts w:eastAsiaTheme="minorHAnsi"/>
          <w:lang w:bidi="ar-SA"/>
        </w:rPr>
        <w:t xml:space="preserve">revenue </w:t>
      </w:r>
      <w:r w:rsidR="00E20E13" w:rsidRPr="00263F7B">
        <w:rPr>
          <w:rFonts w:eastAsiaTheme="minorHAnsi"/>
          <w:lang w:bidi="ar-SA"/>
        </w:rPr>
        <w:t xml:space="preserve">paid by those customers with the </w:t>
      </w:r>
      <w:r w:rsidRPr="00263F7B">
        <w:rPr>
          <w:rFonts w:eastAsiaTheme="minorHAnsi"/>
          <w:lang w:bidi="ar-SA"/>
        </w:rPr>
        <w:t xml:space="preserve">percentage </w:t>
      </w:r>
      <w:r w:rsidR="00E20E13" w:rsidRPr="00263F7B">
        <w:rPr>
          <w:rFonts w:eastAsiaTheme="minorHAnsi"/>
          <w:lang w:bidi="ar-SA"/>
        </w:rPr>
        <w:t>of water used by those customers</w:t>
      </w:r>
      <w:r w:rsidRPr="00263F7B">
        <w:rPr>
          <w:rFonts w:eastAsiaTheme="minorHAnsi"/>
          <w:lang w:bidi="ar-SA"/>
        </w:rPr>
        <w:t xml:space="preserve">. This should help to avoid </w:t>
      </w:r>
      <w:r w:rsidR="00E20E13" w:rsidRPr="00263F7B">
        <w:rPr>
          <w:rFonts w:eastAsiaTheme="minorHAnsi"/>
          <w:lang w:bidi="ar-SA"/>
        </w:rPr>
        <w:t xml:space="preserve">additional </w:t>
      </w:r>
      <w:r w:rsidRPr="00263F7B">
        <w:rPr>
          <w:rFonts w:eastAsiaTheme="minorHAnsi"/>
          <w:lang w:bidi="ar-SA"/>
        </w:rPr>
        <w:t xml:space="preserve">rate shock and </w:t>
      </w:r>
      <w:r w:rsidR="00196594" w:rsidRPr="00263F7B">
        <w:rPr>
          <w:rFonts w:eastAsiaTheme="minorHAnsi"/>
          <w:lang w:bidi="ar-SA"/>
        </w:rPr>
        <w:t xml:space="preserve">set the stage for eventually </w:t>
      </w:r>
      <w:r w:rsidRPr="00263F7B">
        <w:rPr>
          <w:rFonts w:eastAsiaTheme="minorHAnsi"/>
          <w:lang w:bidi="ar-SA"/>
        </w:rPr>
        <w:t>moving towards single</w:t>
      </w:r>
      <w:r w:rsidR="00E20E13" w:rsidRPr="00263F7B">
        <w:rPr>
          <w:rFonts w:eastAsiaTheme="minorHAnsi"/>
          <w:lang w:bidi="ar-SA"/>
        </w:rPr>
        <w:t>-</w:t>
      </w:r>
      <w:r w:rsidRPr="00263F7B">
        <w:rPr>
          <w:rFonts w:eastAsiaTheme="minorHAnsi"/>
          <w:lang w:bidi="ar-SA"/>
        </w:rPr>
        <w:t xml:space="preserve">tariff pricing. The rate blocks are the same for both </w:t>
      </w:r>
      <w:r w:rsidR="00D17B76" w:rsidRPr="00263F7B">
        <w:rPr>
          <w:rFonts w:eastAsiaTheme="minorHAnsi"/>
          <w:lang w:bidi="ar-SA"/>
        </w:rPr>
        <w:t>residential</w:t>
      </w:r>
      <w:r w:rsidRPr="00263F7B">
        <w:rPr>
          <w:rFonts w:eastAsiaTheme="minorHAnsi"/>
          <w:lang w:bidi="ar-SA"/>
        </w:rPr>
        <w:t xml:space="preserve"> and up-size meters</w:t>
      </w:r>
      <w:r w:rsidR="00E20E13" w:rsidRPr="00263F7B">
        <w:rPr>
          <w:rFonts w:eastAsiaTheme="minorHAnsi"/>
          <w:lang w:bidi="ar-SA"/>
        </w:rPr>
        <w:t>, as adjusted by the standard AWWA capacity factors</w:t>
      </w:r>
      <w:r w:rsidRPr="00263F7B">
        <w:rPr>
          <w:rFonts w:eastAsiaTheme="minorHAnsi"/>
          <w:lang w:bidi="ar-SA"/>
        </w:rPr>
        <w:t>.</w:t>
      </w:r>
    </w:p>
    <w:p w:rsidR="008640E0" w:rsidRPr="00263F7B" w:rsidRDefault="008640E0" w:rsidP="008640E0">
      <w:pPr>
        <w:rPr>
          <w:rFonts w:eastAsia="Times New Roman"/>
          <w:lang w:bidi="ar-SA"/>
        </w:rPr>
      </w:pPr>
      <w:r w:rsidRPr="00263F7B">
        <w:rPr>
          <w:rFonts w:eastAsia="Times New Roman"/>
          <w:lang w:bidi="ar-SA"/>
        </w:rPr>
        <w:t>Staff recommends that the commission accept the revised rate design.</w:t>
      </w:r>
    </w:p>
    <w:p w:rsidR="00940A7F" w:rsidRPr="00263F7B" w:rsidRDefault="00940A7F" w:rsidP="00806746">
      <w:pPr>
        <w:rPr>
          <w:rFonts w:eastAsia="Times New Roman"/>
          <w:lang w:bidi="ar-SA"/>
        </w:rPr>
      </w:pPr>
    </w:p>
    <w:p w:rsidR="00BB58FC" w:rsidRPr="00263F7B" w:rsidRDefault="00EA7076" w:rsidP="00806746">
      <w:pPr>
        <w:rPr>
          <w:rFonts w:eastAsia="Times New Roman"/>
          <w:lang w:bidi="ar-SA"/>
        </w:rPr>
      </w:pPr>
      <w:r w:rsidRPr="00263F7B">
        <w:rPr>
          <w:rFonts w:eastAsia="Times New Roman"/>
          <w:lang w:bidi="ar-SA"/>
        </w:rPr>
        <w:t>The</w:t>
      </w:r>
      <w:r w:rsidR="00D83BB1" w:rsidRPr="00263F7B">
        <w:rPr>
          <w:rFonts w:eastAsia="Times New Roman"/>
          <w:lang w:bidi="ar-SA"/>
        </w:rPr>
        <w:t xml:space="preserve"> </w:t>
      </w:r>
      <w:r w:rsidR="00BF1957" w:rsidRPr="00263F7B">
        <w:rPr>
          <w:rFonts w:eastAsia="Times New Roman"/>
          <w:lang w:bidi="ar-SA"/>
        </w:rPr>
        <w:t xml:space="preserve">revised </w:t>
      </w:r>
      <w:r w:rsidR="00D83BB1" w:rsidRPr="00263F7B">
        <w:rPr>
          <w:rFonts w:eastAsia="Times New Roman"/>
          <w:lang w:bidi="ar-SA"/>
        </w:rPr>
        <w:t xml:space="preserve">monthly flat rate </w:t>
      </w:r>
      <w:r w:rsidR="00BF1957" w:rsidRPr="00263F7B">
        <w:rPr>
          <w:rFonts w:eastAsia="Times New Roman"/>
          <w:lang w:bidi="ar-SA"/>
        </w:rPr>
        <w:t xml:space="preserve">of $24.75 is 3.1 percent greater than the proposed $24.00 rate that the company </w:t>
      </w:r>
      <w:r w:rsidRPr="00263F7B">
        <w:rPr>
          <w:rFonts w:eastAsia="Times New Roman"/>
          <w:lang w:bidi="ar-SA"/>
        </w:rPr>
        <w:t xml:space="preserve">noticed to </w:t>
      </w:r>
      <w:r w:rsidR="00BF1957" w:rsidRPr="00263F7B">
        <w:rPr>
          <w:rFonts w:eastAsia="Times New Roman"/>
          <w:lang w:bidi="ar-SA"/>
        </w:rPr>
        <w:t>its</w:t>
      </w:r>
      <w:r w:rsidRPr="00263F7B">
        <w:rPr>
          <w:rFonts w:eastAsia="Times New Roman"/>
          <w:lang w:bidi="ar-SA"/>
        </w:rPr>
        <w:t xml:space="preserve"> customers.</w:t>
      </w:r>
      <w:r w:rsidR="00E37D01" w:rsidRPr="00263F7B">
        <w:rPr>
          <w:rFonts w:eastAsia="Times New Roman"/>
          <w:lang w:bidi="ar-SA"/>
        </w:rPr>
        <w:t xml:space="preserve"> </w:t>
      </w:r>
    </w:p>
    <w:p w:rsidR="00BA0B45" w:rsidRPr="00263F7B" w:rsidRDefault="00BA0B45"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u w:val="single"/>
          <w:lang w:bidi="ar-SA"/>
        </w:rPr>
      </w:pPr>
    </w:p>
    <w:p w:rsidR="00BA0B45" w:rsidRPr="00263F7B" w:rsidRDefault="00BA0B45"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u w:val="single"/>
          <w:lang w:bidi="ar-SA"/>
        </w:rPr>
      </w:pPr>
      <w:r w:rsidRPr="00263F7B">
        <w:rPr>
          <w:rFonts w:eastAsia="Times New Roman"/>
          <w:u w:val="single"/>
          <w:lang w:bidi="ar-SA"/>
        </w:rPr>
        <w:t>Less Than Statutory Notice Exemption and Customer Notice Exemption</w:t>
      </w:r>
    </w:p>
    <w:p w:rsidR="00BA0B45" w:rsidRPr="00263F7B" w:rsidRDefault="00BA0B45" w:rsidP="00BA0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lang w:bidi="ar-SA"/>
        </w:rPr>
      </w:pPr>
      <w:r w:rsidRPr="00263F7B">
        <w:rPr>
          <w:rFonts w:eastAsia="Times New Roman"/>
          <w:lang w:bidi="ar-SA"/>
        </w:rPr>
        <w:t>The company requests an exemption from WAC 480-110-431, Tariffs, to allow the revised rates that result in increases above the level noticed to customers to become effective on Ju</w:t>
      </w:r>
      <w:r w:rsidR="008640E0" w:rsidRPr="00263F7B">
        <w:rPr>
          <w:rFonts w:eastAsia="Times New Roman"/>
          <w:lang w:bidi="ar-SA"/>
        </w:rPr>
        <w:t>ne</w:t>
      </w:r>
      <w:r w:rsidRPr="00263F7B">
        <w:rPr>
          <w:rFonts w:eastAsia="Times New Roman"/>
          <w:lang w:bidi="ar-SA"/>
        </w:rPr>
        <w:t xml:space="preserve"> 1, 20</w:t>
      </w:r>
      <w:r w:rsidR="008640E0" w:rsidRPr="00263F7B">
        <w:rPr>
          <w:rFonts w:eastAsia="Times New Roman"/>
          <w:lang w:bidi="ar-SA"/>
        </w:rPr>
        <w:t>10</w:t>
      </w:r>
      <w:r w:rsidRPr="00263F7B">
        <w:rPr>
          <w:rFonts w:eastAsia="Times New Roman"/>
          <w:lang w:bidi="ar-SA"/>
        </w:rPr>
        <w:t>, on less than statutory notice, and an exemption from WAC 480-110-425, Customer Notice, to allow the company to notify customers of increases in the next billing cycle.</w:t>
      </w:r>
      <w:r w:rsidR="00BF1957" w:rsidRPr="00263F7B">
        <w:rPr>
          <w:rFonts w:eastAsia="Times New Roman"/>
          <w:lang w:bidi="ar-SA"/>
        </w:rPr>
        <w:t xml:space="preserve"> Staff recommends that the commission grant the requests.</w:t>
      </w:r>
    </w:p>
    <w:p w:rsidR="00DD65A6" w:rsidRPr="00263F7B" w:rsidRDefault="00DD65A6" w:rsidP="00BE5610"/>
    <w:p w:rsidR="002E330C" w:rsidRDefault="002E330C" w:rsidP="001A023C">
      <w:pPr>
        <w:rPr>
          <w:b/>
          <w:u w:val="single"/>
        </w:rPr>
      </w:pPr>
    </w:p>
    <w:p w:rsidR="002E330C" w:rsidRDefault="002E330C" w:rsidP="001A023C">
      <w:pPr>
        <w:rPr>
          <w:b/>
          <w:u w:val="single"/>
        </w:rPr>
      </w:pPr>
    </w:p>
    <w:p w:rsidR="002E330C" w:rsidRDefault="002E330C" w:rsidP="001A023C">
      <w:pPr>
        <w:rPr>
          <w:b/>
          <w:u w:val="single"/>
        </w:rPr>
      </w:pPr>
    </w:p>
    <w:p w:rsidR="001A023C" w:rsidRPr="00263F7B" w:rsidRDefault="001A023C" w:rsidP="001A023C">
      <w:pPr>
        <w:rPr>
          <w:b/>
          <w:u w:val="single"/>
        </w:rPr>
      </w:pPr>
      <w:r w:rsidRPr="00263F7B">
        <w:rPr>
          <w:b/>
          <w:u w:val="single"/>
        </w:rPr>
        <w:lastRenderedPageBreak/>
        <w:t xml:space="preserve">Customer Comments </w:t>
      </w:r>
    </w:p>
    <w:p w:rsidR="00940A7F" w:rsidRPr="00263F7B" w:rsidRDefault="00940A7F"/>
    <w:p w:rsidR="00684412" w:rsidRPr="00263F7B" w:rsidRDefault="00A4271E" w:rsidP="00684412">
      <w:r w:rsidRPr="00263F7B">
        <w:t xml:space="preserve">On </w:t>
      </w:r>
      <w:r w:rsidR="00684412" w:rsidRPr="00263F7B">
        <w:t>September 14, 2009, the company notified its customers of the proposed rate increase by mail. Twenty-seven customer comments have been received to date. All customers are opposed to the proposed increase. Please note that customers often address several issues of concern within one comment. Therefore, subtotals may not equal the total number of comments submitted.</w:t>
      </w:r>
    </w:p>
    <w:p w:rsidR="00684412" w:rsidRPr="00263F7B" w:rsidRDefault="00684412" w:rsidP="00684412">
      <w:pPr>
        <w:rPr>
          <w:b/>
          <w:u w:val="single"/>
        </w:rPr>
      </w:pPr>
    </w:p>
    <w:p w:rsidR="00684412" w:rsidRPr="00263F7B" w:rsidRDefault="00404B4E" w:rsidP="00684412">
      <w:pPr>
        <w:rPr>
          <w:b/>
          <w:u w:val="single"/>
        </w:rPr>
      </w:pPr>
      <w:r w:rsidRPr="00263F7B">
        <w:t>Consumer Protection staff advised customers that they may contact Dennis Shutler at 1-888-333-9882 with questions or concerns.</w:t>
      </w:r>
    </w:p>
    <w:p w:rsidR="00684412" w:rsidRPr="00263F7B" w:rsidRDefault="00684412" w:rsidP="00684412"/>
    <w:p w:rsidR="00684412" w:rsidRPr="00263F7B" w:rsidRDefault="00684412" w:rsidP="00684412">
      <w:pPr>
        <w:rPr>
          <w:b/>
        </w:rPr>
      </w:pPr>
      <w:r w:rsidRPr="00263F7B">
        <w:rPr>
          <w:b/>
        </w:rPr>
        <w:t>Filing Documents and Methodology Comments</w:t>
      </w:r>
    </w:p>
    <w:p w:rsidR="00684412" w:rsidRPr="00263F7B" w:rsidRDefault="00684412" w:rsidP="00684412">
      <w:pPr>
        <w:numPr>
          <w:ilvl w:val="0"/>
          <w:numId w:val="10"/>
        </w:numPr>
      </w:pPr>
      <w:r w:rsidRPr="00263F7B">
        <w:t>Two customers believe the flat rate allowing unlimited usage should be removed so that all customers pay for the water they use.</w:t>
      </w:r>
    </w:p>
    <w:p w:rsidR="00684412" w:rsidRPr="00263F7B" w:rsidRDefault="00684412" w:rsidP="00684412"/>
    <w:p w:rsidR="00684412" w:rsidRPr="00263F7B" w:rsidRDefault="00684412" w:rsidP="00684412">
      <w:pPr>
        <w:ind w:left="720"/>
        <w:rPr>
          <w:b/>
        </w:rPr>
      </w:pPr>
      <w:r w:rsidRPr="00263F7B">
        <w:rPr>
          <w:b/>
        </w:rPr>
        <w:t>Staff Response</w:t>
      </w:r>
    </w:p>
    <w:p w:rsidR="00684412" w:rsidRPr="00263F7B" w:rsidRDefault="00684412" w:rsidP="00684412">
      <w:pPr>
        <w:ind w:left="720"/>
      </w:pPr>
      <w:r w:rsidRPr="00263F7B">
        <w:t xml:space="preserve">The company currently has 211 unmetered customers, and is working to install meters for all customers. </w:t>
      </w:r>
    </w:p>
    <w:p w:rsidR="00684412" w:rsidRPr="00263F7B" w:rsidRDefault="00684412" w:rsidP="00684412">
      <w:pPr>
        <w:tabs>
          <w:tab w:val="left" w:pos="90"/>
        </w:tabs>
        <w:ind w:left="720"/>
      </w:pPr>
    </w:p>
    <w:p w:rsidR="00684412" w:rsidRPr="00263F7B" w:rsidRDefault="00684412" w:rsidP="00684412">
      <w:pPr>
        <w:numPr>
          <w:ilvl w:val="0"/>
          <w:numId w:val="10"/>
        </w:numPr>
        <w:tabs>
          <w:tab w:val="left" w:pos="90"/>
        </w:tabs>
      </w:pPr>
      <w:r w:rsidRPr="00263F7B">
        <w:t xml:space="preserve">Two customers do not approve of the proposed rate design. </w:t>
      </w:r>
    </w:p>
    <w:p w:rsidR="00684412" w:rsidRPr="00263F7B" w:rsidRDefault="00684412" w:rsidP="00684412">
      <w:pPr>
        <w:ind w:left="720"/>
        <w:rPr>
          <w:b/>
        </w:rPr>
      </w:pPr>
    </w:p>
    <w:p w:rsidR="00684412" w:rsidRPr="00263F7B" w:rsidRDefault="00684412" w:rsidP="00684412">
      <w:pPr>
        <w:ind w:left="720"/>
        <w:rPr>
          <w:b/>
        </w:rPr>
      </w:pPr>
      <w:r w:rsidRPr="00263F7B">
        <w:rPr>
          <w:b/>
        </w:rPr>
        <w:t>Staff Response</w:t>
      </w:r>
    </w:p>
    <w:p w:rsidR="00684412" w:rsidRPr="00263F7B" w:rsidRDefault="00684412" w:rsidP="00684412">
      <w:pPr>
        <w:tabs>
          <w:tab w:val="left" w:pos="90"/>
        </w:tabs>
        <w:ind w:left="720" w:hanging="720"/>
      </w:pPr>
      <w:r w:rsidRPr="00263F7B">
        <w:tab/>
      </w:r>
      <w:r w:rsidRPr="00263F7B">
        <w:tab/>
        <w:t>Staff’s rate design ensures that rates are fair, just, reasonable and sufficient.</w:t>
      </w:r>
    </w:p>
    <w:p w:rsidR="00684412" w:rsidRPr="00263F7B" w:rsidRDefault="00684412" w:rsidP="00684412">
      <w:pPr>
        <w:tabs>
          <w:tab w:val="left" w:pos="90"/>
        </w:tabs>
        <w:ind w:left="720"/>
      </w:pPr>
    </w:p>
    <w:p w:rsidR="00684412" w:rsidRPr="00263F7B" w:rsidRDefault="00684412" w:rsidP="00684412">
      <w:r w:rsidRPr="00263F7B">
        <w:rPr>
          <w:b/>
        </w:rPr>
        <w:t>General Comment</w:t>
      </w:r>
    </w:p>
    <w:p w:rsidR="001A023C" w:rsidRPr="00263F7B" w:rsidRDefault="00684412">
      <w:pPr>
        <w:widowControl w:val="0"/>
        <w:numPr>
          <w:ilvl w:val="0"/>
          <w:numId w:val="16"/>
        </w:numPr>
        <w:tabs>
          <w:tab w:val="left" w:pos="90"/>
        </w:tabs>
        <w:autoSpaceDE w:val="0"/>
        <w:autoSpaceDN w:val="0"/>
        <w:adjustRightInd w:val="0"/>
        <w:ind w:left="720"/>
      </w:pPr>
      <w:r w:rsidRPr="00263F7B">
        <w:t>Fourteen customers believe the proposed rates are excessive. Eleven customers believe the current rates are already too high.</w:t>
      </w:r>
    </w:p>
    <w:p w:rsidR="00684412" w:rsidRPr="00263F7B" w:rsidRDefault="00684412" w:rsidP="00684412">
      <w:pPr>
        <w:tabs>
          <w:tab w:val="left" w:pos="90"/>
        </w:tabs>
      </w:pPr>
    </w:p>
    <w:p w:rsidR="00684412" w:rsidRPr="00263F7B" w:rsidRDefault="00684412" w:rsidP="00684412">
      <w:pPr>
        <w:tabs>
          <w:tab w:val="left" w:pos="90"/>
        </w:tabs>
        <w:ind w:left="720"/>
        <w:rPr>
          <w:b/>
        </w:rPr>
      </w:pPr>
      <w:r w:rsidRPr="00263F7B">
        <w:rPr>
          <w:b/>
        </w:rPr>
        <w:t>Staff Response</w:t>
      </w:r>
      <w:r w:rsidR="00171857" w:rsidRPr="00263F7B">
        <w:rPr>
          <w:b/>
        </w:rPr>
        <w:t xml:space="preserve"> </w:t>
      </w:r>
    </w:p>
    <w:p w:rsidR="00684412" w:rsidRPr="00263F7B" w:rsidRDefault="00684412" w:rsidP="00684412">
      <w:pPr>
        <w:ind w:left="720"/>
      </w:pPr>
      <w:r w:rsidRPr="00263F7B">
        <w:t>Customers were advised that state law requires rates to be fair and reasonable, and sufficient to allow the company the opportunity to recover reasonable operating expenses and earn a reasonable return on investment.</w:t>
      </w:r>
    </w:p>
    <w:p w:rsidR="00684412" w:rsidRPr="00263F7B" w:rsidRDefault="00684412" w:rsidP="00684412"/>
    <w:p w:rsidR="00684412" w:rsidRPr="00263F7B" w:rsidRDefault="00684412" w:rsidP="00684412">
      <w:pPr>
        <w:numPr>
          <w:ilvl w:val="0"/>
          <w:numId w:val="14"/>
        </w:numPr>
      </w:pPr>
      <w:r w:rsidRPr="00263F7B">
        <w:rPr>
          <w:color w:val="000000"/>
          <w:lang w:bidi="ar-SA"/>
        </w:rPr>
        <w:t>Two customers believe the water company is taking advantage of its customers because of its lush lawns and landscaping, the aquarium in the company's office, and the extravagant office facility.</w:t>
      </w:r>
    </w:p>
    <w:p w:rsidR="00684412" w:rsidRPr="00263F7B" w:rsidRDefault="00684412" w:rsidP="00684412"/>
    <w:p w:rsidR="00684412" w:rsidRPr="00263F7B" w:rsidRDefault="00684412" w:rsidP="00684412">
      <w:pPr>
        <w:tabs>
          <w:tab w:val="left" w:pos="90"/>
        </w:tabs>
        <w:ind w:left="720"/>
        <w:rPr>
          <w:b/>
        </w:rPr>
      </w:pPr>
      <w:r w:rsidRPr="00263F7B">
        <w:rPr>
          <w:b/>
        </w:rPr>
        <w:t>Staff Response</w:t>
      </w:r>
      <w:r w:rsidR="00171857" w:rsidRPr="00263F7B">
        <w:rPr>
          <w:b/>
        </w:rPr>
        <w:t xml:space="preserve"> </w:t>
      </w:r>
    </w:p>
    <w:p w:rsidR="00684412" w:rsidRPr="00263F7B" w:rsidRDefault="00684412" w:rsidP="00684412">
      <w:pPr>
        <w:ind w:left="720" w:hanging="720"/>
      </w:pPr>
      <w:r w:rsidRPr="00263F7B">
        <w:tab/>
        <w:t>Staff has reviewed the costs and allowed only appropriate expenses.</w:t>
      </w:r>
    </w:p>
    <w:p w:rsidR="00684412" w:rsidRPr="00263F7B" w:rsidRDefault="00684412" w:rsidP="00684412"/>
    <w:p w:rsidR="00BF1957" w:rsidRPr="00263F7B" w:rsidRDefault="00901DE1" w:rsidP="00684412">
      <w:pPr>
        <w:rPr>
          <w:b/>
          <w:u w:val="single"/>
        </w:rPr>
      </w:pPr>
      <w:r w:rsidRPr="00263F7B">
        <w:rPr>
          <w:b/>
          <w:u w:val="single"/>
        </w:rPr>
        <w:t>Rate Comparison</w:t>
      </w:r>
    </w:p>
    <w:p w:rsidR="00BF1957" w:rsidRPr="00263F7B" w:rsidRDefault="00BF1957" w:rsidP="00684412">
      <w:pPr>
        <w:rPr>
          <w:b/>
          <w:u w:val="single"/>
        </w:rPr>
      </w:pPr>
    </w:p>
    <w:p w:rsidR="0080117F" w:rsidRPr="00263F7B" w:rsidRDefault="0080117F"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sidRPr="00263F7B">
        <w:rPr>
          <w:rFonts w:eastAsia="Times New Roman"/>
          <w:lang w:bidi="ar-SA"/>
        </w:rPr>
        <w:t xml:space="preserve">A </w:t>
      </w:r>
      <w:r w:rsidR="00D17B76" w:rsidRPr="00263F7B">
        <w:rPr>
          <w:rFonts w:eastAsia="Times New Roman"/>
          <w:lang w:bidi="ar-SA"/>
        </w:rPr>
        <w:t>residential</w:t>
      </w:r>
      <w:r w:rsidR="008528B0" w:rsidRPr="00263F7B">
        <w:rPr>
          <w:rFonts w:eastAsia="Times New Roman"/>
          <w:lang w:bidi="ar-SA"/>
        </w:rPr>
        <w:t xml:space="preserve"> </w:t>
      </w:r>
      <w:r w:rsidR="005F27B0" w:rsidRPr="00263F7B">
        <w:rPr>
          <w:rFonts w:eastAsia="Times New Roman"/>
          <w:lang w:bidi="ar-SA"/>
        </w:rPr>
        <w:t>5/8-inch</w:t>
      </w:r>
      <w:r w:rsidR="000C2BAD" w:rsidRPr="00263F7B">
        <w:rPr>
          <w:rFonts w:eastAsia="Times New Roman"/>
          <w:lang w:bidi="ar-SA"/>
        </w:rPr>
        <w:t xml:space="preserve"> </w:t>
      </w:r>
      <w:r w:rsidRPr="00263F7B">
        <w:rPr>
          <w:rFonts w:eastAsia="Times New Roman"/>
          <w:lang w:bidi="ar-SA"/>
        </w:rPr>
        <w:t xml:space="preserve">customer using </w:t>
      </w:r>
      <w:r w:rsidR="00767D9E" w:rsidRPr="00263F7B">
        <w:rPr>
          <w:rFonts w:eastAsia="Times New Roman"/>
          <w:lang w:bidi="ar-SA"/>
        </w:rPr>
        <w:t>86</w:t>
      </w:r>
      <w:r w:rsidR="001C5BD9" w:rsidRPr="00263F7B">
        <w:rPr>
          <w:rFonts w:eastAsia="Times New Roman"/>
          <w:lang w:bidi="ar-SA"/>
        </w:rPr>
        <w:t>6</w:t>
      </w:r>
      <w:r w:rsidRPr="00263F7B">
        <w:rPr>
          <w:rFonts w:eastAsia="Times New Roman"/>
          <w:lang w:bidi="ar-SA"/>
        </w:rPr>
        <w:t xml:space="preserve"> cubic feet of water per month (the calculated company-wide </w:t>
      </w:r>
      <w:r w:rsidR="00D17B76" w:rsidRPr="00263F7B">
        <w:rPr>
          <w:rFonts w:eastAsia="Times New Roman"/>
          <w:lang w:bidi="ar-SA"/>
        </w:rPr>
        <w:t>residential</w:t>
      </w:r>
      <w:r w:rsidR="008528B0" w:rsidRPr="00263F7B">
        <w:rPr>
          <w:rFonts w:eastAsia="Times New Roman"/>
          <w:lang w:bidi="ar-SA"/>
        </w:rPr>
        <w:t xml:space="preserve"> </w:t>
      </w:r>
      <w:r w:rsidRPr="00263F7B">
        <w:rPr>
          <w:rFonts w:eastAsia="Times New Roman"/>
          <w:lang w:bidi="ar-SA"/>
        </w:rPr>
        <w:t>average water usage) would pay $</w:t>
      </w:r>
      <w:r w:rsidR="00FC579B" w:rsidRPr="00263F7B">
        <w:rPr>
          <w:rFonts w:eastAsia="Times New Roman"/>
          <w:lang w:bidi="ar-SA"/>
        </w:rPr>
        <w:t>0</w:t>
      </w:r>
      <w:r w:rsidRPr="00263F7B">
        <w:rPr>
          <w:rFonts w:eastAsia="Times New Roman"/>
          <w:lang w:bidi="ar-SA"/>
        </w:rPr>
        <w:t>.</w:t>
      </w:r>
      <w:r w:rsidR="00FC579B" w:rsidRPr="00263F7B">
        <w:rPr>
          <w:rFonts w:eastAsia="Times New Roman"/>
          <w:lang w:bidi="ar-SA"/>
        </w:rPr>
        <w:t>46</w:t>
      </w:r>
      <w:r w:rsidRPr="00263F7B">
        <w:rPr>
          <w:rFonts w:eastAsia="Times New Roman"/>
          <w:lang w:bidi="ar-SA"/>
        </w:rPr>
        <w:t xml:space="preserve"> (</w:t>
      </w:r>
      <w:r w:rsidR="00FC579B" w:rsidRPr="00263F7B">
        <w:rPr>
          <w:rFonts w:eastAsia="Times New Roman"/>
          <w:lang w:bidi="ar-SA"/>
        </w:rPr>
        <w:t>-2.4</w:t>
      </w:r>
      <w:r w:rsidRPr="00263F7B">
        <w:rPr>
          <w:rFonts w:eastAsia="Times New Roman"/>
          <w:lang w:bidi="ar-SA"/>
        </w:rPr>
        <w:t xml:space="preserve"> percent) </w:t>
      </w:r>
      <w:r w:rsidR="00FC579B" w:rsidRPr="00263F7B">
        <w:rPr>
          <w:rFonts w:eastAsia="Times New Roman"/>
          <w:lang w:bidi="ar-SA"/>
        </w:rPr>
        <w:t>less</w:t>
      </w:r>
      <w:r w:rsidRPr="00263F7B">
        <w:rPr>
          <w:rFonts w:eastAsia="Times New Roman"/>
          <w:lang w:bidi="ar-SA"/>
        </w:rPr>
        <w:t xml:space="preserve"> per month </w:t>
      </w:r>
      <w:r w:rsidRPr="00263F7B">
        <w:rPr>
          <w:rFonts w:eastAsia="Times New Roman"/>
          <w:lang w:bidi="ar-SA"/>
        </w:rPr>
        <w:lastRenderedPageBreak/>
        <w:t xml:space="preserve">using the </w:t>
      </w:r>
      <w:r w:rsidR="00FC579B" w:rsidRPr="00263F7B">
        <w:rPr>
          <w:rFonts w:eastAsia="Times New Roman"/>
          <w:lang w:bidi="ar-SA"/>
        </w:rPr>
        <w:t>revised</w:t>
      </w:r>
      <w:r w:rsidRPr="00263F7B">
        <w:rPr>
          <w:rFonts w:eastAsia="Times New Roman"/>
          <w:lang w:bidi="ar-SA"/>
        </w:rPr>
        <w:t xml:space="preserve"> rates </w:t>
      </w:r>
      <w:r w:rsidR="00BF1957" w:rsidRPr="00263F7B">
        <w:rPr>
          <w:rFonts w:eastAsia="Times New Roman"/>
          <w:lang w:bidi="ar-SA"/>
        </w:rPr>
        <w:t xml:space="preserve">as compared to </w:t>
      </w:r>
      <w:r w:rsidRPr="00263F7B">
        <w:rPr>
          <w:rFonts w:eastAsia="Times New Roman"/>
          <w:lang w:bidi="ar-SA"/>
        </w:rPr>
        <w:t xml:space="preserve">the </w:t>
      </w:r>
      <w:r w:rsidR="003C4EB8" w:rsidRPr="00263F7B">
        <w:rPr>
          <w:rFonts w:eastAsia="Times New Roman"/>
          <w:lang w:bidi="ar-SA"/>
        </w:rPr>
        <w:t>current</w:t>
      </w:r>
      <w:r w:rsidRPr="00263F7B">
        <w:rPr>
          <w:rFonts w:eastAsia="Times New Roman"/>
          <w:lang w:bidi="ar-SA"/>
        </w:rPr>
        <w:t xml:space="preserve"> rates (see “Average Bill Comparison” table below).</w:t>
      </w:r>
      <w:r w:rsidR="001C5BD9" w:rsidRPr="00263F7B">
        <w:rPr>
          <w:rFonts w:eastAsia="Times New Roman"/>
          <w:lang w:bidi="ar-SA"/>
        </w:rPr>
        <w:t xml:space="preserve"> </w:t>
      </w:r>
    </w:p>
    <w:p w:rsidR="008528B0" w:rsidRPr="00263F7B" w:rsidRDefault="008528B0" w:rsidP="00852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p w:rsidR="008528B0" w:rsidRPr="00263F7B" w:rsidRDefault="008528B0" w:rsidP="00852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sidRPr="00263F7B">
        <w:rPr>
          <w:rFonts w:eastAsia="Times New Roman"/>
          <w:lang w:bidi="ar-SA"/>
        </w:rPr>
        <w:t xml:space="preserve">A commercial </w:t>
      </w:r>
      <w:r w:rsidR="005F27B0" w:rsidRPr="00263F7B">
        <w:rPr>
          <w:rFonts w:eastAsia="Times New Roman"/>
          <w:lang w:bidi="ar-SA"/>
        </w:rPr>
        <w:t>5/8-inch</w:t>
      </w:r>
      <w:r w:rsidRPr="00263F7B">
        <w:rPr>
          <w:rFonts w:eastAsia="Times New Roman"/>
          <w:lang w:bidi="ar-SA"/>
        </w:rPr>
        <w:t xml:space="preserve"> customer using 3,544 cubic feet of water per month (the calculated company-wide commercial </w:t>
      </w:r>
      <w:r w:rsidR="005F27B0" w:rsidRPr="00263F7B">
        <w:rPr>
          <w:rFonts w:eastAsia="Times New Roman"/>
          <w:lang w:bidi="ar-SA"/>
        </w:rPr>
        <w:t>5/8-inch</w:t>
      </w:r>
      <w:r w:rsidRPr="00263F7B">
        <w:rPr>
          <w:rFonts w:eastAsia="Times New Roman"/>
          <w:lang w:bidi="ar-SA"/>
        </w:rPr>
        <w:t xml:space="preserve"> average water usage) would pay $</w:t>
      </w:r>
      <w:r w:rsidR="00FC579B" w:rsidRPr="00263F7B">
        <w:rPr>
          <w:rFonts w:eastAsia="Times New Roman"/>
          <w:lang w:bidi="ar-SA"/>
        </w:rPr>
        <w:t>22.03</w:t>
      </w:r>
      <w:r w:rsidRPr="00263F7B">
        <w:rPr>
          <w:rFonts w:eastAsia="Times New Roman"/>
          <w:lang w:bidi="ar-SA"/>
        </w:rPr>
        <w:t xml:space="preserve"> (</w:t>
      </w:r>
      <w:r w:rsidR="00FC579B" w:rsidRPr="00263F7B">
        <w:rPr>
          <w:rFonts w:eastAsia="Times New Roman"/>
          <w:lang w:bidi="ar-SA"/>
        </w:rPr>
        <w:t>52.1</w:t>
      </w:r>
      <w:r w:rsidRPr="00263F7B">
        <w:rPr>
          <w:rFonts w:eastAsia="Times New Roman"/>
          <w:lang w:bidi="ar-SA"/>
        </w:rPr>
        <w:t xml:space="preserve"> percent) more per month using the </w:t>
      </w:r>
      <w:r w:rsidR="00FC579B" w:rsidRPr="00263F7B">
        <w:rPr>
          <w:rFonts w:eastAsia="Times New Roman"/>
          <w:lang w:bidi="ar-SA"/>
        </w:rPr>
        <w:t>revised</w:t>
      </w:r>
      <w:r w:rsidRPr="00263F7B">
        <w:rPr>
          <w:rFonts w:eastAsia="Times New Roman"/>
          <w:lang w:bidi="ar-SA"/>
        </w:rPr>
        <w:t xml:space="preserve"> rates </w:t>
      </w:r>
      <w:r w:rsidR="00BE29B5" w:rsidRPr="00263F7B">
        <w:rPr>
          <w:rFonts w:eastAsia="Times New Roman"/>
          <w:lang w:bidi="ar-SA"/>
        </w:rPr>
        <w:t xml:space="preserve">as compared to </w:t>
      </w:r>
      <w:r w:rsidRPr="00263F7B">
        <w:rPr>
          <w:rFonts w:eastAsia="Times New Roman"/>
          <w:lang w:bidi="ar-SA"/>
        </w:rPr>
        <w:t>the current rates (see “Average Bill Comparison” table below).</w:t>
      </w:r>
    </w:p>
    <w:p w:rsidR="001A023C" w:rsidRPr="00263F7B" w:rsidRDefault="00832CE0">
      <w:pPr>
        <w:jc w:val="center"/>
        <w:rPr>
          <w:b/>
          <w:u w:val="single"/>
        </w:rPr>
      </w:pPr>
      <w:r w:rsidRPr="00263F7B">
        <w:rPr>
          <w:b/>
          <w:u w:val="single"/>
        </w:rPr>
        <w:t>Rate Comparison</w:t>
      </w:r>
    </w:p>
    <w:p w:rsidR="00CA3026" w:rsidRPr="00263F7B" w:rsidRDefault="00CA3026" w:rsidP="009270B9">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2070"/>
        <w:gridCol w:w="2430"/>
        <w:gridCol w:w="2088"/>
      </w:tblGrid>
      <w:tr w:rsidR="00806746" w:rsidRPr="00263F7B" w:rsidTr="00B45306">
        <w:tc>
          <w:tcPr>
            <w:tcW w:w="1560" w:type="pct"/>
          </w:tcPr>
          <w:p w:rsidR="00806746" w:rsidRPr="00263F7B" w:rsidRDefault="00806746" w:rsidP="009270B9">
            <w:pPr>
              <w:keepNext/>
              <w:widowControl w:val="0"/>
              <w:autoSpaceDE w:val="0"/>
              <w:autoSpaceDN w:val="0"/>
              <w:adjustRightInd w:val="0"/>
              <w:jc w:val="center"/>
              <w:outlineLvl w:val="0"/>
              <w:rPr>
                <w:rFonts w:eastAsia="Times New Roman"/>
                <w:b/>
                <w:lang w:bidi="ar-SA"/>
              </w:rPr>
            </w:pPr>
            <w:r w:rsidRPr="00263F7B">
              <w:rPr>
                <w:rFonts w:eastAsia="Times New Roman"/>
                <w:b/>
                <w:lang w:bidi="ar-SA"/>
              </w:rPr>
              <w:t>Monthly Rate</w:t>
            </w:r>
            <w:r w:rsidR="00583C2F" w:rsidRPr="00263F7B">
              <w:rPr>
                <w:vertAlign w:val="superscript"/>
              </w:rPr>
              <w:t>1</w:t>
            </w:r>
            <w:r w:rsidR="001E611B" w:rsidRPr="00263F7B">
              <w:rPr>
                <w:vertAlign w:val="superscript"/>
              </w:rPr>
              <w:t>,2</w:t>
            </w:r>
          </w:p>
        </w:tc>
        <w:tc>
          <w:tcPr>
            <w:tcW w:w="1081" w:type="pct"/>
            <w:vAlign w:val="center"/>
          </w:tcPr>
          <w:p w:rsidR="00806746" w:rsidRPr="00263F7B" w:rsidRDefault="00806746" w:rsidP="009270B9">
            <w:pPr>
              <w:widowControl w:val="0"/>
              <w:autoSpaceDE w:val="0"/>
              <w:autoSpaceDN w:val="0"/>
              <w:adjustRightInd w:val="0"/>
              <w:jc w:val="center"/>
              <w:rPr>
                <w:rFonts w:eastAsia="Times New Roman"/>
                <w:b/>
                <w:lang w:bidi="ar-SA"/>
              </w:rPr>
            </w:pPr>
            <w:r w:rsidRPr="00263F7B">
              <w:rPr>
                <w:rFonts w:eastAsia="Times New Roman"/>
                <w:b/>
                <w:lang w:bidi="ar-SA"/>
              </w:rPr>
              <w:t>Current Rate</w:t>
            </w:r>
          </w:p>
        </w:tc>
        <w:tc>
          <w:tcPr>
            <w:tcW w:w="1269" w:type="pct"/>
          </w:tcPr>
          <w:p w:rsidR="00806746" w:rsidRPr="00263F7B" w:rsidRDefault="00806746" w:rsidP="009270B9">
            <w:pPr>
              <w:widowControl w:val="0"/>
              <w:autoSpaceDE w:val="0"/>
              <w:autoSpaceDN w:val="0"/>
              <w:adjustRightInd w:val="0"/>
              <w:jc w:val="center"/>
              <w:rPr>
                <w:rFonts w:eastAsia="Times New Roman"/>
                <w:b/>
                <w:lang w:bidi="ar-SA"/>
              </w:rPr>
            </w:pPr>
            <w:r w:rsidRPr="00263F7B">
              <w:rPr>
                <w:rFonts w:eastAsia="Times New Roman"/>
                <w:b/>
                <w:lang w:bidi="ar-SA"/>
              </w:rPr>
              <w:t>Proposed Rate</w:t>
            </w:r>
          </w:p>
        </w:tc>
        <w:tc>
          <w:tcPr>
            <w:tcW w:w="1090" w:type="pct"/>
          </w:tcPr>
          <w:p w:rsidR="00806746" w:rsidRPr="00263F7B" w:rsidRDefault="00806746" w:rsidP="009270B9">
            <w:pPr>
              <w:widowControl w:val="0"/>
              <w:autoSpaceDE w:val="0"/>
              <w:autoSpaceDN w:val="0"/>
              <w:adjustRightInd w:val="0"/>
              <w:jc w:val="center"/>
              <w:rPr>
                <w:rFonts w:eastAsia="Times New Roman"/>
                <w:b/>
                <w:lang w:bidi="ar-SA"/>
              </w:rPr>
            </w:pPr>
            <w:r w:rsidRPr="00263F7B">
              <w:rPr>
                <w:rFonts w:eastAsia="Times New Roman"/>
                <w:b/>
                <w:lang w:bidi="ar-SA"/>
              </w:rPr>
              <w:t>Revised Rate</w:t>
            </w:r>
          </w:p>
        </w:tc>
      </w:tr>
      <w:tr w:rsidR="00806746" w:rsidRPr="00263F7B" w:rsidTr="00B45306">
        <w:tc>
          <w:tcPr>
            <w:tcW w:w="1560" w:type="pct"/>
          </w:tcPr>
          <w:p w:rsidR="00806746" w:rsidRPr="00263F7B" w:rsidRDefault="00806746" w:rsidP="000625B1">
            <w:pPr>
              <w:keepNext/>
              <w:widowControl w:val="0"/>
              <w:autoSpaceDE w:val="0"/>
              <w:autoSpaceDN w:val="0"/>
              <w:adjustRightInd w:val="0"/>
              <w:outlineLvl w:val="0"/>
              <w:rPr>
                <w:rFonts w:eastAsia="Times New Roman"/>
                <w:lang w:bidi="ar-SA"/>
              </w:rPr>
            </w:pPr>
            <w:r w:rsidRPr="00263F7B">
              <w:rPr>
                <w:rFonts w:eastAsia="Times New Roman"/>
                <w:lang w:bidi="ar-SA"/>
              </w:rPr>
              <w:t>Generator Surcharge</w:t>
            </w:r>
          </w:p>
        </w:tc>
        <w:tc>
          <w:tcPr>
            <w:tcW w:w="1081" w:type="pct"/>
            <w:vAlign w:val="center"/>
          </w:tcPr>
          <w:p w:rsidR="00806746" w:rsidRPr="00263F7B" w:rsidRDefault="00806746" w:rsidP="000625B1">
            <w:pPr>
              <w:widowControl w:val="0"/>
              <w:autoSpaceDE w:val="0"/>
              <w:autoSpaceDN w:val="0"/>
              <w:adjustRightInd w:val="0"/>
              <w:jc w:val="center"/>
              <w:rPr>
                <w:rFonts w:eastAsia="Times New Roman"/>
                <w:lang w:bidi="ar-SA"/>
              </w:rPr>
            </w:pPr>
            <w:r w:rsidRPr="00263F7B">
              <w:rPr>
                <w:rFonts w:eastAsia="Times New Roman"/>
                <w:lang w:bidi="ar-SA"/>
              </w:rPr>
              <w:t>$0.61</w:t>
            </w:r>
          </w:p>
        </w:tc>
        <w:tc>
          <w:tcPr>
            <w:tcW w:w="1269" w:type="pct"/>
          </w:tcPr>
          <w:p w:rsidR="00806746" w:rsidRPr="00263F7B" w:rsidRDefault="00806746" w:rsidP="009270B9">
            <w:pPr>
              <w:widowControl w:val="0"/>
              <w:autoSpaceDE w:val="0"/>
              <w:autoSpaceDN w:val="0"/>
              <w:adjustRightInd w:val="0"/>
              <w:jc w:val="center"/>
              <w:rPr>
                <w:rFonts w:eastAsia="Times New Roman"/>
                <w:lang w:bidi="ar-SA"/>
              </w:rPr>
            </w:pPr>
            <w:r w:rsidRPr="00263F7B">
              <w:rPr>
                <w:rFonts w:eastAsia="Times New Roman"/>
                <w:lang w:bidi="ar-SA"/>
              </w:rPr>
              <w:t>NA</w:t>
            </w:r>
          </w:p>
        </w:tc>
        <w:tc>
          <w:tcPr>
            <w:tcW w:w="1090" w:type="pct"/>
          </w:tcPr>
          <w:p w:rsidR="00806746" w:rsidRPr="00263F7B" w:rsidRDefault="00B45306" w:rsidP="009270B9">
            <w:pPr>
              <w:widowControl w:val="0"/>
              <w:autoSpaceDE w:val="0"/>
              <w:autoSpaceDN w:val="0"/>
              <w:adjustRightInd w:val="0"/>
              <w:jc w:val="center"/>
              <w:rPr>
                <w:rFonts w:eastAsia="Times New Roman"/>
                <w:lang w:bidi="ar-SA"/>
              </w:rPr>
            </w:pPr>
            <w:r w:rsidRPr="00263F7B">
              <w:rPr>
                <w:rFonts w:eastAsia="Times New Roman"/>
                <w:lang w:bidi="ar-SA"/>
              </w:rPr>
              <w:t>NA</w:t>
            </w:r>
          </w:p>
        </w:tc>
      </w:tr>
      <w:tr w:rsidR="007D333E" w:rsidRPr="00263F7B" w:rsidTr="007D333E">
        <w:tc>
          <w:tcPr>
            <w:tcW w:w="5000" w:type="pct"/>
            <w:gridSpan w:val="4"/>
          </w:tcPr>
          <w:p w:rsidR="007D333E" w:rsidRPr="00263F7B" w:rsidRDefault="007D333E" w:rsidP="009270B9">
            <w:pPr>
              <w:widowControl w:val="0"/>
              <w:autoSpaceDE w:val="0"/>
              <w:autoSpaceDN w:val="0"/>
              <w:adjustRightInd w:val="0"/>
              <w:jc w:val="center"/>
              <w:rPr>
                <w:rFonts w:eastAsia="Times New Roman"/>
                <w:lang w:bidi="ar-SA"/>
              </w:rPr>
            </w:pPr>
          </w:p>
        </w:tc>
      </w:tr>
      <w:tr w:rsidR="00806746" w:rsidRPr="00263F7B" w:rsidTr="00B45306">
        <w:tc>
          <w:tcPr>
            <w:tcW w:w="1560" w:type="pct"/>
          </w:tcPr>
          <w:p w:rsidR="00806746" w:rsidRPr="00263F7B" w:rsidRDefault="00806746" w:rsidP="000625B1">
            <w:pPr>
              <w:keepNext/>
              <w:widowControl w:val="0"/>
              <w:autoSpaceDE w:val="0"/>
              <w:autoSpaceDN w:val="0"/>
              <w:adjustRightInd w:val="0"/>
              <w:outlineLvl w:val="0"/>
              <w:rPr>
                <w:rFonts w:eastAsia="Times New Roman"/>
                <w:lang w:bidi="ar-SA"/>
              </w:rPr>
            </w:pPr>
            <w:r w:rsidRPr="00263F7B">
              <w:rPr>
                <w:rFonts w:eastAsia="Times New Roman"/>
                <w:lang w:bidi="ar-SA"/>
              </w:rPr>
              <w:t>Unmetered Service</w:t>
            </w:r>
          </w:p>
        </w:tc>
        <w:tc>
          <w:tcPr>
            <w:tcW w:w="1081" w:type="pct"/>
            <w:vAlign w:val="center"/>
          </w:tcPr>
          <w:p w:rsidR="00806746" w:rsidRPr="00263F7B" w:rsidRDefault="00806746" w:rsidP="000625B1">
            <w:pPr>
              <w:widowControl w:val="0"/>
              <w:autoSpaceDE w:val="0"/>
              <w:autoSpaceDN w:val="0"/>
              <w:adjustRightInd w:val="0"/>
              <w:jc w:val="center"/>
              <w:rPr>
                <w:rFonts w:eastAsia="Times New Roman"/>
                <w:lang w:bidi="ar-SA"/>
              </w:rPr>
            </w:pPr>
            <w:r w:rsidRPr="00263F7B">
              <w:rPr>
                <w:rFonts w:eastAsia="Times New Roman"/>
                <w:lang w:bidi="ar-SA"/>
              </w:rPr>
              <w:t>$19.90</w:t>
            </w:r>
          </w:p>
        </w:tc>
        <w:tc>
          <w:tcPr>
            <w:tcW w:w="1269" w:type="pct"/>
          </w:tcPr>
          <w:p w:rsidR="00806746" w:rsidRPr="00263F7B" w:rsidRDefault="00806746" w:rsidP="009270B9">
            <w:pPr>
              <w:widowControl w:val="0"/>
              <w:autoSpaceDE w:val="0"/>
              <w:autoSpaceDN w:val="0"/>
              <w:adjustRightInd w:val="0"/>
              <w:jc w:val="center"/>
              <w:rPr>
                <w:rFonts w:eastAsia="Times New Roman"/>
                <w:lang w:bidi="ar-SA"/>
              </w:rPr>
            </w:pPr>
            <w:r w:rsidRPr="00263F7B">
              <w:rPr>
                <w:rFonts w:eastAsia="Times New Roman"/>
                <w:lang w:bidi="ar-SA"/>
              </w:rPr>
              <w:t>$24.00</w:t>
            </w:r>
          </w:p>
        </w:tc>
        <w:tc>
          <w:tcPr>
            <w:tcW w:w="1090" w:type="pct"/>
          </w:tcPr>
          <w:p w:rsidR="00806746" w:rsidRPr="00263F7B" w:rsidRDefault="007026E4" w:rsidP="009270B9">
            <w:pPr>
              <w:widowControl w:val="0"/>
              <w:autoSpaceDE w:val="0"/>
              <w:autoSpaceDN w:val="0"/>
              <w:adjustRightInd w:val="0"/>
              <w:jc w:val="center"/>
              <w:rPr>
                <w:rFonts w:eastAsia="Times New Roman"/>
                <w:lang w:bidi="ar-SA"/>
              </w:rPr>
            </w:pPr>
            <w:r w:rsidRPr="00263F7B">
              <w:rPr>
                <w:rFonts w:eastAsia="Times New Roman"/>
                <w:lang w:bidi="ar-SA"/>
              </w:rPr>
              <w:t>$2</w:t>
            </w:r>
            <w:r w:rsidR="00873699" w:rsidRPr="00263F7B">
              <w:rPr>
                <w:rFonts w:eastAsia="Times New Roman"/>
                <w:lang w:bidi="ar-SA"/>
              </w:rPr>
              <w:t>4.75</w:t>
            </w:r>
          </w:p>
        </w:tc>
      </w:tr>
      <w:tr w:rsidR="007D333E" w:rsidRPr="00263F7B" w:rsidTr="007D333E">
        <w:tc>
          <w:tcPr>
            <w:tcW w:w="5000" w:type="pct"/>
            <w:gridSpan w:val="4"/>
          </w:tcPr>
          <w:p w:rsidR="007D333E" w:rsidRPr="00263F7B" w:rsidRDefault="007D333E">
            <w:pPr>
              <w:widowControl w:val="0"/>
              <w:autoSpaceDE w:val="0"/>
              <w:autoSpaceDN w:val="0"/>
              <w:adjustRightInd w:val="0"/>
              <w:jc w:val="center"/>
              <w:rPr>
                <w:rFonts w:eastAsia="Times New Roman"/>
                <w:lang w:bidi="ar-SA"/>
              </w:rPr>
            </w:pPr>
          </w:p>
        </w:tc>
      </w:tr>
      <w:tr w:rsidR="00806746" w:rsidRPr="00263F7B" w:rsidTr="00B45306">
        <w:tc>
          <w:tcPr>
            <w:tcW w:w="1560" w:type="pct"/>
          </w:tcPr>
          <w:p w:rsidR="00806746" w:rsidRPr="00263F7B" w:rsidRDefault="00806746" w:rsidP="00B56E98">
            <w:pPr>
              <w:keepNext/>
              <w:widowControl w:val="0"/>
              <w:autoSpaceDE w:val="0"/>
              <w:autoSpaceDN w:val="0"/>
              <w:adjustRightInd w:val="0"/>
              <w:outlineLvl w:val="0"/>
              <w:rPr>
                <w:rFonts w:eastAsia="Times New Roman"/>
                <w:lang w:bidi="ar-SA"/>
              </w:rPr>
            </w:pPr>
            <w:r w:rsidRPr="00263F7B">
              <w:rPr>
                <w:rFonts w:eastAsia="Times New Roman"/>
                <w:lang w:bidi="ar-SA"/>
              </w:rPr>
              <w:t>Base Rate (</w:t>
            </w:r>
            <w:r w:rsidR="005F27B0" w:rsidRPr="00263F7B">
              <w:rPr>
                <w:rFonts w:eastAsia="Times New Roman"/>
                <w:lang w:bidi="ar-SA"/>
              </w:rPr>
              <w:t>5/8-inch</w:t>
            </w:r>
            <w:r w:rsidRPr="00263F7B">
              <w:rPr>
                <w:rFonts w:eastAsia="Times New Roman"/>
                <w:lang w:bidi="ar-SA"/>
              </w:rPr>
              <w:t xml:space="preserve"> meter)</w:t>
            </w:r>
          </w:p>
          <w:p w:rsidR="008C4F8E" w:rsidRPr="00263F7B" w:rsidRDefault="00D17B76" w:rsidP="00B56E98">
            <w:pPr>
              <w:keepNext/>
              <w:widowControl w:val="0"/>
              <w:autoSpaceDE w:val="0"/>
              <w:autoSpaceDN w:val="0"/>
              <w:adjustRightInd w:val="0"/>
              <w:outlineLvl w:val="0"/>
              <w:rPr>
                <w:rFonts w:eastAsia="Times New Roman"/>
                <w:lang w:bidi="ar-SA"/>
              </w:rPr>
            </w:pPr>
            <w:r w:rsidRPr="00263F7B">
              <w:rPr>
                <w:rFonts w:eastAsia="Times New Roman"/>
                <w:lang w:bidi="ar-SA"/>
              </w:rPr>
              <w:t>Residential</w:t>
            </w:r>
          </w:p>
        </w:tc>
        <w:tc>
          <w:tcPr>
            <w:tcW w:w="1081" w:type="pct"/>
          </w:tcPr>
          <w:p w:rsidR="00806746" w:rsidRPr="00263F7B" w:rsidRDefault="00806746" w:rsidP="000625B1">
            <w:pPr>
              <w:widowControl w:val="0"/>
              <w:autoSpaceDE w:val="0"/>
              <w:autoSpaceDN w:val="0"/>
              <w:adjustRightInd w:val="0"/>
              <w:jc w:val="center"/>
              <w:rPr>
                <w:rFonts w:eastAsia="Times New Roman"/>
                <w:lang w:bidi="ar-SA"/>
              </w:rPr>
            </w:pPr>
            <w:r w:rsidRPr="00263F7B">
              <w:rPr>
                <w:rFonts w:eastAsia="Times New Roman"/>
                <w:lang w:bidi="ar-SA"/>
              </w:rPr>
              <w:t>$15.80</w:t>
            </w:r>
          </w:p>
        </w:tc>
        <w:tc>
          <w:tcPr>
            <w:tcW w:w="1269" w:type="pct"/>
          </w:tcPr>
          <w:p w:rsidR="00806746" w:rsidRPr="00263F7B" w:rsidRDefault="00806746" w:rsidP="009270B9">
            <w:pPr>
              <w:widowControl w:val="0"/>
              <w:autoSpaceDE w:val="0"/>
              <w:autoSpaceDN w:val="0"/>
              <w:adjustRightInd w:val="0"/>
              <w:jc w:val="center"/>
              <w:rPr>
                <w:rFonts w:eastAsia="Times New Roman"/>
                <w:lang w:bidi="ar-SA"/>
              </w:rPr>
            </w:pPr>
            <w:r w:rsidRPr="00263F7B">
              <w:rPr>
                <w:rFonts w:eastAsia="Times New Roman"/>
                <w:lang w:bidi="ar-SA"/>
              </w:rPr>
              <w:t>$12.20</w:t>
            </w:r>
          </w:p>
        </w:tc>
        <w:tc>
          <w:tcPr>
            <w:tcW w:w="1090" w:type="pct"/>
          </w:tcPr>
          <w:p w:rsidR="00134CD2" w:rsidRPr="00263F7B" w:rsidRDefault="00246273">
            <w:pPr>
              <w:widowControl w:val="0"/>
              <w:autoSpaceDE w:val="0"/>
              <w:autoSpaceDN w:val="0"/>
              <w:adjustRightInd w:val="0"/>
              <w:jc w:val="center"/>
              <w:rPr>
                <w:rFonts w:eastAsia="Times New Roman"/>
                <w:lang w:bidi="ar-SA"/>
              </w:rPr>
            </w:pPr>
            <w:r w:rsidRPr="00263F7B">
              <w:rPr>
                <w:rFonts w:eastAsia="Times New Roman"/>
                <w:lang w:bidi="ar-SA"/>
              </w:rPr>
              <w:t>$</w:t>
            </w:r>
            <w:r w:rsidR="00054C08" w:rsidRPr="00263F7B">
              <w:rPr>
                <w:rFonts w:eastAsia="Times New Roman"/>
                <w:lang w:bidi="ar-SA"/>
              </w:rPr>
              <w:t>11.55</w:t>
            </w:r>
          </w:p>
        </w:tc>
      </w:tr>
      <w:tr w:rsidR="00806746" w:rsidRPr="00263F7B" w:rsidTr="00B45306">
        <w:tc>
          <w:tcPr>
            <w:tcW w:w="1560" w:type="pct"/>
          </w:tcPr>
          <w:p w:rsidR="00806746" w:rsidRPr="00263F7B" w:rsidRDefault="00806746" w:rsidP="000625B1">
            <w:pPr>
              <w:widowControl w:val="0"/>
              <w:autoSpaceDE w:val="0"/>
              <w:autoSpaceDN w:val="0"/>
              <w:adjustRightInd w:val="0"/>
              <w:rPr>
                <w:rFonts w:eastAsia="Times New Roman"/>
                <w:lang w:bidi="ar-SA"/>
              </w:rPr>
            </w:pPr>
            <w:r w:rsidRPr="00263F7B">
              <w:rPr>
                <w:rFonts w:eastAsia="Times New Roman"/>
                <w:lang w:bidi="ar-SA"/>
              </w:rPr>
              <w:t>0 – 500 Cubic Feet</w:t>
            </w:r>
          </w:p>
        </w:tc>
        <w:tc>
          <w:tcPr>
            <w:tcW w:w="1081" w:type="pct"/>
          </w:tcPr>
          <w:p w:rsidR="00806746" w:rsidRPr="00263F7B" w:rsidRDefault="00806746" w:rsidP="00B56E98">
            <w:pPr>
              <w:widowControl w:val="0"/>
              <w:autoSpaceDE w:val="0"/>
              <w:autoSpaceDN w:val="0"/>
              <w:adjustRightInd w:val="0"/>
              <w:jc w:val="center"/>
              <w:rPr>
                <w:rFonts w:eastAsia="Times New Roman"/>
                <w:lang w:bidi="ar-SA"/>
              </w:rPr>
            </w:pPr>
            <w:r w:rsidRPr="00263F7B">
              <w:rPr>
                <w:rFonts w:eastAsia="Times New Roman"/>
                <w:lang w:bidi="ar-SA"/>
              </w:rPr>
              <w:t>NA</w:t>
            </w:r>
          </w:p>
        </w:tc>
        <w:tc>
          <w:tcPr>
            <w:tcW w:w="1269" w:type="pct"/>
          </w:tcPr>
          <w:p w:rsidR="00806746" w:rsidRPr="00263F7B" w:rsidRDefault="00806746" w:rsidP="000625B1">
            <w:pPr>
              <w:widowControl w:val="0"/>
              <w:autoSpaceDE w:val="0"/>
              <w:autoSpaceDN w:val="0"/>
              <w:adjustRightInd w:val="0"/>
              <w:jc w:val="center"/>
              <w:rPr>
                <w:rFonts w:eastAsia="Times New Roman"/>
                <w:lang w:bidi="ar-SA"/>
              </w:rPr>
            </w:pPr>
            <w:r w:rsidRPr="00263F7B">
              <w:rPr>
                <w:rFonts w:eastAsia="Times New Roman"/>
                <w:lang w:bidi="ar-SA"/>
              </w:rPr>
              <w:t>$</w:t>
            </w:r>
            <w:r w:rsidR="009958B3" w:rsidRPr="00263F7B">
              <w:rPr>
                <w:rFonts w:eastAsia="Times New Roman"/>
                <w:lang w:bidi="ar-SA"/>
              </w:rPr>
              <w:t>0</w:t>
            </w:r>
            <w:r w:rsidRPr="00263F7B">
              <w:rPr>
                <w:rFonts w:eastAsia="Times New Roman"/>
                <w:lang w:bidi="ar-SA"/>
              </w:rPr>
              <w:t>.90</w:t>
            </w:r>
          </w:p>
        </w:tc>
        <w:tc>
          <w:tcPr>
            <w:tcW w:w="1090" w:type="pct"/>
          </w:tcPr>
          <w:p w:rsidR="001A0049" w:rsidRPr="00263F7B" w:rsidRDefault="00AE1170">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00987105" w:rsidRPr="00263F7B">
              <w:rPr>
                <w:rFonts w:eastAsia="Times New Roman"/>
                <w:lang w:bidi="ar-SA"/>
              </w:rPr>
              <w:t>.</w:t>
            </w:r>
            <w:r w:rsidR="00873699" w:rsidRPr="00263F7B">
              <w:rPr>
                <w:rFonts w:eastAsia="Times New Roman"/>
                <w:lang w:bidi="ar-SA"/>
              </w:rPr>
              <w:t>8</w:t>
            </w:r>
            <w:r w:rsidR="00987105" w:rsidRPr="00263F7B">
              <w:rPr>
                <w:rFonts w:eastAsia="Times New Roman"/>
                <w:lang w:bidi="ar-SA"/>
              </w:rPr>
              <w:t>5</w:t>
            </w:r>
          </w:p>
        </w:tc>
      </w:tr>
      <w:tr w:rsidR="00987105" w:rsidRPr="00263F7B" w:rsidTr="00987105">
        <w:tc>
          <w:tcPr>
            <w:tcW w:w="1560" w:type="pct"/>
          </w:tcPr>
          <w:p w:rsidR="002522F9" w:rsidRPr="00263F7B" w:rsidRDefault="00987105" w:rsidP="0052167E">
            <w:pPr>
              <w:widowControl w:val="0"/>
              <w:autoSpaceDE w:val="0"/>
              <w:autoSpaceDN w:val="0"/>
              <w:adjustRightInd w:val="0"/>
              <w:rPr>
                <w:rFonts w:eastAsia="Times New Roman"/>
                <w:lang w:bidi="ar-SA"/>
              </w:rPr>
            </w:pPr>
            <w:r w:rsidRPr="00263F7B">
              <w:rPr>
                <w:rFonts w:eastAsia="Times New Roman"/>
                <w:lang w:bidi="ar-SA"/>
              </w:rPr>
              <w:t>50</w:t>
            </w:r>
            <w:r w:rsidR="006C1860" w:rsidRPr="00263F7B">
              <w:rPr>
                <w:rFonts w:eastAsia="Times New Roman"/>
                <w:lang w:bidi="ar-SA"/>
              </w:rPr>
              <w:t>1</w:t>
            </w:r>
            <w:r w:rsidRPr="00263F7B">
              <w:rPr>
                <w:rFonts w:eastAsia="Times New Roman"/>
                <w:lang w:bidi="ar-SA"/>
              </w:rPr>
              <w:t xml:space="preserve"> – </w:t>
            </w:r>
            <w:r w:rsidR="0052167E" w:rsidRPr="00263F7B">
              <w:rPr>
                <w:rFonts w:eastAsia="Times New Roman"/>
                <w:lang w:bidi="ar-SA"/>
              </w:rPr>
              <w:t>60</w:t>
            </w:r>
            <w:r w:rsidRPr="00263F7B">
              <w:rPr>
                <w:rFonts w:eastAsia="Times New Roman"/>
                <w:lang w:bidi="ar-SA"/>
              </w:rPr>
              <w:t>0 Cubic Feet</w:t>
            </w:r>
          </w:p>
        </w:tc>
        <w:tc>
          <w:tcPr>
            <w:tcW w:w="1081" w:type="pct"/>
          </w:tcPr>
          <w:p w:rsidR="00987105" w:rsidRPr="00263F7B" w:rsidRDefault="00AE1170" w:rsidP="00987105">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987105" w:rsidRPr="00263F7B" w:rsidRDefault="00987105" w:rsidP="00987105">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1A0049" w:rsidRPr="00263F7B" w:rsidRDefault="00AE1170">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00987105" w:rsidRPr="00263F7B">
              <w:rPr>
                <w:rFonts w:eastAsia="Times New Roman"/>
                <w:lang w:bidi="ar-SA"/>
              </w:rPr>
              <w:t>.</w:t>
            </w:r>
            <w:r w:rsidR="00873699" w:rsidRPr="00263F7B">
              <w:rPr>
                <w:rFonts w:eastAsia="Times New Roman"/>
                <w:lang w:bidi="ar-SA"/>
              </w:rPr>
              <w:t>8</w:t>
            </w:r>
            <w:r w:rsidR="00987105" w:rsidRPr="00263F7B">
              <w:rPr>
                <w:rFonts w:eastAsia="Times New Roman"/>
                <w:lang w:bidi="ar-SA"/>
              </w:rPr>
              <w:t>5</w:t>
            </w:r>
          </w:p>
        </w:tc>
      </w:tr>
      <w:tr w:rsidR="00987105" w:rsidRPr="00263F7B" w:rsidTr="00987105">
        <w:tc>
          <w:tcPr>
            <w:tcW w:w="1560" w:type="pct"/>
          </w:tcPr>
          <w:p w:rsidR="001A0049" w:rsidRPr="00263F7B" w:rsidRDefault="0052167E">
            <w:pPr>
              <w:widowControl w:val="0"/>
              <w:autoSpaceDE w:val="0"/>
              <w:autoSpaceDN w:val="0"/>
              <w:adjustRightInd w:val="0"/>
              <w:rPr>
                <w:rFonts w:eastAsia="Times New Roman"/>
                <w:lang w:bidi="ar-SA"/>
              </w:rPr>
            </w:pPr>
            <w:r w:rsidRPr="00263F7B">
              <w:rPr>
                <w:rFonts w:eastAsia="Times New Roman"/>
                <w:lang w:bidi="ar-SA"/>
              </w:rPr>
              <w:t>60</w:t>
            </w:r>
            <w:r w:rsidR="006C1860" w:rsidRPr="00263F7B">
              <w:rPr>
                <w:rFonts w:eastAsia="Times New Roman"/>
                <w:lang w:bidi="ar-SA"/>
              </w:rPr>
              <w:t>1</w:t>
            </w:r>
            <w:r w:rsidR="00987105" w:rsidRPr="00263F7B">
              <w:rPr>
                <w:rFonts w:eastAsia="Times New Roman"/>
                <w:lang w:bidi="ar-SA"/>
              </w:rPr>
              <w:t xml:space="preserve"> – </w:t>
            </w:r>
            <w:r w:rsidR="00873699" w:rsidRPr="00263F7B">
              <w:rPr>
                <w:rFonts w:eastAsia="Times New Roman"/>
                <w:lang w:bidi="ar-SA"/>
              </w:rPr>
              <w:t>3</w:t>
            </w:r>
            <w:r w:rsidRPr="00263F7B">
              <w:rPr>
                <w:rFonts w:eastAsia="Times New Roman"/>
                <w:lang w:bidi="ar-SA"/>
              </w:rPr>
              <w:t>,</w:t>
            </w:r>
            <w:r w:rsidR="00873699" w:rsidRPr="00263F7B">
              <w:rPr>
                <w:rFonts w:eastAsia="Times New Roman"/>
                <w:lang w:bidi="ar-SA"/>
              </w:rPr>
              <w:t>0</w:t>
            </w:r>
            <w:r w:rsidRPr="00263F7B">
              <w:rPr>
                <w:rFonts w:eastAsia="Times New Roman"/>
                <w:lang w:bidi="ar-SA"/>
              </w:rPr>
              <w:t>0</w:t>
            </w:r>
            <w:r w:rsidR="00987105" w:rsidRPr="00263F7B">
              <w:rPr>
                <w:rFonts w:eastAsia="Times New Roman"/>
                <w:lang w:bidi="ar-SA"/>
              </w:rPr>
              <w:t>0 Cubic Feet</w:t>
            </w:r>
          </w:p>
        </w:tc>
        <w:tc>
          <w:tcPr>
            <w:tcW w:w="1081" w:type="pct"/>
          </w:tcPr>
          <w:p w:rsidR="00987105" w:rsidRPr="00263F7B" w:rsidRDefault="00987105" w:rsidP="00987105">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987105" w:rsidRPr="00263F7B" w:rsidRDefault="00987105" w:rsidP="00987105">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134CD2" w:rsidRPr="00263F7B" w:rsidRDefault="00AE1170">
            <w:pPr>
              <w:widowControl w:val="0"/>
              <w:autoSpaceDE w:val="0"/>
              <w:autoSpaceDN w:val="0"/>
              <w:adjustRightInd w:val="0"/>
              <w:jc w:val="center"/>
              <w:rPr>
                <w:rFonts w:eastAsia="Times New Roman"/>
                <w:lang w:bidi="ar-SA"/>
              </w:rPr>
            </w:pPr>
            <w:r w:rsidRPr="00263F7B">
              <w:rPr>
                <w:rFonts w:eastAsia="Times New Roman"/>
                <w:lang w:bidi="ar-SA"/>
              </w:rPr>
              <w:t>$</w:t>
            </w:r>
            <w:r w:rsidR="00054C08" w:rsidRPr="00263F7B">
              <w:rPr>
                <w:rFonts w:eastAsia="Times New Roman"/>
                <w:lang w:bidi="ar-SA"/>
              </w:rPr>
              <w:t>0</w:t>
            </w:r>
            <w:r w:rsidR="00987105" w:rsidRPr="00263F7B">
              <w:rPr>
                <w:rFonts w:eastAsia="Times New Roman"/>
                <w:lang w:bidi="ar-SA"/>
              </w:rPr>
              <w:t>.</w:t>
            </w:r>
            <w:r w:rsidR="00054C08" w:rsidRPr="00263F7B">
              <w:rPr>
                <w:rFonts w:eastAsia="Times New Roman"/>
                <w:lang w:bidi="ar-SA"/>
              </w:rPr>
              <w:t>91</w:t>
            </w:r>
          </w:p>
        </w:tc>
      </w:tr>
      <w:tr w:rsidR="00806746" w:rsidRPr="00263F7B" w:rsidTr="00B45306">
        <w:tc>
          <w:tcPr>
            <w:tcW w:w="1560" w:type="pct"/>
          </w:tcPr>
          <w:p w:rsidR="001A0049" w:rsidRPr="00263F7B" w:rsidRDefault="00806746">
            <w:pPr>
              <w:widowControl w:val="0"/>
              <w:autoSpaceDE w:val="0"/>
              <w:autoSpaceDN w:val="0"/>
              <w:adjustRightInd w:val="0"/>
              <w:rPr>
                <w:rFonts w:eastAsia="Times New Roman"/>
                <w:lang w:bidi="ar-SA"/>
              </w:rPr>
            </w:pPr>
            <w:r w:rsidRPr="00263F7B">
              <w:rPr>
                <w:rFonts w:eastAsia="Times New Roman"/>
                <w:lang w:bidi="ar-SA"/>
              </w:rPr>
              <w:t>Over 3,000 Cubic Feet</w:t>
            </w:r>
          </w:p>
        </w:tc>
        <w:tc>
          <w:tcPr>
            <w:tcW w:w="1081" w:type="pct"/>
          </w:tcPr>
          <w:p w:rsidR="001A0049" w:rsidRPr="00263F7B" w:rsidRDefault="00806746">
            <w:pPr>
              <w:widowControl w:val="0"/>
              <w:autoSpaceDE w:val="0"/>
              <w:autoSpaceDN w:val="0"/>
              <w:adjustRightInd w:val="0"/>
              <w:jc w:val="center"/>
              <w:rPr>
                <w:rFonts w:eastAsia="Times New Roman"/>
                <w:lang w:bidi="ar-SA"/>
              </w:rPr>
            </w:pPr>
            <w:r w:rsidRPr="00263F7B">
              <w:rPr>
                <w:rFonts w:eastAsia="Times New Roman"/>
                <w:lang w:bidi="ar-SA"/>
              </w:rPr>
              <w:t>$5.00</w:t>
            </w:r>
            <w:r w:rsidR="00162778" w:rsidRPr="00263F7B">
              <w:rPr>
                <w:rFonts w:eastAsia="Times New Roman"/>
                <w:vertAlign w:val="superscript"/>
                <w:lang w:bidi="ar-SA"/>
              </w:rPr>
              <w:t>3</w:t>
            </w:r>
          </w:p>
        </w:tc>
        <w:tc>
          <w:tcPr>
            <w:tcW w:w="1269" w:type="pct"/>
          </w:tcPr>
          <w:p w:rsidR="00806746" w:rsidRPr="00263F7B" w:rsidRDefault="00806746" w:rsidP="000625B1">
            <w:pPr>
              <w:widowControl w:val="0"/>
              <w:autoSpaceDE w:val="0"/>
              <w:autoSpaceDN w:val="0"/>
              <w:adjustRightInd w:val="0"/>
              <w:jc w:val="center"/>
              <w:rPr>
                <w:rFonts w:eastAsia="Times New Roman"/>
                <w:lang w:bidi="ar-SA"/>
              </w:rPr>
            </w:pPr>
            <w:r w:rsidRPr="00263F7B">
              <w:rPr>
                <w:rFonts w:eastAsia="Times New Roman"/>
                <w:lang w:bidi="ar-SA"/>
              </w:rPr>
              <w:t>$5.00</w:t>
            </w:r>
          </w:p>
        </w:tc>
        <w:tc>
          <w:tcPr>
            <w:tcW w:w="1090" w:type="pct"/>
          </w:tcPr>
          <w:p w:rsidR="001A0049" w:rsidRPr="00263F7B" w:rsidRDefault="00AE1170">
            <w:pPr>
              <w:widowControl w:val="0"/>
              <w:autoSpaceDE w:val="0"/>
              <w:autoSpaceDN w:val="0"/>
              <w:adjustRightInd w:val="0"/>
              <w:jc w:val="center"/>
              <w:rPr>
                <w:rFonts w:eastAsia="Times New Roman"/>
                <w:lang w:bidi="ar-SA"/>
              </w:rPr>
            </w:pPr>
            <w:r w:rsidRPr="00263F7B">
              <w:rPr>
                <w:rFonts w:eastAsia="Times New Roman"/>
                <w:lang w:bidi="ar-SA"/>
              </w:rPr>
              <w:t>$</w:t>
            </w:r>
            <w:r w:rsidR="00873699" w:rsidRPr="00263F7B">
              <w:rPr>
                <w:rFonts w:eastAsia="Times New Roman"/>
                <w:lang w:bidi="ar-SA"/>
              </w:rPr>
              <w:t>5</w:t>
            </w:r>
            <w:r w:rsidRPr="00263F7B">
              <w:rPr>
                <w:rFonts w:eastAsia="Times New Roman"/>
                <w:lang w:bidi="ar-SA"/>
              </w:rPr>
              <w:t>.</w:t>
            </w:r>
            <w:r w:rsidR="00873699" w:rsidRPr="00263F7B">
              <w:rPr>
                <w:rFonts w:eastAsia="Times New Roman"/>
                <w:lang w:bidi="ar-SA"/>
              </w:rPr>
              <w:t>00</w:t>
            </w:r>
          </w:p>
        </w:tc>
      </w:tr>
      <w:tr w:rsidR="00F059F6" w:rsidRPr="00263F7B" w:rsidTr="00F059F6">
        <w:tc>
          <w:tcPr>
            <w:tcW w:w="5000" w:type="pct"/>
            <w:gridSpan w:val="4"/>
          </w:tcPr>
          <w:p w:rsidR="00F059F6" w:rsidRPr="00263F7B" w:rsidRDefault="00F059F6" w:rsidP="009270B9">
            <w:pPr>
              <w:widowControl w:val="0"/>
              <w:autoSpaceDE w:val="0"/>
              <w:autoSpaceDN w:val="0"/>
              <w:adjustRightInd w:val="0"/>
              <w:jc w:val="center"/>
              <w:rPr>
                <w:rFonts w:eastAsia="Times New Roman"/>
                <w:lang w:bidi="ar-SA"/>
              </w:rPr>
            </w:pPr>
          </w:p>
        </w:tc>
      </w:tr>
      <w:tr w:rsidR="00806746" w:rsidRPr="00263F7B" w:rsidTr="00E000E0">
        <w:tc>
          <w:tcPr>
            <w:tcW w:w="1560" w:type="pct"/>
          </w:tcPr>
          <w:p w:rsidR="00877127" w:rsidRPr="00263F7B" w:rsidRDefault="00806746" w:rsidP="009E6C39">
            <w:pPr>
              <w:keepNext/>
              <w:widowControl w:val="0"/>
              <w:autoSpaceDE w:val="0"/>
              <w:autoSpaceDN w:val="0"/>
              <w:adjustRightInd w:val="0"/>
              <w:outlineLvl w:val="0"/>
              <w:rPr>
                <w:rFonts w:eastAsia="Times New Roman"/>
                <w:lang w:bidi="ar-SA"/>
              </w:rPr>
            </w:pPr>
            <w:r w:rsidRPr="00263F7B">
              <w:rPr>
                <w:rFonts w:eastAsia="Times New Roman"/>
                <w:lang w:bidi="ar-SA"/>
              </w:rPr>
              <w:t>Base Rate (</w:t>
            </w:r>
            <w:r w:rsidR="009E6C39" w:rsidRPr="00263F7B">
              <w:rPr>
                <w:rFonts w:eastAsia="Times New Roman"/>
                <w:lang w:bidi="ar-SA"/>
              </w:rPr>
              <w:t>5/8</w:t>
            </w:r>
            <w:r w:rsidRPr="00263F7B">
              <w:rPr>
                <w:rFonts w:eastAsia="Times New Roman"/>
                <w:lang w:bidi="ar-SA"/>
              </w:rPr>
              <w:t>-inch meter) Commercial</w:t>
            </w:r>
          </w:p>
        </w:tc>
        <w:tc>
          <w:tcPr>
            <w:tcW w:w="1081" w:type="pct"/>
          </w:tcPr>
          <w:p w:rsidR="00806746" w:rsidRPr="00263F7B" w:rsidRDefault="00806746" w:rsidP="00E26DE6">
            <w:pPr>
              <w:widowControl w:val="0"/>
              <w:autoSpaceDE w:val="0"/>
              <w:autoSpaceDN w:val="0"/>
              <w:adjustRightInd w:val="0"/>
              <w:jc w:val="center"/>
              <w:rPr>
                <w:rFonts w:eastAsia="Times New Roman"/>
                <w:lang w:bidi="ar-SA"/>
              </w:rPr>
            </w:pPr>
            <w:r w:rsidRPr="00263F7B">
              <w:rPr>
                <w:rFonts w:eastAsia="Times New Roman"/>
                <w:lang w:bidi="ar-SA"/>
              </w:rPr>
              <w:t>$15.80</w:t>
            </w:r>
          </w:p>
        </w:tc>
        <w:tc>
          <w:tcPr>
            <w:tcW w:w="1269" w:type="pct"/>
          </w:tcPr>
          <w:p w:rsidR="00806746" w:rsidRPr="00263F7B" w:rsidRDefault="00806746" w:rsidP="00D9246D">
            <w:pPr>
              <w:widowControl w:val="0"/>
              <w:autoSpaceDE w:val="0"/>
              <w:autoSpaceDN w:val="0"/>
              <w:adjustRightInd w:val="0"/>
              <w:jc w:val="center"/>
              <w:rPr>
                <w:rFonts w:eastAsia="Times New Roman"/>
                <w:lang w:bidi="ar-SA"/>
              </w:rPr>
            </w:pPr>
            <w:r w:rsidRPr="00263F7B">
              <w:rPr>
                <w:rFonts w:eastAsia="Times New Roman"/>
                <w:lang w:bidi="ar-SA"/>
              </w:rPr>
              <w:t>$18.30</w:t>
            </w:r>
          </w:p>
        </w:tc>
        <w:tc>
          <w:tcPr>
            <w:tcW w:w="1090" w:type="pct"/>
          </w:tcPr>
          <w:p w:rsidR="00134CD2" w:rsidRPr="00263F7B" w:rsidRDefault="007026E4">
            <w:pPr>
              <w:widowControl w:val="0"/>
              <w:autoSpaceDE w:val="0"/>
              <w:autoSpaceDN w:val="0"/>
              <w:adjustRightInd w:val="0"/>
              <w:jc w:val="center"/>
              <w:rPr>
                <w:rFonts w:eastAsia="Times New Roman"/>
                <w:lang w:bidi="ar-SA"/>
              </w:rPr>
            </w:pPr>
            <w:r w:rsidRPr="00263F7B">
              <w:rPr>
                <w:rFonts w:eastAsia="Times New Roman"/>
                <w:lang w:bidi="ar-SA"/>
              </w:rPr>
              <w:t>$</w:t>
            </w:r>
            <w:r w:rsidR="00054C08" w:rsidRPr="00263F7B">
              <w:rPr>
                <w:rFonts w:eastAsia="Times New Roman"/>
                <w:lang w:bidi="ar-SA"/>
              </w:rPr>
              <w:t>11.55</w:t>
            </w:r>
          </w:p>
        </w:tc>
      </w:tr>
      <w:tr w:rsidR="00806746" w:rsidRPr="00263F7B" w:rsidTr="00E000E0">
        <w:tc>
          <w:tcPr>
            <w:tcW w:w="1560" w:type="pct"/>
          </w:tcPr>
          <w:p w:rsidR="00806746" w:rsidRPr="00263F7B" w:rsidRDefault="00806746" w:rsidP="00CA50F7">
            <w:pPr>
              <w:widowControl w:val="0"/>
              <w:autoSpaceDE w:val="0"/>
              <w:autoSpaceDN w:val="0"/>
              <w:adjustRightInd w:val="0"/>
              <w:rPr>
                <w:rFonts w:eastAsia="Times New Roman"/>
                <w:lang w:bidi="ar-SA"/>
              </w:rPr>
            </w:pPr>
            <w:r w:rsidRPr="00263F7B">
              <w:rPr>
                <w:rFonts w:eastAsia="Times New Roman"/>
                <w:lang w:bidi="ar-SA"/>
              </w:rPr>
              <w:t>0 – 500 Cubic Feet</w:t>
            </w:r>
          </w:p>
        </w:tc>
        <w:tc>
          <w:tcPr>
            <w:tcW w:w="1081" w:type="pct"/>
          </w:tcPr>
          <w:p w:rsidR="00806746" w:rsidRPr="00263F7B" w:rsidRDefault="00806746" w:rsidP="00CA50F7">
            <w:pPr>
              <w:widowControl w:val="0"/>
              <w:autoSpaceDE w:val="0"/>
              <w:autoSpaceDN w:val="0"/>
              <w:adjustRightInd w:val="0"/>
              <w:jc w:val="center"/>
              <w:rPr>
                <w:rFonts w:eastAsia="Times New Roman"/>
                <w:lang w:bidi="ar-SA"/>
              </w:rPr>
            </w:pPr>
            <w:r w:rsidRPr="00263F7B">
              <w:rPr>
                <w:rFonts w:eastAsia="Times New Roman"/>
                <w:lang w:bidi="ar-SA"/>
              </w:rPr>
              <w:t>NA</w:t>
            </w:r>
          </w:p>
        </w:tc>
        <w:tc>
          <w:tcPr>
            <w:tcW w:w="1269" w:type="pct"/>
          </w:tcPr>
          <w:p w:rsidR="00806746" w:rsidRPr="00263F7B" w:rsidRDefault="00806746" w:rsidP="00D9246D">
            <w:pPr>
              <w:widowControl w:val="0"/>
              <w:autoSpaceDE w:val="0"/>
              <w:autoSpaceDN w:val="0"/>
              <w:adjustRightInd w:val="0"/>
              <w:jc w:val="center"/>
              <w:rPr>
                <w:rFonts w:eastAsia="Times New Roman"/>
                <w:lang w:bidi="ar-SA"/>
              </w:rPr>
            </w:pPr>
            <w:r w:rsidRPr="00263F7B">
              <w:rPr>
                <w:rFonts w:eastAsia="Times New Roman"/>
                <w:lang w:bidi="ar-SA"/>
              </w:rPr>
              <w:t>$1.00</w:t>
            </w:r>
          </w:p>
        </w:tc>
        <w:tc>
          <w:tcPr>
            <w:tcW w:w="1090" w:type="pct"/>
          </w:tcPr>
          <w:p w:rsidR="001A0049" w:rsidRPr="00263F7B" w:rsidRDefault="007026E4">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w:t>
            </w:r>
            <w:r w:rsidR="00873699" w:rsidRPr="00263F7B">
              <w:rPr>
                <w:rFonts w:eastAsia="Times New Roman"/>
                <w:lang w:bidi="ar-SA"/>
              </w:rPr>
              <w:t>8</w:t>
            </w:r>
            <w:r w:rsidRPr="00263F7B">
              <w:rPr>
                <w:rFonts w:eastAsia="Times New Roman"/>
                <w:lang w:bidi="ar-SA"/>
              </w:rPr>
              <w:t>5</w:t>
            </w:r>
          </w:p>
        </w:tc>
      </w:tr>
      <w:tr w:rsidR="00B413C8" w:rsidRPr="00263F7B" w:rsidTr="00B413C8">
        <w:tc>
          <w:tcPr>
            <w:tcW w:w="1560" w:type="pct"/>
          </w:tcPr>
          <w:p w:rsidR="001A0049" w:rsidRPr="00263F7B" w:rsidRDefault="00B413C8">
            <w:pPr>
              <w:widowControl w:val="0"/>
              <w:autoSpaceDE w:val="0"/>
              <w:autoSpaceDN w:val="0"/>
              <w:adjustRightInd w:val="0"/>
              <w:rPr>
                <w:rFonts w:eastAsia="Times New Roman"/>
                <w:lang w:bidi="ar-SA"/>
              </w:rPr>
            </w:pPr>
            <w:r w:rsidRPr="00263F7B">
              <w:rPr>
                <w:rFonts w:eastAsia="Times New Roman"/>
                <w:lang w:bidi="ar-SA"/>
              </w:rPr>
              <w:t>50</w:t>
            </w:r>
            <w:r w:rsidR="006C1860" w:rsidRPr="00263F7B">
              <w:rPr>
                <w:rFonts w:eastAsia="Times New Roman"/>
                <w:lang w:bidi="ar-SA"/>
              </w:rPr>
              <w:t>1</w:t>
            </w:r>
            <w:r w:rsidRPr="00263F7B">
              <w:rPr>
                <w:rFonts w:eastAsia="Times New Roman"/>
                <w:lang w:bidi="ar-SA"/>
              </w:rPr>
              <w:t xml:space="preserve"> – </w:t>
            </w:r>
            <w:r w:rsidR="00873699" w:rsidRPr="00263F7B">
              <w:rPr>
                <w:rFonts w:eastAsia="Times New Roman"/>
                <w:lang w:bidi="ar-SA"/>
              </w:rPr>
              <w:t>600</w:t>
            </w:r>
            <w:r w:rsidRPr="00263F7B">
              <w:rPr>
                <w:rFonts w:eastAsia="Times New Roman"/>
                <w:lang w:bidi="ar-SA"/>
              </w:rPr>
              <w:t xml:space="preserve"> Cubic Feet</w:t>
            </w:r>
          </w:p>
        </w:tc>
        <w:tc>
          <w:tcPr>
            <w:tcW w:w="1081" w:type="pct"/>
          </w:tcPr>
          <w:p w:rsidR="00B413C8" w:rsidRPr="00263F7B" w:rsidRDefault="00B413C8" w:rsidP="00B413C8">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B413C8" w:rsidRPr="00263F7B" w:rsidRDefault="00B413C8" w:rsidP="00B413C8">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1A0049" w:rsidRPr="00263F7B" w:rsidRDefault="00B413C8">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w:t>
            </w:r>
            <w:r w:rsidR="00873699" w:rsidRPr="00263F7B">
              <w:rPr>
                <w:rFonts w:eastAsia="Times New Roman"/>
                <w:lang w:bidi="ar-SA"/>
              </w:rPr>
              <w:t>8</w:t>
            </w:r>
            <w:r w:rsidRPr="00263F7B">
              <w:rPr>
                <w:rFonts w:eastAsia="Times New Roman"/>
                <w:lang w:bidi="ar-SA"/>
              </w:rPr>
              <w:t>5</w:t>
            </w:r>
          </w:p>
        </w:tc>
      </w:tr>
      <w:tr w:rsidR="00B413C8" w:rsidRPr="00263F7B" w:rsidTr="00B413C8">
        <w:tc>
          <w:tcPr>
            <w:tcW w:w="1560" w:type="pct"/>
          </w:tcPr>
          <w:p w:rsidR="001A0049" w:rsidRPr="00263F7B" w:rsidRDefault="00873699">
            <w:pPr>
              <w:widowControl w:val="0"/>
              <w:autoSpaceDE w:val="0"/>
              <w:autoSpaceDN w:val="0"/>
              <w:adjustRightInd w:val="0"/>
              <w:rPr>
                <w:rFonts w:eastAsia="Times New Roman"/>
                <w:lang w:bidi="ar-SA"/>
              </w:rPr>
            </w:pPr>
            <w:r w:rsidRPr="00263F7B">
              <w:rPr>
                <w:rFonts w:eastAsia="Times New Roman"/>
                <w:lang w:bidi="ar-SA"/>
              </w:rPr>
              <w:t>60</w:t>
            </w:r>
            <w:r w:rsidR="006C1860" w:rsidRPr="00263F7B">
              <w:rPr>
                <w:rFonts w:eastAsia="Times New Roman"/>
                <w:lang w:bidi="ar-SA"/>
              </w:rPr>
              <w:t>1</w:t>
            </w:r>
            <w:r w:rsidR="00B413C8" w:rsidRPr="00263F7B">
              <w:rPr>
                <w:rFonts w:eastAsia="Times New Roman"/>
                <w:lang w:bidi="ar-SA"/>
              </w:rPr>
              <w:t xml:space="preserve"> – 3,000 Cubic Feet</w:t>
            </w:r>
          </w:p>
        </w:tc>
        <w:tc>
          <w:tcPr>
            <w:tcW w:w="1081" w:type="pct"/>
          </w:tcPr>
          <w:p w:rsidR="00B413C8" w:rsidRPr="00263F7B" w:rsidRDefault="00B413C8" w:rsidP="00B413C8">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B413C8" w:rsidRPr="00263F7B" w:rsidRDefault="00B413C8" w:rsidP="00B413C8">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134CD2" w:rsidRPr="00263F7B" w:rsidRDefault="00B413C8">
            <w:pPr>
              <w:widowControl w:val="0"/>
              <w:autoSpaceDE w:val="0"/>
              <w:autoSpaceDN w:val="0"/>
              <w:adjustRightInd w:val="0"/>
              <w:jc w:val="center"/>
              <w:rPr>
                <w:rFonts w:eastAsia="Times New Roman"/>
                <w:lang w:bidi="ar-SA"/>
              </w:rPr>
            </w:pPr>
            <w:r w:rsidRPr="00263F7B">
              <w:rPr>
                <w:rFonts w:eastAsia="Times New Roman"/>
                <w:lang w:bidi="ar-SA"/>
              </w:rPr>
              <w:t>$1.</w:t>
            </w:r>
            <w:r w:rsidR="00054C08" w:rsidRPr="00263F7B">
              <w:rPr>
                <w:rFonts w:eastAsia="Times New Roman"/>
                <w:lang w:bidi="ar-SA"/>
              </w:rPr>
              <w:t>50</w:t>
            </w:r>
          </w:p>
        </w:tc>
      </w:tr>
      <w:tr w:rsidR="00B413C8" w:rsidRPr="00263F7B" w:rsidTr="00B413C8">
        <w:tc>
          <w:tcPr>
            <w:tcW w:w="1560" w:type="pct"/>
          </w:tcPr>
          <w:p w:rsidR="001A0049" w:rsidRPr="00263F7B" w:rsidRDefault="00B413C8">
            <w:pPr>
              <w:widowControl w:val="0"/>
              <w:autoSpaceDE w:val="0"/>
              <w:autoSpaceDN w:val="0"/>
              <w:adjustRightInd w:val="0"/>
              <w:rPr>
                <w:rFonts w:eastAsia="Times New Roman"/>
                <w:lang w:bidi="ar-SA"/>
              </w:rPr>
            </w:pPr>
            <w:r w:rsidRPr="00263F7B">
              <w:rPr>
                <w:rFonts w:eastAsia="Times New Roman"/>
                <w:lang w:bidi="ar-SA"/>
              </w:rPr>
              <w:t>Over 3,</w:t>
            </w:r>
            <w:r w:rsidR="00873699" w:rsidRPr="00263F7B">
              <w:rPr>
                <w:rFonts w:eastAsia="Times New Roman"/>
                <w:lang w:bidi="ar-SA"/>
              </w:rPr>
              <w:t>000</w:t>
            </w:r>
            <w:r w:rsidRPr="00263F7B">
              <w:rPr>
                <w:rFonts w:eastAsia="Times New Roman"/>
                <w:lang w:bidi="ar-SA"/>
              </w:rPr>
              <w:t xml:space="preserve"> Cubic Feet</w:t>
            </w:r>
          </w:p>
        </w:tc>
        <w:tc>
          <w:tcPr>
            <w:tcW w:w="1081" w:type="pct"/>
          </w:tcPr>
          <w:p w:rsidR="001A0049" w:rsidRPr="00263F7B" w:rsidRDefault="00B413C8">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w:t>
            </w:r>
            <w:r w:rsidR="008528B0" w:rsidRPr="00263F7B">
              <w:rPr>
                <w:rFonts w:eastAsia="Times New Roman"/>
                <w:lang w:bidi="ar-SA"/>
              </w:rPr>
              <w:t>85</w:t>
            </w:r>
          </w:p>
        </w:tc>
        <w:tc>
          <w:tcPr>
            <w:tcW w:w="1269" w:type="pct"/>
          </w:tcPr>
          <w:p w:rsidR="00B413C8" w:rsidRPr="00263F7B" w:rsidRDefault="00B413C8" w:rsidP="00B413C8">
            <w:pPr>
              <w:widowControl w:val="0"/>
              <w:autoSpaceDE w:val="0"/>
              <w:autoSpaceDN w:val="0"/>
              <w:adjustRightInd w:val="0"/>
              <w:jc w:val="center"/>
              <w:rPr>
                <w:rFonts w:eastAsia="Times New Roman"/>
                <w:lang w:bidi="ar-SA"/>
              </w:rPr>
            </w:pPr>
            <w:r w:rsidRPr="00263F7B">
              <w:rPr>
                <w:rFonts w:eastAsia="Times New Roman"/>
                <w:lang w:bidi="ar-SA"/>
              </w:rPr>
              <w:t>$</w:t>
            </w:r>
            <w:r w:rsidR="007026E4" w:rsidRPr="00263F7B">
              <w:rPr>
                <w:rFonts w:eastAsia="Times New Roman"/>
                <w:lang w:bidi="ar-SA"/>
              </w:rPr>
              <w:t>1.85</w:t>
            </w:r>
          </w:p>
        </w:tc>
        <w:tc>
          <w:tcPr>
            <w:tcW w:w="1090" w:type="pct"/>
          </w:tcPr>
          <w:p w:rsidR="00134CD2" w:rsidRPr="00263F7B" w:rsidRDefault="00B413C8">
            <w:pPr>
              <w:widowControl w:val="0"/>
              <w:autoSpaceDE w:val="0"/>
              <w:autoSpaceDN w:val="0"/>
              <w:adjustRightInd w:val="0"/>
              <w:jc w:val="center"/>
              <w:rPr>
                <w:rFonts w:eastAsia="Times New Roman"/>
                <w:lang w:bidi="ar-SA"/>
              </w:rPr>
            </w:pPr>
            <w:r w:rsidRPr="00263F7B">
              <w:rPr>
                <w:rFonts w:eastAsia="Times New Roman"/>
                <w:lang w:bidi="ar-SA"/>
              </w:rPr>
              <w:t>$</w:t>
            </w:r>
            <w:r w:rsidR="00054C08" w:rsidRPr="00263F7B">
              <w:rPr>
                <w:rFonts w:eastAsia="Times New Roman"/>
                <w:lang w:bidi="ar-SA"/>
              </w:rPr>
              <w:t>2.15</w:t>
            </w:r>
          </w:p>
        </w:tc>
      </w:tr>
      <w:tr w:rsidR="00F059F6" w:rsidRPr="00263F7B" w:rsidTr="00F059F6">
        <w:tc>
          <w:tcPr>
            <w:tcW w:w="5000" w:type="pct"/>
            <w:gridSpan w:val="4"/>
          </w:tcPr>
          <w:p w:rsidR="00F059F6" w:rsidRPr="00263F7B" w:rsidRDefault="00F059F6" w:rsidP="006C1860">
            <w:pPr>
              <w:widowControl w:val="0"/>
              <w:autoSpaceDE w:val="0"/>
              <w:autoSpaceDN w:val="0"/>
              <w:adjustRightInd w:val="0"/>
              <w:jc w:val="center"/>
              <w:rPr>
                <w:rFonts w:eastAsia="Times New Roman"/>
                <w:lang w:bidi="ar-SA"/>
              </w:rPr>
            </w:pPr>
          </w:p>
        </w:tc>
      </w:tr>
      <w:tr w:rsidR="00E55A32" w:rsidRPr="00263F7B" w:rsidTr="00E55A32">
        <w:tc>
          <w:tcPr>
            <w:tcW w:w="1560" w:type="pct"/>
          </w:tcPr>
          <w:p w:rsidR="001A0049" w:rsidRPr="00263F7B" w:rsidRDefault="00E55A32">
            <w:pPr>
              <w:keepNext/>
              <w:widowControl w:val="0"/>
              <w:autoSpaceDE w:val="0"/>
              <w:autoSpaceDN w:val="0"/>
              <w:adjustRightInd w:val="0"/>
              <w:outlineLvl w:val="0"/>
              <w:rPr>
                <w:rFonts w:eastAsia="Times New Roman"/>
                <w:lang w:bidi="ar-SA"/>
              </w:rPr>
            </w:pPr>
            <w:r w:rsidRPr="00263F7B">
              <w:rPr>
                <w:rFonts w:eastAsia="Times New Roman"/>
                <w:lang w:bidi="ar-SA"/>
              </w:rPr>
              <w:t>Base Rate (2-inch meter) Commercial</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$15.80</w:t>
            </w:r>
          </w:p>
        </w:tc>
        <w:tc>
          <w:tcPr>
            <w:tcW w:w="1269" w:type="pct"/>
          </w:tcPr>
          <w:p w:rsidR="001A0049"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w:t>
            </w:r>
            <w:r w:rsidR="006C1860" w:rsidRPr="00263F7B">
              <w:rPr>
                <w:rFonts w:eastAsia="Times New Roman"/>
                <w:lang w:bidi="ar-SA"/>
              </w:rPr>
              <w:t>97.60</w:t>
            </w:r>
          </w:p>
        </w:tc>
        <w:tc>
          <w:tcPr>
            <w:tcW w:w="1090" w:type="pct"/>
          </w:tcPr>
          <w:p w:rsidR="00134CD2"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46.20</w:t>
            </w:r>
          </w:p>
        </w:tc>
      </w:tr>
      <w:tr w:rsidR="00E55A32" w:rsidRPr="00263F7B" w:rsidTr="00E55A32">
        <w:tc>
          <w:tcPr>
            <w:tcW w:w="1560" w:type="pct"/>
          </w:tcPr>
          <w:p w:rsidR="00E55A32" w:rsidRPr="00263F7B" w:rsidRDefault="00E55A32" w:rsidP="00E55A32">
            <w:pPr>
              <w:widowControl w:val="0"/>
              <w:autoSpaceDE w:val="0"/>
              <w:autoSpaceDN w:val="0"/>
              <w:adjustRightInd w:val="0"/>
              <w:rPr>
                <w:rFonts w:eastAsia="Times New Roman"/>
                <w:lang w:bidi="ar-SA"/>
              </w:rPr>
            </w:pPr>
            <w:r w:rsidRPr="00263F7B">
              <w:rPr>
                <w:rFonts w:eastAsia="Times New Roman"/>
                <w:lang w:bidi="ar-SA"/>
              </w:rPr>
              <w:t>0 – 500 Cubic Feet</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NA</w:t>
            </w:r>
          </w:p>
        </w:tc>
        <w:tc>
          <w:tcPr>
            <w:tcW w:w="1269"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$1.00</w:t>
            </w:r>
          </w:p>
        </w:tc>
        <w:tc>
          <w:tcPr>
            <w:tcW w:w="1090"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r>
      <w:tr w:rsidR="00E55A32" w:rsidRPr="00263F7B" w:rsidTr="00E55A32">
        <w:tc>
          <w:tcPr>
            <w:tcW w:w="1560" w:type="pct"/>
          </w:tcPr>
          <w:p w:rsidR="001A0049" w:rsidRPr="00263F7B" w:rsidRDefault="00E55A32">
            <w:pPr>
              <w:widowControl w:val="0"/>
              <w:autoSpaceDE w:val="0"/>
              <w:autoSpaceDN w:val="0"/>
              <w:adjustRightInd w:val="0"/>
              <w:rPr>
                <w:rFonts w:eastAsia="Times New Roman"/>
                <w:lang w:bidi="ar-SA"/>
              </w:rPr>
            </w:pPr>
            <w:r w:rsidRPr="00263F7B">
              <w:rPr>
                <w:rFonts w:eastAsia="Times New Roman"/>
                <w:lang w:bidi="ar-SA"/>
              </w:rPr>
              <w:t>50</w:t>
            </w:r>
            <w:r w:rsidR="006C1860" w:rsidRPr="00263F7B">
              <w:rPr>
                <w:rFonts w:eastAsia="Times New Roman"/>
                <w:lang w:bidi="ar-SA"/>
              </w:rPr>
              <w:t>1</w:t>
            </w:r>
            <w:r w:rsidRPr="00263F7B">
              <w:rPr>
                <w:rFonts w:eastAsia="Times New Roman"/>
                <w:lang w:bidi="ar-SA"/>
              </w:rPr>
              <w:t xml:space="preserve"> – </w:t>
            </w:r>
            <w:r w:rsidR="006C1860" w:rsidRPr="00263F7B">
              <w:rPr>
                <w:rFonts w:eastAsia="Times New Roman"/>
                <w:lang w:bidi="ar-SA"/>
              </w:rPr>
              <w:t>4,8</w:t>
            </w:r>
            <w:r w:rsidRPr="00263F7B">
              <w:rPr>
                <w:rFonts w:eastAsia="Times New Roman"/>
                <w:lang w:bidi="ar-SA"/>
              </w:rPr>
              <w:t>00 Cubic Feet</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r>
      <w:tr w:rsidR="00E55A32" w:rsidRPr="00263F7B" w:rsidTr="00E55A32">
        <w:tc>
          <w:tcPr>
            <w:tcW w:w="1560" w:type="pct"/>
          </w:tcPr>
          <w:p w:rsidR="001A0049" w:rsidRPr="00263F7B" w:rsidRDefault="006C1860">
            <w:pPr>
              <w:widowControl w:val="0"/>
              <w:autoSpaceDE w:val="0"/>
              <w:autoSpaceDN w:val="0"/>
              <w:adjustRightInd w:val="0"/>
              <w:rPr>
                <w:rFonts w:eastAsia="Times New Roman"/>
                <w:lang w:bidi="ar-SA"/>
              </w:rPr>
            </w:pPr>
            <w:r w:rsidRPr="00263F7B">
              <w:rPr>
                <w:rFonts w:eastAsia="Times New Roman"/>
                <w:lang w:bidi="ar-SA"/>
              </w:rPr>
              <w:t>4,801</w:t>
            </w:r>
            <w:r w:rsidR="00E55A32" w:rsidRPr="00263F7B">
              <w:rPr>
                <w:rFonts w:eastAsia="Times New Roman"/>
                <w:lang w:bidi="ar-SA"/>
              </w:rPr>
              <w:t xml:space="preserve"> – </w:t>
            </w:r>
            <w:r w:rsidRPr="00263F7B">
              <w:rPr>
                <w:rFonts w:eastAsia="Times New Roman"/>
                <w:lang w:bidi="ar-SA"/>
              </w:rPr>
              <w:t>24</w:t>
            </w:r>
            <w:r w:rsidR="00E55A32" w:rsidRPr="00263F7B">
              <w:rPr>
                <w:rFonts w:eastAsia="Times New Roman"/>
                <w:lang w:bidi="ar-SA"/>
              </w:rPr>
              <w:t>,000 Cubic Feet</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134CD2"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$1.</w:t>
            </w:r>
            <w:r w:rsidR="00094C96" w:rsidRPr="00263F7B">
              <w:rPr>
                <w:rFonts w:eastAsia="Times New Roman"/>
                <w:lang w:bidi="ar-SA"/>
              </w:rPr>
              <w:t>50</w:t>
            </w:r>
          </w:p>
        </w:tc>
      </w:tr>
      <w:tr w:rsidR="00E55A32" w:rsidRPr="00263F7B" w:rsidTr="00E55A32">
        <w:tc>
          <w:tcPr>
            <w:tcW w:w="1560" w:type="pct"/>
          </w:tcPr>
          <w:p w:rsidR="001A0049" w:rsidRPr="00263F7B" w:rsidRDefault="00E55A32">
            <w:pPr>
              <w:widowControl w:val="0"/>
              <w:autoSpaceDE w:val="0"/>
              <w:autoSpaceDN w:val="0"/>
              <w:adjustRightInd w:val="0"/>
              <w:rPr>
                <w:rFonts w:eastAsia="Times New Roman"/>
                <w:lang w:bidi="ar-SA"/>
              </w:rPr>
            </w:pPr>
            <w:r w:rsidRPr="00263F7B">
              <w:rPr>
                <w:rFonts w:eastAsia="Times New Roman"/>
                <w:lang w:bidi="ar-SA"/>
              </w:rPr>
              <w:t xml:space="preserve">Over </w:t>
            </w:r>
            <w:r w:rsidR="006C1860" w:rsidRPr="00263F7B">
              <w:rPr>
                <w:rFonts w:eastAsia="Times New Roman"/>
                <w:lang w:bidi="ar-SA"/>
              </w:rPr>
              <w:t>24</w:t>
            </w:r>
            <w:r w:rsidRPr="00263F7B">
              <w:rPr>
                <w:rFonts w:eastAsia="Times New Roman"/>
                <w:lang w:bidi="ar-SA"/>
              </w:rPr>
              <w:t>,000 Cubic Feet</w:t>
            </w:r>
          </w:p>
        </w:tc>
        <w:tc>
          <w:tcPr>
            <w:tcW w:w="1081" w:type="pct"/>
          </w:tcPr>
          <w:p w:rsidR="001A0049"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134CD2"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2.15</w:t>
            </w:r>
          </w:p>
        </w:tc>
      </w:tr>
      <w:tr w:rsidR="00F059F6" w:rsidRPr="00263F7B" w:rsidTr="00F059F6">
        <w:tc>
          <w:tcPr>
            <w:tcW w:w="5000" w:type="pct"/>
            <w:gridSpan w:val="4"/>
          </w:tcPr>
          <w:p w:rsidR="00F059F6" w:rsidRPr="00263F7B" w:rsidRDefault="00F059F6" w:rsidP="00E55A32">
            <w:pPr>
              <w:widowControl w:val="0"/>
              <w:autoSpaceDE w:val="0"/>
              <w:autoSpaceDN w:val="0"/>
              <w:adjustRightInd w:val="0"/>
              <w:jc w:val="center"/>
              <w:rPr>
                <w:rFonts w:eastAsia="Times New Roman"/>
                <w:lang w:bidi="ar-SA"/>
              </w:rPr>
            </w:pPr>
          </w:p>
        </w:tc>
      </w:tr>
      <w:tr w:rsidR="00E55A32" w:rsidRPr="00263F7B" w:rsidTr="00E55A32">
        <w:tc>
          <w:tcPr>
            <w:tcW w:w="1560" w:type="pct"/>
          </w:tcPr>
          <w:p w:rsidR="001A0049" w:rsidRPr="00263F7B" w:rsidRDefault="00E55A32">
            <w:pPr>
              <w:keepNext/>
              <w:widowControl w:val="0"/>
              <w:autoSpaceDE w:val="0"/>
              <w:autoSpaceDN w:val="0"/>
              <w:adjustRightInd w:val="0"/>
              <w:outlineLvl w:val="0"/>
              <w:rPr>
                <w:rFonts w:eastAsia="Times New Roman"/>
                <w:lang w:bidi="ar-SA"/>
              </w:rPr>
            </w:pPr>
            <w:r w:rsidRPr="00263F7B">
              <w:rPr>
                <w:rFonts w:eastAsia="Times New Roman"/>
                <w:lang w:bidi="ar-SA"/>
              </w:rPr>
              <w:t>Base Rate (4-inch meter) Commercial</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$15.80</w:t>
            </w:r>
          </w:p>
        </w:tc>
        <w:tc>
          <w:tcPr>
            <w:tcW w:w="1269" w:type="pct"/>
          </w:tcPr>
          <w:p w:rsidR="001A0049"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w:t>
            </w:r>
            <w:r w:rsidR="006C1860" w:rsidRPr="00263F7B">
              <w:rPr>
                <w:rFonts w:eastAsia="Times New Roman"/>
                <w:lang w:bidi="ar-SA"/>
              </w:rPr>
              <w:t>183.00</w:t>
            </w:r>
          </w:p>
        </w:tc>
        <w:tc>
          <w:tcPr>
            <w:tcW w:w="1090" w:type="pct"/>
          </w:tcPr>
          <w:p w:rsidR="00134CD2"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144.38</w:t>
            </w:r>
          </w:p>
        </w:tc>
      </w:tr>
      <w:tr w:rsidR="00E55A32" w:rsidRPr="00263F7B" w:rsidTr="00E55A32">
        <w:tc>
          <w:tcPr>
            <w:tcW w:w="1560" w:type="pct"/>
          </w:tcPr>
          <w:p w:rsidR="00E55A32" w:rsidRPr="00263F7B" w:rsidRDefault="00E55A32" w:rsidP="00E55A32">
            <w:pPr>
              <w:widowControl w:val="0"/>
              <w:autoSpaceDE w:val="0"/>
              <w:autoSpaceDN w:val="0"/>
              <w:adjustRightInd w:val="0"/>
              <w:rPr>
                <w:rFonts w:eastAsia="Times New Roman"/>
                <w:lang w:bidi="ar-SA"/>
              </w:rPr>
            </w:pPr>
            <w:r w:rsidRPr="00263F7B">
              <w:rPr>
                <w:rFonts w:eastAsia="Times New Roman"/>
                <w:lang w:bidi="ar-SA"/>
              </w:rPr>
              <w:t>0 – 500 Cubic Feet</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NA</w:t>
            </w:r>
          </w:p>
        </w:tc>
        <w:tc>
          <w:tcPr>
            <w:tcW w:w="1269"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$1.00</w:t>
            </w:r>
          </w:p>
        </w:tc>
        <w:tc>
          <w:tcPr>
            <w:tcW w:w="1090"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r>
      <w:tr w:rsidR="00E55A32" w:rsidRPr="00263F7B" w:rsidTr="00E55A32">
        <w:tc>
          <w:tcPr>
            <w:tcW w:w="1560" w:type="pct"/>
          </w:tcPr>
          <w:p w:rsidR="001A0049" w:rsidRPr="00263F7B" w:rsidRDefault="00E55A32">
            <w:pPr>
              <w:widowControl w:val="0"/>
              <w:autoSpaceDE w:val="0"/>
              <w:autoSpaceDN w:val="0"/>
              <w:adjustRightInd w:val="0"/>
              <w:rPr>
                <w:rFonts w:eastAsia="Times New Roman"/>
                <w:lang w:bidi="ar-SA"/>
              </w:rPr>
            </w:pPr>
            <w:r w:rsidRPr="00263F7B">
              <w:rPr>
                <w:rFonts w:eastAsia="Times New Roman"/>
                <w:lang w:bidi="ar-SA"/>
              </w:rPr>
              <w:t>50</w:t>
            </w:r>
            <w:r w:rsidR="006C1860" w:rsidRPr="00263F7B">
              <w:rPr>
                <w:rFonts w:eastAsia="Times New Roman"/>
                <w:lang w:bidi="ar-SA"/>
              </w:rPr>
              <w:t>1</w:t>
            </w:r>
            <w:r w:rsidRPr="00263F7B">
              <w:rPr>
                <w:rFonts w:eastAsia="Times New Roman"/>
                <w:lang w:bidi="ar-SA"/>
              </w:rPr>
              <w:t xml:space="preserve"> – </w:t>
            </w:r>
            <w:r w:rsidR="006C1860" w:rsidRPr="00263F7B">
              <w:rPr>
                <w:rFonts w:eastAsia="Times New Roman"/>
                <w:lang w:bidi="ar-SA"/>
              </w:rPr>
              <w:t>15,0</w:t>
            </w:r>
            <w:r w:rsidRPr="00263F7B">
              <w:rPr>
                <w:rFonts w:eastAsia="Times New Roman"/>
                <w:lang w:bidi="ar-SA"/>
              </w:rPr>
              <w:t>00 Cubic Feet</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r>
      <w:tr w:rsidR="00E55A32" w:rsidRPr="00263F7B" w:rsidTr="00E55A32">
        <w:tc>
          <w:tcPr>
            <w:tcW w:w="1560" w:type="pct"/>
          </w:tcPr>
          <w:p w:rsidR="001A0049" w:rsidRPr="00263F7B" w:rsidRDefault="006C1860">
            <w:pPr>
              <w:widowControl w:val="0"/>
              <w:autoSpaceDE w:val="0"/>
              <w:autoSpaceDN w:val="0"/>
              <w:adjustRightInd w:val="0"/>
              <w:rPr>
                <w:rFonts w:eastAsia="Times New Roman"/>
                <w:lang w:bidi="ar-SA"/>
              </w:rPr>
            </w:pPr>
            <w:r w:rsidRPr="00263F7B">
              <w:rPr>
                <w:rFonts w:eastAsia="Times New Roman"/>
                <w:lang w:bidi="ar-SA"/>
              </w:rPr>
              <w:t>15,001</w:t>
            </w:r>
            <w:r w:rsidR="00E55A32" w:rsidRPr="00263F7B">
              <w:rPr>
                <w:rFonts w:eastAsia="Times New Roman"/>
                <w:lang w:bidi="ar-SA"/>
              </w:rPr>
              <w:t xml:space="preserve"> – </w:t>
            </w:r>
            <w:r w:rsidRPr="00263F7B">
              <w:rPr>
                <w:rFonts w:eastAsia="Times New Roman"/>
                <w:lang w:bidi="ar-SA"/>
              </w:rPr>
              <w:t>75</w:t>
            </w:r>
            <w:r w:rsidR="00E55A32" w:rsidRPr="00263F7B">
              <w:rPr>
                <w:rFonts w:eastAsia="Times New Roman"/>
                <w:lang w:bidi="ar-SA"/>
              </w:rPr>
              <w:t>,000 Cubic Feet</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w:t>
            </w:r>
            <w:r w:rsidR="00094C96" w:rsidRPr="00263F7B">
              <w:rPr>
                <w:rFonts w:eastAsia="Times New Roman"/>
                <w:lang w:bidi="ar-SA"/>
              </w:rPr>
              <w:t>50</w:t>
            </w:r>
          </w:p>
        </w:tc>
      </w:tr>
      <w:tr w:rsidR="00E55A32" w:rsidRPr="00263F7B" w:rsidTr="00E55A32">
        <w:tc>
          <w:tcPr>
            <w:tcW w:w="1560" w:type="pct"/>
          </w:tcPr>
          <w:p w:rsidR="001A0049" w:rsidRPr="00263F7B" w:rsidRDefault="00E55A32">
            <w:pPr>
              <w:widowControl w:val="0"/>
              <w:autoSpaceDE w:val="0"/>
              <w:autoSpaceDN w:val="0"/>
              <w:adjustRightInd w:val="0"/>
              <w:rPr>
                <w:rFonts w:eastAsia="Times New Roman"/>
                <w:lang w:bidi="ar-SA"/>
              </w:rPr>
            </w:pPr>
            <w:r w:rsidRPr="00263F7B">
              <w:rPr>
                <w:rFonts w:eastAsia="Times New Roman"/>
                <w:lang w:bidi="ar-SA"/>
              </w:rPr>
              <w:t xml:space="preserve">Over </w:t>
            </w:r>
            <w:r w:rsidR="006C1860" w:rsidRPr="00263F7B">
              <w:rPr>
                <w:rFonts w:eastAsia="Times New Roman"/>
                <w:lang w:bidi="ar-SA"/>
              </w:rPr>
              <w:t>75</w:t>
            </w:r>
            <w:r w:rsidRPr="00263F7B">
              <w:rPr>
                <w:rFonts w:eastAsia="Times New Roman"/>
                <w:lang w:bidi="ar-SA"/>
              </w:rPr>
              <w:t>,000 Cubic Feet</w:t>
            </w:r>
          </w:p>
        </w:tc>
        <w:tc>
          <w:tcPr>
            <w:tcW w:w="1081"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E55A32" w:rsidRPr="00263F7B" w:rsidRDefault="00E55A32" w:rsidP="00E55A32">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2.15</w:t>
            </w:r>
          </w:p>
        </w:tc>
      </w:tr>
    </w:tbl>
    <w:p w:rsidR="001E611B" w:rsidRPr="00263F7B" w:rsidRDefault="00AA1ADC" w:rsidP="001E6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eastAsia="Times New Roman"/>
          <w:sz w:val="20"/>
          <w:szCs w:val="20"/>
          <w:lang w:bidi="ar-SA"/>
        </w:rPr>
      </w:pPr>
      <w:r w:rsidRPr="00263F7B">
        <w:rPr>
          <w:rFonts w:eastAsia="Times New Roman"/>
          <w:vertAlign w:val="superscript"/>
          <w:lang w:bidi="ar-SA"/>
        </w:rPr>
        <w:t>1</w:t>
      </w:r>
      <w:r w:rsidRPr="00263F7B">
        <w:rPr>
          <w:rFonts w:eastAsia="Times New Roman"/>
          <w:lang w:bidi="ar-SA"/>
        </w:rPr>
        <w:t xml:space="preserve"> </w:t>
      </w:r>
      <w:r w:rsidRPr="00263F7B">
        <w:rPr>
          <w:rFonts w:eastAsia="Times New Roman"/>
          <w:sz w:val="20"/>
          <w:szCs w:val="20"/>
          <w:lang w:bidi="ar-SA"/>
        </w:rPr>
        <w:t xml:space="preserve">- Based on </w:t>
      </w:r>
      <w:r w:rsidR="00094C96" w:rsidRPr="00263F7B">
        <w:rPr>
          <w:rFonts w:eastAsia="Times New Roman"/>
          <w:sz w:val="20"/>
          <w:szCs w:val="20"/>
          <w:lang w:bidi="ar-SA"/>
        </w:rPr>
        <w:t>5/8</w:t>
      </w:r>
      <w:r w:rsidRPr="00263F7B">
        <w:rPr>
          <w:rFonts w:eastAsia="Times New Roman"/>
          <w:sz w:val="20"/>
          <w:szCs w:val="20"/>
          <w:lang w:bidi="ar-SA"/>
        </w:rPr>
        <w:t>-inch meter classification, see company’s tariff for upsize meter classification, usage blocks and rates.</w:t>
      </w:r>
    </w:p>
    <w:p w:rsidR="001A023C" w:rsidRPr="00263F7B" w:rsidRDefault="00AA1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eastAsia="Times New Roman"/>
          <w:sz w:val="20"/>
          <w:szCs w:val="20"/>
          <w:lang w:bidi="ar-SA"/>
        </w:rPr>
      </w:pPr>
      <w:r w:rsidRPr="00263F7B">
        <w:rPr>
          <w:rFonts w:eastAsia="Times New Roman"/>
          <w:vertAlign w:val="superscript"/>
          <w:lang w:bidi="ar-SA"/>
        </w:rPr>
        <w:t>2</w:t>
      </w:r>
      <w:r w:rsidRPr="00263F7B">
        <w:rPr>
          <w:rFonts w:eastAsia="Times New Roman"/>
          <w:lang w:bidi="ar-SA"/>
        </w:rPr>
        <w:t xml:space="preserve"> </w:t>
      </w:r>
      <w:r w:rsidRPr="00263F7B">
        <w:rPr>
          <w:rFonts w:eastAsia="Times New Roman"/>
          <w:sz w:val="20"/>
          <w:szCs w:val="20"/>
          <w:lang w:bidi="ar-SA"/>
        </w:rPr>
        <w:t>- Based on “per 100 cubic feet”.</w:t>
      </w:r>
    </w:p>
    <w:p w:rsidR="001A023C" w:rsidRPr="00263F7B" w:rsidRDefault="00B55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eastAsia="Times New Roman"/>
          <w:sz w:val="20"/>
          <w:szCs w:val="20"/>
          <w:lang w:bidi="ar-SA"/>
        </w:rPr>
      </w:pPr>
      <w:r w:rsidRPr="00263F7B">
        <w:rPr>
          <w:rFonts w:eastAsia="Times New Roman"/>
          <w:vertAlign w:val="superscript"/>
          <w:lang w:bidi="ar-SA"/>
        </w:rPr>
        <w:t>3</w:t>
      </w:r>
      <w:r w:rsidR="00AA1ADC" w:rsidRPr="00263F7B">
        <w:rPr>
          <w:rFonts w:eastAsia="Times New Roman"/>
          <w:lang w:bidi="ar-SA"/>
        </w:rPr>
        <w:t xml:space="preserve"> </w:t>
      </w:r>
      <w:r w:rsidR="00AA1ADC" w:rsidRPr="00263F7B">
        <w:rPr>
          <w:rFonts w:eastAsia="Times New Roman"/>
          <w:sz w:val="20"/>
          <w:szCs w:val="20"/>
          <w:lang w:bidi="ar-SA"/>
        </w:rPr>
        <w:t xml:space="preserve">-Applied during the period May 1 to September 30 for usage over 3,000 cubic feet. </w:t>
      </w:r>
    </w:p>
    <w:p w:rsidR="001A023C" w:rsidRPr="00263F7B" w:rsidRDefault="001A0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eastAsia="Times New Roman"/>
          <w:sz w:val="20"/>
          <w:szCs w:val="20"/>
          <w:lang w:bidi="ar-SA"/>
        </w:rPr>
      </w:pPr>
    </w:p>
    <w:p w:rsidR="009270B9" w:rsidRPr="00263F7B" w:rsidRDefault="009270B9" w:rsidP="0099460C">
      <w:pPr>
        <w:jc w:val="center"/>
        <w:rPr>
          <w:rFonts w:eastAsia="Times New Roman"/>
          <w:b/>
          <w:u w:val="single"/>
          <w:lang w:bidi="ar-SA"/>
        </w:rPr>
      </w:pPr>
      <w:r w:rsidRPr="00263F7B">
        <w:rPr>
          <w:rFonts w:eastAsia="Times New Roman"/>
          <w:b/>
          <w:u w:val="single"/>
          <w:lang w:bidi="ar-SA"/>
        </w:rPr>
        <w:t>Average Bill Comparison</w:t>
      </w:r>
      <w:r w:rsidR="00113C1F" w:rsidRPr="00263F7B">
        <w:rPr>
          <w:rFonts w:eastAsia="Times New Roman"/>
          <w:b/>
          <w:u w:val="single"/>
          <w:lang w:bidi="ar-SA"/>
        </w:rPr>
        <w:t xml:space="preserve"> - </w:t>
      </w:r>
      <w:r w:rsidR="00D17B76" w:rsidRPr="00263F7B">
        <w:rPr>
          <w:rFonts w:eastAsia="Times New Roman"/>
          <w:b/>
          <w:u w:val="single"/>
          <w:lang w:bidi="ar-SA"/>
        </w:rPr>
        <w:t>Residential</w:t>
      </w:r>
    </w:p>
    <w:p w:rsidR="009270B9" w:rsidRPr="00263F7B"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2070"/>
        <w:gridCol w:w="2430"/>
        <w:gridCol w:w="2088"/>
      </w:tblGrid>
      <w:tr w:rsidR="00E000E0" w:rsidRPr="00263F7B" w:rsidTr="00E000E0">
        <w:tc>
          <w:tcPr>
            <w:tcW w:w="1560" w:type="pct"/>
          </w:tcPr>
          <w:p w:rsidR="00E000E0" w:rsidRPr="00263F7B" w:rsidRDefault="00E000E0" w:rsidP="009270B9">
            <w:pPr>
              <w:keepNext/>
              <w:widowControl w:val="0"/>
              <w:autoSpaceDE w:val="0"/>
              <w:autoSpaceDN w:val="0"/>
              <w:adjustRightInd w:val="0"/>
              <w:jc w:val="center"/>
              <w:outlineLvl w:val="0"/>
              <w:rPr>
                <w:rFonts w:eastAsia="Times New Roman"/>
                <w:b/>
                <w:lang w:bidi="ar-SA"/>
              </w:rPr>
            </w:pPr>
            <w:r w:rsidRPr="00263F7B">
              <w:rPr>
                <w:rFonts w:eastAsia="Times New Roman"/>
                <w:b/>
                <w:lang w:bidi="ar-SA"/>
              </w:rPr>
              <w:t>Average Monthly Usage</w:t>
            </w:r>
          </w:p>
          <w:p w:rsidR="001A0049" w:rsidRPr="00263F7B" w:rsidRDefault="006E6E05">
            <w:pPr>
              <w:keepNext/>
              <w:widowControl w:val="0"/>
              <w:autoSpaceDE w:val="0"/>
              <w:autoSpaceDN w:val="0"/>
              <w:adjustRightInd w:val="0"/>
              <w:jc w:val="center"/>
              <w:outlineLvl w:val="0"/>
              <w:rPr>
                <w:rFonts w:eastAsia="Times New Roman"/>
                <w:b/>
                <w:lang w:bidi="ar-SA"/>
              </w:rPr>
            </w:pPr>
            <w:r w:rsidRPr="00263F7B">
              <w:rPr>
                <w:rFonts w:eastAsia="Times New Roman"/>
                <w:b/>
                <w:lang w:bidi="ar-SA"/>
              </w:rPr>
              <w:t>866</w:t>
            </w:r>
            <w:r w:rsidR="00E000E0" w:rsidRPr="00263F7B">
              <w:rPr>
                <w:rFonts w:eastAsia="Times New Roman"/>
                <w:b/>
                <w:lang w:bidi="ar-SA"/>
              </w:rPr>
              <w:t xml:space="preserve"> cubic feet</w:t>
            </w:r>
            <w:r w:rsidR="001E611B" w:rsidRPr="00263F7B">
              <w:rPr>
                <w:vertAlign w:val="superscript"/>
              </w:rPr>
              <w:t>1,2,4</w:t>
            </w:r>
          </w:p>
        </w:tc>
        <w:tc>
          <w:tcPr>
            <w:tcW w:w="1081" w:type="pct"/>
            <w:vAlign w:val="center"/>
          </w:tcPr>
          <w:p w:rsidR="00E000E0" w:rsidRPr="00263F7B" w:rsidRDefault="00E000E0" w:rsidP="009270B9">
            <w:pPr>
              <w:widowControl w:val="0"/>
              <w:autoSpaceDE w:val="0"/>
              <w:autoSpaceDN w:val="0"/>
              <w:adjustRightInd w:val="0"/>
              <w:jc w:val="center"/>
              <w:rPr>
                <w:rFonts w:eastAsia="Times New Roman"/>
                <w:b/>
                <w:lang w:bidi="ar-SA"/>
              </w:rPr>
            </w:pPr>
          </w:p>
          <w:p w:rsidR="00E000E0" w:rsidRPr="00263F7B" w:rsidRDefault="00E000E0" w:rsidP="009270B9">
            <w:pPr>
              <w:widowControl w:val="0"/>
              <w:autoSpaceDE w:val="0"/>
              <w:autoSpaceDN w:val="0"/>
              <w:adjustRightInd w:val="0"/>
              <w:jc w:val="center"/>
              <w:rPr>
                <w:rFonts w:eastAsia="Times New Roman"/>
                <w:b/>
                <w:lang w:bidi="ar-SA"/>
              </w:rPr>
            </w:pPr>
            <w:r w:rsidRPr="00263F7B">
              <w:rPr>
                <w:rFonts w:eastAsia="Times New Roman"/>
                <w:b/>
                <w:lang w:bidi="ar-SA"/>
              </w:rPr>
              <w:t>Current Rate</w:t>
            </w:r>
          </w:p>
        </w:tc>
        <w:tc>
          <w:tcPr>
            <w:tcW w:w="1269" w:type="pct"/>
          </w:tcPr>
          <w:p w:rsidR="00E000E0" w:rsidRPr="00263F7B" w:rsidRDefault="00E000E0" w:rsidP="009270B9">
            <w:pPr>
              <w:widowControl w:val="0"/>
              <w:autoSpaceDE w:val="0"/>
              <w:autoSpaceDN w:val="0"/>
              <w:adjustRightInd w:val="0"/>
              <w:jc w:val="center"/>
              <w:rPr>
                <w:rFonts w:eastAsia="Times New Roman"/>
                <w:b/>
                <w:lang w:bidi="ar-SA"/>
              </w:rPr>
            </w:pPr>
          </w:p>
          <w:p w:rsidR="00E000E0" w:rsidRPr="00263F7B" w:rsidRDefault="00E000E0" w:rsidP="009270B9">
            <w:pPr>
              <w:widowControl w:val="0"/>
              <w:autoSpaceDE w:val="0"/>
              <w:autoSpaceDN w:val="0"/>
              <w:adjustRightInd w:val="0"/>
              <w:jc w:val="center"/>
              <w:rPr>
                <w:rFonts w:eastAsia="Times New Roman"/>
                <w:b/>
                <w:lang w:bidi="ar-SA"/>
              </w:rPr>
            </w:pPr>
            <w:r w:rsidRPr="00263F7B">
              <w:rPr>
                <w:rFonts w:eastAsia="Times New Roman"/>
                <w:b/>
                <w:lang w:bidi="ar-SA"/>
              </w:rPr>
              <w:t>Proposed Rate</w:t>
            </w:r>
          </w:p>
        </w:tc>
        <w:tc>
          <w:tcPr>
            <w:tcW w:w="1090" w:type="pct"/>
          </w:tcPr>
          <w:p w:rsidR="00E000E0" w:rsidRPr="00263F7B" w:rsidRDefault="00E000E0" w:rsidP="009270B9">
            <w:pPr>
              <w:widowControl w:val="0"/>
              <w:autoSpaceDE w:val="0"/>
              <w:autoSpaceDN w:val="0"/>
              <w:adjustRightInd w:val="0"/>
              <w:jc w:val="center"/>
              <w:rPr>
                <w:rFonts w:eastAsia="Times New Roman"/>
                <w:b/>
                <w:lang w:bidi="ar-SA"/>
              </w:rPr>
            </w:pPr>
          </w:p>
          <w:p w:rsidR="00E000E0" w:rsidRPr="00263F7B" w:rsidRDefault="00E000E0" w:rsidP="009270B9">
            <w:pPr>
              <w:widowControl w:val="0"/>
              <w:autoSpaceDE w:val="0"/>
              <w:autoSpaceDN w:val="0"/>
              <w:adjustRightInd w:val="0"/>
              <w:jc w:val="center"/>
              <w:rPr>
                <w:rFonts w:eastAsia="Times New Roman"/>
                <w:b/>
                <w:lang w:bidi="ar-SA"/>
              </w:rPr>
            </w:pPr>
            <w:r w:rsidRPr="00263F7B">
              <w:rPr>
                <w:rFonts w:eastAsia="Times New Roman"/>
                <w:b/>
                <w:lang w:bidi="ar-SA"/>
              </w:rPr>
              <w:t>Revised Rate</w:t>
            </w:r>
          </w:p>
        </w:tc>
      </w:tr>
      <w:tr w:rsidR="00E000E0" w:rsidRPr="00263F7B" w:rsidTr="00E000E0">
        <w:tc>
          <w:tcPr>
            <w:tcW w:w="1560" w:type="pct"/>
          </w:tcPr>
          <w:p w:rsidR="00E000E0" w:rsidRPr="00263F7B" w:rsidRDefault="00E000E0" w:rsidP="009E6C39">
            <w:pPr>
              <w:keepNext/>
              <w:widowControl w:val="0"/>
              <w:autoSpaceDE w:val="0"/>
              <w:autoSpaceDN w:val="0"/>
              <w:adjustRightInd w:val="0"/>
              <w:outlineLvl w:val="0"/>
              <w:rPr>
                <w:rFonts w:eastAsia="Times New Roman"/>
                <w:lang w:bidi="ar-SA"/>
              </w:rPr>
            </w:pPr>
            <w:r w:rsidRPr="00263F7B">
              <w:rPr>
                <w:rFonts w:eastAsia="Times New Roman"/>
                <w:lang w:bidi="ar-SA"/>
              </w:rPr>
              <w:t>Base Rate (</w:t>
            </w:r>
            <w:r w:rsidR="005F27B0" w:rsidRPr="00263F7B">
              <w:rPr>
                <w:rFonts w:eastAsia="Times New Roman"/>
                <w:lang w:bidi="ar-SA"/>
              </w:rPr>
              <w:t>5/8-inch</w:t>
            </w:r>
            <w:r w:rsidRPr="00263F7B">
              <w:rPr>
                <w:rFonts w:eastAsia="Times New Roman"/>
                <w:lang w:bidi="ar-SA"/>
              </w:rPr>
              <w:t xml:space="preserve"> meter)</w:t>
            </w:r>
          </w:p>
        </w:tc>
        <w:tc>
          <w:tcPr>
            <w:tcW w:w="1081" w:type="pct"/>
          </w:tcPr>
          <w:p w:rsidR="00E000E0" w:rsidRPr="00263F7B" w:rsidRDefault="00E000E0" w:rsidP="0080117F">
            <w:pPr>
              <w:widowControl w:val="0"/>
              <w:autoSpaceDE w:val="0"/>
              <w:autoSpaceDN w:val="0"/>
              <w:adjustRightInd w:val="0"/>
              <w:jc w:val="center"/>
              <w:rPr>
                <w:rFonts w:eastAsia="Times New Roman"/>
                <w:lang w:bidi="ar-SA"/>
              </w:rPr>
            </w:pPr>
            <w:r w:rsidRPr="00263F7B">
              <w:rPr>
                <w:rFonts w:eastAsia="Times New Roman"/>
                <w:lang w:bidi="ar-SA"/>
              </w:rPr>
              <w:t>$15.80</w:t>
            </w:r>
          </w:p>
        </w:tc>
        <w:tc>
          <w:tcPr>
            <w:tcW w:w="1269" w:type="pct"/>
          </w:tcPr>
          <w:p w:rsidR="00E000E0" w:rsidRPr="00263F7B" w:rsidRDefault="00E000E0" w:rsidP="00F40EE9">
            <w:pPr>
              <w:widowControl w:val="0"/>
              <w:autoSpaceDE w:val="0"/>
              <w:autoSpaceDN w:val="0"/>
              <w:adjustRightInd w:val="0"/>
              <w:jc w:val="center"/>
              <w:rPr>
                <w:rFonts w:eastAsia="Times New Roman"/>
                <w:lang w:bidi="ar-SA"/>
              </w:rPr>
            </w:pPr>
            <w:r w:rsidRPr="00263F7B">
              <w:rPr>
                <w:rFonts w:eastAsia="Times New Roman"/>
                <w:lang w:bidi="ar-SA"/>
              </w:rPr>
              <w:t>$12.20</w:t>
            </w:r>
          </w:p>
        </w:tc>
        <w:tc>
          <w:tcPr>
            <w:tcW w:w="1090" w:type="pct"/>
          </w:tcPr>
          <w:p w:rsidR="00134CD2" w:rsidRPr="00263F7B" w:rsidRDefault="00CA0FD1">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11.55</w:t>
            </w:r>
          </w:p>
        </w:tc>
      </w:tr>
      <w:tr w:rsidR="00E000E0" w:rsidRPr="00263F7B" w:rsidTr="00E000E0">
        <w:tc>
          <w:tcPr>
            <w:tcW w:w="1560" w:type="pct"/>
          </w:tcPr>
          <w:p w:rsidR="00E000E0" w:rsidRPr="00263F7B" w:rsidRDefault="00E000E0" w:rsidP="00806746">
            <w:pPr>
              <w:keepNext/>
              <w:widowControl w:val="0"/>
              <w:autoSpaceDE w:val="0"/>
              <w:autoSpaceDN w:val="0"/>
              <w:adjustRightInd w:val="0"/>
              <w:outlineLvl w:val="0"/>
              <w:rPr>
                <w:rFonts w:eastAsia="Times New Roman"/>
                <w:lang w:bidi="ar-SA"/>
              </w:rPr>
            </w:pPr>
            <w:r w:rsidRPr="00263F7B">
              <w:rPr>
                <w:rFonts w:eastAsia="Times New Roman"/>
                <w:lang w:bidi="ar-SA"/>
              </w:rPr>
              <w:t>Generator Surcharge</w:t>
            </w:r>
          </w:p>
        </w:tc>
        <w:tc>
          <w:tcPr>
            <w:tcW w:w="1081" w:type="pct"/>
            <w:vAlign w:val="center"/>
          </w:tcPr>
          <w:p w:rsidR="00E000E0" w:rsidRPr="00263F7B" w:rsidRDefault="00E000E0" w:rsidP="00806746">
            <w:pPr>
              <w:widowControl w:val="0"/>
              <w:autoSpaceDE w:val="0"/>
              <w:autoSpaceDN w:val="0"/>
              <w:adjustRightInd w:val="0"/>
              <w:jc w:val="center"/>
              <w:rPr>
                <w:rFonts w:eastAsia="Times New Roman"/>
                <w:lang w:bidi="ar-SA"/>
              </w:rPr>
            </w:pPr>
            <w:r w:rsidRPr="00263F7B">
              <w:rPr>
                <w:rFonts w:eastAsia="Times New Roman"/>
                <w:lang w:bidi="ar-SA"/>
              </w:rPr>
              <w:t>$0.61</w:t>
            </w:r>
          </w:p>
        </w:tc>
        <w:tc>
          <w:tcPr>
            <w:tcW w:w="1269" w:type="pct"/>
          </w:tcPr>
          <w:p w:rsidR="00E000E0" w:rsidRPr="00263F7B" w:rsidRDefault="00E000E0" w:rsidP="00806746">
            <w:pPr>
              <w:widowControl w:val="0"/>
              <w:autoSpaceDE w:val="0"/>
              <w:autoSpaceDN w:val="0"/>
              <w:adjustRightInd w:val="0"/>
              <w:jc w:val="center"/>
              <w:rPr>
                <w:rFonts w:eastAsia="Times New Roman"/>
                <w:lang w:bidi="ar-SA"/>
              </w:rPr>
            </w:pPr>
            <w:r w:rsidRPr="00263F7B">
              <w:rPr>
                <w:rFonts w:eastAsia="Times New Roman"/>
                <w:lang w:bidi="ar-SA"/>
              </w:rPr>
              <w:t>NA</w:t>
            </w:r>
          </w:p>
        </w:tc>
        <w:tc>
          <w:tcPr>
            <w:tcW w:w="1090" w:type="pct"/>
          </w:tcPr>
          <w:p w:rsidR="00E000E0" w:rsidRPr="00263F7B" w:rsidRDefault="00B45306" w:rsidP="00806746">
            <w:pPr>
              <w:widowControl w:val="0"/>
              <w:autoSpaceDE w:val="0"/>
              <w:autoSpaceDN w:val="0"/>
              <w:adjustRightInd w:val="0"/>
              <w:jc w:val="center"/>
              <w:rPr>
                <w:rFonts w:eastAsia="Times New Roman"/>
                <w:lang w:bidi="ar-SA"/>
              </w:rPr>
            </w:pPr>
            <w:r w:rsidRPr="00263F7B">
              <w:rPr>
                <w:rFonts w:eastAsia="Times New Roman"/>
                <w:lang w:bidi="ar-SA"/>
              </w:rPr>
              <w:t>NA</w:t>
            </w:r>
          </w:p>
        </w:tc>
      </w:tr>
      <w:tr w:rsidR="00E000E0" w:rsidRPr="00263F7B" w:rsidTr="00E000E0">
        <w:tc>
          <w:tcPr>
            <w:tcW w:w="1560" w:type="pct"/>
          </w:tcPr>
          <w:p w:rsidR="00E000E0" w:rsidRPr="00263F7B" w:rsidRDefault="00E000E0" w:rsidP="0080117F">
            <w:pPr>
              <w:widowControl w:val="0"/>
              <w:autoSpaceDE w:val="0"/>
              <w:autoSpaceDN w:val="0"/>
              <w:adjustRightInd w:val="0"/>
              <w:rPr>
                <w:rFonts w:eastAsia="Times New Roman"/>
                <w:lang w:bidi="ar-SA"/>
              </w:rPr>
            </w:pPr>
            <w:r w:rsidRPr="00263F7B">
              <w:rPr>
                <w:rFonts w:eastAsia="Times New Roman"/>
                <w:lang w:bidi="ar-SA"/>
              </w:rPr>
              <w:t xml:space="preserve">0 - 500 </w:t>
            </w:r>
            <w:r w:rsidR="00A929E0" w:rsidRPr="00263F7B">
              <w:rPr>
                <w:rFonts w:eastAsia="Times New Roman"/>
                <w:lang w:bidi="ar-SA"/>
              </w:rPr>
              <w:t>Cubic Feet</w:t>
            </w:r>
          </w:p>
        </w:tc>
        <w:tc>
          <w:tcPr>
            <w:tcW w:w="1081" w:type="pct"/>
          </w:tcPr>
          <w:p w:rsidR="00E000E0" w:rsidRPr="00263F7B" w:rsidRDefault="00E000E0" w:rsidP="0080117F">
            <w:pPr>
              <w:widowControl w:val="0"/>
              <w:autoSpaceDE w:val="0"/>
              <w:autoSpaceDN w:val="0"/>
              <w:adjustRightInd w:val="0"/>
              <w:jc w:val="center"/>
              <w:rPr>
                <w:rFonts w:eastAsia="Times New Roman"/>
                <w:lang w:bidi="ar-SA"/>
              </w:rPr>
            </w:pPr>
            <w:r w:rsidRPr="00263F7B">
              <w:rPr>
                <w:rFonts w:eastAsia="Times New Roman"/>
                <w:lang w:bidi="ar-SA"/>
              </w:rPr>
              <w:t>NA</w:t>
            </w:r>
          </w:p>
        </w:tc>
        <w:tc>
          <w:tcPr>
            <w:tcW w:w="1269" w:type="pct"/>
          </w:tcPr>
          <w:p w:rsidR="00E000E0" w:rsidRPr="00263F7B" w:rsidRDefault="00E000E0" w:rsidP="0080117F">
            <w:pPr>
              <w:widowControl w:val="0"/>
              <w:autoSpaceDE w:val="0"/>
              <w:autoSpaceDN w:val="0"/>
              <w:adjustRightInd w:val="0"/>
              <w:jc w:val="center"/>
              <w:rPr>
                <w:rFonts w:eastAsia="Times New Roman"/>
                <w:lang w:bidi="ar-SA"/>
              </w:rPr>
            </w:pPr>
            <w:r w:rsidRPr="00263F7B">
              <w:rPr>
                <w:rFonts w:eastAsia="Times New Roman"/>
                <w:lang w:bidi="ar-SA"/>
              </w:rPr>
              <w:t>$4.50</w:t>
            </w:r>
          </w:p>
        </w:tc>
        <w:tc>
          <w:tcPr>
            <w:tcW w:w="1090" w:type="pct"/>
          </w:tcPr>
          <w:p w:rsidR="00E000E0" w:rsidRPr="00263F7B" w:rsidRDefault="006E6E05" w:rsidP="0080117F">
            <w:pPr>
              <w:widowControl w:val="0"/>
              <w:autoSpaceDE w:val="0"/>
              <w:autoSpaceDN w:val="0"/>
              <w:adjustRightInd w:val="0"/>
              <w:jc w:val="center"/>
              <w:rPr>
                <w:rFonts w:eastAsia="Times New Roman"/>
                <w:lang w:bidi="ar-SA"/>
              </w:rPr>
            </w:pPr>
            <w:r w:rsidRPr="00263F7B">
              <w:rPr>
                <w:rFonts w:eastAsia="Times New Roman"/>
                <w:lang w:bidi="ar-SA"/>
              </w:rPr>
              <w:t>$4</w:t>
            </w:r>
            <w:r w:rsidR="00B12F58" w:rsidRPr="00263F7B">
              <w:rPr>
                <w:rFonts w:eastAsia="Times New Roman"/>
                <w:lang w:bidi="ar-SA"/>
              </w:rPr>
              <w:t>.25</w:t>
            </w:r>
          </w:p>
        </w:tc>
      </w:tr>
      <w:tr w:rsidR="001C5BD9" w:rsidRPr="00263F7B" w:rsidTr="00E000E0">
        <w:tc>
          <w:tcPr>
            <w:tcW w:w="1560" w:type="pct"/>
          </w:tcPr>
          <w:p w:rsidR="001A0049" w:rsidRPr="00263F7B" w:rsidRDefault="001C5BD9">
            <w:pPr>
              <w:widowControl w:val="0"/>
              <w:autoSpaceDE w:val="0"/>
              <w:autoSpaceDN w:val="0"/>
              <w:adjustRightInd w:val="0"/>
              <w:rPr>
                <w:rFonts w:eastAsia="Times New Roman"/>
                <w:lang w:bidi="ar-SA"/>
              </w:rPr>
            </w:pPr>
            <w:r w:rsidRPr="00263F7B">
              <w:rPr>
                <w:rFonts w:eastAsia="Times New Roman"/>
                <w:lang w:bidi="ar-SA"/>
              </w:rPr>
              <w:t>50</w:t>
            </w:r>
            <w:r w:rsidR="006C1860" w:rsidRPr="00263F7B">
              <w:rPr>
                <w:rFonts w:eastAsia="Times New Roman"/>
                <w:lang w:bidi="ar-SA"/>
              </w:rPr>
              <w:t>1</w:t>
            </w:r>
            <w:r w:rsidRPr="00263F7B">
              <w:rPr>
                <w:rFonts w:eastAsia="Times New Roman"/>
                <w:lang w:bidi="ar-SA"/>
              </w:rPr>
              <w:t xml:space="preserve"> - </w:t>
            </w:r>
            <w:r w:rsidR="006E6E05" w:rsidRPr="00263F7B">
              <w:rPr>
                <w:rFonts w:eastAsia="Times New Roman"/>
                <w:lang w:bidi="ar-SA"/>
              </w:rPr>
              <w:t>60</w:t>
            </w:r>
            <w:r w:rsidRPr="00263F7B">
              <w:rPr>
                <w:rFonts w:eastAsia="Times New Roman"/>
                <w:lang w:bidi="ar-SA"/>
              </w:rPr>
              <w:t xml:space="preserve">0 </w:t>
            </w:r>
            <w:r w:rsidR="00A929E0" w:rsidRPr="00263F7B">
              <w:rPr>
                <w:rFonts w:eastAsia="Times New Roman"/>
                <w:lang w:bidi="ar-SA"/>
              </w:rPr>
              <w:t>Cubic Feet</w:t>
            </w:r>
          </w:p>
        </w:tc>
        <w:tc>
          <w:tcPr>
            <w:tcW w:w="1081" w:type="pct"/>
          </w:tcPr>
          <w:p w:rsidR="001C5BD9" w:rsidRPr="00263F7B" w:rsidRDefault="001C5BD9" w:rsidP="00D65C0A">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006E6E05" w:rsidRPr="00263F7B">
              <w:rPr>
                <w:rFonts w:eastAsia="Times New Roman"/>
                <w:lang w:bidi="ar-SA"/>
              </w:rPr>
              <w:t>.85</w:t>
            </w:r>
          </w:p>
        </w:tc>
        <w:tc>
          <w:tcPr>
            <w:tcW w:w="1269" w:type="pct"/>
          </w:tcPr>
          <w:p w:rsidR="001A0049" w:rsidRPr="00263F7B" w:rsidRDefault="001C5BD9">
            <w:pPr>
              <w:widowControl w:val="0"/>
              <w:autoSpaceDE w:val="0"/>
              <w:autoSpaceDN w:val="0"/>
              <w:adjustRightInd w:val="0"/>
              <w:jc w:val="center"/>
              <w:rPr>
                <w:rFonts w:eastAsia="Times New Roman"/>
                <w:lang w:bidi="ar-SA"/>
              </w:rPr>
            </w:pPr>
            <w:r w:rsidRPr="00263F7B">
              <w:rPr>
                <w:rFonts w:eastAsia="Times New Roman"/>
                <w:lang w:bidi="ar-SA"/>
              </w:rPr>
              <w:t>$</w:t>
            </w:r>
            <w:r w:rsidR="009958B3" w:rsidRPr="00263F7B">
              <w:rPr>
                <w:rFonts w:eastAsia="Times New Roman"/>
                <w:lang w:bidi="ar-SA"/>
              </w:rPr>
              <w:t>1</w:t>
            </w:r>
            <w:r w:rsidR="006E6E05" w:rsidRPr="00263F7B">
              <w:rPr>
                <w:rFonts w:eastAsia="Times New Roman"/>
                <w:lang w:bidi="ar-SA"/>
              </w:rPr>
              <w:t>.</w:t>
            </w:r>
            <w:r w:rsidR="009958B3" w:rsidRPr="00263F7B">
              <w:rPr>
                <w:rFonts w:eastAsia="Times New Roman"/>
                <w:lang w:bidi="ar-SA"/>
              </w:rPr>
              <w:t>85</w:t>
            </w:r>
          </w:p>
        </w:tc>
        <w:tc>
          <w:tcPr>
            <w:tcW w:w="1090" w:type="pct"/>
          </w:tcPr>
          <w:p w:rsidR="001A0049" w:rsidRPr="00263F7B" w:rsidRDefault="006E6E05">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r>
      <w:tr w:rsidR="001C5BD9" w:rsidRPr="00263F7B" w:rsidTr="00E000E0">
        <w:tc>
          <w:tcPr>
            <w:tcW w:w="1560" w:type="pct"/>
          </w:tcPr>
          <w:p w:rsidR="001A0049" w:rsidRPr="00263F7B" w:rsidRDefault="006E6E05">
            <w:pPr>
              <w:widowControl w:val="0"/>
              <w:autoSpaceDE w:val="0"/>
              <w:autoSpaceDN w:val="0"/>
              <w:adjustRightInd w:val="0"/>
              <w:rPr>
                <w:rFonts w:eastAsia="Times New Roman"/>
                <w:lang w:bidi="ar-SA"/>
              </w:rPr>
            </w:pPr>
            <w:r w:rsidRPr="00263F7B">
              <w:rPr>
                <w:rFonts w:eastAsia="Times New Roman"/>
                <w:lang w:bidi="ar-SA"/>
              </w:rPr>
              <w:t>60</w:t>
            </w:r>
            <w:r w:rsidR="006C1860" w:rsidRPr="00263F7B">
              <w:rPr>
                <w:rFonts w:eastAsia="Times New Roman"/>
                <w:lang w:bidi="ar-SA"/>
              </w:rPr>
              <w:t>1</w:t>
            </w:r>
            <w:r w:rsidR="001C5BD9" w:rsidRPr="00263F7B">
              <w:rPr>
                <w:rFonts w:eastAsia="Times New Roman"/>
                <w:lang w:bidi="ar-SA"/>
              </w:rPr>
              <w:t xml:space="preserve"> - </w:t>
            </w:r>
            <w:r w:rsidRPr="00263F7B">
              <w:rPr>
                <w:rFonts w:eastAsia="Times New Roman"/>
                <w:lang w:bidi="ar-SA"/>
              </w:rPr>
              <w:t>86</w:t>
            </w:r>
            <w:r w:rsidR="001C5BD9" w:rsidRPr="00263F7B">
              <w:rPr>
                <w:rFonts w:eastAsia="Times New Roman"/>
                <w:lang w:bidi="ar-SA"/>
              </w:rPr>
              <w:t xml:space="preserve">6 </w:t>
            </w:r>
            <w:r w:rsidR="00A929E0" w:rsidRPr="00263F7B">
              <w:rPr>
                <w:rFonts w:eastAsia="Times New Roman"/>
                <w:lang w:bidi="ar-SA"/>
              </w:rPr>
              <w:t>Cubic Feet</w:t>
            </w:r>
          </w:p>
        </w:tc>
        <w:tc>
          <w:tcPr>
            <w:tcW w:w="1081" w:type="pct"/>
          </w:tcPr>
          <w:p w:rsidR="001A0049" w:rsidRPr="00263F7B" w:rsidRDefault="001C5BD9">
            <w:pPr>
              <w:widowControl w:val="0"/>
              <w:autoSpaceDE w:val="0"/>
              <w:autoSpaceDN w:val="0"/>
              <w:adjustRightInd w:val="0"/>
              <w:jc w:val="center"/>
              <w:rPr>
                <w:rFonts w:eastAsia="Times New Roman"/>
                <w:lang w:bidi="ar-SA"/>
              </w:rPr>
            </w:pPr>
            <w:r w:rsidRPr="00263F7B">
              <w:rPr>
                <w:rFonts w:eastAsia="Times New Roman"/>
                <w:lang w:bidi="ar-SA"/>
              </w:rPr>
              <w:t>$</w:t>
            </w:r>
            <w:r w:rsidR="00E52C5B" w:rsidRPr="00263F7B">
              <w:rPr>
                <w:rFonts w:eastAsia="Times New Roman"/>
                <w:lang w:bidi="ar-SA"/>
              </w:rPr>
              <w:t>2.</w:t>
            </w:r>
            <w:r w:rsidR="006E6E05" w:rsidRPr="00263F7B">
              <w:rPr>
                <w:rFonts w:eastAsia="Times New Roman"/>
                <w:lang w:bidi="ar-SA"/>
              </w:rPr>
              <w:t>26</w:t>
            </w:r>
          </w:p>
        </w:tc>
        <w:tc>
          <w:tcPr>
            <w:tcW w:w="1269" w:type="pct"/>
          </w:tcPr>
          <w:p w:rsidR="001A0049" w:rsidRPr="00263F7B" w:rsidRDefault="001C5BD9">
            <w:pPr>
              <w:widowControl w:val="0"/>
              <w:autoSpaceDE w:val="0"/>
              <w:autoSpaceDN w:val="0"/>
              <w:adjustRightInd w:val="0"/>
              <w:jc w:val="center"/>
              <w:rPr>
                <w:rFonts w:eastAsia="Times New Roman"/>
                <w:lang w:bidi="ar-SA"/>
              </w:rPr>
            </w:pPr>
            <w:r w:rsidRPr="00263F7B">
              <w:rPr>
                <w:rFonts w:eastAsia="Times New Roman"/>
                <w:lang w:bidi="ar-SA"/>
              </w:rPr>
              <w:t>$</w:t>
            </w:r>
            <w:r w:rsidR="00E52C5B" w:rsidRPr="00263F7B">
              <w:rPr>
                <w:rFonts w:eastAsia="Times New Roman"/>
                <w:lang w:bidi="ar-SA"/>
              </w:rPr>
              <w:t>4.</w:t>
            </w:r>
            <w:r w:rsidR="00E55A32" w:rsidRPr="00263F7B">
              <w:rPr>
                <w:rFonts w:eastAsia="Times New Roman"/>
                <w:lang w:bidi="ar-SA"/>
              </w:rPr>
              <w:t>92</w:t>
            </w:r>
          </w:p>
        </w:tc>
        <w:tc>
          <w:tcPr>
            <w:tcW w:w="1090" w:type="pct"/>
          </w:tcPr>
          <w:p w:rsidR="001A0049" w:rsidRPr="00263F7B" w:rsidRDefault="006E6E05">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2.41</w:t>
            </w:r>
          </w:p>
        </w:tc>
      </w:tr>
      <w:tr w:rsidR="001C5BD9" w:rsidRPr="00263F7B" w:rsidTr="00E000E0">
        <w:tc>
          <w:tcPr>
            <w:tcW w:w="1560" w:type="pct"/>
          </w:tcPr>
          <w:p w:rsidR="001C5BD9" w:rsidRPr="00263F7B" w:rsidRDefault="001C5BD9" w:rsidP="009270B9">
            <w:pPr>
              <w:widowControl w:val="0"/>
              <w:autoSpaceDE w:val="0"/>
              <w:autoSpaceDN w:val="0"/>
              <w:adjustRightInd w:val="0"/>
              <w:rPr>
                <w:rFonts w:eastAsia="Times New Roman"/>
                <w:lang w:bidi="ar-SA"/>
              </w:rPr>
            </w:pPr>
            <w:r w:rsidRPr="00263F7B">
              <w:rPr>
                <w:rFonts w:eastAsia="Times New Roman"/>
                <w:lang w:bidi="ar-SA"/>
              </w:rPr>
              <w:t>Average Monthly Bill</w:t>
            </w:r>
          </w:p>
        </w:tc>
        <w:tc>
          <w:tcPr>
            <w:tcW w:w="1081" w:type="pct"/>
            <w:tcBorders>
              <w:top w:val="single" w:sz="18" w:space="0" w:color="auto"/>
              <w:bottom w:val="single" w:sz="18" w:space="0" w:color="auto"/>
            </w:tcBorders>
          </w:tcPr>
          <w:p w:rsidR="001A0049" w:rsidRPr="00263F7B" w:rsidRDefault="001C5BD9">
            <w:pPr>
              <w:widowControl w:val="0"/>
              <w:autoSpaceDE w:val="0"/>
              <w:autoSpaceDN w:val="0"/>
              <w:adjustRightInd w:val="0"/>
              <w:jc w:val="center"/>
              <w:rPr>
                <w:rFonts w:eastAsia="Times New Roman"/>
                <w:lang w:bidi="ar-SA"/>
              </w:rPr>
            </w:pPr>
            <w:r w:rsidRPr="00263F7B">
              <w:rPr>
                <w:rFonts w:eastAsia="Times New Roman"/>
                <w:lang w:bidi="ar-SA"/>
              </w:rPr>
              <w:t>$</w:t>
            </w:r>
            <w:r w:rsidR="00E55A32" w:rsidRPr="00263F7B">
              <w:rPr>
                <w:rFonts w:eastAsia="Times New Roman"/>
                <w:lang w:bidi="ar-SA"/>
              </w:rPr>
              <w:t>19.52</w:t>
            </w:r>
          </w:p>
        </w:tc>
        <w:tc>
          <w:tcPr>
            <w:tcW w:w="1269" w:type="pct"/>
            <w:tcBorders>
              <w:top w:val="single" w:sz="18" w:space="0" w:color="auto"/>
              <w:bottom w:val="single" w:sz="18" w:space="0" w:color="auto"/>
            </w:tcBorders>
          </w:tcPr>
          <w:p w:rsidR="001A0049" w:rsidRPr="00263F7B" w:rsidRDefault="001C5BD9">
            <w:pPr>
              <w:widowControl w:val="0"/>
              <w:autoSpaceDE w:val="0"/>
              <w:autoSpaceDN w:val="0"/>
              <w:adjustRightInd w:val="0"/>
              <w:jc w:val="center"/>
              <w:rPr>
                <w:rFonts w:eastAsia="Times New Roman"/>
                <w:lang w:bidi="ar-SA"/>
              </w:rPr>
            </w:pPr>
            <w:r w:rsidRPr="00263F7B">
              <w:rPr>
                <w:rFonts w:eastAsia="Times New Roman"/>
                <w:lang w:bidi="ar-SA"/>
              </w:rPr>
              <w:t>$</w:t>
            </w:r>
            <w:r w:rsidR="00E55A32" w:rsidRPr="00263F7B">
              <w:rPr>
                <w:rFonts w:eastAsia="Times New Roman"/>
                <w:lang w:bidi="ar-SA"/>
              </w:rPr>
              <w:t>2</w:t>
            </w:r>
            <w:r w:rsidR="009958B3" w:rsidRPr="00263F7B">
              <w:rPr>
                <w:rFonts w:eastAsia="Times New Roman"/>
                <w:lang w:bidi="ar-SA"/>
              </w:rPr>
              <w:t>3.47</w:t>
            </w:r>
          </w:p>
        </w:tc>
        <w:tc>
          <w:tcPr>
            <w:tcW w:w="1090" w:type="pct"/>
            <w:tcBorders>
              <w:top w:val="single" w:sz="18" w:space="0" w:color="auto"/>
              <w:bottom w:val="single" w:sz="18" w:space="0" w:color="auto"/>
            </w:tcBorders>
          </w:tcPr>
          <w:p w:rsidR="00134CD2"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$1</w:t>
            </w:r>
            <w:r w:rsidR="00094C96" w:rsidRPr="00263F7B">
              <w:rPr>
                <w:rFonts w:eastAsia="Times New Roman"/>
                <w:lang w:bidi="ar-SA"/>
              </w:rPr>
              <w:t>9.06</w:t>
            </w:r>
          </w:p>
        </w:tc>
      </w:tr>
      <w:tr w:rsidR="001C5BD9" w:rsidRPr="00263F7B" w:rsidTr="00E000E0">
        <w:tc>
          <w:tcPr>
            <w:tcW w:w="1560" w:type="pct"/>
          </w:tcPr>
          <w:p w:rsidR="001C5BD9" w:rsidRPr="00263F7B" w:rsidRDefault="001C5BD9" w:rsidP="009270B9">
            <w:pPr>
              <w:widowControl w:val="0"/>
              <w:autoSpaceDE w:val="0"/>
              <w:autoSpaceDN w:val="0"/>
              <w:adjustRightInd w:val="0"/>
              <w:rPr>
                <w:rFonts w:eastAsia="Times New Roman"/>
                <w:lang w:bidi="ar-SA"/>
              </w:rPr>
            </w:pPr>
            <w:r w:rsidRPr="00263F7B">
              <w:t>Increase From Current Rates</w:t>
            </w:r>
          </w:p>
        </w:tc>
        <w:tc>
          <w:tcPr>
            <w:tcW w:w="1081" w:type="pct"/>
            <w:tcBorders>
              <w:top w:val="single" w:sz="18" w:space="0" w:color="auto"/>
              <w:bottom w:val="double" w:sz="4" w:space="0" w:color="auto"/>
            </w:tcBorders>
          </w:tcPr>
          <w:p w:rsidR="001C5BD9" w:rsidRPr="00263F7B" w:rsidRDefault="001C5BD9" w:rsidP="009270B9">
            <w:pPr>
              <w:widowControl w:val="0"/>
              <w:autoSpaceDE w:val="0"/>
              <w:autoSpaceDN w:val="0"/>
              <w:adjustRightInd w:val="0"/>
              <w:jc w:val="center"/>
              <w:rPr>
                <w:rFonts w:eastAsia="Times New Roman"/>
                <w:lang w:bidi="ar-SA"/>
              </w:rPr>
            </w:pPr>
          </w:p>
        </w:tc>
        <w:tc>
          <w:tcPr>
            <w:tcW w:w="1269" w:type="pct"/>
            <w:tcBorders>
              <w:top w:val="single" w:sz="18" w:space="0" w:color="auto"/>
              <w:bottom w:val="double" w:sz="4" w:space="0" w:color="auto"/>
            </w:tcBorders>
          </w:tcPr>
          <w:p w:rsidR="001A0049" w:rsidRPr="00263F7B" w:rsidRDefault="009958B3">
            <w:pPr>
              <w:widowControl w:val="0"/>
              <w:autoSpaceDE w:val="0"/>
              <w:autoSpaceDN w:val="0"/>
              <w:adjustRightInd w:val="0"/>
              <w:jc w:val="center"/>
              <w:rPr>
                <w:rFonts w:eastAsia="Times New Roman"/>
                <w:lang w:bidi="ar-SA"/>
              </w:rPr>
            </w:pPr>
            <w:r w:rsidRPr="00263F7B">
              <w:rPr>
                <w:rFonts w:eastAsia="Times New Roman"/>
                <w:lang w:bidi="ar-SA"/>
              </w:rPr>
              <w:t>20</w:t>
            </w:r>
            <w:r w:rsidR="001C5BD9" w:rsidRPr="00263F7B">
              <w:rPr>
                <w:rFonts w:eastAsia="Times New Roman"/>
                <w:lang w:bidi="ar-SA"/>
              </w:rPr>
              <w:t>.</w:t>
            </w:r>
            <w:r w:rsidRPr="00263F7B">
              <w:rPr>
                <w:rFonts w:eastAsia="Times New Roman"/>
                <w:lang w:bidi="ar-SA"/>
              </w:rPr>
              <w:t>2</w:t>
            </w:r>
            <w:r w:rsidR="001C5BD9" w:rsidRPr="00263F7B">
              <w:rPr>
                <w:rFonts w:eastAsia="Times New Roman"/>
                <w:lang w:bidi="ar-SA"/>
              </w:rPr>
              <w:t xml:space="preserve"> %</w:t>
            </w:r>
          </w:p>
        </w:tc>
        <w:tc>
          <w:tcPr>
            <w:tcW w:w="1090" w:type="pct"/>
            <w:tcBorders>
              <w:top w:val="single" w:sz="18" w:space="0" w:color="auto"/>
              <w:bottom w:val="double" w:sz="4" w:space="0" w:color="auto"/>
            </w:tcBorders>
          </w:tcPr>
          <w:p w:rsidR="00134CD2" w:rsidRPr="00263F7B" w:rsidRDefault="00E55A32">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2</w:t>
            </w:r>
            <w:r w:rsidR="00513D97" w:rsidRPr="00263F7B">
              <w:rPr>
                <w:rFonts w:eastAsia="Times New Roman"/>
                <w:lang w:bidi="ar-SA"/>
              </w:rPr>
              <w:t>.</w:t>
            </w:r>
            <w:r w:rsidR="00094C96" w:rsidRPr="00263F7B">
              <w:rPr>
                <w:rFonts w:eastAsia="Times New Roman"/>
                <w:lang w:bidi="ar-SA"/>
              </w:rPr>
              <w:t>4</w:t>
            </w:r>
            <w:r w:rsidR="00113C1F" w:rsidRPr="00263F7B">
              <w:rPr>
                <w:rFonts w:eastAsia="Times New Roman"/>
                <w:lang w:bidi="ar-SA"/>
              </w:rPr>
              <w:t xml:space="preserve"> </w:t>
            </w:r>
            <w:r w:rsidR="00513D97" w:rsidRPr="00263F7B">
              <w:rPr>
                <w:rFonts w:eastAsia="Times New Roman"/>
                <w:lang w:bidi="ar-SA"/>
              </w:rPr>
              <w:t>%</w:t>
            </w:r>
          </w:p>
        </w:tc>
      </w:tr>
    </w:tbl>
    <w:p w:rsidR="00F059F6" w:rsidRPr="00263F7B" w:rsidRDefault="00F059F6" w:rsidP="008528B0">
      <w:pPr>
        <w:jc w:val="center"/>
        <w:rPr>
          <w:rFonts w:eastAsia="Times New Roman"/>
          <w:b/>
          <w:u w:val="single"/>
          <w:lang w:bidi="ar-SA"/>
        </w:rPr>
      </w:pPr>
    </w:p>
    <w:p w:rsidR="008528B0" w:rsidRPr="00263F7B" w:rsidRDefault="008528B0" w:rsidP="008528B0">
      <w:pPr>
        <w:jc w:val="center"/>
        <w:rPr>
          <w:rFonts w:eastAsia="Times New Roman"/>
          <w:b/>
          <w:u w:val="single"/>
          <w:lang w:bidi="ar-SA"/>
        </w:rPr>
      </w:pPr>
      <w:r w:rsidRPr="00263F7B">
        <w:rPr>
          <w:rFonts w:eastAsia="Times New Roman"/>
          <w:b/>
          <w:u w:val="single"/>
          <w:lang w:bidi="ar-SA"/>
        </w:rPr>
        <w:t>Average Bill Comparison</w:t>
      </w:r>
      <w:r w:rsidR="00113C1F" w:rsidRPr="00263F7B">
        <w:rPr>
          <w:rFonts w:eastAsia="Times New Roman"/>
          <w:b/>
          <w:u w:val="single"/>
          <w:lang w:bidi="ar-SA"/>
        </w:rPr>
        <w:t xml:space="preserve"> - Commercial</w:t>
      </w:r>
    </w:p>
    <w:p w:rsidR="008528B0" w:rsidRPr="00263F7B" w:rsidRDefault="008528B0" w:rsidP="00852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2070"/>
        <w:gridCol w:w="2430"/>
        <w:gridCol w:w="2088"/>
      </w:tblGrid>
      <w:tr w:rsidR="008528B0" w:rsidRPr="00263F7B" w:rsidTr="008528B0">
        <w:tc>
          <w:tcPr>
            <w:tcW w:w="1560" w:type="pct"/>
          </w:tcPr>
          <w:p w:rsidR="008528B0" w:rsidRPr="00263F7B" w:rsidRDefault="008528B0" w:rsidP="008528B0">
            <w:pPr>
              <w:keepNext/>
              <w:widowControl w:val="0"/>
              <w:autoSpaceDE w:val="0"/>
              <w:autoSpaceDN w:val="0"/>
              <w:adjustRightInd w:val="0"/>
              <w:jc w:val="center"/>
              <w:outlineLvl w:val="0"/>
              <w:rPr>
                <w:rFonts w:eastAsia="Times New Roman"/>
                <w:b/>
                <w:lang w:bidi="ar-SA"/>
              </w:rPr>
            </w:pPr>
            <w:r w:rsidRPr="00263F7B">
              <w:rPr>
                <w:rFonts w:eastAsia="Times New Roman"/>
                <w:b/>
                <w:lang w:bidi="ar-SA"/>
              </w:rPr>
              <w:t>Average Monthly Usage</w:t>
            </w:r>
          </w:p>
          <w:p w:rsidR="001A0049" w:rsidRPr="00263F7B" w:rsidRDefault="008528B0">
            <w:pPr>
              <w:keepNext/>
              <w:widowControl w:val="0"/>
              <w:autoSpaceDE w:val="0"/>
              <w:autoSpaceDN w:val="0"/>
              <w:adjustRightInd w:val="0"/>
              <w:jc w:val="center"/>
              <w:outlineLvl w:val="0"/>
              <w:rPr>
                <w:rFonts w:eastAsia="Times New Roman"/>
                <w:b/>
                <w:lang w:bidi="ar-SA"/>
              </w:rPr>
            </w:pPr>
            <w:r w:rsidRPr="00263F7B">
              <w:rPr>
                <w:rFonts w:eastAsia="Times New Roman"/>
                <w:b/>
                <w:lang w:bidi="ar-SA"/>
              </w:rPr>
              <w:t xml:space="preserve">3,544 </w:t>
            </w:r>
            <w:r w:rsidR="00A929E0" w:rsidRPr="00263F7B">
              <w:rPr>
                <w:rFonts w:eastAsia="Times New Roman"/>
                <w:b/>
                <w:lang w:bidi="ar-SA"/>
              </w:rPr>
              <w:t>Cubic Feet</w:t>
            </w:r>
            <w:r w:rsidR="00162778" w:rsidRPr="00263F7B">
              <w:rPr>
                <w:rFonts w:eastAsia="Times New Roman"/>
                <w:b/>
                <w:vertAlign w:val="superscript"/>
                <w:lang w:bidi="ar-SA"/>
              </w:rPr>
              <w:t>4</w:t>
            </w:r>
          </w:p>
        </w:tc>
        <w:tc>
          <w:tcPr>
            <w:tcW w:w="1081" w:type="pct"/>
            <w:vAlign w:val="center"/>
          </w:tcPr>
          <w:p w:rsidR="008528B0" w:rsidRPr="00263F7B" w:rsidRDefault="008528B0" w:rsidP="008528B0">
            <w:pPr>
              <w:widowControl w:val="0"/>
              <w:autoSpaceDE w:val="0"/>
              <w:autoSpaceDN w:val="0"/>
              <w:adjustRightInd w:val="0"/>
              <w:jc w:val="center"/>
              <w:rPr>
                <w:rFonts w:eastAsia="Times New Roman"/>
                <w:b/>
                <w:lang w:bidi="ar-SA"/>
              </w:rPr>
            </w:pPr>
          </w:p>
          <w:p w:rsidR="008528B0" w:rsidRPr="00263F7B" w:rsidRDefault="008528B0" w:rsidP="008528B0">
            <w:pPr>
              <w:widowControl w:val="0"/>
              <w:autoSpaceDE w:val="0"/>
              <w:autoSpaceDN w:val="0"/>
              <w:adjustRightInd w:val="0"/>
              <w:jc w:val="center"/>
              <w:rPr>
                <w:rFonts w:eastAsia="Times New Roman"/>
                <w:b/>
                <w:lang w:bidi="ar-SA"/>
              </w:rPr>
            </w:pPr>
            <w:r w:rsidRPr="00263F7B">
              <w:rPr>
                <w:rFonts w:eastAsia="Times New Roman"/>
                <w:b/>
                <w:lang w:bidi="ar-SA"/>
              </w:rPr>
              <w:t>Current Rate</w:t>
            </w:r>
          </w:p>
        </w:tc>
        <w:tc>
          <w:tcPr>
            <w:tcW w:w="1269" w:type="pct"/>
          </w:tcPr>
          <w:p w:rsidR="008528B0" w:rsidRPr="00263F7B" w:rsidRDefault="008528B0" w:rsidP="008528B0">
            <w:pPr>
              <w:widowControl w:val="0"/>
              <w:autoSpaceDE w:val="0"/>
              <w:autoSpaceDN w:val="0"/>
              <w:adjustRightInd w:val="0"/>
              <w:jc w:val="center"/>
              <w:rPr>
                <w:rFonts w:eastAsia="Times New Roman"/>
                <w:b/>
                <w:lang w:bidi="ar-SA"/>
              </w:rPr>
            </w:pPr>
          </w:p>
          <w:p w:rsidR="008528B0" w:rsidRPr="00263F7B" w:rsidRDefault="008528B0" w:rsidP="008528B0">
            <w:pPr>
              <w:widowControl w:val="0"/>
              <w:autoSpaceDE w:val="0"/>
              <w:autoSpaceDN w:val="0"/>
              <w:adjustRightInd w:val="0"/>
              <w:jc w:val="center"/>
              <w:rPr>
                <w:rFonts w:eastAsia="Times New Roman"/>
                <w:b/>
                <w:lang w:bidi="ar-SA"/>
              </w:rPr>
            </w:pPr>
            <w:r w:rsidRPr="00263F7B">
              <w:rPr>
                <w:rFonts w:eastAsia="Times New Roman"/>
                <w:b/>
                <w:lang w:bidi="ar-SA"/>
              </w:rPr>
              <w:t>Proposed Rate</w:t>
            </w:r>
          </w:p>
        </w:tc>
        <w:tc>
          <w:tcPr>
            <w:tcW w:w="1090" w:type="pct"/>
          </w:tcPr>
          <w:p w:rsidR="008528B0" w:rsidRPr="00263F7B" w:rsidRDefault="008528B0" w:rsidP="008528B0">
            <w:pPr>
              <w:widowControl w:val="0"/>
              <w:autoSpaceDE w:val="0"/>
              <w:autoSpaceDN w:val="0"/>
              <w:adjustRightInd w:val="0"/>
              <w:jc w:val="center"/>
              <w:rPr>
                <w:rFonts w:eastAsia="Times New Roman"/>
                <w:b/>
                <w:lang w:bidi="ar-SA"/>
              </w:rPr>
            </w:pPr>
          </w:p>
          <w:p w:rsidR="008528B0" w:rsidRPr="00263F7B" w:rsidRDefault="008528B0" w:rsidP="008528B0">
            <w:pPr>
              <w:widowControl w:val="0"/>
              <w:autoSpaceDE w:val="0"/>
              <w:autoSpaceDN w:val="0"/>
              <w:adjustRightInd w:val="0"/>
              <w:jc w:val="center"/>
              <w:rPr>
                <w:rFonts w:eastAsia="Times New Roman"/>
                <w:b/>
                <w:lang w:bidi="ar-SA"/>
              </w:rPr>
            </w:pPr>
            <w:r w:rsidRPr="00263F7B">
              <w:rPr>
                <w:rFonts w:eastAsia="Times New Roman"/>
                <w:b/>
                <w:lang w:bidi="ar-SA"/>
              </w:rPr>
              <w:t>Revised Rate</w:t>
            </w:r>
          </w:p>
        </w:tc>
      </w:tr>
      <w:tr w:rsidR="008528B0" w:rsidRPr="00263F7B" w:rsidTr="008528B0">
        <w:tc>
          <w:tcPr>
            <w:tcW w:w="1560" w:type="pct"/>
          </w:tcPr>
          <w:p w:rsidR="008528B0" w:rsidRPr="00263F7B" w:rsidRDefault="008528B0" w:rsidP="008528B0">
            <w:pPr>
              <w:keepNext/>
              <w:widowControl w:val="0"/>
              <w:autoSpaceDE w:val="0"/>
              <w:autoSpaceDN w:val="0"/>
              <w:adjustRightInd w:val="0"/>
              <w:outlineLvl w:val="0"/>
              <w:rPr>
                <w:rFonts w:eastAsia="Times New Roman"/>
                <w:lang w:bidi="ar-SA"/>
              </w:rPr>
            </w:pPr>
            <w:r w:rsidRPr="00263F7B">
              <w:rPr>
                <w:rFonts w:eastAsia="Times New Roman"/>
                <w:lang w:bidi="ar-SA"/>
              </w:rPr>
              <w:t>Base Rate (</w:t>
            </w:r>
            <w:r w:rsidR="005F27B0" w:rsidRPr="00263F7B">
              <w:rPr>
                <w:rFonts w:eastAsia="Times New Roman"/>
                <w:lang w:bidi="ar-SA"/>
              </w:rPr>
              <w:t>5/8-inch</w:t>
            </w:r>
            <w:r w:rsidRPr="00263F7B">
              <w:rPr>
                <w:rFonts w:eastAsia="Times New Roman"/>
                <w:lang w:bidi="ar-SA"/>
              </w:rPr>
              <w:t xml:space="preserve"> meter)</w:t>
            </w:r>
          </w:p>
        </w:tc>
        <w:tc>
          <w:tcPr>
            <w:tcW w:w="1081" w:type="pct"/>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$15.80</w:t>
            </w:r>
          </w:p>
        </w:tc>
        <w:tc>
          <w:tcPr>
            <w:tcW w:w="1269" w:type="pct"/>
          </w:tcPr>
          <w:p w:rsidR="001A0049"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$18.30</w:t>
            </w:r>
          </w:p>
        </w:tc>
        <w:tc>
          <w:tcPr>
            <w:tcW w:w="1090" w:type="pct"/>
          </w:tcPr>
          <w:p w:rsidR="00134CD2"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11.55</w:t>
            </w:r>
          </w:p>
        </w:tc>
      </w:tr>
      <w:tr w:rsidR="008528B0" w:rsidRPr="00263F7B" w:rsidTr="008528B0">
        <w:tc>
          <w:tcPr>
            <w:tcW w:w="1560" w:type="pct"/>
          </w:tcPr>
          <w:p w:rsidR="008528B0" w:rsidRPr="00263F7B" w:rsidRDefault="008528B0" w:rsidP="008528B0">
            <w:pPr>
              <w:keepNext/>
              <w:widowControl w:val="0"/>
              <w:autoSpaceDE w:val="0"/>
              <w:autoSpaceDN w:val="0"/>
              <w:adjustRightInd w:val="0"/>
              <w:outlineLvl w:val="0"/>
              <w:rPr>
                <w:rFonts w:eastAsia="Times New Roman"/>
                <w:lang w:bidi="ar-SA"/>
              </w:rPr>
            </w:pPr>
            <w:r w:rsidRPr="00263F7B">
              <w:rPr>
                <w:rFonts w:eastAsia="Times New Roman"/>
                <w:lang w:bidi="ar-SA"/>
              </w:rPr>
              <w:t>Generator Surcharge</w:t>
            </w:r>
          </w:p>
        </w:tc>
        <w:tc>
          <w:tcPr>
            <w:tcW w:w="1081" w:type="pct"/>
            <w:vAlign w:val="center"/>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$0.61</w:t>
            </w:r>
          </w:p>
        </w:tc>
        <w:tc>
          <w:tcPr>
            <w:tcW w:w="1269" w:type="pct"/>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NA</w:t>
            </w:r>
          </w:p>
        </w:tc>
        <w:tc>
          <w:tcPr>
            <w:tcW w:w="1090" w:type="pct"/>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NA</w:t>
            </w:r>
          </w:p>
        </w:tc>
      </w:tr>
      <w:tr w:rsidR="008528B0" w:rsidRPr="00263F7B" w:rsidTr="008528B0">
        <w:tc>
          <w:tcPr>
            <w:tcW w:w="1560" w:type="pct"/>
          </w:tcPr>
          <w:p w:rsidR="008528B0" w:rsidRPr="00263F7B" w:rsidRDefault="008528B0" w:rsidP="008528B0">
            <w:pPr>
              <w:widowControl w:val="0"/>
              <w:autoSpaceDE w:val="0"/>
              <w:autoSpaceDN w:val="0"/>
              <w:adjustRightInd w:val="0"/>
              <w:rPr>
                <w:rFonts w:eastAsia="Times New Roman"/>
                <w:lang w:bidi="ar-SA"/>
              </w:rPr>
            </w:pPr>
            <w:r w:rsidRPr="00263F7B">
              <w:rPr>
                <w:rFonts w:eastAsia="Times New Roman"/>
                <w:lang w:bidi="ar-SA"/>
              </w:rPr>
              <w:t xml:space="preserve">0 - 500 </w:t>
            </w:r>
            <w:r w:rsidR="00A929E0" w:rsidRPr="00263F7B">
              <w:rPr>
                <w:rFonts w:eastAsia="Times New Roman"/>
                <w:lang w:bidi="ar-SA"/>
              </w:rPr>
              <w:t>Cubic Feet</w:t>
            </w:r>
          </w:p>
        </w:tc>
        <w:tc>
          <w:tcPr>
            <w:tcW w:w="1081" w:type="pct"/>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NA</w:t>
            </w:r>
          </w:p>
        </w:tc>
        <w:tc>
          <w:tcPr>
            <w:tcW w:w="1269" w:type="pct"/>
          </w:tcPr>
          <w:p w:rsidR="001A0049"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$5.00</w:t>
            </w:r>
          </w:p>
        </w:tc>
        <w:tc>
          <w:tcPr>
            <w:tcW w:w="1090" w:type="pct"/>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$4.25</w:t>
            </w:r>
          </w:p>
        </w:tc>
      </w:tr>
      <w:tr w:rsidR="008528B0" w:rsidRPr="00263F7B" w:rsidTr="008528B0">
        <w:tc>
          <w:tcPr>
            <w:tcW w:w="1560" w:type="pct"/>
          </w:tcPr>
          <w:p w:rsidR="008528B0" w:rsidRPr="00263F7B" w:rsidRDefault="008528B0" w:rsidP="008528B0">
            <w:pPr>
              <w:widowControl w:val="0"/>
              <w:autoSpaceDE w:val="0"/>
              <w:autoSpaceDN w:val="0"/>
              <w:adjustRightInd w:val="0"/>
              <w:rPr>
                <w:rFonts w:eastAsia="Times New Roman"/>
                <w:lang w:bidi="ar-SA"/>
              </w:rPr>
            </w:pPr>
            <w:r w:rsidRPr="00263F7B">
              <w:rPr>
                <w:rFonts w:eastAsia="Times New Roman"/>
                <w:lang w:bidi="ar-SA"/>
              </w:rPr>
              <w:t xml:space="preserve">501 - 600 </w:t>
            </w:r>
            <w:r w:rsidR="00A929E0" w:rsidRPr="00263F7B">
              <w:rPr>
                <w:rFonts w:eastAsia="Times New Roman"/>
                <w:lang w:bidi="ar-SA"/>
              </w:rPr>
              <w:t>Cubic Feet</w:t>
            </w:r>
          </w:p>
        </w:tc>
        <w:tc>
          <w:tcPr>
            <w:tcW w:w="1081" w:type="pct"/>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c>
          <w:tcPr>
            <w:tcW w:w="1269" w:type="pct"/>
          </w:tcPr>
          <w:p w:rsidR="001A0049"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$1.85</w:t>
            </w:r>
          </w:p>
        </w:tc>
        <w:tc>
          <w:tcPr>
            <w:tcW w:w="1090" w:type="pct"/>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0</w:t>
            </w:r>
            <w:r w:rsidRPr="00263F7B">
              <w:rPr>
                <w:rFonts w:eastAsia="Times New Roman"/>
                <w:lang w:bidi="ar-SA"/>
              </w:rPr>
              <w:t>.85</w:t>
            </w:r>
          </w:p>
        </w:tc>
      </w:tr>
      <w:tr w:rsidR="008528B0" w:rsidRPr="00263F7B" w:rsidTr="008528B0">
        <w:tc>
          <w:tcPr>
            <w:tcW w:w="1560" w:type="pct"/>
          </w:tcPr>
          <w:p w:rsidR="001A0049" w:rsidRPr="00263F7B" w:rsidRDefault="008528B0">
            <w:pPr>
              <w:widowControl w:val="0"/>
              <w:autoSpaceDE w:val="0"/>
              <w:autoSpaceDN w:val="0"/>
              <w:adjustRightInd w:val="0"/>
              <w:rPr>
                <w:rFonts w:eastAsia="Times New Roman"/>
                <w:lang w:bidi="ar-SA"/>
              </w:rPr>
            </w:pPr>
            <w:r w:rsidRPr="00263F7B">
              <w:rPr>
                <w:rFonts w:eastAsia="Times New Roman"/>
                <w:lang w:bidi="ar-SA"/>
              </w:rPr>
              <w:t xml:space="preserve">601 </w:t>
            </w:r>
            <w:r w:rsidR="00A3027F" w:rsidRPr="00263F7B">
              <w:rPr>
                <w:rFonts w:eastAsia="Times New Roman"/>
                <w:lang w:bidi="ar-SA"/>
              </w:rPr>
              <w:t>–</w:t>
            </w:r>
            <w:r w:rsidRPr="00263F7B">
              <w:rPr>
                <w:rFonts w:eastAsia="Times New Roman"/>
                <w:lang w:bidi="ar-SA"/>
              </w:rPr>
              <w:t xml:space="preserve"> </w:t>
            </w:r>
            <w:r w:rsidR="00A3027F" w:rsidRPr="00263F7B">
              <w:rPr>
                <w:rFonts w:eastAsia="Times New Roman"/>
                <w:lang w:bidi="ar-SA"/>
              </w:rPr>
              <w:t>3,000</w:t>
            </w:r>
            <w:r w:rsidRPr="00263F7B">
              <w:rPr>
                <w:rFonts w:eastAsia="Times New Roman"/>
                <w:lang w:bidi="ar-SA"/>
              </w:rPr>
              <w:t xml:space="preserve"> </w:t>
            </w:r>
            <w:r w:rsidR="00A929E0" w:rsidRPr="00263F7B">
              <w:rPr>
                <w:rFonts w:eastAsia="Times New Roman"/>
                <w:lang w:bidi="ar-SA"/>
              </w:rPr>
              <w:t>Cubic Feet</w:t>
            </w:r>
          </w:p>
        </w:tc>
        <w:tc>
          <w:tcPr>
            <w:tcW w:w="1081" w:type="pct"/>
          </w:tcPr>
          <w:p w:rsidR="001A0049"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$2</w:t>
            </w:r>
            <w:r w:rsidR="00A3027F" w:rsidRPr="00263F7B">
              <w:rPr>
                <w:rFonts w:eastAsia="Times New Roman"/>
                <w:lang w:bidi="ar-SA"/>
              </w:rPr>
              <w:t>0</w:t>
            </w:r>
            <w:r w:rsidRPr="00263F7B">
              <w:rPr>
                <w:rFonts w:eastAsia="Times New Roman"/>
                <w:lang w:bidi="ar-SA"/>
              </w:rPr>
              <w:t>.</w:t>
            </w:r>
            <w:r w:rsidR="00A3027F" w:rsidRPr="00263F7B">
              <w:rPr>
                <w:rFonts w:eastAsia="Times New Roman"/>
                <w:lang w:bidi="ar-SA"/>
              </w:rPr>
              <w:t>40</w:t>
            </w:r>
          </w:p>
        </w:tc>
        <w:tc>
          <w:tcPr>
            <w:tcW w:w="1269" w:type="pct"/>
          </w:tcPr>
          <w:p w:rsidR="001A0049"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$4</w:t>
            </w:r>
            <w:r w:rsidR="00A3027F" w:rsidRPr="00263F7B">
              <w:rPr>
                <w:rFonts w:eastAsia="Times New Roman"/>
                <w:lang w:bidi="ar-SA"/>
              </w:rPr>
              <w:t>4</w:t>
            </w:r>
            <w:r w:rsidRPr="00263F7B">
              <w:rPr>
                <w:rFonts w:eastAsia="Times New Roman"/>
                <w:lang w:bidi="ar-SA"/>
              </w:rPr>
              <w:t>.</w:t>
            </w:r>
            <w:r w:rsidR="00A3027F" w:rsidRPr="00263F7B">
              <w:rPr>
                <w:rFonts w:eastAsia="Times New Roman"/>
                <w:lang w:bidi="ar-SA"/>
              </w:rPr>
              <w:t>40</w:t>
            </w:r>
          </w:p>
        </w:tc>
        <w:tc>
          <w:tcPr>
            <w:tcW w:w="1090" w:type="pct"/>
          </w:tcPr>
          <w:p w:rsidR="001A0049"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$3</w:t>
            </w:r>
            <w:r w:rsidR="00094C96" w:rsidRPr="00263F7B">
              <w:rPr>
                <w:rFonts w:eastAsia="Times New Roman"/>
                <w:lang w:bidi="ar-SA"/>
              </w:rPr>
              <w:t>5.99</w:t>
            </w:r>
          </w:p>
        </w:tc>
      </w:tr>
      <w:tr w:rsidR="00A3027F" w:rsidRPr="00263F7B" w:rsidTr="00A3027F">
        <w:tc>
          <w:tcPr>
            <w:tcW w:w="1560" w:type="pct"/>
          </w:tcPr>
          <w:p w:rsidR="001A0049" w:rsidRPr="00263F7B" w:rsidRDefault="00A3027F">
            <w:pPr>
              <w:widowControl w:val="0"/>
              <w:autoSpaceDE w:val="0"/>
              <w:autoSpaceDN w:val="0"/>
              <w:adjustRightInd w:val="0"/>
              <w:rPr>
                <w:rFonts w:eastAsia="Times New Roman"/>
                <w:lang w:bidi="ar-SA"/>
              </w:rPr>
            </w:pPr>
            <w:r w:rsidRPr="00263F7B">
              <w:rPr>
                <w:rFonts w:eastAsia="Times New Roman"/>
                <w:lang w:bidi="ar-SA"/>
              </w:rPr>
              <w:t xml:space="preserve">3,001 – 3,544 </w:t>
            </w:r>
            <w:r w:rsidR="00A929E0" w:rsidRPr="00263F7B">
              <w:rPr>
                <w:rFonts w:eastAsia="Times New Roman"/>
                <w:lang w:bidi="ar-SA"/>
              </w:rPr>
              <w:t>Cubic Feet</w:t>
            </w:r>
          </w:p>
        </w:tc>
        <w:tc>
          <w:tcPr>
            <w:tcW w:w="1081" w:type="pct"/>
          </w:tcPr>
          <w:p w:rsidR="001A0049" w:rsidRPr="00263F7B" w:rsidRDefault="00A3027F">
            <w:pPr>
              <w:widowControl w:val="0"/>
              <w:autoSpaceDE w:val="0"/>
              <w:autoSpaceDN w:val="0"/>
              <w:adjustRightInd w:val="0"/>
              <w:jc w:val="center"/>
              <w:rPr>
                <w:rFonts w:eastAsia="Times New Roman"/>
                <w:lang w:bidi="ar-SA"/>
              </w:rPr>
            </w:pPr>
            <w:r w:rsidRPr="00263F7B">
              <w:rPr>
                <w:rFonts w:eastAsia="Times New Roman"/>
                <w:lang w:bidi="ar-SA"/>
              </w:rPr>
              <w:t>$4.62</w:t>
            </w:r>
          </w:p>
        </w:tc>
        <w:tc>
          <w:tcPr>
            <w:tcW w:w="1269" w:type="pct"/>
          </w:tcPr>
          <w:p w:rsidR="001A0049" w:rsidRPr="00263F7B" w:rsidRDefault="00A3027F">
            <w:pPr>
              <w:widowControl w:val="0"/>
              <w:autoSpaceDE w:val="0"/>
              <w:autoSpaceDN w:val="0"/>
              <w:adjustRightInd w:val="0"/>
              <w:jc w:val="center"/>
              <w:rPr>
                <w:rFonts w:eastAsia="Times New Roman"/>
                <w:lang w:bidi="ar-SA"/>
              </w:rPr>
            </w:pPr>
            <w:r w:rsidRPr="00263F7B">
              <w:rPr>
                <w:rFonts w:eastAsia="Times New Roman"/>
                <w:lang w:bidi="ar-SA"/>
              </w:rPr>
              <w:t>$10.06</w:t>
            </w:r>
          </w:p>
        </w:tc>
        <w:tc>
          <w:tcPr>
            <w:tcW w:w="1090" w:type="pct"/>
          </w:tcPr>
          <w:p w:rsidR="00A3027F" w:rsidRPr="00263F7B" w:rsidRDefault="00A3027F" w:rsidP="00A3027F">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11.67</w:t>
            </w:r>
          </w:p>
        </w:tc>
      </w:tr>
      <w:tr w:rsidR="008528B0" w:rsidRPr="00263F7B" w:rsidTr="008528B0">
        <w:tc>
          <w:tcPr>
            <w:tcW w:w="1560" w:type="pct"/>
          </w:tcPr>
          <w:p w:rsidR="008528B0" w:rsidRPr="00263F7B" w:rsidRDefault="008528B0" w:rsidP="008528B0">
            <w:pPr>
              <w:widowControl w:val="0"/>
              <w:autoSpaceDE w:val="0"/>
              <w:autoSpaceDN w:val="0"/>
              <w:adjustRightInd w:val="0"/>
              <w:rPr>
                <w:rFonts w:eastAsia="Times New Roman"/>
                <w:lang w:bidi="ar-SA"/>
              </w:rPr>
            </w:pPr>
            <w:r w:rsidRPr="00263F7B">
              <w:rPr>
                <w:rFonts w:eastAsia="Times New Roman"/>
                <w:lang w:bidi="ar-SA"/>
              </w:rPr>
              <w:t>Average Monthly Bill</w:t>
            </w:r>
          </w:p>
        </w:tc>
        <w:tc>
          <w:tcPr>
            <w:tcW w:w="1081" w:type="pct"/>
            <w:tcBorders>
              <w:top w:val="single" w:sz="18" w:space="0" w:color="auto"/>
              <w:bottom w:val="single" w:sz="18" w:space="0" w:color="auto"/>
            </w:tcBorders>
          </w:tcPr>
          <w:p w:rsidR="008528B0" w:rsidRPr="00263F7B" w:rsidRDefault="008528B0" w:rsidP="008528B0">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42.28</w:t>
            </w:r>
          </w:p>
        </w:tc>
        <w:tc>
          <w:tcPr>
            <w:tcW w:w="1269" w:type="pct"/>
            <w:tcBorders>
              <w:top w:val="single" w:sz="18" w:space="0" w:color="auto"/>
              <w:bottom w:val="single" w:sz="18" w:space="0" w:color="auto"/>
            </w:tcBorders>
          </w:tcPr>
          <w:p w:rsidR="001A0049"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w:t>
            </w:r>
            <w:r w:rsidR="00113C1F" w:rsidRPr="00263F7B">
              <w:rPr>
                <w:rFonts w:eastAsia="Times New Roman"/>
                <w:lang w:bidi="ar-SA"/>
              </w:rPr>
              <w:t>79.61</w:t>
            </w:r>
          </w:p>
        </w:tc>
        <w:tc>
          <w:tcPr>
            <w:tcW w:w="1090" w:type="pct"/>
            <w:tcBorders>
              <w:top w:val="single" w:sz="18" w:space="0" w:color="auto"/>
              <w:bottom w:val="single" w:sz="18" w:space="0" w:color="auto"/>
            </w:tcBorders>
          </w:tcPr>
          <w:p w:rsidR="001A0049" w:rsidRPr="00263F7B" w:rsidRDefault="008528B0">
            <w:pPr>
              <w:widowControl w:val="0"/>
              <w:autoSpaceDE w:val="0"/>
              <w:autoSpaceDN w:val="0"/>
              <w:adjustRightInd w:val="0"/>
              <w:jc w:val="center"/>
              <w:rPr>
                <w:rFonts w:eastAsia="Times New Roman"/>
                <w:lang w:bidi="ar-SA"/>
              </w:rPr>
            </w:pPr>
            <w:r w:rsidRPr="00263F7B">
              <w:rPr>
                <w:rFonts w:eastAsia="Times New Roman"/>
                <w:lang w:bidi="ar-SA"/>
              </w:rPr>
              <w:t>$</w:t>
            </w:r>
            <w:r w:rsidR="00094C96" w:rsidRPr="00263F7B">
              <w:rPr>
                <w:rFonts w:eastAsia="Times New Roman"/>
                <w:lang w:bidi="ar-SA"/>
              </w:rPr>
              <w:t>64.31</w:t>
            </w:r>
          </w:p>
        </w:tc>
      </w:tr>
      <w:tr w:rsidR="008528B0" w:rsidRPr="00263F7B" w:rsidTr="008528B0">
        <w:tc>
          <w:tcPr>
            <w:tcW w:w="1560" w:type="pct"/>
          </w:tcPr>
          <w:p w:rsidR="008528B0" w:rsidRPr="00263F7B" w:rsidRDefault="008528B0" w:rsidP="008528B0">
            <w:pPr>
              <w:widowControl w:val="0"/>
              <w:autoSpaceDE w:val="0"/>
              <w:autoSpaceDN w:val="0"/>
              <w:adjustRightInd w:val="0"/>
              <w:rPr>
                <w:rFonts w:eastAsia="Times New Roman"/>
                <w:lang w:bidi="ar-SA"/>
              </w:rPr>
            </w:pPr>
            <w:r w:rsidRPr="00263F7B">
              <w:t>Increase From Current Rates</w:t>
            </w:r>
          </w:p>
        </w:tc>
        <w:tc>
          <w:tcPr>
            <w:tcW w:w="1081" w:type="pct"/>
            <w:tcBorders>
              <w:top w:val="single" w:sz="18" w:space="0" w:color="auto"/>
              <w:bottom w:val="double" w:sz="4" w:space="0" w:color="auto"/>
            </w:tcBorders>
          </w:tcPr>
          <w:p w:rsidR="008528B0" w:rsidRPr="00263F7B" w:rsidRDefault="008528B0" w:rsidP="008528B0">
            <w:pPr>
              <w:widowControl w:val="0"/>
              <w:autoSpaceDE w:val="0"/>
              <w:autoSpaceDN w:val="0"/>
              <w:adjustRightInd w:val="0"/>
              <w:jc w:val="center"/>
              <w:rPr>
                <w:rFonts w:eastAsia="Times New Roman"/>
                <w:lang w:bidi="ar-SA"/>
              </w:rPr>
            </w:pPr>
          </w:p>
        </w:tc>
        <w:tc>
          <w:tcPr>
            <w:tcW w:w="1269" w:type="pct"/>
            <w:tcBorders>
              <w:top w:val="single" w:sz="18" w:space="0" w:color="auto"/>
              <w:bottom w:val="double" w:sz="4" w:space="0" w:color="auto"/>
            </w:tcBorders>
          </w:tcPr>
          <w:p w:rsidR="001A0049" w:rsidRPr="00263F7B" w:rsidRDefault="00113C1F">
            <w:pPr>
              <w:widowControl w:val="0"/>
              <w:autoSpaceDE w:val="0"/>
              <w:autoSpaceDN w:val="0"/>
              <w:adjustRightInd w:val="0"/>
              <w:jc w:val="center"/>
              <w:rPr>
                <w:rFonts w:eastAsia="Times New Roman"/>
                <w:lang w:bidi="ar-SA"/>
              </w:rPr>
            </w:pPr>
            <w:r w:rsidRPr="00263F7B">
              <w:rPr>
                <w:rFonts w:eastAsia="Times New Roman"/>
                <w:lang w:bidi="ar-SA"/>
              </w:rPr>
              <w:t>88.3</w:t>
            </w:r>
            <w:r w:rsidR="008528B0" w:rsidRPr="00263F7B">
              <w:rPr>
                <w:rFonts w:eastAsia="Times New Roman"/>
                <w:lang w:bidi="ar-SA"/>
              </w:rPr>
              <w:t xml:space="preserve"> %</w:t>
            </w:r>
          </w:p>
        </w:tc>
        <w:tc>
          <w:tcPr>
            <w:tcW w:w="1090" w:type="pct"/>
            <w:tcBorders>
              <w:top w:val="single" w:sz="18" w:space="0" w:color="auto"/>
              <w:bottom w:val="double" w:sz="4" w:space="0" w:color="auto"/>
            </w:tcBorders>
          </w:tcPr>
          <w:p w:rsidR="008528B0" w:rsidRPr="00263F7B" w:rsidRDefault="00094C96" w:rsidP="008528B0">
            <w:pPr>
              <w:widowControl w:val="0"/>
              <w:autoSpaceDE w:val="0"/>
              <w:autoSpaceDN w:val="0"/>
              <w:adjustRightInd w:val="0"/>
              <w:jc w:val="center"/>
              <w:rPr>
                <w:rFonts w:eastAsia="Times New Roman"/>
                <w:lang w:bidi="ar-SA"/>
              </w:rPr>
            </w:pPr>
            <w:r w:rsidRPr="00263F7B">
              <w:rPr>
                <w:rFonts w:eastAsia="Times New Roman"/>
                <w:lang w:bidi="ar-SA"/>
              </w:rPr>
              <w:t>52.1</w:t>
            </w:r>
            <w:r w:rsidR="00113C1F" w:rsidRPr="00263F7B">
              <w:rPr>
                <w:rFonts w:eastAsia="Times New Roman"/>
                <w:lang w:bidi="ar-SA"/>
              </w:rPr>
              <w:t xml:space="preserve"> </w:t>
            </w:r>
            <w:r w:rsidR="008528B0" w:rsidRPr="00263F7B">
              <w:rPr>
                <w:rFonts w:eastAsia="Times New Roman"/>
                <w:lang w:bidi="ar-SA"/>
              </w:rPr>
              <w:t>%</w:t>
            </w:r>
          </w:p>
        </w:tc>
      </w:tr>
    </w:tbl>
    <w:p w:rsidR="008528B0" w:rsidRPr="00263F7B" w:rsidRDefault="00F059F6" w:rsidP="00852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vertAlign w:val="superscript"/>
          <w:lang w:bidi="ar-SA"/>
        </w:rPr>
      </w:pPr>
      <w:r w:rsidRPr="00263F7B">
        <w:rPr>
          <w:rFonts w:eastAsia="Times New Roman"/>
          <w:vertAlign w:val="superscript"/>
          <w:lang w:bidi="ar-SA"/>
        </w:rPr>
        <w:t>4</w:t>
      </w:r>
      <w:r w:rsidR="008528B0" w:rsidRPr="00263F7B">
        <w:rPr>
          <w:rFonts w:eastAsia="Times New Roman"/>
          <w:vertAlign w:val="superscript"/>
          <w:lang w:bidi="ar-SA"/>
        </w:rPr>
        <w:t xml:space="preserve"> </w:t>
      </w:r>
      <w:r w:rsidR="00AA1ADC" w:rsidRPr="00263F7B">
        <w:rPr>
          <w:rFonts w:eastAsia="Times New Roman"/>
          <w:sz w:val="20"/>
          <w:szCs w:val="20"/>
          <w:lang w:bidi="ar-SA"/>
        </w:rPr>
        <w:t>– Based on a company-wide customer specific water average usage.</w:t>
      </w:r>
    </w:p>
    <w:p w:rsidR="009270B9" w:rsidRPr="00263F7B"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520C65" w:rsidRPr="00263F7B" w:rsidRDefault="00520C65" w:rsidP="00520C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rFonts w:eastAsia="Times New Roman"/>
          <w:b/>
          <w:u w:val="single"/>
          <w:lang w:bidi="ar-SA"/>
        </w:rPr>
      </w:pPr>
      <w:r w:rsidRPr="00263F7B">
        <w:rPr>
          <w:rFonts w:eastAsia="Times New Roman"/>
          <w:b/>
          <w:u w:val="single"/>
          <w:lang w:bidi="ar-SA"/>
        </w:rPr>
        <w:t>Conclusion</w:t>
      </w:r>
    </w:p>
    <w:p w:rsidR="00520C65" w:rsidRPr="00263F7B" w:rsidRDefault="00520C65" w:rsidP="00BE5610">
      <w:pPr>
        <w:rPr>
          <w:rFonts w:eastAsia="Times New Roman"/>
          <w:lang w:bidi="ar-SA"/>
        </w:rPr>
      </w:pPr>
    </w:p>
    <w:p w:rsidR="00C873CD" w:rsidRPr="00263F7B" w:rsidRDefault="00E000E0" w:rsidP="00BE5610">
      <w:r w:rsidRPr="00263F7B">
        <w:t>Commission staff has completed its review of the company’s supporting financial documents, books and records. Staff’s review shows that the revised expenses are reasonable and required as part of the company’s operations. The customer’s comments do not change staff’s opinion that the company’s financial information support</w:t>
      </w:r>
      <w:r w:rsidR="008308A3" w:rsidRPr="00263F7B">
        <w:t>s</w:t>
      </w:r>
      <w:r w:rsidRPr="00263F7B">
        <w:t xml:space="preserve"> the revised revenue requirement and the revised rates and charges are fair, just, reasonable, and sufficient.</w:t>
      </w:r>
    </w:p>
    <w:p w:rsidR="001A023C" w:rsidRPr="00263F7B" w:rsidRDefault="001A02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rFonts w:eastAsia="Times New Roman"/>
          <w:b/>
          <w:u w:val="single"/>
          <w:lang w:bidi="ar-SA"/>
        </w:rPr>
      </w:pPr>
    </w:p>
    <w:p w:rsidR="00520C65" w:rsidRPr="00263F7B" w:rsidRDefault="00520C65" w:rsidP="00520C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r w:rsidRPr="00263F7B">
        <w:rPr>
          <w:rFonts w:eastAsia="Times New Roman"/>
          <w:lang w:bidi="ar-SA"/>
        </w:rPr>
        <w:t>Staff recommends that the commission</w:t>
      </w:r>
      <w:r w:rsidR="00B569F1" w:rsidRPr="00263F7B">
        <w:t xml:space="preserve"> issue an Order to</w:t>
      </w:r>
      <w:r w:rsidRPr="00263F7B">
        <w:rPr>
          <w:rFonts w:eastAsia="Times New Roman"/>
          <w:lang w:bidi="ar-SA"/>
        </w:rPr>
        <w:t>:</w:t>
      </w:r>
    </w:p>
    <w:p w:rsidR="008308A3" w:rsidRPr="00263F7B" w:rsidRDefault="008308A3" w:rsidP="00830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350766" w:rsidRPr="00263F7B" w:rsidRDefault="008308A3">
      <w:pPr>
        <w:widowControl w:val="0"/>
        <w:numPr>
          <w:ilvl w:val="0"/>
          <w:numId w:val="21"/>
        </w:numPr>
        <w:autoSpaceDE w:val="0"/>
        <w:autoSpaceDN w:val="0"/>
        <w:adjustRightInd w:val="0"/>
        <w:rPr>
          <w:rFonts w:eastAsia="Times New Roman"/>
          <w:color w:val="000000"/>
          <w:lang w:bidi="ar-SA"/>
        </w:rPr>
      </w:pPr>
      <w:r w:rsidRPr="00263F7B">
        <w:rPr>
          <w:rFonts w:eastAsia="Times New Roman"/>
          <w:color w:val="000000"/>
          <w:lang w:bidi="ar-SA"/>
        </w:rPr>
        <w:t>Dismiss the Complaint and Order Suspending the Tariff Revisions filed by Rainier View Water Company, Inc., in Docket UW-091466.</w:t>
      </w:r>
    </w:p>
    <w:p w:rsidR="008308A3" w:rsidRPr="00263F7B" w:rsidRDefault="008308A3" w:rsidP="008308A3">
      <w:pPr>
        <w:widowControl w:val="0"/>
        <w:autoSpaceDE w:val="0"/>
        <w:autoSpaceDN w:val="0"/>
        <w:adjustRightInd w:val="0"/>
        <w:rPr>
          <w:rFonts w:eastAsia="Times New Roman"/>
          <w:color w:val="000000"/>
          <w:lang w:bidi="ar-SA"/>
        </w:rPr>
      </w:pPr>
    </w:p>
    <w:p w:rsidR="00350766" w:rsidRPr="00263F7B" w:rsidRDefault="008308A3">
      <w:pPr>
        <w:widowControl w:val="0"/>
        <w:numPr>
          <w:ilvl w:val="0"/>
          <w:numId w:val="21"/>
        </w:numPr>
        <w:autoSpaceDE w:val="0"/>
        <w:autoSpaceDN w:val="0"/>
        <w:adjustRightInd w:val="0"/>
        <w:rPr>
          <w:rFonts w:eastAsia="Times New Roman"/>
          <w:color w:val="000000"/>
          <w:lang w:bidi="ar-SA"/>
        </w:rPr>
      </w:pPr>
      <w:r w:rsidRPr="00263F7B">
        <w:rPr>
          <w:rFonts w:eastAsia="Times New Roman"/>
          <w:color w:val="000000"/>
          <w:lang w:bidi="ar-SA"/>
        </w:rPr>
        <w:t>Approve staff-recommended revised rates as filed by the company on May 3, 2010, to become effective June 1, 2010.</w:t>
      </w:r>
    </w:p>
    <w:p w:rsidR="008308A3" w:rsidRPr="00263F7B" w:rsidRDefault="008308A3" w:rsidP="008308A3">
      <w:pPr>
        <w:widowControl w:val="0"/>
        <w:autoSpaceDE w:val="0"/>
        <w:autoSpaceDN w:val="0"/>
        <w:adjustRightInd w:val="0"/>
        <w:rPr>
          <w:rFonts w:eastAsia="Times New Roman"/>
          <w:color w:val="000000"/>
          <w:lang w:bidi="ar-SA"/>
        </w:rPr>
      </w:pPr>
    </w:p>
    <w:p w:rsidR="00350766" w:rsidRPr="00263F7B" w:rsidRDefault="008308A3">
      <w:pPr>
        <w:widowControl w:val="0"/>
        <w:numPr>
          <w:ilvl w:val="0"/>
          <w:numId w:val="21"/>
        </w:numPr>
        <w:autoSpaceDE w:val="0"/>
        <w:autoSpaceDN w:val="0"/>
        <w:adjustRightInd w:val="0"/>
        <w:rPr>
          <w:rFonts w:eastAsia="Times New Roman"/>
          <w:color w:val="000000"/>
          <w:lang w:bidi="ar-SA"/>
        </w:rPr>
      </w:pPr>
      <w:r w:rsidRPr="00263F7B">
        <w:rPr>
          <w:rFonts w:eastAsia="Times New Roman"/>
          <w:color w:val="000000"/>
          <w:lang w:bidi="ar-SA"/>
        </w:rPr>
        <w:t>Grant the</w:t>
      </w:r>
      <w:r w:rsidRPr="00263F7B">
        <w:rPr>
          <w:rFonts w:eastAsia="Times New Roman"/>
          <w:lang w:bidi="ar-SA"/>
        </w:rPr>
        <w:t xml:space="preserve"> company’s request for an exemption from WAC 480-110-431, Tariffs, to allow the revised rates that result in increases above the level noticed to customers to become effective </w:t>
      </w:r>
      <w:r w:rsidRPr="00263F7B">
        <w:rPr>
          <w:rFonts w:eastAsia="Times New Roman"/>
          <w:lang w:bidi="ar-SA"/>
        </w:rPr>
        <w:lastRenderedPageBreak/>
        <w:t>on June 1, 2010, on less than statutory notice.</w:t>
      </w:r>
    </w:p>
    <w:p w:rsidR="008308A3" w:rsidRPr="00263F7B" w:rsidRDefault="008308A3" w:rsidP="008308A3">
      <w:pPr>
        <w:widowControl w:val="0"/>
        <w:autoSpaceDE w:val="0"/>
        <w:autoSpaceDN w:val="0"/>
        <w:adjustRightInd w:val="0"/>
        <w:ind w:left="360"/>
        <w:rPr>
          <w:rFonts w:eastAsia="Times New Roman"/>
          <w:color w:val="000000"/>
          <w:lang w:bidi="ar-SA"/>
        </w:rPr>
      </w:pPr>
      <w:r w:rsidRPr="00263F7B">
        <w:rPr>
          <w:rFonts w:eastAsia="Times New Roman"/>
          <w:lang w:bidi="ar-SA"/>
        </w:rPr>
        <w:t xml:space="preserve"> </w:t>
      </w:r>
    </w:p>
    <w:p w:rsidR="00350766" w:rsidRPr="00263F7B" w:rsidRDefault="008308A3">
      <w:pPr>
        <w:widowControl w:val="0"/>
        <w:numPr>
          <w:ilvl w:val="0"/>
          <w:numId w:val="21"/>
        </w:numPr>
        <w:autoSpaceDE w:val="0"/>
        <w:autoSpaceDN w:val="0"/>
        <w:adjustRightInd w:val="0"/>
        <w:rPr>
          <w:rFonts w:eastAsia="Times New Roman"/>
          <w:color w:val="000000"/>
          <w:lang w:bidi="ar-SA"/>
        </w:rPr>
      </w:pPr>
      <w:r w:rsidRPr="00263F7B">
        <w:rPr>
          <w:rFonts w:eastAsia="Times New Roman"/>
          <w:color w:val="000000"/>
          <w:lang w:bidi="ar-SA"/>
        </w:rPr>
        <w:t>Grant the company’s request for an exemption from WAC 480-110-425, Customer Notice, to allow the company to notify customers of increases in the next billing cycle.</w:t>
      </w:r>
    </w:p>
    <w:p w:rsidR="00EE7659" w:rsidRPr="00D9246D" w:rsidRDefault="00EE7659" w:rsidP="00D9246D">
      <w:pPr>
        <w:widowControl w:val="0"/>
        <w:autoSpaceDE w:val="0"/>
        <w:autoSpaceDN w:val="0"/>
        <w:adjustRightInd w:val="0"/>
        <w:rPr>
          <w:color w:val="000000"/>
          <w:sz w:val="22"/>
          <w:szCs w:val="22"/>
          <w:lang w:bidi="ar-SA"/>
        </w:rPr>
      </w:pPr>
    </w:p>
    <w:sectPr w:rsidR="00EE7659" w:rsidRPr="00D9246D" w:rsidSect="008A5841">
      <w:headerReference w:type="default" r:id="rId15"/>
      <w:pgSz w:w="12240" w:h="15840"/>
      <w:pgMar w:top="1440" w:right="1440"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4F8" w:rsidRDefault="00C774F8" w:rsidP="00BE5610">
      <w:r>
        <w:separator/>
      </w:r>
    </w:p>
  </w:endnote>
  <w:endnote w:type="continuationSeparator" w:id="0">
    <w:p w:rsidR="00C774F8" w:rsidRDefault="00C774F8"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4F8" w:rsidRDefault="00C774F8" w:rsidP="00BE5610">
      <w:r>
        <w:separator/>
      </w:r>
    </w:p>
  </w:footnote>
  <w:footnote w:type="continuationSeparator" w:id="0">
    <w:p w:rsidR="00C774F8" w:rsidRDefault="00C774F8" w:rsidP="00BE5610">
      <w:r>
        <w:continuationSeparator/>
      </w:r>
    </w:p>
  </w:footnote>
  <w:footnote w:id="1">
    <w:p w:rsidR="00C774F8" w:rsidRDefault="00C774F8">
      <w:pPr>
        <w:pStyle w:val="FootnoteText"/>
      </w:pPr>
      <w:r>
        <w:rPr>
          <w:rStyle w:val="FootnoteReference"/>
        </w:rPr>
        <w:footnoteRef/>
      </w:r>
      <w:r>
        <w:t xml:space="preserve"> Master meters were used strictly for verifying the billed usage data for portions of the water system.</w:t>
      </w:r>
    </w:p>
  </w:footnote>
  <w:footnote w:id="2">
    <w:p w:rsidR="00C774F8" w:rsidRDefault="00C774F8">
      <w:pPr>
        <w:pStyle w:val="FootnoteText"/>
      </w:pPr>
      <w:r>
        <w:rPr>
          <w:rStyle w:val="FootnoteReference"/>
        </w:rPr>
        <w:footnoteRef/>
      </w:r>
      <w:r>
        <w:t xml:space="preserve"> A combination of a large meter and a small meter, with a special change-over valve to accurately measure an extremely broad range of flow rates.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F8" w:rsidRPr="003B700C" w:rsidRDefault="00C774F8" w:rsidP="00BE5610">
    <w:pPr>
      <w:pStyle w:val="Header"/>
    </w:pPr>
    <w:r w:rsidRPr="003B700C">
      <w:t>Docket UW-09</w:t>
    </w:r>
    <w:r>
      <w:t>1466</w:t>
    </w:r>
  </w:p>
  <w:p w:rsidR="00C774F8" w:rsidRPr="003B700C" w:rsidRDefault="00C774F8" w:rsidP="00BE5610">
    <w:pPr>
      <w:pStyle w:val="Header"/>
    </w:pPr>
    <w:r>
      <w:t>May 13, 2010</w:t>
    </w:r>
  </w:p>
  <w:p w:rsidR="00C774F8" w:rsidRPr="003B700C" w:rsidRDefault="00C774F8" w:rsidP="00BE5610">
    <w:pPr>
      <w:pStyle w:val="Header"/>
    </w:pPr>
    <w:r w:rsidRPr="003B700C">
      <w:t xml:space="preserve">Page </w:t>
    </w:r>
    <w:fldSimple w:instr=" PAGE   \* MERGEFORMAT ">
      <w:r w:rsidR="00E028F0">
        <w:rPr>
          <w:noProof/>
        </w:rPr>
        <w:t>10</w:t>
      </w:r>
    </w:fldSimple>
  </w:p>
  <w:p w:rsidR="00C774F8" w:rsidRDefault="00C774F8"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06B00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A61E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4E3E89"/>
    <w:multiLevelType w:val="hybridMultilevel"/>
    <w:tmpl w:val="966C4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3E43B15"/>
    <w:multiLevelType w:val="hybridMultilevel"/>
    <w:tmpl w:val="BBAEAFC4"/>
    <w:lvl w:ilvl="0" w:tplc="E6CCE2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06F7F"/>
    <w:multiLevelType w:val="hybridMultilevel"/>
    <w:tmpl w:val="3618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37288B"/>
    <w:multiLevelType w:val="hybridMultilevel"/>
    <w:tmpl w:val="6CA20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16B1431"/>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DA6AB5"/>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738508A3"/>
    <w:multiLevelType w:val="hybridMultilevel"/>
    <w:tmpl w:val="2654D6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14"/>
  </w:num>
  <w:num w:numId="5">
    <w:abstractNumId w:val="0"/>
  </w:num>
  <w:num w:numId="6">
    <w:abstractNumId w:val="3"/>
  </w:num>
  <w:num w:numId="7">
    <w:abstractNumId w:val="9"/>
  </w:num>
  <w:num w:numId="8">
    <w:abstractNumId w:val="1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2"/>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8"/>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7"/>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hideSpellingErrors/>
  <w:hideGrammaticalErrors/>
  <w:defaultTabStop w:val="720"/>
  <w:drawingGridHorizontalSpacing w:val="120"/>
  <w:displayHorizontalDrawingGridEvery w:val="2"/>
  <w:characterSpacingControl w:val="doNotCompress"/>
  <w:hdrShapeDefaults>
    <o:shapedefaults v:ext="edit" spidmax="201729"/>
  </w:hdrShapeDefaults>
  <w:footnotePr>
    <w:footnote w:id="-1"/>
    <w:footnote w:id="0"/>
  </w:footnotePr>
  <w:endnotePr>
    <w:endnote w:id="-1"/>
    <w:endnote w:id="0"/>
  </w:endnotePr>
  <w:compat/>
  <w:rsids>
    <w:rsidRoot w:val="00154718"/>
    <w:rsid w:val="000020C4"/>
    <w:rsid w:val="0000485E"/>
    <w:rsid w:val="00005828"/>
    <w:rsid w:val="000142CB"/>
    <w:rsid w:val="00015DD8"/>
    <w:rsid w:val="000208BA"/>
    <w:rsid w:val="0002663F"/>
    <w:rsid w:val="000414DB"/>
    <w:rsid w:val="000458AC"/>
    <w:rsid w:val="00053628"/>
    <w:rsid w:val="00054C08"/>
    <w:rsid w:val="00054CC9"/>
    <w:rsid w:val="00055945"/>
    <w:rsid w:val="000625B1"/>
    <w:rsid w:val="0006481C"/>
    <w:rsid w:val="00065A21"/>
    <w:rsid w:val="00066C40"/>
    <w:rsid w:val="00077FF9"/>
    <w:rsid w:val="0008268C"/>
    <w:rsid w:val="00082892"/>
    <w:rsid w:val="000908F4"/>
    <w:rsid w:val="000909CD"/>
    <w:rsid w:val="00094C96"/>
    <w:rsid w:val="000B0C16"/>
    <w:rsid w:val="000C14DD"/>
    <w:rsid w:val="000C2481"/>
    <w:rsid w:val="000C2BAD"/>
    <w:rsid w:val="000C3D4F"/>
    <w:rsid w:val="000D3CE0"/>
    <w:rsid w:val="000D4D6F"/>
    <w:rsid w:val="000D6DAF"/>
    <w:rsid w:val="000E640C"/>
    <w:rsid w:val="000E714E"/>
    <w:rsid w:val="000F29ED"/>
    <w:rsid w:val="000F5913"/>
    <w:rsid w:val="00105DC8"/>
    <w:rsid w:val="00111151"/>
    <w:rsid w:val="001117CE"/>
    <w:rsid w:val="00111EF9"/>
    <w:rsid w:val="00113C1F"/>
    <w:rsid w:val="0013089B"/>
    <w:rsid w:val="00130B3D"/>
    <w:rsid w:val="00131944"/>
    <w:rsid w:val="00134CD2"/>
    <w:rsid w:val="00137913"/>
    <w:rsid w:val="00140589"/>
    <w:rsid w:val="00141434"/>
    <w:rsid w:val="001423FE"/>
    <w:rsid w:val="00142B36"/>
    <w:rsid w:val="00143A7A"/>
    <w:rsid w:val="00143CDB"/>
    <w:rsid w:val="0014659D"/>
    <w:rsid w:val="00154718"/>
    <w:rsid w:val="001603B0"/>
    <w:rsid w:val="0016055D"/>
    <w:rsid w:val="00162778"/>
    <w:rsid w:val="0016348F"/>
    <w:rsid w:val="0016545B"/>
    <w:rsid w:val="0017069C"/>
    <w:rsid w:val="00171857"/>
    <w:rsid w:val="00173A9E"/>
    <w:rsid w:val="00173F60"/>
    <w:rsid w:val="00177491"/>
    <w:rsid w:val="00184AF6"/>
    <w:rsid w:val="00190825"/>
    <w:rsid w:val="00196594"/>
    <w:rsid w:val="001A0049"/>
    <w:rsid w:val="001A023C"/>
    <w:rsid w:val="001A0A16"/>
    <w:rsid w:val="001B2681"/>
    <w:rsid w:val="001B5D29"/>
    <w:rsid w:val="001C5AB1"/>
    <w:rsid w:val="001C5BD9"/>
    <w:rsid w:val="001C7DFD"/>
    <w:rsid w:val="001D149F"/>
    <w:rsid w:val="001D2A48"/>
    <w:rsid w:val="001D34D3"/>
    <w:rsid w:val="001E0047"/>
    <w:rsid w:val="001E0702"/>
    <w:rsid w:val="001E1BE5"/>
    <w:rsid w:val="001E611B"/>
    <w:rsid w:val="001F2258"/>
    <w:rsid w:val="001F30F9"/>
    <w:rsid w:val="001F3D7A"/>
    <w:rsid w:val="001F465E"/>
    <w:rsid w:val="00200D4F"/>
    <w:rsid w:val="002027E0"/>
    <w:rsid w:val="0021363E"/>
    <w:rsid w:val="00227DC0"/>
    <w:rsid w:val="00241B80"/>
    <w:rsid w:val="00244A84"/>
    <w:rsid w:val="00246273"/>
    <w:rsid w:val="002522F9"/>
    <w:rsid w:val="00260D57"/>
    <w:rsid w:val="002622A8"/>
    <w:rsid w:val="00263F7B"/>
    <w:rsid w:val="0027413B"/>
    <w:rsid w:val="00283AD9"/>
    <w:rsid w:val="00284E12"/>
    <w:rsid w:val="00285152"/>
    <w:rsid w:val="002863C0"/>
    <w:rsid w:val="00294AE3"/>
    <w:rsid w:val="00295745"/>
    <w:rsid w:val="002A70D7"/>
    <w:rsid w:val="002B5724"/>
    <w:rsid w:val="002C039A"/>
    <w:rsid w:val="002C6110"/>
    <w:rsid w:val="002E330C"/>
    <w:rsid w:val="002E50C7"/>
    <w:rsid w:val="002F70BE"/>
    <w:rsid w:val="00300789"/>
    <w:rsid w:val="00300D92"/>
    <w:rsid w:val="00304367"/>
    <w:rsid w:val="003108EF"/>
    <w:rsid w:val="0032030C"/>
    <w:rsid w:val="003219B9"/>
    <w:rsid w:val="00324289"/>
    <w:rsid w:val="00330C32"/>
    <w:rsid w:val="00334A7C"/>
    <w:rsid w:val="00337C05"/>
    <w:rsid w:val="00340C02"/>
    <w:rsid w:val="003459B9"/>
    <w:rsid w:val="00350766"/>
    <w:rsid w:val="00355F2E"/>
    <w:rsid w:val="0036001A"/>
    <w:rsid w:val="00367ED5"/>
    <w:rsid w:val="00372238"/>
    <w:rsid w:val="00373FBA"/>
    <w:rsid w:val="00385F54"/>
    <w:rsid w:val="0038689A"/>
    <w:rsid w:val="00392579"/>
    <w:rsid w:val="00396F67"/>
    <w:rsid w:val="00397C03"/>
    <w:rsid w:val="003B4D1C"/>
    <w:rsid w:val="003B6068"/>
    <w:rsid w:val="003B700C"/>
    <w:rsid w:val="003C0A3B"/>
    <w:rsid w:val="003C166B"/>
    <w:rsid w:val="003C16E8"/>
    <w:rsid w:val="003C4EB8"/>
    <w:rsid w:val="003D2276"/>
    <w:rsid w:val="003D25A3"/>
    <w:rsid w:val="003D717F"/>
    <w:rsid w:val="003F0972"/>
    <w:rsid w:val="00404B4E"/>
    <w:rsid w:val="00405F3D"/>
    <w:rsid w:val="0040642A"/>
    <w:rsid w:val="00410E9F"/>
    <w:rsid w:val="00411F64"/>
    <w:rsid w:val="0041594D"/>
    <w:rsid w:val="00420FE4"/>
    <w:rsid w:val="00424794"/>
    <w:rsid w:val="004359F2"/>
    <w:rsid w:val="004428BF"/>
    <w:rsid w:val="004456FB"/>
    <w:rsid w:val="00450175"/>
    <w:rsid w:val="00450267"/>
    <w:rsid w:val="00450CAB"/>
    <w:rsid w:val="0045370F"/>
    <w:rsid w:val="00455301"/>
    <w:rsid w:val="00472DF2"/>
    <w:rsid w:val="0048675D"/>
    <w:rsid w:val="00493FBF"/>
    <w:rsid w:val="004943A8"/>
    <w:rsid w:val="00496744"/>
    <w:rsid w:val="00497530"/>
    <w:rsid w:val="004A52F0"/>
    <w:rsid w:val="004A5C6A"/>
    <w:rsid w:val="004A691E"/>
    <w:rsid w:val="004D4EF6"/>
    <w:rsid w:val="004D5E19"/>
    <w:rsid w:val="004D7E01"/>
    <w:rsid w:val="004E0141"/>
    <w:rsid w:val="004F009E"/>
    <w:rsid w:val="004F5398"/>
    <w:rsid w:val="00504DB9"/>
    <w:rsid w:val="00512F12"/>
    <w:rsid w:val="005131DE"/>
    <w:rsid w:val="00513D97"/>
    <w:rsid w:val="00520C65"/>
    <w:rsid w:val="0052167E"/>
    <w:rsid w:val="00533DBE"/>
    <w:rsid w:val="00540728"/>
    <w:rsid w:val="0054488C"/>
    <w:rsid w:val="00552600"/>
    <w:rsid w:val="005526D4"/>
    <w:rsid w:val="005635FF"/>
    <w:rsid w:val="0056400F"/>
    <w:rsid w:val="00564E36"/>
    <w:rsid w:val="0056751B"/>
    <w:rsid w:val="00574F80"/>
    <w:rsid w:val="00581727"/>
    <w:rsid w:val="00582E8D"/>
    <w:rsid w:val="00583C2F"/>
    <w:rsid w:val="00594B87"/>
    <w:rsid w:val="00595023"/>
    <w:rsid w:val="00597882"/>
    <w:rsid w:val="00597C9F"/>
    <w:rsid w:val="005A6C74"/>
    <w:rsid w:val="005B02DE"/>
    <w:rsid w:val="005B0C65"/>
    <w:rsid w:val="005B23DD"/>
    <w:rsid w:val="005B4C72"/>
    <w:rsid w:val="005C15D1"/>
    <w:rsid w:val="005D27A1"/>
    <w:rsid w:val="005D4CA4"/>
    <w:rsid w:val="005D7925"/>
    <w:rsid w:val="005E03DD"/>
    <w:rsid w:val="005F27B0"/>
    <w:rsid w:val="005F51F2"/>
    <w:rsid w:val="005F5CD9"/>
    <w:rsid w:val="00616813"/>
    <w:rsid w:val="0062191D"/>
    <w:rsid w:val="0062474A"/>
    <w:rsid w:val="00626264"/>
    <w:rsid w:val="006308C7"/>
    <w:rsid w:val="00630D91"/>
    <w:rsid w:val="00631C8E"/>
    <w:rsid w:val="00641A44"/>
    <w:rsid w:val="00642AC3"/>
    <w:rsid w:val="00643607"/>
    <w:rsid w:val="00645A0C"/>
    <w:rsid w:val="00654D5A"/>
    <w:rsid w:val="00657181"/>
    <w:rsid w:val="00661F4F"/>
    <w:rsid w:val="00662530"/>
    <w:rsid w:val="00666148"/>
    <w:rsid w:val="006700B0"/>
    <w:rsid w:val="00672F7B"/>
    <w:rsid w:val="00683780"/>
    <w:rsid w:val="0068432F"/>
    <w:rsid w:val="00684412"/>
    <w:rsid w:val="0069055F"/>
    <w:rsid w:val="00695625"/>
    <w:rsid w:val="006A23A9"/>
    <w:rsid w:val="006A41EE"/>
    <w:rsid w:val="006A4895"/>
    <w:rsid w:val="006B495A"/>
    <w:rsid w:val="006B51B8"/>
    <w:rsid w:val="006B6D42"/>
    <w:rsid w:val="006C013C"/>
    <w:rsid w:val="006C1860"/>
    <w:rsid w:val="006C320E"/>
    <w:rsid w:val="006C3712"/>
    <w:rsid w:val="006D15C2"/>
    <w:rsid w:val="006D52E1"/>
    <w:rsid w:val="006E3B58"/>
    <w:rsid w:val="006E6E05"/>
    <w:rsid w:val="007026E4"/>
    <w:rsid w:val="00713522"/>
    <w:rsid w:val="00713BEB"/>
    <w:rsid w:val="0071402F"/>
    <w:rsid w:val="00717075"/>
    <w:rsid w:val="0071713F"/>
    <w:rsid w:val="007228E4"/>
    <w:rsid w:val="00724475"/>
    <w:rsid w:val="007261E5"/>
    <w:rsid w:val="007335C6"/>
    <w:rsid w:val="007340AA"/>
    <w:rsid w:val="00741AA2"/>
    <w:rsid w:val="00746397"/>
    <w:rsid w:val="00751B5E"/>
    <w:rsid w:val="00754ED6"/>
    <w:rsid w:val="00756A44"/>
    <w:rsid w:val="00762E18"/>
    <w:rsid w:val="0076679B"/>
    <w:rsid w:val="00766FA4"/>
    <w:rsid w:val="00767D9E"/>
    <w:rsid w:val="00771F16"/>
    <w:rsid w:val="00774275"/>
    <w:rsid w:val="00774EEA"/>
    <w:rsid w:val="00781771"/>
    <w:rsid w:val="00790302"/>
    <w:rsid w:val="007913E9"/>
    <w:rsid w:val="00792693"/>
    <w:rsid w:val="0079709F"/>
    <w:rsid w:val="007B42C1"/>
    <w:rsid w:val="007C0EC7"/>
    <w:rsid w:val="007D1CAA"/>
    <w:rsid w:val="007D333E"/>
    <w:rsid w:val="007E0743"/>
    <w:rsid w:val="007E228B"/>
    <w:rsid w:val="007E2CB4"/>
    <w:rsid w:val="007E33E0"/>
    <w:rsid w:val="007E5B2C"/>
    <w:rsid w:val="007F001F"/>
    <w:rsid w:val="007F6827"/>
    <w:rsid w:val="0080117F"/>
    <w:rsid w:val="008020A5"/>
    <w:rsid w:val="008052A8"/>
    <w:rsid w:val="00806746"/>
    <w:rsid w:val="008111DE"/>
    <w:rsid w:val="008165AD"/>
    <w:rsid w:val="00816612"/>
    <w:rsid w:val="0081718C"/>
    <w:rsid w:val="008218D5"/>
    <w:rsid w:val="00825773"/>
    <w:rsid w:val="00825B25"/>
    <w:rsid w:val="00826F11"/>
    <w:rsid w:val="00827BE3"/>
    <w:rsid w:val="008308A3"/>
    <w:rsid w:val="00832CE0"/>
    <w:rsid w:val="008447A9"/>
    <w:rsid w:val="00850C08"/>
    <w:rsid w:val="00850DE6"/>
    <w:rsid w:val="008528B0"/>
    <w:rsid w:val="0085598E"/>
    <w:rsid w:val="008630EA"/>
    <w:rsid w:val="00863543"/>
    <w:rsid w:val="008640E0"/>
    <w:rsid w:val="00873699"/>
    <w:rsid w:val="00877127"/>
    <w:rsid w:val="00877282"/>
    <w:rsid w:val="00882592"/>
    <w:rsid w:val="008833DF"/>
    <w:rsid w:val="00895F2A"/>
    <w:rsid w:val="008A350E"/>
    <w:rsid w:val="008A5841"/>
    <w:rsid w:val="008A6E88"/>
    <w:rsid w:val="008B02C8"/>
    <w:rsid w:val="008B1451"/>
    <w:rsid w:val="008B479D"/>
    <w:rsid w:val="008B4AA0"/>
    <w:rsid w:val="008C168F"/>
    <w:rsid w:val="008C26CE"/>
    <w:rsid w:val="008C4F8E"/>
    <w:rsid w:val="009006ED"/>
    <w:rsid w:val="00901675"/>
    <w:rsid w:val="00901DE1"/>
    <w:rsid w:val="00901E60"/>
    <w:rsid w:val="00922DEA"/>
    <w:rsid w:val="009270B9"/>
    <w:rsid w:val="0093048B"/>
    <w:rsid w:val="00935AF2"/>
    <w:rsid w:val="00936B39"/>
    <w:rsid w:val="00940A7F"/>
    <w:rsid w:val="009642AB"/>
    <w:rsid w:val="00974323"/>
    <w:rsid w:val="009768A1"/>
    <w:rsid w:val="00977D5C"/>
    <w:rsid w:val="009826E3"/>
    <w:rsid w:val="00983416"/>
    <w:rsid w:val="00984AEE"/>
    <w:rsid w:val="009851FC"/>
    <w:rsid w:val="00987105"/>
    <w:rsid w:val="0099460C"/>
    <w:rsid w:val="009958B3"/>
    <w:rsid w:val="009A0B3F"/>
    <w:rsid w:val="009B2EF8"/>
    <w:rsid w:val="009B2F83"/>
    <w:rsid w:val="009B5DCE"/>
    <w:rsid w:val="009B696D"/>
    <w:rsid w:val="009C55E2"/>
    <w:rsid w:val="009D109C"/>
    <w:rsid w:val="009D6B89"/>
    <w:rsid w:val="009E6C39"/>
    <w:rsid w:val="00A07C97"/>
    <w:rsid w:val="00A201C0"/>
    <w:rsid w:val="00A24E0B"/>
    <w:rsid w:val="00A26FD3"/>
    <w:rsid w:val="00A3027F"/>
    <w:rsid w:val="00A33AEE"/>
    <w:rsid w:val="00A41C23"/>
    <w:rsid w:val="00A4271E"/>
    <w:rsid w:val="00A5145E"/>
    <w:rsid w:val="00A52858"/>
    <w:rsid w:val="00A669CE"/>
    <w:rsid w:val="00A67402"/>
    <w:rsid w:val="00A7048A"/>
    <w:rsid w:val="00A70974"/>
    <w:rsid w:val="00A70E29"/>
    <w:rsid w:val="00A726C4"/>
    <w:rsid w:val="00A75FCB"/>
    <w:rsid w:val="00A8090E"/>
    <w:rsid w:val="00A822CA"/>
    <w:rsid w:val="00A84C2A"/>
    <w:rsid w:val="00A85688"/>
    <w:rsid w:val="00A87EEB"/>
    <w:rsid w:val="00A902E8"/>
    <w:rsid w:val="00A929E0"/>
    <w:rsid w:val="00A9697D"/>
    <w:rsid w:val="00AA1ADC"/>
    <w:rsid w:val="00AA3C5B"/>
    <w:rsid w:val="00AA59CE"/>
    <w:rsid w:val="00AB363A"/>
    <w:rsid w:val="00AB4F8B"/>
    <w:rsid w:val="00AC6961"/>
    <w:rsid w:val="00AD3312"/>
    <w:rsid w:val="00AD638B"/>
    <w:rsid w:val="00AE0900"/>
    <w:rsid w:val="00AE0E71"/>
    <w:rsid w:val="00AE1170"/>
    <w:rsid w:val="00AE212F"/>
    <w:rsid w:val="00AE389D"/>
    <w:rsid w:val="00AE53CE"/>
    <w:rsid w:val="00AF1D42"/>
    <w:rsid w:val="00AF2613"/>
    <w:rsid w:val="00AF5800"/>
    <w:rsid w:val="00B00171"/>
    <w:rsid w:val="00B03361"/>
    <w:rsid w:val="00B12F58"/>
    <w:rsid w:val="00B13041"/>
    <w:rsid w:val="00B34845"/>
    <w:rsid w:val="00B35380"/>
    <w:rsid w:val="00B360DD"/>
    <w:rsid w:val="00B413C8"/>
    <w:rsid w:val="00B41BE8"/>
    <w:rsid w:val="00B44C10"/>
    <w:rsid w:val="00B451F0"/>
    <w:rsid w:val="00B45306"/>
    <w:rsid w:val="00B45CF2"/>
    <w:rsid w:val="00B5241C"/>
    <w:rsid w:val="00B55755"/>
    <w:rsid w:val="00B55CD3"/>
    <w:rsid w:val="00B569F1"/>
    <w:rsid w:val="00B56A4A"/>
    <w:rsid w:val="00B56E98"/>
    <w:rsid w:val="00B603AA"/>
    <w:rsid w:val="00B71DC1"/>
    <w:rsid w:val="00B740B3"/>
    <w:rsid w:val="00B84E56"/>
    <w:rsid w:val="00B85793"/>
    <w:rsid w:val="00B86DAF"/>
    <w:rsid w:val="00B910EF"/>
    <w:rsid w:val="00B91A6D"/>
    <w:rsid w:val="00B97113"/>
    <w:rsid w:val="00BA0383"/>
    <w:rsid w:val="00BA0B45"/>
    <w:rsid w:val="00BB2331"/>
    <w:rsid w:val="00BB4D94"/>
    <w:rsid w:val="00BB58FC"/>
    <w:rsid w:val="00BE29B5"/>
    <w:rsid w:val="00BE5610"/>
    <w:rsid w:val="00BF1957"/>
    <w:rsid w:val="00BF1969"/>
    <w:rsid w:val="00BF1C43"/>
    <w:rsid w:val="00BF2510"/>
    <w:rsid w:val="00BF51B5"/>
    <w:rsid w:val="00C011D5"/>
    <w:rsid w:val="00C014AF"/>
    <w:rsid w:val="00C03AA9"/>
    <w:rsid w:val="00C0624C"/>
    <w:rsid w:val="00C062C0"/>
    <w:rsid w:val="00C07C24"/>
    <w:rsid w:val="00C27500"/>
    <w:rsid w:val="00C36001"/>
    <w:rsid w:val="00C36D30"/>
    <w:rsid w:val="00C40AB8"/>
    <w:rsid w:val="00C41B31"/>
    <w:rsid w:val="00C42A41"/>
    <w:rsid w:val="00C464B6"/>
    <w:rsid w:val="00C505D4"/>
    <w:rsid w:val="00C626F6"/>
    <w:rsid w:val="00C64275"/>
    <w:rsid w:val="00C71EF8"/>
    <w:rsid w:val="00C774F8"/>
    <w:rsid w:val="00C86C1A"/>
    <w:rsid w:val="00C873CD"/>
    <w:rsid w:val="00C921C4"/>
    <w:rsid w:val="00C92705"/>
    <w:rsid w:val="00C95A68"/>
    <w:rsid w:val="00C95C3F"/>
    <w:rsid w:val="00CA0FD1"/>
    <w:rsid w:val="00CA22AF"/>
    <w:rsid w:val="00CA2894"/>
    <w:rsid w:val="00CA3026"/>
    <w:rsid w:val="00CA50F7"/>
    <w:rsid w:val="00CA6007"/>
    <w:rsid w:val="00CB4B32"/>
    <w:rsid w:val="00CC4FE2"/>
    <w:rsid w:val="00CD43F1"/>
    <w:rsid w:val="00CD7423"/>
    <w:rsid w:val="00CD758B"/>
    <w:rsid w:val="00CF1AA4"/>
    <w:rsid w:val="00CF635B"/>
    <w:rsid w:val="00CF66D8"/>
    <w:rsid w:val="00D00B3A"/>
    <w:rsid w:val="00D0403B"/>
    <w:rsid w:val="00D108C7"/>
    <w:rsid w:val="00D12604"/>
    <w:rsid w:val="00D12988"/>
    <w:rsid w:val="00D17B76"/>
    <w:rsid w:val="00D23384"/>
    <w:rsid w:val="00D32952"/>
    <w:rsid w:val="00D32DDA"/>
    <w:rsid w:val="00D33FD2"/>
    <w:rsid w:val="00D37D59"/>
    <w:rsid w:val="00D44D58"/>
    <w:rsid w:val="00D47789"/>
    <w:rsid w:val="00D53F2F"/>
    <w:rsid w:val="00D60F21"/>
    <w:rsid w:val="00D65C0A"/>
    <w:rsid w:val="00D662D4"/>
    <w:rsid w:val="00D70105"/>
    <w:rsid w:val="00D7596F"/>
    <w:rsid w:val="00D7659F"/>
    <w:rsid w:val="00D77A03"/>
    <w:rsid w:val="00D83BB1"/>
    <w:rsid w:val="00D9246D"/>
    <w:rsid w:val="00D96973"/>
    <w:rsid w:val="00D96F9A"/>
    <w:rsid w:val="00DA0CE2"/>
    <w:rsid w:val="00DA1B86"/>
    <w:rsid w:val="00DB145D"/>
    <w:rsid w:val="00DC4B0B"/>
    <w:rsid w:val="00DC7B92"/>
    <w:rsid w:val="00DD2A47"/>
    <w:rsid w:val="00DD65A6"/>
    <w:rsid w:val="00DE757B"/>
    <w:rsid w:val="00DF78BF"/>
    <w:rsid w:val="00E000E0"/>
    <w:rsid w:val="00E02017"/>
    <w:rsid w:val="00E028F0"/>
    <w:rsid w:val="00E16E8B"/>
    <w:rsid w:val="00E20E13"/>
    <w:rsid w:val="00E21E65"/>
    <w:rsid w:val="00E256DF"/>
    <w:rsid w:val="00E26DE6"/>
    <w:rsid w:val="00E3051C"/>
    <w:rsid w:val="00E35D9D"/>
    <w:rsid w:val="00E37996"/>
    <w:rsid w:val="00E37D01"/>
    <w:rsid w:val="00E50A27"/>
    <w:rsid w:val="00E52C5B"/>
    <w:rsid w:val="00E53812"/>
    <w:rsid w:val="00E53EBE"/>
    <w:rsid w:val="00E55A32"/>
    <w:rsid w:val="00E5664C"/>
    <w:rsid w:val="00E60353"/>
    <w:rsid w:val="00E7391E"/>
    <w:rsid w:val="00E8074A"/>
    <w:rsid w:val="00E816DC"/>
    <w:rsid w:val="00E8562C"/>
    <w:rsid w:val="00E864B6"/>
    <w:rsid w:val="00E93470"/>
    <w:rsid w:val="00E93EB7"/>
    <w:rsid w:val="00E941B2"/>
    <w:rsid w:val="00EA52A5"/>
    <w:rsid w:val="00EA7076"/>
    <w:rsid w:val="00EB3A93"/>
    <w:rsid w:val="00EB41E4"/>
    <w:rsid w:val="00EB4CE3"/>
    <w:rsid w:val="00EC1624"/>
    <w:rsid w:val="00ED3FED"/>
    <w:rsid w:val="00ED5B61"/>
    <w:rsid w:val="00EE5467"/>
    <w:rsid w:val="00EE576C"/>
    <w:rsid w:val="00EE6798"/>
    <w:rsid w:val="00EE7659"/>
    <w:rsid w:val="00EE79A4"/>
    <w:rsid w:val="00EF3BE8"/>
    <w:rsid w:val="00EF3D5E"/>
    <w:rsid w:val="00EF436B"/>
    <w:rsid w:val="00F00561"/>
    <w:rsid w:val="00F059F6"/>
    <w:rsid w:val="00F11A43"/>
    <w:rsid w:val="00F136EE"/>
    <w:rsid w:val="00F167E4"/>
    <w:rsid w:val="00F21B68"/>
    <w:rsid w:val="00F27C98"/>
    <w:rsid w:val="00F31157"/>
    <w:rsid w:val="00F330AF"/>
    <w:rsid w:val="00F34BD4"/>
    <w:rsid w:val="00F35DB6"/>
    <w:rsid w:val="00F40EE9"/>
    <w:rsid w:val="00F435A5"/>
    <w:rsid w:val="00F469E5"/>
    <w:rsid w:val="00F541D0"/>
    <w:rsid w:val="00F632EE"/>
    <w:rsid w:val="00F63BBF"/>
    <w:rsid w:val="00F700D9"/>
    <w:rsid w:val="00F716BB"/>
    <w:rsid w:val="00F72760"/>
    <w:rsid w:val="00F749BA"/>
    <w:rsid w:val="00F8306C"/>
    <w:rsid w:val="00F90612"/>
    <w:rsid w:val="00F93D9C"/>
    <w:rsid w:val="00F96ED4"/>
    <w:rsid w:val="00FA2CB0"/>
    <w:rsid w:val="00FB5202"/>
    <w:rsid w:val="00FB741F"/>
    <w:rsid w:val="00FC239F"/>
    <w:rsid w:val="00FC579B"/>
    <w:rsid w:val="00FE2453"/>
    <w:rsid w:val="00FE5608"/>
    <w:rsid w:val="00FF2B93"/>
    <w:rsid w:val="00FF5E9A"/>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69055F"/>
    <w:rPr>
      <w:sz w:val="20"/>
      <w:szCs w:val="20"/>
    </w:rPr>
  </w:style>
  <w:style w:type="character" w:customStyle="1" w:styleId="FootnoteTextChar">
    <w:name w:val="Footnote Text Char"/>
    <w:basedOn w:val="DefaultParagraphFont"/>
    <w:link w:val="FootnoteText"/>
    <w:uiPriority w:val="99"/>
    <w:semiHidden/>
    <w:rsid w:val="0069055F"/>
    <w:rPr>
      <w:rFonts w:ascii="Times New Roman" w:hAnsi="Times New Roman"/>
      <w:lang w:bidi="en-US"/>
    </w:rPr>
  </w:style>
  <w:style w:type="character" w:styleId="FootnoteReference">
    <w:name w:val="footnote reference"/>
    <w:basedOn w:val="DefaultParagraphFont"/>
    <w:uiPriority w:val="99"/>
    <w:semiHidden/>
    <w:unhideWhenUsed/>
    <w:rsid w:val="0069055F"/>
    <w:rPr>
      <w:vertAlign w:val="superscript"/>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wutcfs2\grp_data\UTIL\WATER\Company%20Filings\Rainier%20View%20Water%20Co.,%20Inc\Year%202009\UW-091466%20(General%20Rate%20Case)\Staff\Staff%20-%20CTM\Memo%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utcfs2\grp_data\UTIL\WATER\Company%20Filings\Rainier%20View%20Water%20Co.,%20Inc\Year%202009\UW-091466%20(General%20Rate%20Case)\Staff\Staff%20-%20CTM\Memo%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utcfs2\grp_data\UTIL\WATER\Company%20Filings\Rainier%20View%20Water%20Co.,%20Inc\Year%202009\UW-091466%20(General%20Rate%20Case)\Staff\Staff%20-%20CTM\Memo%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a:t>Number of Commercial Customers using over 3,000 cu.ft.</a:t>
            </a:r>
          </a:p>
        </c:rich>
      </c:tx>
    </c:title>
    <c:plotArea>
      <c:layout/>
      <c:barChart>
        <c:barDir val="col"/>
        <c:grouping val="clustered"/>
        <c:ser>
          <c:idx val="0"/>
          <c:order val="0"/>
          <c:tx>
            <c:strRef>
              <c:f>Summary!$F$12</c:f>
              <c:strCache>
                <c:ptCount val="1"/>
                <c:pt idx="0">
                  <c:v>Commercial Customer Count</c:v>
                </c:pt>
              </c:strCache>
            </c:strRef>
          </c:tx>
          <c:cat>
            <c:strRef>
              <c:f>Summary!$I$18:$M$18</c:f>
              <c:strCache>
                <c:ptCount val="5"/>
                <c:pt idx="0">
                  <c:v>May '08</c:v>
                </c:pt>
                <c:pt idx="1">
                  <c:v>June '08</c:v>
                </c:pt>
                <c:pt idx="2">
                  <c:v>July '08</c:v>
                </c:pt>
                <c:pt idx="3">
                  <c:v>Aug. '08</c:v>
                </c:pt>
                <c:pt idx="4">
                  <c:v>Sept. '08</c:v>
                </c:pt>
              </c:strCache>
            </c:strRef>
          </c:cat>
          <c:val>
            <c:numRef>
              <c:f>Summary!$I$9:$M$9</c:f>
              <c:numCache>
                <c:formatCode>_(* #,##0_);_(* \(#,##0\);_(* "-"??_);_(@_)</c:formatCode>
                <c:ptCount val="5"/>
                <c:pt idx="0">
                  <c:v>91</c:v>
                </c:pt>
                <c:pt idx="1">
                  <c:v>131</c:v>
                </c:pt>
                <c:pt idx="2">
                  <c:v>187</c:v>
                </c:pt>
                <c:pt idx="3">
                  <c:v>220</c:v>
                </c:pt>
                <c:pt idx="4">
                  <c:v>201</c:v>
                </c:pt>
              </c:numCache>
            </c:numRef>
          </c:val>
        </c:ser>
        <c:axId val="156332416"/>
        <c:axId val="156334336"/>
      </c:barChart>
      <c:lineChart>
        <c:grouping val="standard"/>
        <c:ser>
          <c:idx val="1"/>
          <c:order val="1"/>
          <c:tx>
            <c:strRef>
              <c:f>Summary!$D$23</c:f>
              <c:strCache>
                <c:ptCount val="1"/>
                <c:pt idx="0">
                  <c:v>% of Total Commercial Water Usage</c:v>
                </c:pt>
              </c:strCache>
            </c:strRef>
          </c:tx>
          <c:marker>
            <c:symbol val="none"/>
          </c:marker>
          <c:cat>
            <c:strRef>
              <c:f>Summary!$I$18:$M$18</c:f>
              <c:strCache>
                <c:ptCount val="5"/>
                <c:pt idx="0">
                  <c:v>May '08</c:v>
                </c:pt>
                <c:pt idx="1">
                  <c:v>June '08</c:v>
                </c:pt>
                <c:pt idx="2">
                  <c:v>July '08</c:v>
                </c:pt>
                <c:pt idx="3">
                  <c:v>Aug. '08</c:v>
                </c:pt>
                <c:pt idx="4">
                  <c:v>Sept. '08</c:v>
                </c:pt>
              </c:strCache>
            </c:strRef>
          </c:cat>
          <c:val>
            <c:numRef>
              <c:f>Summary!$I$23:$M$23</c:f>
              <c:numCache>
                <c:formatCode>0.00%</c:formatCode>
                <c:ptCount val="5"/>
                <c:pt idx="0">
                  <c:v>9.4858177724480644E-2</c:v>
                </c:pt>
                <c:pt idx="1">
                  <c:v>0.11851172431044857</c:v>
                </c:pt>
                <c:pt idx="2">
                  <c:v>0.12635594324683988</c:v>
                </c:pt>
                <c:pt idx="3">
                  <c:v>0.14432219278989544</c:v>
                </c:pt>
                <c:pt idx="4">
                  <c:v>0.15602572890234548</c:v>
                </c:pt>
              </c:numCache>
            </c:numRef>
          </c:val>
        </c:ser>
        <c:ser>
          <c:idx val="2"/>
          <c:order val="2"/>
          <c:tx>
            <c:strRef>
              <c:f>Tacoma!$C$3</c:f>
              <c:strCache>
                <c:ptCount val="1"/>
                <c:pt idx="0">
                  <c:v>% of Water Purchased from City of Tacoma</c:v>
                </c:pt>
              </c:strCache>
            </c:strRef>
          </c:tx>
          <c:marker>
            <c:symbol val="none"/>
          </c:marker>
          <c:cat>
            <c:strRef>
              <c:f>Summary!$I$18:$M$18</c:f>
              <c:strCache>
                <c:ptCount val="5"/>
                <c:pt idx="0">
                  <c:v>May '08</c:v>
                </c:pt>
                <c:pt idx="1">
                  <c:v>June '08</c:v>
                </c:pt>
                <c:pt idx="2">
                  <c:v>July '08</c:v>
                </c:pt>
                <c:pt idx="3">
                  <c:v>Aug. '08</c:v>
                </c:pt>
                <c:pt idx="4">
                  <c:v>Sept. '08</c:v>
                </c:pt>
              </c:strCache>
            </c:strRef>
          </c:cat>
          <c:val>
            <c:numRef>
              <c:f>Tacoma!$D$8:$D$12</c:f>
              <c:numCache>
                <c:formatCode>0.00%</c:formatCode>
                <c:ptCount val="5"/>
                <c:pt idx="0">
                  <c:v>0</c:v>
                </c:pt>
                <c:pt idx="1">
                  <c:v>0</c:v>
                </c:pt>
                <c:pt idx="2">
                  <c:v>3.0314215857402682E-2</c:v>
                </c:pt>
                <c:pt idx="3">
                  <c:v>9.6770292541378714E-2</c:v>
                </c:pt>
                <c:pt idx="4">
                  <c:v>7.7195540320321903E-4</c:v>
                </c:pt>
              </c:numCache>
            </c:numRef>
          </c:val>
        </c:ser>
        <c:marker val="1"/>
        <c:axId val="102377728"/>
        <c:axId val="102376192"/>
      </c:lineChart>
      <c:catAx>
        <c:axId val="156332416"/>
        <c:scaling>
          <c:orientation val="minMax"/>
        </c:scaling>
        <c:axPos val="b"/>
        <c:numFmt formatCode="@" sourceLinked="1"/>
        <c:majorTickMark val="none"/>
        <c:tickLblPos val="nextTo"/>
        <c:crossAx val="156334336"/>
        <c:crosses val="autoZero"/>
        <c:auto val="1"/>
        <c:lblAlgn val="ctr"/>
        <c:lblOffset val="100"/>
      </c:catAx>
      <c:valAx>
        <c:axId val="156334336"/>
        <c:scaling>
          <c:orientation val="minMax"/>
        </c:scaling>
        <c:axPos val="l"/>
        <c:majorGridlines/>
        <c:title>
          <c:tx>
            <c:rich>
              <a:bodyPr/>
              <a:lstStyle/>
              <a:p>
                <a:pPr>
                  <a:defRPr/>
                </a:pPr>
                <a:r>
                  <a:rPr lang="en-US" sz="900"/>
                  <a:t>Number of Customers using over 3,000 cu.ft</a:t>
                </a:r>
                <a:r>
                  <a:rPr lang="en-US"/>
                  <a:t>.</a:t>
                </a:r>
              </a:p>
            </c:rich>
          </c:tx>
          <c:layout>
            <c:manualLayout>
              <c:xMode val="edge"/>
              <c:yMode val="edge"/>
              <c:x val="0.25"/>
              <c:y val="0.12381666336405424"/>
            </c:manualLayout>
          </c:layout>
        </c:title>
        <c:numFmt formatCode="_(* #,##0_);_(* \(#,##0\);_(* &quot;-&quot;??_);_(@_)" sourceLinked="1"/>
        <c:majorTickMark val="none"/>
        <c:tickLblPos val="nextTo"/>
        <c:crossAx val="156332416"/>
        <c:crosses val="autoZero"/>
        <c:crossBetween val="between"/>
      </c:valAx>
      <c:valAx>
        <c:axId val="102376192"/>
        <c:scaling>
          <c:orientation val="minMax"/>
        </c:scaling>
        <c:axPos val="r"/>
        <c:numFmt formatCode="0.00%" sourceLinked="1"/>
        <c:tickLblPos val="nextTo"/>
        <c:crossAx val="102377728"/>
        <c:crosses val="max"/>
        <c:crossBetween val="between"/>
      </c:valAx>
      <c:catAx>
        <c:axId val="102377728"/>
        <c:scaling>
          <c:orientation val="minMax"/>
        </c:scaling>
        <c:delete val="1"/>
        <c:axPos val="b"/>
        <c:tickLblPos val="none"/>
        <c:crossAx val="102376192"/>
        <c:crosses val="autoZero"/>
        <c:auto val="1"/>
        <c:lblAlgn val="ctr"/>
        <c:lblOffset val="100"/>
      </c:catAx>
      <c:dTable>
        <c:showHorzBorder val="1"/>
        <c:showVertBorder val="1"/>
        <c:showOutline val="1"/>
        <c:showKeys val="1"/>
      </c:dTable>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a:t>Average Summer Usage by Meter Size &amp; Customer Class vs. Summer Rate Structures</a:t>
            </a:r>
          </a:p>
        </c:rich>
      </c:tx>
    </c:title>
    <c:plotArea>
      <c:layout/>
      <c:barChart>
        <c:barDir val="col"/>
        <c:grouping val="clustered"/>
        <c:ser>
          <c:idx val="3"/>
          <c:order val="0"/>
          <c:tx>
            <c:strRef>
              <c:f>Avg.!$B$4</c:f>
              <c:strCache>
                <c:ptCount val="1"/>
                <c:pt idx="0">
                  <c:v>Residential Average Summer Usage</c:v>
                </c:pt>
              </c:strCache>
            </c:strRef>
          </c:tx>
          <c:cat>
            <c:strRef>
              <c:f>Avg.!$C$7:$I$7</c:f>
              <c:strCache>
                <c:ptCount val="7"/>
                <c:pt idx="0">
                  <c:v>5/8-inch</c:v>
                </c:pt>
                <c:pt idx="1">
                  <c:v>1-inch</c:v>
                </c:pt>
                <c:pt idx="2">
                  <c:v>1 1/2-inch</c:v>
                </c:pt>
                <c:pt idx="3">
                  <c:v>2-inch</c:v>
                </c:pt>
                <c:pt idx="4">
                  <c:v>3-inch</c:v>
                </c:pt>
                <c:pt idx="5">
                  <c:v>4-inch</c:v>
                </c:pt>
                <c:pt idx="6">
                  <c:v>6-inch</c:v>
                </c:pt>
              </c:strCache>
            </c:strRef>
          </c:cat>
          <c:val>
            <c:numRef>
              <c:f>Avg.!$C$4:$D$4</c:f>
              <c:numCache>
                <c:formatCode>_(* #,##0_);_(* \(#,##0\);_(* "-"??_);_(@_)</c:formatCode>
                <c:ptCount val="2"/>
                <c:pt idx="0">
                  <c:v>1147</c:v>
                </c:pt>
                <c:pt idx="1">
                  <c:v>2217</c:v>
                </c:pt>
              </c:numCache>
            </c:numRef>
          </c:val>
        </c:ser>
        <c:ser>
          <c:idx val="1"/>
          <c:order val="1"/>
          <c:tx>
            <c:strRef>
              <c:f>Avg.!$B$9</c:f>
              <c:strCache>
                <c:ptCount val="1"/>
                <c:pt idx="0">
                  <c:v>Commercial Average Summer Usage</c:v>
                </c:pt>
              </c:strCache>
            </c:strRef>
          </c:tx>
          <c:cat>
            <c:strRef>
              <c:f>Avg.!$C$7:$I$7</c:f>
              <c:strCache>
                <c:ptCount val="7"/>
                <c:pt idx="0">
                  <c:v>5/8-inch</c:v>
                </c:pt>
                <c:pt idx="1">
                  <c:v>1-inch</c:v>
                </c:pt>
                <c:pt idx="2">
                  <c:v>1 1/2-inch</c:v>
                </c:pt>
                <c:pt idx="3">
                  <c:v>2-inch</c:v>
                </c:pt>
                <c:pt idx="4">
                  <c:v>3-inch</c:v>
                </c:pt>
                <c:pt idx="5">
                  <c:v>4-inch</c:v>
                </c:pt>
                <c:pt idx="6">
                  <c:v>6-inch</c:v>
                </c:pt>
              </c:strCache>
            </c:strRef>
          </c:cat>
          <c:val>
            <c:numRef>
              <c:f>Avg.!$C$9:$I$9</c:f>
              <c:numCache>
                <c:formatCode>_(* #,##0_);_(* \(#,##0\);_(* "-"??_);_(@_)</c:formatCode>
                <c:ptCount val="7"/>
                <c:pt idx="0">
                  <c:v>3544</c:v>
                </c:pt>
                <c:pt idx="1">
                  <c:v>5731</c:v>
                </c:pt>
                <c:pt idx="2">
                  <c:v>9855</c:v>
                </c:pt>
                <c:pt idx="3">
                  <c:v>8117</c:v>
                </c:pt>
                <c:pt idx="4">
                  <c:v>16558</c:v>
                </c:pt>
                <c:pt idx="5">
                  <c:v>69441</c:v>
                </c:pt>
                <c:pt idx="6">
                  <c:v>23750</c:v>
                </c:pt>
              </c:numCache>
            </c:numRef>
          </c:val>
        </c:ser>
        <c:axId val="102428032"/>
        <c:axId val="150996480"/>
      </c:barChart>
      <c:lineChart>
        <c:grouping val="standard"/>
        <c:ser>
          <c:idx val="4"/>
          <c:order val="2"/>
          <c:tx>
            <c:strRef>
              <c:f>Avg.!$J$10</c:f>
              <c:strCache>
                <c:ptCount val="1"/>
                <c:pt idx="0">
                  <c:v>City of Tacoma Purchase Rate - $1.85</c:v>
                </c:pt>
              </c:strCache>
            </c:strRef>
          </c:tx>
          <c:marker>
            <c:symbol val="none"/>
          </c:marker>
          <c:cat>
            <c:strRef>
              <c:f>Avg.!$K$7:$Q$7</c:f>
              <c:strCache>
                <c:ptCount val="7"/>
                <c:pt idx="0">
                  <c:v>5/8-inch</c:v>
                </c:pt>
                <c:pt idx="1">
                  <c:v>1-inch</c:v>
                </c:pt>
                <c:pt idx="2">
                  <c:v>1 1/2-inch</c:v>
                </c:pt>
                <c:pt idx="3">
                  <c:v>2-inch</c:v>
                </c:pt>
                <c:pt idx="4">
                  <c:v>3-inch</c:v>
                </c:pt>
                <c:pt idx="5">
                  <c:v>4-inch</c:v>
                </c:pt>
                <c:pt idx="6">
                  <c:v>6-inch</c:v>
                </c:pt>
              </c:strCache>
            </c:strRef>
          </c:cat>
          <c:val>
            <c:numRef>
              <c:f>Avg.!$K$10:$Q$10</c:f>
              <c:numCache>
                <c:formatCode>_("$"* #,##0.00_);_("$"* \(#,##0.00\);_("$"* "-"??_);_(@_)</c:formatCode>
                <c:ptCount val="7"/>
                <c:pt idx="0">
                  <c:v>1.85</c:v>
                </c:pt>
                <c:pt idx="1">
                  <c:v>1.85</c:v>
                </c:pt>
                <c:pt idx="2">
                  <c:v>1.85</c:v>
                </c:pt>
                <c:pt idx="3">
                  <c:v>1.85</c:v>
                </c:pt>
                <c:pt idx="4">
                  <c:v>1.85</c:v>
                </c:pt>
                <c:pt idx="5">
                  <c:v>1.85</c:v>
                </c:pt>
                <c:pt idx="6">
                  <c:v>1.85</c:v>
                </c:pt>
              </c:numCache>
            </c:numRef>
          </c:val>
        </c:ser>
        <c:ser>
          <c:idx val="5"/>
          <c:order val="3"/>
          <c:tx>
            <c:strRef>
              <c:f>Avg.!$E$4</c:f>
              <c:strCache>
                <c:ptCount val="1"/>
                <c:pt idx="0">
                  <c:v>Residential Rate (&gt;3,000 cu.ft.) - $5.00</c:v>
                </c:pt>
              </c:strCache>
            </c:strRef>
          </c:tx>
          <c:spPr>
            <a:ln>
              <a:solidFill>
                <a:schemeClr val="tx1"/>
              </a:solidFill>
            </a:ln>
          </c:spPr>
          <c:marker>
            <c:symbol val="none"/>
          </c:marker>
          <c:cat>
            <c:strRef>
              <c:f>Avg.!$K$7:$Q$7</c:f>
              <c:strCache>
                <c:ptCount val="7"/>
                <c:pt idx="0">
                  <c:v>5/8-inch</c:v>
                </c:pt>
                <c:pt idx="1">
                  <c:v>1-inch</c:v>
                </c:pt>
                <c:pt idx="2">
                  <c:v>1 1/2-inch</c:v>
                </c:pt>
                <c:pt idx="3">
                  <c:v>2-inch</c:v>
                </c:pt>
                <c:pt idx="4">
                  <c:v>3-inch</c:v>
                </c:pt>
                <c:pt idx="5">
                  <c:v>4-inch</c:v>
                </c:pt>
                <c:pt idx="6">
                  <c:v>6-inch</c:v>
                </c:pt>
              </c:strCache>
            </c:strRef>
          </c:cat>
          <c:val>
            <c:numRef>
              <c:f>Avg.!$F$4:$L$4</c:f>
              <c:numCache>
                <c:formatCode>_("$"* #,##0.00_);_("$"* \(#,##0.00\);_("$"* "-"??_);_(@_)</c:formatCode>
                <c:ptCount val="7"/>
                <c:pt idx="0">
                  <c:v>5</c:v>
                </c:pt>
                <c:pt idx="1">
                  <c:v>5</c:v>
                </c:pt>
                <c:pt idx="2">
                  <c:v>5</c:v>
                </c:pt>
                <c:pt idx="3">
                  <c:v>5</c:v>
                </c:pt>
                <c:pt idx="4">
                  <c:v>5</c:v>
                </c:pt>
                <c:pt idx="5">
                  <c:v>5</c:v>
                </c:pt>
                <c:pt idx="6">
                  <c:v>5</c:v>
                </c:pt>
              </c:numCache>
            </c:numRef>
          </c:val>
        </c:ser>
        <c:ser>
          <c:idx val="7"/>
          <c:order val="4"/>
          <c:tx>
            <c:strRef>
              <c:f>Avg.!$J$9</c:f>
              <c:strCache>
                <c:ptCount val="1"/>
                <c:pt idx="0">
                  <c:v>Commercial Rate (&gt;3,000 cu.ft.) - $0.85</c:v>
                </c:pt>
              </c:strCache>
            </c:strRef>
          </c:tx>
          <c:marker>
            <c:symbol val="none"/>
          </c:marker>
          <c:cat>
            <c:strRef>
              <c:f>Avg.!$K$7:$Q$7</c:f>
              <c:strCache>
                <c:ptCount val="7"/>
                <c:pt idx="0">
                  <c:v>5/8-inch</c:v>
                </c:pt>
                <c:pt idx="1">
                  <c:v>1-inch</c:v>
                </c:pt>
                <c:pt idx="2">
                  <c:v>1 1/2-inch</c:v>
                </c:pt>
                <c:pt idx="3">
                  <c:v>2-inch</c:v>
                </c:pt>
                <c:pt idx="4">
                  <c:v>3-inch</c:v>
                </c:pt>
                <c:pt idx="5">
                  <c:v>4-inch</c:v>
                </c:pt>
                <c:pt idx="6">
                  <c:v>6-inch</c:v>
                </c:pt>
              </c:strCache>
            </c:strRef>
          </c:cat>
          <c:val>
            <c:numRef>
              <c:f>Avg.!$K$9:$Q$9</c:f>
              <c:numCache>
                <c:formatCode>_("$"* #,##0.00_);_("$"* \(#,##0.00\);_("$"* "-"??_);_(@_)</c:formatCode>
                <c:ptCount val="7"/>
                <c:pt idx="0">
                  <c:v>0.85000000000000064</c:v>
                </c:pt>
                <c:pt idx="1">
                  <c:v>0.85000000000000064</c:v>
                </c:pt>
                <c:pt idx="2">
                  <c:v>0.85000000000000064</c:v>
                </c:pt>
                <c:pt idx="3">
                  <c:v>0.85000000000000064</c:v>
                </c:pt>
                <c:pt idx="4">
                  <c:v>0.85000000000000064</c:v>
                </c:pt>
                <c:pt idx="5">
                  <c:v>0.85000000000000064</c:v>
                </c:pt>
                <c:pt idx="6">
                  <c:v>0.85000000000000064</c:v>
                </c:pt>
              </c:numCache>
            </c:numRef>
          </c:val>
        </c:ser>
        <c:marker val="1"/>
        <c:axId val="151020672"/>
        <c:axId val="150998400"/>
      </c:lineChart>
      <c:catAx>
        <c:axId val="102428032"/>
        <c:scaling>
          <c:orientation val="minMax"/>
        </c:scaling>
        <c:axPos val="b"/>
        <c:title>
          <c:tx>
            <c:rich>
              <a:bodyPr/>
              <a:lstStyle/>
              <a:p>
                <a:pPr>
                  <a:defRPr/>
                </a:pPr>
                <a:r>
                  <a:rPr lang="en-US"/>
                  <a:t>Meter Size</a:t>
                </a:r>
              </a:p>
            </c:rich>
          </c:tx>
        </c:title>
        <c:majorTickMark val="none"/>
        <c:tickLblPos val="nextTo"/>
        <c:crossAx val="150996480"/>
        <c:crosses val="autoZero"/>
        <c:auto val="1"/>
        <c:lblAlgn val="ctr"/>
        <c:lblOffset val="100"/>
      </c:catAx>
      <c:valAx>
        <c:axId val="150996480"/>
        <c:scaling>
          <c:orientation val="minMax"/>
          <c:max val="70000"/>
          <c:min val="0"/>
        </c:scaling>
        <c:axPos val="l"/>
        <c:majorGridlines/>
        <c:title>
          <c:tx>
            <c:rich>
              <a:bodyPr/>
              <a:lstStyle/>
              <a:p>
                <a:pPr>
                  <a:defRPr/>
                </a:pPr>
                <a:r>
                  <a:rPr lang="en-US"/>
                  <a:t>Usage</a:t>
                </a:r>
              </a:p>
            </c:rich>
          </c:tx>
        </c:title>
        <c:numFmt formatCode="_(* #,##0_);_(* \(#,##0\);_(* &quot;-&quot;??_);_(@_)" sourceLinked="1"/>
        <c:minorTickMark val="cross"/>
        <c:tickLblPos val="nextTo"/>
        <c:crossAx val="102428032"/>
        <c:crosses val="autoZero"/>
        <c:crossBetween val="between"/>
        <c:majorUnit val="7000"/>
      </c:valAx>
      <c:valAx>
        <c:axId val="150998400"/>
        <c:scaling>
          <c:orientation val="minMax"/>
          <c:max val="5.0999999999999996"/>
          <c:min val="0.8"/>
        </c:scaling>
        <c:axPos val="r"/>
        <c:numFmt formatCode="_(&quot;$&quot;* #,##0.00_);_(&quot;$&quot;* \(#,##0.00\);_(&quot;$&quot;* &quot;-&quot;??_);_(@_)" sourceLinked="1"/>
        <c:tickLblPos val="nextTo"/>
        <c:crossAx val="151020672"/>
        <c:crosses val="max"/>
        <c:crossBetween val="between"/>
        <c:majorUnit val="1.4"/>
      </c:valAx>
      <c:catAx>
        <c:axId val="151020672"/>
        <c:scaling>
          <c:orientation val="minMax"/>
        </c:scaling>
        <c:delete val="1"/>
        <c:axPos val="b"/>
        <c:tickLblPos val="none"/>
        <c:crossAx val="150998400"/>
        <c:crosses val="autoZero"/>
        <c:auto val="1"/>
        <c:lblAlgn val="ctr"/>
        <c:lblOffset val="100"/>
      </c:catAx>
    </c:plotArea>
    <c:legend>
      <c:legendPos val="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a:t>Monthly Usage by Meter Size - Commercial</a:t>
            </a:r>
          </a:p>
        </c:rich>
      </c:tx>
    </c:title>
    <c:plotArea>
      <c:layout/>
      <c:lineChart>
        <c:grouping val="standard"/>
        <c:ser>
          <c:idx val="0"/>
          <c:order val="0"/>
          <c:tx>
            <c:strRef>
              <c:f>'Input - NonRes'!$A$3</c:f>
              <c:strCache>
                <c:ptCount val="1"/>
                <c:pt idx="0">
                  <c:v>5/8-inch</c:v>
                </c:pt>
              </c:strCache>
            </c:strRef>
          </c:tx>
          <c:cat>
            <c:strRef>
              <c:f>'Input - NonRes'!$B$2:$M$2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'Input - NonRes'!$B$3:$M$3</c:f>
              <c:numCache>
                <c:formatCode>_(* #,##0_);_(* \(#,##0\);_(* "-"??_);_(@_)</c:formatCode>
                <c:ptCount val="12"/>
                <c:pt idx="0">
                  <c:v>314300</c:v>
                </c:pt>
                <c:pt idx="1">
                  <c:v>339800</c:v>
                </c:pt>
                <c:pt idx="2">
                  <c:v>322300</c:v>
                </c:pt>
                <c:pt idx="3">
                  <c:v>451500</c:v>
                </c:pt>
                <c:pt idx="4">
                  <c:v>434300</c:v>
                </c:pt>
                <c:pt idx="5">
                  <c:v>718000</c:v>
                </c:pt>
                <c:pt idx="6">
                  <c:v>1126100</c:v>
                </c:pt>
                <c:pt idx="7">
                  <c:v>1666100</c:v>
                </c:pt>
                <c:pt idx="8">
                  <c:v>1399700</c:v>
                </c:pt>
                <c:pt idx="9">
                  <c:v>909000</c:v>
                </c:pt>
                <c:pt idx="10">
                  <c:v>413700</c:v>
                </c:pt>
                <c:pt idx="11">
                  <c:v>203600</c:v>
                </c:pt>
              </c:numCache>
            </c:numRef>
          </c:val>
        </c:ser>
        <c:ser>
          <c:idx val="1"/>
          <c:order val="1"/>
          <c:tx>
            <c:strRef>
              <c:f>'Input - NonRes'!$A$4</c:f>
              <c:strCache>
                <c:ptCount val="1"/>
                <c:pt idx="0">
                  <c:v>1-inch</c:v>
                </c:pt>
              </c:strCache>
            </c:strRef>
          </c:tx>
          <c:cat>
            <c:strRef>
              <c:f>'Input - NonRes'!$B$2:$M$2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'Input - NonRes'!$B$4:$M$4</c:f>
              <c:numCache>
                <c:formatCode>_(* #,##0_);_(* \(#,##0\);_(* "-"??_);_(@_)</c:formatCode>
                <c:ptCount val="12"/>
                <c:pt idx="0">
                  <c:v>72700</c:v>
                </c:pt>
                <c:pt idx="1">
                  <c:v>93800</c:v>
                </c:pt>
                <c:pt idx="2">
                  <c:v>129200</c:v>
                </c:pt>
                <c:pt idx="3">
                  <c:v>117700</c:v>
                </c:pt>
                <c:pt idx="4">
                  <c:v>134500</c:v>
                </c:pt>
                <c:pt idx="5">
                  <c:v>240800</c:v>
                </c:pt>
                <c:pt idx="6">
                  <c:v>550300</c:v>
                </c:pt>
                <c:pt idx="7">
                  <c:v>832500</c:v>
                </c:pt>
                <c:pt idx="8">
                  <c:v>670200</c:v>
                </c:pt>
                <c:pt idx="9">
                  <c:v>460300</c:v>
                </c:pt>
                <c:pt idx="10">
                  <c:v>144400</c:v>
                </c:pt>
                <c:pt idx="11">
                  <c:v>36800</c:v>
                </c:pt>
              </c:numCache>
            </c:numRef>
          </c:val>
        </c:ser>
        <c:ser>
          <c:idx val="2"/>
          <c:order val="2"/>
          <c:tx>
            <c:strRef>
              <c:f>'Input - NonRes'!$A$5</c:f>
              <c:strCache>
                <c:ptCount val="1"/>
                <c:pt idx="0">
                  <c:v>1 1/2-inch</c:v>
                </c:pt>
              </c:strCache>
            </c:strRef>
          </c:tx>
          <c:cat>
            <c:strRef>
              <c:f>'Input - NonRes'!$B$2:$M$2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'Input - NonRes'!$B$5:$M$5</c:f>
              <c:numCache>
                <c:formatCode>_(* #,##0_);_(* \(#,##0\);_(* "-"??_);_(@_)</c:formatCode>
                <c:ptCount val="12"/>
                <c:pt idx="0">
                  <c:v>78900</c:v>
                </c:pt>
                <c:pt idx="1">
                  <c:v>73800</c:v>
                </c:pt>
                <c:pt idx="2">
                  <c:v>65600</c:v>
                </c:pt>
                <c:pt idx="3">
                  <c:v>71000</c:v>
                </c:pt>
                <c:pt idx="4">
                  <c:v>74400</c:v>
                </c:pt>
                <c:pt idx="5">
                  <c:v>124600</c:v>
                </c:pt>
                <c:pt idx="6">
                  <c:v>155400</c:v>
                </c:pt>
                <c:pt idx="7">
                  <c:v>228800</c:v>
                </c:pt>
                <c:pt idx="8">
                  <c:v>199500</c:v>
                </c:pt>
                <c:pt idx="9">
                  <c:v>163400</c:v>
                </c:pt>
                <c:pt idx="10">
                  <c:v>117800</c:v>
                </c:pt>
                <c:pt idx="11">
                  <c:v>3900</c:v>
                </c:pt>
              </c:numCache>
            </c:numRef>
          </c:val>
        </c:ser>
        <c:ser>
          <c:idx val="3"/>
          <c:order val="3"/>
          <c:tx>
            <c:strRef>
              <c:f>'Input - NonRes'!$A$6</c:f>
              <c:strCache>
                <c:ptCount val="1"/>
                <c:pt idx="0">
                  <c:v>2-inch</c:v>
                </c:pt>
              </c:strCache>
            </c:strRef>
          </c:tx>
          <c:cat>
            <c:strRef>
              <c:f>'Input - NonRes'!$B$2:$M$2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'Input - NonRes'!$B$6:$M$6</c:f>
              <c:numCache>
                <c:formatCode>_(* #,##0_);_(* \(#,##0\);_(* "-"??_);_(@_)</c:formatCode>
                <c:ptCount val="12"/>
                <c:pt idx="0">
                  <c:v>152600</c:v>
                </c:pt>
                <c:pt idx="1">
                  <c:v>188300</c:v>
                </c:pt>
                <c:pt idx="2">
                  <c:v>171300</c:v>
                </c:pt>
                <c:pt idx="3">
                  <c:v>197100</c:v>
                </c:pt>
                <c:pt idx="4">
                  <c:v>202600</c:v>
                </c:pt>
                <c:pt idx="5">
                  <c:v>368500</c:v>
                </c:pt>
                <c:pt idx="6">
                  <c:v>389300</c:v>
                </c:pt>
                <c:pt idx="7">
                  <c:v>538100</c:v>
                </c:pt>
                <c:pt idx="8">
                  <c:v>489000</c:v>
                </c:pt>
                <c:pt idx="9">
                  <c:v>350400</c:v>
                </c:pt>
                <c:pt idx="10">
                  <c:v>226500</c:v>
                </c:pt>
                <c:pt idx="11">
                  <c:v>140600</c:v>
                </c:pt>
              </c:numCache>
            </c:numRef>
          </c:val>
        </c:ser>
        <c:ser>
          <c:idx val="4"/>
          <c:order val="4"/>
          <c:tx>
            <c:strRef>
              <c:f>'Input - NonRes'!$A$7</c:f>
              <c:strCache>
                <c:ptCount val="1"/>
                <c:pt idx="0">
                  <c:v>3-inch</c:v>
                </c:pt>
              </c:strCache>
            </c:strRef>
          </c:tx>
          <c:cat>
            <c:strRef>
              <c:f>'Input - NonRes'!$B$2:$M$2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'Input - NonRes'!$B$7:$M$7</c:f>
              <c:numCache>
                <c:formatCode>_(* #,##0_);_(* \(#,##0\);_(* "-"??_);_(@_)</c:formatCode>
                <c:ptCount val="12"/>
                <c:pt idx="0">
                  <c:v>109800</c:v>
                </c:pt>
                <c:pt idx="1">
                  <c:v>143400</c:v>
                </c:pt>
                <c:pt idx="2">
                  <c:v>128500</c:v>
                </c:pt>
                <c:pt idx="3">
                  <c:v>113700</c:v>
                </c:pt>
                <c:pt idx="4">
                  <c:v>164900</c:v>
                </c:pt>
                <c:pt idx="5">
                  <c:v>261800</c:v>
                </c:pt>
                <c:pt idx="6">
                  <c:v>435700</c:v>
                </c:pt>
                <c:pt idx="7">
                  <c:v>542000</c:v>
                </c:pt>
                <c:pt idx="8">
                  <c:v>274900</c:v>
                </c:pt>
                <c:pt idx="9">
                  <c:v>307700</c:v>
                </c:pt>
                <c:pt idx="10">
                  <c:v>153800</c:v>
                </c:pt>
                <c:pt idx="11">
                  <c:v>60900</c:v>
                </c:pt>
              </c:numCache>
            </c:numRef>
          </c:val>
        </c:ser>
        <c:ser>
          <c:idx val="5"/>
          <c:order val="5"/>
          <c:tx>
            <c:strRef>
              <c:f>'Input - NonRes'!$A$8</c:f>
              <c:strCache>
                <c:ptCount val="1"/>
                <c:pt idx="0">
                  <c:v>4-inch</c:v>
                </c:pt>
              </c:strCache>
            </c:strRef>
          </c:tx>
          <c:cat>
            <c:strRef>
              <c:f>'Input - NonRes'!$B$2:$M$2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'Input - NonRes'!$B$8:$M$8</c:f>
              <c:numCache>
                <c:formatCode>_(* #,##0_);_(* \(#,##0\);_(* "-"??_);_(@_)</c:formatCode>
                <c:ptCount val="12"/>
                <c:pt idx="0">
                  <c:v>59500</c:v>
                </c:pt>
                <c:pt idx="1">
                  <c:v>85100</c:v>
                </c:pt>
                <c:pt idx="2">
                  <c:v>79900</c:v>
                </c:pt>
                <c:pt idx="3">
                  <c:v>66400</c:v>
                </c:pt>
                <c:pt idx="4">
                  <c:v>138800</c:v>
                </c:pt>
                <c:pt idx="5">
                  <c:v>212100</c:v>
                </c:pt>
                <c:pt idx="6">
                  <c:v>426600</c:v>
                </c:pt>
                <c:pt idx="7">
                  <c:v>278200</c:v>
                </c:pt>
                <c:pt idx="8">
                  <c:v>318600</c:v>
                </c:pt>
                <c:pt idx="9">
                  <c:v>292300</c:v>
                </c:pt>
                <c:pt idx="10">
                  <c:v>112200</c:v>
                </c:pt>
                <c:pt idx="11">
                  <c:v>79900</c:v>
                </c:pt>
              </c:numCache>
            </c:numRef>
          </c:val>
        </c:ser>
        <c:ser>
          <c:idx val="6"/>
          <c:order val="6"/>
          <c:tx>
            <c:strRef>
              <c:f>'Input - NonRes'!$A$9</c:f>
              <c:strCache>
                <c:ptCount val="1"/>
                <c:pt idx="0">
                  <c:v>6-inch</c:v>
                </c:pt>
              </c:strCache>
            </c:strRef>
          </c:tx>
          <c:cat>
            <c:strRef>
              <c:f>'Input - NonRes'!$B$2:$M$2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'Input - NonRes'!$B$9:$M$9</c:f>
              <c:numCache>
                <c:formatCode>_(* #,##0_);_(* \(#,##0\);_(* "-"??_);_(@_)</c:formatCode>
                <c:ptCount val="12"/>
                <c:pt idx="0">
                  <c:v>1500</c:v>
                </c:pt>
                <c:pt idx="1">
                  <c:v>1100</c:v>
                </c:pt>
                <c:pt idx="2">
                  <c:v>1600</c:v>
                </c:pt>
                <c:pt idx="3">
                  <c:v>1200</c:v>
                </c:pt>
                <c:pt idx="4">
                  <c:v>13200</c:v>
                </c:pt>
                <c:pt idx="5">
                  <c:v>63700</c:v>
                </c:pt>
                <c:pt idx="6">
                  <c:v>116700</c:v>
                </c:pt>
                <c:pt idx="7">
                  <c:v>240000</c:v>
                </c:pt>
                <c:pt idx="8">
                  <c:v>86200</c:v>
                </c:pt>
                <c:pt idx="9">
                  <c:v>50200</c:v>
                </c:pt>
                <c:pt idx="10">
                  <c:v>1000</c:v>
                </c:pt>
                <c:pt idx="11">
                  <c:v>1700</c:v>
                </c:pt>
              </c:numCache>
            </c:numRef>
          </c:val>
        </c:ser>
        <c:marker val="1"/>
        <c:axId val="153236992"/>
        <c:axId val="153238528"/>
      </c:lineChart>
      <c:catAx>
        <c:axId val="153236992"/>
        <c:scaling>
          <c:orientation val="minMax"/>
        </c:scaling>
        <c:axPos val="b"/>
        <c:majorTickMark val="none"/>
        <c:tickLblPos val="nextTo"/>
        <c:crossAx val="153238528"/>
        <c:crosses val="autoZero"/>
        <c:auto val="1"/>
        <c:lblAlgn val="ctr"/>
        <c:lblOffset val="100"/>
      </c:catAx>
      <c:valAx>
        <c:axId val="153238528"/>
        <c:scaling>
          <c:orientation val="minMax"/>
          <c:max val="1700000"/>
        </c:scaling>
        <c:axPos val="l"/>
        <c:majorGridlines/>
        <c:numFmt formatCode="_(* #,##0_);_(* \(#,##0\);_(* &quot;-&quot;??_);_(@_)" sourceLinked="1"/>
        <c:majorTickMark val="none"/>
        <c:tickLblPos val="nextTo"/>
        <c:crossAx val="153236992"/>
        <c:crosses val="autoZero"/>
        <c:crossBetween val="between"/>
        <c:majorUnit val="100000"/>
      </c:valAx>
    </c:plotArea>
    <c:legend>
      <c:legendPos val="b"/>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B5F341A018724DA3BF5105168943B6" ma:contentTypeVersion="131" ma:contentTypeDescription="" ma:contentTypeScope="" ma:versionID="2651db1f25901870be90b1bd5d420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2009-09-15T07:00:00+00:00</OpenedDate>
    <Date1 xmlns="dc463f71-b30c-4ab2-9473-d307f9d35888">2010-05-13T07:00:00+00:00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091466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48278E-B6D8-4F3E-B463-BF44D9718B0B}"/>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69A2B954-FF01-4AC3-A890-9CD4ADD13D9B}"/>
</file>

<file path=customXml/itemProps4.xml><?xml version="1.0" encoding="utf-8"?>
<ds:datastoreItem xmlns:ds="http://schemas.openxmlformats.org/officeDocument/2006/customXml" ds:itemID="{A1B65DB8-1F40-4466-95E5-AAC5204839DE}"/>
</file>

<file path=customXml/itemProps5.xml><?xml version="1.0" encoding="utf-8"?>
<ds:datastoreItem xmlns:ds="http://schemas.openxmlformats.org/officeDocument/2006/customXml" ds:itemID="{37ACD453-4D29-4307-ACBE-E4BB8A3F5662}"/>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Template>
  <TotalTime>0</TotalTime>
  <Pages>10</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JWard</dc:creator>
  <cp:keywords/>
  <dc:description/>
  <cp:lastModifiedBy>Lisa Wyse, Records Manager</cp:lastModifiedBy>
  <cp:revision>2</cp:revision>
  <cp:lastPrinted>2010-05-10T17:55:00Z</cp:lastPrinted>
  <dcterms:created xsi:type="dcterms:W3CDTF">2010-05-10T21:52:00Z</dcterms:created>
  <dcterms:modified xsi:type="dcterms:W3CDTF">2010-05-10T21:52:00Z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0x0101006E56B4D1795A2E4DB2F0B01679ED314A0064B5F341A018724DA3BF5105168943B6</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