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848D3" w14:textId="77777777" w:rsidR="00883368" w:rsidRDefault="00883368" w:rsidP="003215A3">
      <w:pPr>
        <w:pStyle w:val="Header"/>
        <w:spacing w:line="240" w:lineRule="exact"/>
        <w:rPr>
          <w:rFonts w:ascii="Times New Roman" w:hAnsi="Times New Roman"/>
        </w:rPr>
      </w:pPr>
      <w:bookmarkStart w:id="0" w:name="_GoBack"/>
      <w:bookmarkEnd w:id="0"/>
    </w:p>
    <w:p w14:paraId="630E98FF" w14:textId="77777777" w:rsidR="00883368" w:rsidRDefault="00883368" w:rsidP="003215A3">
      <w:pPr>
        <w:pStyle w:val="Header"/>
        <w:spacing w:line="240" w:lineRule="exact"/>
        <w:rPr>
          <w:rFonts w:ascii="Times New Roman" w:hAnsi="Times New Roman"/>
        </w:rPr>
      </w:pPr>
    </w:p>
    <w:p w14:paraId="42106061" w14:textId="77777777" w:rsidR="003215A3" w:rsidRPr="003215A3" w:rsidRDefault="003215A3" w:rsidP="003215A3">
      <w:pPr>
        <w:pStyle w:val="Header"/>
        <w:spacing w:line="240" w:lineRule="exact"/>
        <w:rPr>
          <w:rFonts w:ascii="Times New Roman" w:hAnsi="Times New Roman"/>
        </w:rPr>
      </w:pPr>
      <w:r w:rsidRPr="003215A3">
        <w:rPr>
          <w:rFonts w:ascii="Times New Roman" w:hAnsi="Times New Roman"/>
        </w:rPr>
        <w:t>BEFORE THE WASHINGTON UTILITIES AND TRANSPORTATION COMMISSION</w:t>
      </w:r>
    </w:p>
    <w:p w14:paraId="094E38BE" w14:textId="77777777" w:rsidR="003215A3" w:rsidRPr="003215A3" w:rsidRDefault="003215A3" w:rsidP="003215A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14:paraId="4F0B6B75"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18E379CA" w14:textId="77777777" w:rsidR="000D1664" w:rsidRPr="000D1664" w:rsidRDefault="000D1664" w:rsidP="000D1664">
            <w:pPr>
              <w:pStyle w:val="Header"/>
              <w:tabs>
                <w:tab w:val="left" w:pos="681"/>
                <w:tab w:val="left" w:pos="1401"/>
              </w:tabs>
              <w:rPr>
                <w:rFonts w:ascii="Times New Roman" w:hAnsi="Times New Roman"/>
              </w:rPr>
            </w:pPr>
            <w:r>
              <w:rPr>
                <w:rFonts w:ascii="Times New Roman" w:hAnsi="Times New Roman"/>
              </w:rPr>
              <w:t>I</w:t>
            </w:r>
            <w:r w:rsidRPr="000D1664">
              <w:rPr>
                <w:rFonts w:ascii="Times New Roman" w:hAnsi="Times New Roman"/>
              </w:rPr>
              <w:t>n the Matter of</w:t>
            </w:r>
          </w:p>
          <w:p w14:paraId="69C3E6AA" w14:textId="77777777" w:rsidR="000D1664" w:rsidRPr="000D1664" w:rsidRDefault="000D1664" w:rsidP="000D1664">
            <w:pPr>
              <w:pStyle w:val="Header"/>
              <w:tabs>
                <w:tab w:val="left" w:pos="681"/>
                <w:tab w:val="left" w:pos="1401"/>
              </w:tabs>
              <w:rPr>
                <w:rFonts w:ascii="Times New Roman" w:hAnsi="Times New Roman"/>
              </w:rPr>
            </w:pPr>
          </w:p>
          <w:p w14:paraId="1B74EF03" w14:textId="77777777" w:rsidR="000D1664" w:rsidRPr="000D1664" w:rsidRDefault="000D1664" w:rsidP="000D1664">
            <w:pPr>
              <w:pStyle w:val="Header"/>
              <w:tabs>
                <w:tab w:val="left" w:pos="681"/>
                <w:tab w:val="left" w:pos="1401"/>
              </w:tabs>
              <w:rPr>
                <w:rFonts w:ascii="Times New Roman" w:hAnsi="Times New Roman"/>
              </w:rPr>
            </w:pPr>
            <w:r w:rsidRPr="000D1664">
              <w:rPr>
                <w:rFonts w:ascii="Times New Roman" w:hAnsi="Times New Roman"/>
              </w:rPr>
              <w:t xml:space="preserve">PACIFIC POWER &amp; LIGHT COMPANY, </w:t>
            </w:r>
          </w:p>
          <w:p w14:paraId="7002051A" w14:textId="77777777" w:rsidR="000D1664" w:rsidRPr="000D1664" w:rsidRDefault="000D1664" w:rsidP="000D1664">
            <w:pPr>
              <w:pStyle w:val="Header"/>
              <w:tabs>
                <w:tab w:val="left" w:pos="681"/>
                <w:tab w:val="left" w:pos="1401"/>
              </w:tabs>
              <w:rPr>
                <w:rFonts w:ascii="Times New Roman" w:hAnsi="Times New Roman"/>
              </w:rPr>
            </w:pPr>
          </w:p>
          <w:p w14:paraId="188AAD6F" w14:textId="77777777" w:rsidR="00F27B39" w:rsidRDefault="000D1664" w:rsidP="000D1664">
            <w:pPr>
              <w:pStyle w:val="Header"/>
              <w:tabs>
                <w:tab w:val="left" w:pos="681"/>
                <w:tab w:val="left" w:pos="1401"/>
              </w:tabs>
              <w:rPr>
                <w:rFonts w:ascii="Times New Roman" w:hAnsi="Times New Roman"/>
              </w:rPr>
            </w:pPr>
            <w:r w:rsidRPr="000D1664">
              <w:rPr>
                <w:rFonts w:ascii="Times New Roman" w:hAnsi="Times New Roman"/>
              </w:rPr>
              <w:t>Petition For a Rate Increase Based on a Modified Commission Basis Report, Two-Year Rate Plan, and Decoupling Mechanism</w:t>
            </w:r>
          </w:p>
          <w:p w14:paraId="1B2C3FE3" w14:textId="77777777" w:rsidR="007F3C4E" w:rsidRPr="003215A3" w:rsidRDefault="007F3C4E" w:rsidP="00883368">
            <w:pPr>
              <w:pStyle w:val="Header"/>
              <w:tabs>
                <w:tab w:val="left" w:pos="681"/>
                <w:tab w:val="left" w:pos="1401"/>
              </w:tabs>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0B9BA2A9" w14:textId="77777777" w:rsidR="003215A3" w:rsidRPr="003215A3" w:rsidRDefault="003215A3" w:rsidP="00883368">
            <w:pPr>
              <w:pStyle w:val="Header"/>
              <w:ind w:left="416"/>
              <w:rPr>
                <w:rFonts w:ascii="Times New Roman" w:hAnsi="Times New Roman"/>
              </w:rPr>
            </w:pPr>
            <w:r w:rsidRPr="003215A3">
              <w:rPr>
                <w:rFonts w:ascii="Times New Roman" w:hAnsi="Times New Roman"/>
              </w:rPr>
              <w:t xml:space="preserve">DOCKET </w:t>
            </w:r>
            <w:r w:rsidR="00F27B39">
              <w:rPr>
                <w:rFonts w:ascii="Times New Roman" w:hAnsi="Times New Roman"/>
              </w:rPr>
              <w:t>UE-152253</w:t>
            </w:r>
          </w:p>
          <w:p w14:paraId="6CBBF3E6" w14:textId="77777777" w:rsidR="003215A3" w:rsidRPr="003215A3" w:rsidRDefault="003215A3" w:rsidP="00883368">
            <w:pPr>
              <w:pStyle w:val="Header"/>
              <w:ind w:left="416"/>
              <w:rPr>
                <w:rFonts w:ascii="Times New Roman" w:hAnsi="Times New Roman"/>
              </w:rPr>
            </w:pPr>
          </w:p>
          <w:p w14:paraId="0188BBD7" w14:textId="77777777" w:rsidR="003215A3" w:rsidRPr="003215A3" w:rsidRDefault="003215A3" w:rsidP="00883368">
            <w:pPr>
              <w:pStyle w:val="BodyTextIndent2"/>
              <w:ind w:left="416"/>
              <w:rPr>
                <w:rFonts w:ascii="Times New Roman" w:hAnsi="Times New Roman"/>
              </w:rPr>
            </w:pPr>
            <w:r w:rsidRPr="003215A3">
              <w:rPr>
                <w:rFonts w:ascii="Times New Roman" w:hAnsi="Times New Roman"/>
              </w:rPr>
              <w:t>COMMISSION STAFF</w:t>
            </w:r>
            <w:r w:rsidR="000956C0">
              <w:rPr>
                <w:rFonts w:ascii="Times New Roman" w:hAnsi="Times New Roman"/>
              </w:rPr>
              <w:t>’S RESPONSE TO BOISE WHITE PAPER’S MOTION TO DISMISS</w:t>
            </w:r>
          </w:p>
          <w:p w14:paraId="759ACF30" w14:textId="77777777" w:rsidR="003215A3" w:rsidRPr="003215A3" w:rsidRDefault="003215A3" w:rsidP="00883368">
            <w:pPr>
              <w:pStyle w:val="Header"/>
              <w:ind w:left="416"/>
              <w:rPr>
                <w:rFonts w:ascii="Times New Roman" w:hAnsi="Times New Roman"/>
              </w:rPr>
            </w:pPr>
          </w:p>
        </w:tc>
      </w:tr>
    </w:tbl>
    <w:p w14:paraId="04265906" w14:textId="77777777" w:rsidR="003215A3" w:rsidRPr="003215A3" w:rsidRDefault="003215A3" w:rsidP="003215A3">
      <w:pPr>
        <w:pStyle w:val="Header"/>
        <w:rPr>
          <w:rFonts w:ascii="Times New Roman" w:hAnsi="Times New Roman"/>
        </w:rPr>
      </w:pPr>
    </w:p>
    <w:p w14:paraId="4E31F5C6" w14:textId="77777777" w:rsidR="007844A5" w:rsidRDefault="000956C0" w:rsidP="00356451">
      <w:pPr>
        <w:pStyle w:val="BodyTextIndent2"/>
        <w:ind w:left="-720"/>
        <w:rPr>
          <w:rFonts w:ascii="Times New Roman" w:hAnsi="Times New Roman"/>
        </w:rPr>
      </w:pPr>
      <w:r>
        <w:rPr>
          <w:rFonts w:ascii="Times New Roman" w:hAnsi="Times New Roman"/>
        </w:rPr>
        <w:tab/>
      </w:r>
    </w:p>
    <w:p w14:paraId="6DAE886A" w14:textId="186574F7" w:rsidR="00356451"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356451">
        <w:rPr>
          <w:rFonts w:ascii="Times New Roman" w:hAnsi="Times New Roman"/>
        </w:rPr>
        <w:t>Pursuant to WAC 480-07-380(1)(c), Staff of the Washington Utilities and Transportation Commission (Commission) submits this response to Boise White Paper</w:t>
      </w:r>
      <w:r w:rsidR="004A469D">
        <w:rPr>
          <w:rFonts w:ascii="Times New Roman" w:hAnsi="Times New Roman"/>
        </w:rPr>
        <w:t>,</w:t>
      </w:r>
      <w:r w:rsidR="009B59D4">
        <w:rPr>
          <w:rFonts w:ascii="Times New Roman" w:hAnsi="Times New Roman"/>
        </w:rPr>
        <w:t xml:space="preserve"> L</w:t>
      </w:r>
      <w:r w:rsidR="004A469D">
        <w:rPr>
          <w:rFonts w:ascii="Times New Roman" w:hAnsi="Times New Roman"/>
        </w:rPr>
        <w:t>.</w:t>
      </w:r>
      <w:r w:rsidR="009B59D4">
        <w:rPr>
          <w:rFonts w:ascii="Times New Roman" w:hAnsi="Times New Roman"/>
        </w:rPr>
        <w:t>L</w:t>
      </w:r>
      <w:r w:rsidR="004A469D">
        <w:rPr>
          <w:rFonts w:ascii="Times New Roman" w:hAnsi="Times New Roman"/>
        </w:rPr>
        <w:t>.</w:t>
      </w:r>
      <w:r w:rsidR="009B59D4">
        <w:rPr>
          <w:rFonts w:ascii="Times New Roman" w:hAnsi="Times New Roman"/>
        </w:rPr>
        <w:t>C</w:t>
      </w:r>
      <w:r w:rsidR="004A469D">
        <w:rPr>
          <w:rFonts w:ascii="Times New Roman" w:hAnsi="Times New Roman"/>
        </w:rPr>
        <w:t>.</w:t>
      </w:r>
      <w:r w:rsidR="00356451">
        <w:rPr>
          <w:rFonts w:ascii="Times New Roman" w:hAnsi="Times New Roman"/>
        </w:rPr>
        <w:t>’s Motion to Dismiss and Alternative Motion (Motion), filed December 10, 2015.</w:t>
      </w:r>
      <w:r w:rsidR="00522465">
        <w:rPr>
          <w:rFonts w:ascii="Times New Roman" w:hAnsi="Times New Roman"/>
        </w:rPr>
        <w:t xml:space="preserve">  Commission Staff </w:t>
      </w:r>
      <w:r w:rsidR="00704ABA">
        <w:rPr>
          <w:rFonts w:ascii="Times New Roman" w:hAnsi="Times New Roman"/>
        </w:rPr>
        <w:t xml:space="preserve">(Staff) </w:t>
      </w:r>
      <w:r w:rsidR="00C44C11">
        <w:rPr>
          <w:rFonts w:ascii="Times New Roman" w:hAnsi="Times New Roman"/>
        </w:rPr>
        <w:t>believes</w:t>
      </w:r>
      <w:r w:rsidR="00522465">
        <w:rPr>
          <w:rFonts w:ascii="Times New Roman" w:hAnsi="Times New Roman"/>
        </w:rPr>
        <w:t xml:space="preserve"> that the filing </w:t>
      </w:r>
      <w:r w:rsidR="009B59D4">
        <w:rPr>
          <w:rFonts w:ascii="Times New Roman" w:hAnsi="Times New Roman"/>
        </w:rPr>
        <w:t xml:space="preserve">of Pacific Power &amp; Light Company (Pacific Power) </w:t>
      </w:r>
      <w:r w:rsidR="00522465">
        <w:rPr>
          <w:rFonts w:ascii="Times New Roman" w:hAnsi="Times New Roman"/>
        </w:rPr>
        <w:t xml:space="preserve">is </w:t>
      </w:r>
      <w:r w:rsidR="00BC01D9">
        <w:rPr>
          <w:rFonts w:ascii="Times New Roman" w:hAnsi="Times New Roman"/>
        </w:rPr>
        <w:t>sufficient</w:t>
      </w:r>
      <w:r w:rsidR="00522465">
        <w:rPr>
          <w:rFonts w:ascii="Times New Roman" w:hAnsi="Times New Roman"/>
        </w:rPr>
        <w:t xml:space="preserve"> </w:t>
      </w:r>
      <w:r w:rsidR="0021520A">
        <w:rPr>
          <w:rFonts w:ascii="Times New Roman" w:hAnsi="Times New Roman"/>
        </w:rPr>
        <w:t xml:space="preserve">to initiate an expedited rate filing </w:t>
      </w:r>
      <w:r w:rsidR="00522465">
        <w:rPr>
          <w:rFonts w:ascii="Times New Roman" w:hAnsi="Times New Roman"/>
        </w:rPr>
        <w:t xml:space="preserve">and </w:t>
      </w:r>
      <w:r w:rsidR="00C44C11">
        <w:rPr>
          <w:rFonts w:ascii="Times New Roman" w:hAnsi="Times New Roman"/>
        </w:rPr>
        <w:t xml:space="preserve">need </w:t>
      </w:r>
      <w:r w:rsidR="00522465">
        <w:rPr>
          <w:rFonts w:ascii="Times New Roman" w:hAnsi="Times New Roman"/>
        </w:rPr>
        <w:t>not be dismissed</w:t>
      </w:r>
      <w:r w:rsidR="00BA28F9">
        <w:rPr>
          <w:rFonts w:ascii="Times New Roman" w:hAnsi="Times New Roman"/>
        </w:rPr>
        <w:t xml:space="preserve">. However, </w:t>
      </w:r>
      <w:r w:rsidR="004D772E">
        <w:rPr>
          <w:rFonts w:ascii="Times New Roman" w:hAnsi="Times New Roman"/>
        </w:rPr>
        <w:t xml:space="preserve">the absence of comprehensive cost of capital evidence poses a risk </w:t>
      </w:r>
      <w:r w:rsidR="009B59D4">
        <w:rPr>
          <w:rFonts w:ascii="Times New Roman" w:hAnsi="Times New Roman"/>
        </w:rPr>
        <w:t>to</w:t>
      </w:r>
      <w:r w:rsidR="004D772E">
        <w:rPr>
          <w:rFonts w:ascii="Times New Roman" w:hAnsi="Times New Roman"/>
        </w:rPr>
        <w:t xml:space="preserve"> the Commission in light of the </w:t>
      </w:r>
      <w:r w:rsidR="00702301">
        <w:rPr>
          <w:rFonts w:ascii="Times New Roman" w:hAnsi="Times New Roman"/>
        </w:rPr>
        <w:t>Superior Court’s ruling in the P</w:t>
      </w:r>
      <w:r w:rsidR="00465C7F">
        <w:rPr>
          <w:rFonts w:ascii="Times New Roman" w:hAnsi="Times New Roman"/>
        </w:rPr>
        <w:t xml:space="preserve">uget Sound </w:t>
      </w:r>
      <w:r w:rsidR="00702301">
        <w:rPr>
          <w:rFonts w:ascii="Times New Roman" w:hAnsi="Times New Roman"/>
        </w:rPr>
        <w:t>E</w:t>
      </w:r>
      <w:r w:rsidR="00465C7F">
        <w:rPr>
          <w:rFonts w:ascii="Times New Roman" w:hAnsi="Times New Roman"/>
        </w:rPr>
        <w:t>nergy Inc. (PSE)</w:t>
      </w:r>
      <w:r w:rsidR="00702301">
        <w:rPr>
          <w:rFonts w:ascii="Times New Roman" w:hAnsi="Times New Roman"/>
        </w:rPr>
        <w:t xml:space="preserve"> case</w:t>
      </w:r>
      <w:r w:rsidR="004D772E">
        <w:rPr>
          <w:rFonts w:ascii="Times New Roman" w:hAnsi="Times New Roman"/>
        </w:rPr>
        <w:t>.</w:t>
      </w:r>
      <w:r w:rsidR="00702301">
        <w:rPr>
          <w:rStyle w:val="FootnoteReference"/>
          <w:rFonts w:ascii="Times New Roman" w:hAnsi="Times New Roman"/>
        </w:rPr>
        <w:footnoteReference w:id="1"/>
      </w:r>
      <w:r w:rsidR="004D772E">
        <w:rPr>
          <w:rFonts w:ascii="Times New Roman" w:hAnsi="Times New Roman"/>
        </w:rPr>
        <w:t xml:space="preserve">  The</w:t>
      </w:r>
      <w:r w:rsidR="00522465">
        <w:rPr>
          <w:rFonts w:ascii="Times New Roman" w:hAnsi="Times New Roman"/>
        </w:rPr>
        <w:t xml:space="preserve"> Commission </w:t>
      </w:r>
      <w:r w:rsidR="004D772E">
        <w:rPr>
          <w:rFonts w:ascii="Times New Roman" w:hAnsi="Times New Roman"/>
        </w:rPr>
        <w:t xml:space="preserve">could mitigate this risk by </w:t>
      </w:r>
      <w:r w:rsidR="00522465">
        <w:rPr>
          <w:rFonts w:ascii="Times New Roman" w:hAnsi="Times New Roman"/>
        </w:rPr>
        <w:t>solicit</w:t>
      </w:r>
      <w:r w:rsidR="004D772E">
        <w:rPr>
          <w:rFonts w:ascii="Times New Roman" w:hAnsi="Times New Roman"/>
        </w:rPr>
        <w:t>ing</w:t>
      </w:r>
      <w:r w:rsidR="00522465">
        <w:rPr>
          <w:rFonts w:ascii="Times New Roman" w:hAnsi="Times New Roman"/>
        </w:rPr>
        <w:t xml:space="preserve"> additional cost of capital evidence </w:t>
      </w:r>
      <w:r w:rsidR="00BA28F9">
        <w:rPr>
          <w:rFonts w:ascii="Times New Roman" w:hAnsi="Times New Roman"/>
        </w:rPr>
        <w:t>from Pacific Power</w:t>
      </w:r>
      <w:r w:rsidR="00522465">
        <w:rPr>
          <w:rFonts w:ascii="Times New Roman" w:hAnsi="Times New Roman"/>
        </w:rPr>
        <w:t xml:space="preserve">. </w:t>
      </w:r>
    </w:p>
    <w:p w14:paraId="2D63E825" w14:textId="20712591" w:rsidR="0015309F"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15309F">
        <w:rPr>
          <w:rFonts w:ascii="Times New Roman" w:hAnsi="Times New Roman"/>
        </w:rPr>
        <w:t>This response relies on the Declaration of Jason</w:t>
      </w:r>
      <w:r w:rsidR="009A0E32">
        <w:rPr>
          <w:rFonts w:ascii="Times New Roman" w:hAnsi="Times New Roman"/>
        </w:rPr>
        <w:t xml:space="preserve"> Ball and the Declaration of Betsy DeMarco, which are</w:t>
      </w:r>
      <w:r w:rsidR="00C11035">
        <w:rPr>
          <w:rFonts w:ascii="Times New Roman" w:hAnsi="Times New Roman"/>
        </w:rPr>
        <w:t xml:space="preserve"> attached, as well as the rate filing by Pacific </w:t>
      </w:r>
      <w:r w:rsidR="009B59D4">
        <w:rPr>
          <w:rFonts w:ascii="Times New Roman" w:hAnsi="Times New Roman"/>
        </w:rPr>
        <w:t>Power</w:t>
      </w:r>
      <w:r w:rsidR="00326CF8">
        <w:rPr>
          <w:rFonts w:ascii="Times New Roman" w:hAnsi="Times New Roman"/>
        </w:rPr>
        <w:t xml:space="preserve"> </w:t>
      </w:r>
      <w:r w:rsidR="00A334F0">
        <w:rPr>
          <w:rFonts w:ascii="Times New Roman" w:hAnsi="Times New Roman"/>
        </w:rPr>
        <w:t>of November 25</w:t>
      </w:r>
      <w:r w:rsidR="00326CF8">
        <w:rPr>
          <w:rFonts w:ascii="Times New Roman" w:hAnsi="Times New Roman"/>
        </w:rPr>
        <w:t>, 2015</w:t>
      </w:r>
      <w:r w:rsidR="00C11035">
        <w:rPr>
          <w:rFonts w:ascii="Times New Roman" w:hAnsi="Times New Roman"/>
        </w:rPr>
        <w:t>.</w:t>
      </w:r>
    </w:p>
    <w:p w14:paraId="28FC1AA6" w14:textId="77777777" w:rsidR="00522465" w:rsidRPr="00522465" w:rsidRDefault="00522465" w:rsidP="00022F92">
      <w:pPr>
        <w:pStyle w:val="BodyTextIndent2"/>
        <w:keepNext/>
        <w:numPr>
          <w:ilvl w:val="0"/>
          <w:numId w:val="5"/>
        </w:numPr>
        <w:spacing w:line="480" w:lineRule="auto"/>
        <w:ind w:left="720"/>
        <w:jc w:val="center"/>
        <w:rPr>
          <w:rFonts w:ascii="Times New Roman" w:hAnsi="Times New Roman"/>
          <w:b/>
        </w:rPr>
      </w:pPr>
      <w:r w:rsidRPr="00522465">
        <w:rPr>
          <w:rFonts w:ascii="Times New Roman" w:hAnsi="Times New Roman"/>
          <w:b/>
        </w:rPr>
        <w:t>BACKGROUND</w:t>
      </w:r>
    </w:p>
    <w:p w14:paraId="4382A4C1" w14:textId="06D9E584" w:rsidR="00522465" w:rsidRDefault="00022F92" w:rsidP="00022F92">
      <w:pPr>
        <w:pStyle w:val="BodyTextIndent2"/>
        <w:keepNext/>
        <w:numPr>
          <w:ilvl w:val="0"/>
          <w:numId w:val="4"/>
        </w:numPr>
        <w:tabs>
          <w:tab w:val="clear" w:pos="720"/>
        </w:tabs>
        <w:spacing w:line="480" w:lineRule="auto"/>
        <w:ind w:left="0"/>
        <w:rPr>
          <w:rFonts w:ascii="Times New Roman" w:hAnsi="Times New Roman"/>
        </w:rPr>
      </w:pPr>
      <w:r>
        <w:rPr>
          <w:rFonts w:ascii="Times New Roman" w:hAnsi="Times New Roman"/>
        </w:rPr>
        <w:lastRenderedPageBreak/>
        <w:tab/>
      </w:r>
      <w:r w:rsidR="00745588">
        <w:rPr>
          <w:rFonts w:ascii="Times New Roman" w:hAnsi="Times New Roman"/>
        </w:rPr>
        <w:t xml:space="preserve">Boise’s Motion </w:t>
      </w:r>
      <w:r w:rsidR="00C44C11">
        <w:rPr>
          <w:rFonts w:ascii="Times New Roman" w:hAnsi="Times New Roman"/>
        </w:rPr>
        <w:t xml:space="preserve">asks that Pacific Power’s filing be dismissed or, in the alternative, </w:t>
      </w:r>
      <w:r w:rsidR="00BC01D9">
        <w:rPr>
          <w:rFonts w:ascii="Times New Roman" w:hAnsi="Times New Roman"/>
        </w:rPr>
        <w:t>treated as a general rate case.</w:t>
      </w:r>
      <w:r w:rsidR="009A0E32">
        <w:rPr>
          <w:rFonts w:ascii="Times New Roman" w:hAnsi="Times New Roman"/>
        </w:rPr>
        <w:t xml:space="preserve"> The foundation of Boise’s motion for dismissal is t</w:t>
      </w:r>
      <w:r w:rsidR="008347BC">
        <w:rPr>
          <w:rFonts w:ascii="Times New Roman" w:hAnsi="Times New Roman"/>
        </w:rPr>
        <w:t>he Superior Court decision o</w:t>
      </w:r>
      <w:r w:rsidR="006C5B46">
        <w:rPr>
          <w:rFonts w:ascii="Times New Roman" w:hAnsi="Times New Roman"/>
        </w:rPr>
        <w:t xml:space="preserve">n the petition for judicial review of the </w:t>
      </w:r>
      <w:r w:rsidR="003A07F8">
        <w:rPr>
          <w:rFonts w:ascii="Times New Roman" w:hAnsi="Times New Roman"/>
        </w:rPr>
        <w:t xml:space="preserve">Commission’s </w:t>
      </w:r>
      <w:r w:rsidR="006C5B46">
        <w:rPr>
          <w:rFonts w:ascii="Times New Roman" w:hAnsi="Times New Roman"/>
        </w:rPr>
        <w:t>final order in Docket</w:t>
      </w:r>
      <w:r w:rsidR="00541677">
        <w:rPr>
          <w:rFonts w:ascii="Times New Roman" w:hAnsi="Times New Roman"/>
        </w:rPr>
        <w:t>s</w:t>
      </w:r>
      <w:r w:rsidR="006C5B46">
        <w:rPr>
          <w:rFonts w:ascii="Times New Roman" w:hAnsi="Times New Roman"/>
        </w:rPr>
        <w:t xml:space="preserve"> UE-</w:t>
      </w:r>
      <w:r w:rsidR="00541677">
        <w:rPr>
          <w:rFonts w:ascii="Times New Roman" w:hAnsi="Times New Roman"/>
        </w:rPr>
        <w:t>130137 and UE-121697.</w:t>
      </w:r>
      <w:r w:rsidR="0073611E">
        <w:rPr>
          <w:rFonts w:ascii="Times New Roman" w:hAnsi="Times New Roman"/>
        </w:rPr>
        <w:t xml:space="preserve">  The Superior Court reversed the Commission’s determination of rates to be charged by </w:t>
      </w:r>
      <w:r w:rsidR="00465C7F">
        <w:rPr>
          <w:rFonts w:ascii="Times New Roman" w:hAnsi="Times New Roman"/>
        </w:rPr>
        <w:t>PSE</w:t>
      </w:r>
      <w:r w:rsidR="0073611E">
        <w:rPr>
          <w:rFonts w:ascii="Times New Roman" w:hAnsi="Times New Roman"/>
        </w:rPr>
        <w:t xml:space="preserve"> during a rate plan, finding that “the Commission’s findings of fact with respect to the return on equity component of [PSE’s] cost of capital in the context of a multi-year rate plan are unsupported by substantial evidence and the Commission improperly shifted the burden of proof on this issue from [PSE] to the other parties.”</w:t>
      </w:r>
      <w:r w:rsidR="002A330B">
        <w:rPr>
          <w:rStyle w:val="FootnoteReference"/>
          <w:rFonts w:ascii="Times New Roman" w:hAnsi="Times New Roman"/>
        </w:rPr>
        <w:footnoteReference w:id="2"/>
      </w:r>
      <w:r w:rsidR="008347BC">
        <w:rPr>
          <w:rFonts w:ascii="Times New Roman" w:hAnsi="Times New Roman"/>
        </w:rPr>
        <w:t xml:space="preserve">  PSE had filed an </w:t>
      </w:r>
      <w:r w:rsidR="00AD4A23">
        <w:rPr>
          <w:rFonts w:ascii="Times New Roman" w:hAnsi="Times New Roman"/>
        </w:rPr>
        <w:t>“</w:t>
      </w:r>
      <w:r w:rsidR="008347BC">
        <w:rPr>
          <w:rFonts w:ascii="Times New Roman" w:hAnsi="Times New Roman"/>
        </w:rPr>
        <w:t>expedited rate filing</w:t>
      </w:r>
      <w:r w:rsidR="00AD4A23">
        <w:rPr>
          <w:rFonts w:ascii="Times New Roman" w:hAnsi="Times New Roman"/>
        </w:rPr>
        <w:t>”</w:t>
      </w:r>
      <w:r w:rsidR="00CF56D4">
        <w:rPr>
          <w:rFonts w:ascii="Times New Roman" w:hAnsi="Times New Roman"/>
        </w:rPr>
        <w:t xml:space="preserve"> (ERF)</w:t>
      </w:r>
      <w:r w:rsidR="008347BC">
        <w:rPr>
          <w:rFonts w:ascii="Times New Roman" w:hAnsi="Times New Roman"/>
        </w:rPr>
        <w:t xml:space="preserve"> in Docket UE-130137</w:t>
      </w:r>
      <w:r w:rsidR="00AD4A23">
        <w:rPr>
          <w:rFonts w:ascii="Times New Roman" w:hAnsi="Times New Roman"/>
        </w:rPr>
        <w:t xml:space="preserve">.  PSE’s filing </w:t>
      </w:r>
      <w:r w:rsidR="00021CD4">
        <w:rPr>
          <w:rFonts w:ascii="Times New Roman" w:hAnsi="Times New Roman"/>
        </w:rPr>
        <w:t>followed a proposal by S</w:t>
      </w:r>
      <w:r w:rsidR="00D46378">
        <w:rPr>
          <w:rFonts w:ascii="Times New Roman" w:hAnsi="Times New Roman"/>
        </w:rPr>
        <w:t>taff, which the</w:t>
      </w:r>
      <w:r w:rsidR="00AD4A23">
        <w:rPr>
          <w:rFonts w:ascii="Times New Roman" w:hAnsi="Times New Roman"/>
        </w:rPr>
        <w:t xml:space="preserve"> Commission </w:t>
      </w:r>
      <w:r w:rsidR="008C26B7">
        <w:rPr>
          <w:rFonts w:ascii="Times New Roman" w:hAnsi="Times New Roman"/>
        </w:rPr>
        <w:t>discussed</w:t>
      </w:r>
      <w:r w:rsidR="00304EDB">
        <w:rPr>
          <w:rFonts w:ascii="Times New Roman" w:hAnsi="Times New Roman"/>
        </w:rPr>
        <w:t xml:space="preserve"> favorably</w:t>
      </w:r>
      <w:r w:rsidR="008C26B7">
        <w:rPr>
          <w:rFonts w:ascii="Times New Roman" w:hAnsi="Times New Roman"/>
        </w:rPr>
        <w:t xml:space="preserve"> in Docket UE-111048</w:t>
      </w:r>
      <w:r w:rsidR="004019DE">
        <w:rPr>
          <w:rFonts w:ascii="Times New Roman" w:hAnsi="Times New Roman"/>
        </w:rPr>
        <w:t xml:space="preserve"> as a possible way to address the burdens of back-to-back general rate case filings</w:t>
      </w:r>
      <w:r w:rsidR="008C26B7">
        <w:rPr>
          <w:rFonts w:ascii="Times New Roman" w:hAnsi="Times New Roman"/>
        </w:rPr>
        <w:t>.</w:t>
      </w:r>
      <w:r w:rsidR="008C26B7">
        <w:rPr>
          <w:rStyle w:val="FootnoteReference"/>
          <w:rFonts w:ascii="Times New Roman" w:hAnsi="Times New Roman"/>
        </w:rPr>
        <w:footnoteReference w:id="3"/>
      </w:r>
      <w:r w:rsidR="00CF56D4">
        <w:rPr>
          <w:rFonts w:ascii="Times New Roman" w:hAnsi="Times New Roman"/>
        </w:rPr>
        <w:t xml:space="preserve">  In accord with the intent of the ERF as a limited-issue proceeding, PSE did not seek a change to its cost of capital and did not file traditional cost of capital testimony.</w:t>
      </w:r>
    </w:p>
    <w:p w14:paraId="7B48CE12" w14:textId="3C382758" w:rsidR="00272B7A"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164FBE">
        <w:rPr>
          <w:rFonts w:ascii="Times New Roman" w:hAnsi="Times New Roman"/>
        </w:rPr>
        <w:t>Pacific Power’s ERF filing is presented as a similar limited-</w:t>
      </w:r>
      <w:r w:rsidR="00BE415D">
        <w:rPr>
          <w:rFonts w:ascii="Times New Roman" w:hAnsi="Times New Roman"/>
        </w:rPr>
        <w:t xml:space="preserve">issue rate case </w:t>
      </w:r>
      <w:r w:rsidR="0060289A">
        <w:rPr>
          <w:rFonts w:ascii="Times New Roman" w:hAnsi="Times New Roman"/>
        </w:rPr>
        <w:t xml:space="preserve">based on a modified Commission Basis Report.  </w:t>
      </w:r>
      <w:r w:rsidR="00122618">
        <w:rPr>
          <w:rFonts w:ascii="Times New Roman" w:hAnsi="Times New Roman"/>
        </w:rPr>
        <w:t>Pacific Power’s</w:t>
      </w:r>
      <w:r w:rsidR="0060289A">
        <w:rPr>
          <w:rFonts w:ascii="Times New Roman" w:hAnsi="Times New Roman"/>
        </w:rPr>
        <w:t xml:space="preserve"> case </w:t>
      </w:r>
      <w:r w:rsidR="00122618">
        <w:rPr>
          <w:rFonts w:ascii="Times New Roman" w:hAnsi="Times New Roman"/>
        </w:rPr>
        <w:t>does not include</w:t>
      </w:r>
      <w:r w:rsidR="0060289A">
        <w:rPr>
          <w:rFonts w:ascii="Times New Roman" w:hAnsi="Times New Roman"/>
        </w:rPr>
        <w:t xml:space="preserve"> power costs</w:t>
      </w:r>
      <w:r w:rsidR="00B8795A">
        <w:rPr>
          <w:rFonts w:ascii="Times New Roman" w:hAnsi="Times New Roman"/>
        </w:rPr>
        <w:t>.</w:t>
      </w:r>
      <w:r w:rsidR="00E67975">
        <w:rPr>
          <w:rFonts w:ascii="Times New Roman" w:hAnsi="Times New Roman"/>
        </w:rPr>
        <w:t xml:space="preserve"> </w:t>
      </w:r>
      <w:r w:rsidR="00D96957">
        <w:rPr>
          <w:rFonts w:ascii="Times New Roman" w:hAnsi="Times New Roman"/>
        </w:rPr>
        <w:t xml:space="preserve"> It </w:t>
      </w:r>
      <w:r w:rsidR="00272B7A">
        <w:rPr>
          <w:rFonts w:ascii="Times New Roman" w:hAnsi="Times New Roman"/>
        </w:rPr>
        <w:t xml:space="preserve">also </w:t>
      </w:r>
      <w:r w:rsidR="00D96957">
        <w:rPr>
          <w:rFonts w:ascii="Times New Roman" w:hAnsi="Times New Roman"/>
        </w:rPr>
        <w:t xml:space="preserve">does not include a </w:t>
      </w:r>
      <w:r w:rsidR="00272B7A">
        <w:rPr>
          <w:rFonts w:ascii="Times New Roman" w:hAnsi="Times New Roman"/>
        </w:rPr>
        <w:t>comprehensive</w:t>
      </w:r>
      <w:r w:rsidR="00D96957">
        <w:rPr>
          <w:rFonts w:ascii="Times New Roman" w:hAnsi="Times New Roman"/>
        </w:rPr>
        <w:t xml:space="preserve"> cost of capital presentation.</w:t>
      </w:r>
      <w:r w:rsidR="00BE415D">
        <w:rPr>
          <w:rFonts w:ascii="Times New Roman" w:hAnsi="Times New Roman"/>
        </w:rPr>
        <w:t xml:space="preserve">  </w:t>
      </w:r>
      <w:r w:rsidR="00272B7A">
        <w:rPr>
          <w:rFonts w:ascii="Times New Roman" w:hAnsi="Times New Roman"/>
        </w:rPr>
        <w:t xml:space="preserve">However, </w:t>
      </w:r>
      <w:r w:rsidR="004157B7">
        <w:rPr>
          <w:rFonts w:ascii="Times New Roman" w:hAnsi="Times New Roman"/>
        </w:rPr>
        <w:t xml:space="preserve">Pacific Power does not seek a change to its return on equity or capital structure.  </w:t>
      </w:r>
    </w:p>
    <w:p w14:paraId="01ED79C2" w14:textId="3DC804DA" w:rsidR="00CF56D4"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272B7A">
        <w:rPr>
          <w:rFonts w:ascii="Times New Roman" w:hAnsi="Times New Roman"/>
        </w:rPr>
        <w:t>Here, t</w:t>
      </w:r>
      <w:r w:rsidR="00E67975">
        <w:rPr>
          <w:rFonts w:ascii="Times New Roman" w:hAnsi="Times New Roman"/>
        </w:rPr>
        <w:t>he Company</w:t>
      </w:r>
      <w:r w:rsidR="00BE415D">
        <w:rPr>
          <w:rFonts w:ascii="Times New Roman" w:hAnsi="Times New Roman"/>
        </w:rPr>
        <w:t xml:space="preserve"> </w:t>
      </w:r>
      <w:r w:rsidR="00E67975">
        <w:rPr>
          <w:rFonts w:ascii="Times New Roman" w:hAnsi="Times New Roman"/>
        </w:rPr>
        <w:t>present</w:t>
      </w:r>
      <w:r w:rsidR="00272B7A">
        <w:rPr>
          <w:rFonts w:ascii="Times New Roman" w:hAnsi="Times New Roman"/>
        </w:rPr>
        <w:t xml:space="preserve">s </w:t>
      </w:r>
      <w:r w:rsidR="00BE415D">
        <w:rPr>
          <w:rFonts w:ascii="Times New Roman" w:hAnsi="Times New Roman"/>
        </w:rPr>
        <w:t xml:space="preserve">the testimony of a cost of capital expert, Mr. Strunk, who discusses market conditions and provides his analysis of the appropriate return on equity (ROE) for Pacific Power under various established methodologies for deriving ROE.  </w:t>
      </w:r>
      <w:r w:rsidR="00803C9D">
        <w:rPr>
          <w:rFonts w:ascii="Times New Roman" w:hAnsi="Times New Roman"/>
        </w:rPr>
        <w:t xml:space="preserve">Mr. Strunk testifies that </w:t>
      </w:r>
      <w:r w:rsidR="00590795">
        <w:rPr>
          <w:rFonts w:ascii="Times New Roman" w:hAnsi="Times New Roman"/>
        </w:rPr>
        <w:t xml:space="preserve">an increase to </w:t>
      </w:r>
      <w:r w:rsidR="00803C9D">
        <w:rPr>
          <w:rFonts w:ascii="Times New Roman" w:hAnsi="Times New Roman"/>
        </w:rPr>
        <w:t>Pacific Power’s</w:t>
      </w:r>
      <w:r w:rsidR="00590795">
        <w:rPr>
          <w:rFonts w:ascii="Times New Roman" w:hAnsi="Times New Roman"/>
        </w:rPr>
        <w:t xml:space="preserve"> ROE</w:t>
      </w:r>
      <w:r w:rsidR="00803C9D">
        <w:rPr>
          <w:rFonts w:ascii="Times New Roman" w:hAnsi="Times New Roman"/>
        </w:rPr>
        <w:t xml:space="preserve"> would be appropriate</w:t>
      </w:r>
      <w:r w:rsidR="00590795">
        <w:rPr>
          <w:rFonts w:ascii="Times New Roman" w:hAnsi="Times New Roman"/>
        </w:rPr>
        <w:t>,</w:t>
      </w:r>
      <w:r w:rsidR="00803C9D">
        <w:rPr>
          <w:rStyle w:val="FootnoteReference"/>
          <w:rFonts w:ascii="Times New Roman" w:hAnsi="Times New Roman"/>
        </w:rPr>
        <w:footnoteReference w:id="4"/>
      </w:r>
      <w:r w:rsidR="00590795">
        <w:rPr>
          <w:rFonts w:ascii="Times New Roman" w:hAnsi="Times New Roman"/>
        </w:rPr>
        <w:t xml:space="preserve"> but </w:t>
      </w:r>
      <w:r w:rsidR="00590795">
        <w:rPr>
          <w:rFonts w:ascii="Times New Roman" w:hAnsi="Times New Roman"/>
        </w:rPr>
        <w:lastRenderedPageBreak/>
        <w:t xml:space="preserve">accepts </w:t>
      </w:r>
      <w:r w:rsidR="00021CD4">
        <w:rPr>
          <w:rFonts w:ascii="Times New Roman" w:hAnsi="Times New Roman"/>
        </w:rPr>
        <w:t>the c</w:t>
      </w:r>
      <w:r w:rsidR="00590795">
        <w:rPr>
          <w:rFonts w:ascii="Times New Roman" w:hAnsi="Times New Roman"/>
        </w:rPr>
        <w:t>ompany’s decision to maintain the latest accepted allowed return on equity</w:t>
      </w:r>
      <w:r w:rsidR="00BE415D">
        <w:rPr>
          <w:rFonts w:ascii="Times New Roman" w:hAnsi="Times New Roman"/>
        </w:rPr>
        <w:t>.</w:t>
      </w:r>
      <w:r w:rsidR="007043E1">
        <w:rPr>
          <w:rStyle w:val="FootnoteReference"/>
          <w:rFonts w:ascii="Times New Roman" w:hAnsi="Times New Roman"/>
        </w:rPr>
        <w:footnoteReference w:id="5"/>
      </w:r>
      <w:r w:rsidR="004157B7">
        <w:rPr>
          <w:rFonts w:ascii="Times New Roman" w:hAnsi="Times New Roman"/>
        </w:rPr>
        <w:t xml:space="preserve">  Pacific Power </w:t>
      </w:r>
      <w:r w:rsidR="00590795">
        <w:rPr>
          <w:rFonts w:ascii="Times New Roman" w:hAnsi="Times New Roman"/>
        </w:rPr>
        <w:t xml:space="preserve">does not challenge the </w:t>
      </w:r>
      <w:r w:rsidR="004157B7">
        <w:rPr>
          <w:rFonts w:ascii="Times New Roman" w:hAnsi="Times New Roman"/>
        </w:rPr>
        <w:t>hypothetical capital structure th</w:t>
      </w:r>
      <w:r w:rsidR="005D6E47">
        <w:rPr>
          <w:rFonts w:ascii="Times New Roman" w:hAnsi="Times New Roman"/>
        </w:rPr>
        <w:t>at the Commission set in 2011 and approved again in 2013.</w:t>
      </w:r>
      <w:r w:rsidR="005D6E47">
        <w:rPr>
          <w:rStyle w:val="FootnoteReference"/>
          <w:rFonts w:ascii="Times New Roman" w:hAnsi="Times New Roman"/>
        </w:rPr>
        <w:footnoteReference w:id="6"/>
      </w:r>
      <w:r w:rsidR="00D45A7E">
        <w:rPr>
          <w:rFonts w:ascii="Times New Roman" w:hAnsi="Times New Roman"/>
        </w:rPr>
        <w:t xml:space="preserve">  In Pacific Power’s last general rate case, </w:t>
      </w:r>
      <w:r w:rsidR="00C44B1C">
        <w:rPr>
          <w:rFonts w:ascii="Times New Roman" w:hAnsi="Times New Roman"/>
        </w:rPr>
        <w:t>although the parties filed full cost of capital cases</w:t>
      </w:r>
      <w:r w:rsidR="007601ED">
        <w:rPr>
          <w:rFonts w:ascii="Times New Roman" w:hAnsi="Times New Roman"/>
        </w:rPr>
        <w:t xml:space="preserve">, </w:t>
      </w:r>
      <w:r w:rsidR="00D45A7E">
        <w:rPr>
          <w:rFonts w:ascii="Times New Roman" w:hAnsi="Times New Roman"/>
        </w:rPr>
        <w:t xml:space="preserve">the Commission declined to re-hear the company’s </w:t>
      </w:r>
      <w:r w:rsidR="00C44B1C">
        <w:rPr>
          <w:rFonts w:ascii="Times New Roman" w:hAnsi="Times New Roman"/>
        </w:rPr>
        <w:t xml:space="preserve">case on </w:t>
      </w:r>
      <w:r w:rsidR="00D6301D">
        <w:rPr>
          <w:rFonts w:ascii="Times New Roman" w:hAnsi="Times New Roman"/>
        </w:rPr>
        <w:t xml:space="preserve">cost of </w:t>
      </w:r>
      <w:r w:rsidR="00C44B1C">
        <w:rPr>
          <w:rFonts w:ascii="Times New Roman" w:hAnsi="Times New Roman"/>
        </w:rPr>
        <w:t xml:space="preserve">capital.  </w:t>
      </w:r>
      <w:r w:rsidR="00590795">
        <w:rPr>
          <w:rFonts w:ascii="Times New Roman" w:hAnsi="Times New Roman"/>
        </w:rPr>
        <w:t>Therefore, present rates are based on</w:t>
      </w:r>
      <w:r w:rsidR="00D45A7E">
        <w:rPr>
          <w:rFonts w:ascii="Times New Roman" w:hAnsi="Times New Roman"/>
        </w:rPr>
        <w:t xml:space="preserve"> the ROE and capital structure that the Commission had approved in 2013.</w:t>
      </w:r>
      <w:r w:rsidR="004A70A0">
        <w:rPr>
          <w:rStyle w:val="FootnoteReference"/>
          <w:rFonts w:ascii="Times New Roman" w:hAnsi="Times New Roman"/>
        </w:rPr>
        <w:footnoteReference w:id="7"/>
      </w:r>
    </w:p>
    <w:p w14:paraId="4939D641" w14:textId="1C185040" w:rsidR="00117161"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117161">
        <w:rPr>
          <w:rFonts w:ascii="Times New Roman" w:hAnsi="Times New Roman"/>
        </w:rPr>
        <w:t xml:space="preserve">Staff examined </w:t>
      </w:r>
      <w:r w:rsidR="002B39B2">
        <w:rPr>
          <w:rFonts w:ascii="Times New Roman" w:hAnsi="Times New Roman"/>
        </w:rPr>
        <w:t>Pacific Power’s</w:t>
      </w:r>
      <w:r w:rsidR="00117161">
        <w:rPr>
          <w:rFonts w:ascii="Times New Roman" w:hAnsi="Times New Roman"/>
        </w:rPr>
        <w:t xml:space="preserve"> </w:t>
      </w:r>
      <w:r w:rsidR="00272B7A">
        <w:rPr>
          <w:rFonts w:ascii="Times New Roman" w:hAnsi="Times New Roman"/>
        </w:rPr>
        <w:t>testimony and supporting documents in the context of an ERF</w:t>
      </w:r>
      <w:r w:rsidR="005111BA">
        <w:rPr>
          <w:rFonts w:ascii="Times New Roman" w:hAnsi="Times New Roman"/>
        </w:rPr>
        <w:t xml:space="preserve"> filing. Upon review, </w:t>
      </w:r>
      <w:r w:rsidR="003B06BF">
        <w:rPr>
          <w:rFonts w:ascii="Times New Roman" w:hAnsi="Times New Roman"/>
        </w:rPr>
        <w:t>S</w:t>
      </w:r>
      <w:r w:rsidR="005111BA">
        <w:rPr>
          <w:rFonts w:ascii="Times New Roman" w:hAnsi="Times New Roman"/>
        </w:rPr>
        <w:t>taff</w:t>
      </w:r>
      <w:r w:rsidR="000F2638">
        <w:rPr>
          <w:rFonts w:ascii="Times New Roman" w:hAnsi="Times New Roman"/>
        </w:rPr>
        <w:t xml:space="preserve"> determined that the filing</w:t>
      </w:r>
      <w:r w:rsidR="00117161">
        <w:rPr>
          <w:rFonts w:ascii="Times New Roman" w:hAnsi="Times New Roman"/>
        </w:rPr>
        <w:t xml:space="preserve"> was sufficient in terms of complying with Commission rules governing rate filings and in terms </w:t>
      </w:r>
      <w:r w:rsidR="000E0657">
        <w:rPr>
          <w:rFonts w:ascii="Times New Roman" w:hAnsi="Times New Roman"/>
        </w:rPr>
        <w:t>of presenting a case that Staff could analyze</w:t>
      </w:r>
      <w:r w:rsidR="00DB23A3">
        <w:rPr>
          <w:rFonts w:ascii="Times New Roman" w:hAnsi="Times New Roman"/>
        </w:rPr>
        <w:t xml:space="preserve"> to formulate a recommendation for the Commission</w:t>
      </w:r>
      <w:r w:rsidR="00117161">
        <w:rPr>
          <w:rFonts w:ascii="Times New Roman" w:hAnsi="Times New Roman"/>
        </w:rPr>
        <w:t>.</w:t>
      </w:r>
      <w:r w:rsidR="00117161">
        <w:rPr>
          <w:rStyle w:val="FootnoteReference"/>
          <w:rFonts w:ascii="Times New Roman" w:hAnsi="Times New Roman"/>
        </w:rPr>
        <w:footnoteReference w:id="8"/>
      </w:r>
      <w:r w:rsidR="00D6301D">
        <w:rPr>
          <w:rFonts w:ascii="Times New Roman" w:hAnsi="Times New Roman"/>
        </w:rPr>
        <w:t xml:space="preserve"> </w:t>
      </w:r>
    </w:p>
    <w:p w14:paraId="2949479F" w14:textId="77777777" w:rsidR="00D6301D" w:rsidRDefault="00D6301D" w:rsidP="00022F92">
      <w:pPr>
        <w:pStyle w:val="BodyTextIndent2"/>
        <w:numPr>
          <w:ilvl w:val="0"/>
          <w:numId w:val="5"/>
        </w:numPr>
        <w:spacing w:line="480" w:lineRule="auto"/>
        <w:ind w:left="720"/>
        <w:jc w:val="center"/>
        <w:rPr>
          <w:rFonts w:ascii="Times New Roman" w:hAnsi="Times New Roman"/>
          <w:b/>
        </w:rPr>
      </w:pPr>
      <w:r>
        <w:rPr>
          <w:rFonts w:ascii="Times New Roman" w:hAnsi="Times New Roman"/>
          <w:b/>
        </w:rPr>
        <w:t>DISCUSSION</w:t>
      </w:r>
    </w:p>
    <w:p w14:paraId="66467B8C" w14:textId="77777777" w:rsidR="00964BEC" w:rsidRPr="00D6301D" w:rsidRDefault="00964BEC" w:rsidP="00022F92">
      <w:pPr>
        <w:pStyle w:val="BodyTextIndent2"/>
        <w:numPr>
          <w:ilvl w:val="0"/>
          <w:numId w:val="6"/>
        </w:numPr>
        <w:spacing w:line="480" w:lineRule="auto"/>
        <w:ind w:hanging="720"/>
        <w:rPr>
          <w:rFonts w:ascii="Times New Roman" w:hAnsi="Times New Roman"/>
          <w:b/>
        </w:rPr>
      </w:pPr>
      <w:r>
        <w:rPr>
          <w:rFonts w:ascii="Times New Roman" w:hAnsi="Times New Roman"/>
          <w:b/>
        </w:rPr>
        <w:t>Motion to Dismiss</w:t>
      </w:r>
    </w:p>
    <w:p w14:paraId="18A1A999" w14:textId="188DEAB3" w:rsidR="00D6301D"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5A0F38" w:rsidRPr="00663A3F">
        <w:rPr>
          <w:rFonts w:ascii="Times New Roman" w:hAnsi="Times New Roman"/>
        </w:rPr>
        <w:t xml:space="preserve">Under RCW 80.04.130(4), the burden of proof </w:t>
      </w:r>
      <w:r w:rsidR="00663A3F" w:rsidRPr="00663A3F">
        <w:rPr>
          <w:rFonts w:ascii="Times New Roman" w:hAnsi="Times New Roman"/>
        </w:rPr>
        <w:t>is on the public service company to show</w:t>
      </w:r>
      <w:r w:rsidR="00D425BB">
        <w:rPr>
          <w:rFonts w:ascii="Times New Roman" w:hAnsi="Times New Roman"/>
        </w:rPr>
        <w:t xml:space="preserve"> </w:t>
      </w:r>
      <w:r w:rsidR="00663A3F" w:rsidRPr="00663A3F">
        <w:rPr>
          <w:rFonts w:ascii="Times New Roman" w:hAnsi="Times New Roman"/>
        </w:rPr>
        <w:t>that a rate increase is just and reasonable</w:t>
      </w:r>
      <w:r w:rsidR="00663A3F" w:rsidRPr="00097864">
        <w:rPr>
          <w:rFonts w:ascii="Times New Roman" w:hAnsi="Times New Roman"/>
        </w:rPr>
        <w:t xml:space="preserve">.  </w:t>
      </w:r>
      <w:r w:rsidR="00FA3E27" w:rsidRPr="00097864">
        <w:rPr>
          <w:rFonts w:ascii="Times New Roman" w:hAnsi="Times New Roman"/>
        </w:rPr>
        <w:t>This means that “[a] company seeking a rate increase has the burden of coming forward with sufficient evidence to support its request.”</w:t>
      </w:r>
      <w:r w:rsidR="00097864">
        <w:rPr>
          <w:rStyle w:val="FootnoteReference"/>
          <w:rFonts w:ascii="Times New Roman" w:hAnsi="Times New Roman"/>
        </w:rPr>
        <w:footnoteReference w:id="9"/>
      </w:r>
      <w:r w:rsidR="00FA3E27" w:rsidRPr="00097864">
        <w:rPr>
          <w:rFonts w:ascii="Times New Roman" w:hAnsi="Times New Roman"/>
        </w:rPr>
        <w:t xml:space="preserve">  </w:t>
      </w:r>
      <w:r w:rsidR="005925E1" w:rsidRPr="00097864">
        <w:rPr>
          <w:rFonts w:ascii="Times New Roman" w:hAnsi="Times New Roman"/>
        </w:rPr>
        <w:t>Pursuant to its rules for general rate</w:t>
      </w:r>
      <w:r w:rsidR="005925E1">
        <w:rPr>
          <w:rFonts w:ascii="Times New Roman" w:hAnsi="Times New Roman"/>
        </w:rPr>
        <w:t xml:space="preserve"> proceedings, </w:t>
      </w:r>
      <w:r w:rsidR="000D0E2B">
        <w:rPr>
          <w:rFonts w:ascii="Times New Roman" w:hAnsi="Times New Roman"/>
        </w:rPr>
        <w:t>t</w:t>
      </w:r>
      <w:r w:rsidR="005925E1">
        <w:rPr>
          <w:rFonts w:ascii="Times New Roman" w:hAnsi="Times New Roman"/>
        </w:rPr>
        <w:t xml:space="preserve">he </w:t>
      </w:r>
      <w:r w:rsidR="005925E1" w:rsidRPr="000D0E2B">
        <w:rPr>
          <w:rFonts w:ascii="Times New Roman" w:hAnsi="Times New Roman"/>
        </w:rPr>
        <w:t>Commission considers the company</w:t>
      </w:r>
      <w:r>
        <w:rPr>
          <w:rFonts w:ascii="Times New Roman" w:hAnsi="Times New Roman"/>
        </w:rPr>
        <w:t>’</w:t>
      </w:r>
      <w:r w:rsidR="005925E1" w:rsidRPr="000D0E2B">
        <w:rPr>
          <w:rFonts w:ascii="Times New Roman" w:hAnsi="Times New Roman"/>
        </w:rPr>
        <w:t>s prefiled evidence to be its full direct case in support of its rate filing for purposes of deciding any prehearing motion to dismiss under WAC 480-07-380.</w:t>
      </w:r>
      <w:r w:rsidR="000D0E2B">
        <w:rPr>
          <w:rStyle w:val="FootnoteReference"/>
          <w:rFonts w:ascii="Times New Roman" w:hAnsi="Times New Roman"/>
        </w:rPr>
        <w:footnoteReference w:id="10"/>
      </w:r>
      <w:r w:rsidR="000D0E2B">
        <w:rPr>
          <w:rFonts w:ascii="Times New Roman" w:hAnsi="Times New Roman"/>
        </w:rPr>
        <w:t xml:space="preserve">  Although the </w:t>
      </w:r>
      <w:r w:rsidR="000D0E2B">
        <w:rPr>
          <w:rFonts w:ascii="Times New Roman" w:hAnsi="Times New Roman"/>
        </w:rPr>
        <w:lastRenderedPageBreak/>
        <w:t>Pacific Power filing is structured in such a way as to fall outside the Commission’s definition of a general rate case,</w:t>
      </w:r>
      <w:r w:rsidR="00D203E1">
        <w:rPr>
          <w:rStyle w:val="FootnoteReference"/>
          <w:rFonts w:ascii="Times New Roman" w:hAnsi="Times New Roman"/>
        </w:rPr>
        <w:footnoteReference w:id="11"/>
      </w:r>
      <w:r w:rsidR="000D0E2B">
        <w:rPr>
          <w:rFonts w:ascii="Times New Roman" w:hAnsi="Times New Roman"/>
        </w:rPr>
        <w:t xml:space="preserve"> it would be inappropriate to elevate form over substance </w:t>
      </w:r>
      <w:r w:rsidR="008B3322">
        <w:rPr>
          <w:rFonts w:ascii="Times New Roman" w:hAnsi="Times New Roman"/>
        </w:rPr>
        <w:t>and decline to apply</w:t>
      </w:r>
      <w:r w:rsidR="000D0E2B">
        <w:rPr>
          <w:rFonts w:ascii="Times New Roman" w:hAnsi="Times New Roman"/>
        </w:rPr>
        <w:t xml:space="preserve"> the burden of proof </w:t>
      </w:r>
      <w:r w:rsidR="008B3322">
        <w:rPr>
          <w:rFonts w:ascii="Times New Roman" w:hAnsi="Times New Roman"/>
        </w:rPr>
        <w:t>set forth in</w:t>
      </w:r>
      <w:r w:rsidR="000D0E2B">
        <w:rPr>
          <w:rFonts w:ascii="Times New Roman" w:hAnsi="Times New Roman"/>
        </w:rPr>
        <w:t xml:space="preserve"> WAC 480-07-540.</w:t>
      </w:r>
      <w:r w:rsidR="00EB1A61">
        <w:t xml:space="preserve">  </w:t>
      </w:r>
      <w:r w:rsidR="000D0E2B">
        <w:rPr>
          <w:rFonts w:ascii="Times New Roman" w:hAnsi="Times New Roman"/>
        </w:rPr>
        <w:t xml:space="preserve">Pacific Power’s filing should be subject to WAC 480-07-540 for purposes of </w:t>
      </w:r>
      <w:r w:rsidR="008B3322">
        <w:rPr>
          <w:rFonts w:ascii="Times New Roman" w:hAnsi="Times New Roman"/>
        </w:rPr>
        <w:t>deciding</w:t>
      </w:r>
      <w:r w:rsidR="00562A84">
        <w:rPr>
          <w:rFonts w:ascii="Times New Roman" w:hAnsi="Times New Roman"/>
        </w:rPr>
        <w:t xml:space="preserve"> this M</w:t>
      </w:r>
      <w:r w:rsidR="000D0E2B">
        <w:rPr>
          <w:rFonts w:ascii="Times New Roman" w:hAnsi="Times New Roman"/>
        </w:rPr>
        <w:t>otion.</w:t>
      </w:r>
    </w:p>
    <w:p w14:paraId="084E827D" w14:textId="54022857" w:rsidR="00964BEC"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BA48FF">
        <w:rPr>
          <w:rFonts w:ascii="Times New Roman" w:hAnsi="Times New Roman"/>
        </w:rPr>
        <w:t xml:space="preserve">Pacific Power’s filing provides sufficient evidence to support its request.  It may </w:t>
      </w:r>
      <w:r w:rsidR="00124646">
        <w:rPr>
          <w:rFonts w:ascii="Times New Roman" w:hAnsi="Times New Roman"/>
        </w:rPr>
        <w:t xml:space="preserve">or may </w:t>
      </w:r>
      <w:r w:rsidR="00BA48FF">
        <w:rPr>
          <w:rFonts w:ascii="Times New Roman" w:hAnsi="Times New Roman"/>
        </w:rPr>
        <w:t xml:space="preserve">not </w:t>
      </w:r>
      <w:r w:rsidR="00124646">
        <w:rPr>
          <w:rFonts w:ascii="Times New Roman" w:hAnsi="Times New Roman"/>
        </w:rPr>
        <w:t>ultimately meet</w:t>
      </w:r>
      <w:r w:rsidR="00BA48FF">
        <w:rPr>
          <w:rFonts w:ascii="Times New Roman" w:hAnsi="Times New Roman"/>
        </w:rPr>
        <w:t xml:space="preserve"> its burden of persuasion</w:t>
      </w:r>
      <w:r w:rsidR="00124646">
        <w:rPr>
          <w:rFonts w:ascii="Times New Roman" w:hAnsi="Times New Roman"/>
        </w:rPr>
        <w:t>,</w:t>
      </w:r>
      <w:r w:rsidR="00BA48FF">
        <w:rPr>
          <w:rFonts w:ascii="Times New Roman" w:hAnsi="Times New Roman"/>
        </w:rPr>
        <w:t xml:space="preserve"> but its filing meets the company’s burden of going forward</w:t>
      </w:r>
      <w:r w:rsidR="00124646">
        <w:rPr>
          <w:rFonts w:ascii="Times New Roman" w:hAnsi="Times New Roman"/>
        </w:rPr>
        <w:t xml:space="preserve"> with its request for relief in a limited-issue rate proceeding</w:t>
      </w:r>
      <w:r w:rsidR="00BA48FF">
        <w:rPr>
          <w:rFonts w:ascii="Times New Roman" w:hAnsi="Times New Roman"/>
        </w:rPr>
        <w:t xml:space="preserve">.  Not only has it provided </w:t>
      </w:r>
      <w:r w:rsidR="00124646">
        <w:rPr>
          <w:rFonts w:ascii="Times New Roman" w:hAnsi="Times New Roman"/>
        </w:rPr>
        <w:t xml:space="preserve">all of the traditional </w:t>
      </w:r>
      <w:r w:rsidR="00BA48FF">
        <w:rPr>
          <w:rFonts w:ascii="Times New Roman" w:hAnsi="Times New Roman"/>
        </w:rPr>
        <w:t xml:space="preserve">testimony </w:t>
      </w:r>
      <w:r w:rsidR="00124646">
        <w:rPr>
          <w:rFonts w:ascii="Times New Roman" w:hAnsi="Times New Roman"/>
        </w:rPr>
        <w:t>to support the issues for which it seeks relief but it provide</w:t>
      </w:r>
      <w:r w:rsidR="00E04868">
        <w:rPr>
          <w:rFonts w:ascii="Times New Roman" w:hAnsi="Times New Roman"/>
        </w:rPr>
        <w:t>s</w:t>
      </w:r>
      <w:r w:rsidR="00124646">
        <w:rPr>
          <w:rFonts w:ascii="Times New Roman" w:hAnsi="Times New Roman"/>
        </w:rPr>
        <w:t xml:space="preserve"> </w:t>
      </w:r>
      <w:r w:rsidR="00E04868">
        <w:rPr>
          <w:rFonts w:ascii="Times New Roman" w:hAnsi="Times New Roman"/>
        </w:rPr>
        <w:t>testimony</w:t>
      </w:r>
      <w:r w:rsidR="00124646">
        <w:rPr>
          <w:rFonts w:ascii="Times New Roman" w:hAnsi="Times New Roman"/>
        </w:rPr>
        <w:t xml:space="preserve"> on return on equity</w:t>
      </w:r>
      <w:r w:rsidR="00A1059A">
        <w:rPr>
          <w:rFonts w:ascii="Times New Roman" w:hAnsi="Times New Roman"/>
        </w:rPr>
        <w:t>,</w:t>
      </w:r>
      <w:r w:rsidR="00E04868">
        <w:rPr>
          <w:rFonts w:ascii="Times New Roman" w:hAnsi="Times New Roman"/>
        </w:rPr>
        <w:t xml:space="preserve"> </w:t>
      </w:r>
      <w:r w:rsidR="00124646">
        <w:rPr>
          <w:rFonts w:ascii="Times New Roman" w:hAnsi="Times New Roman"/>
        </w:rPr>
        <w:t xml:space="preserve">an element </w:t>
      </w:r>
      <w:r w:rsidR="00E04868">
        <w:rPr>
          <w:rFonts w:ascii="Times New Roman" w:hAnsi="Times New Roman"/>
        </w:rPr>
        <w:t xml:space="preserve">for which </w:t>
      </w:r>
      <w:r w:rsidR="00124646">
        <w:rPr>
          <w:rFonts w:ascii="Times New Roman" w:hAnsi="Times New Roman"/>
        </w:rPr>
        <w:t xml:space="preserve">the </w:t>
      </w:r>
      <w:r w:rsidR="004F6FC4">
        <w:rPr>
          <w:rFonts w:ascii="Times New Roman" w:hAnsi="Times New Roman"/>
        </w:rPr>
        <w:t>company</w:t>
      </w:r>
      <w:r w:rsidR="00124646">
        <w:rPr>
          <w:rFonts w:ascii="Times New Roman" w:hAnsi="Times New Roman"/>
        </w:rPr>
        <w:t xml:space="preserve"> </w:t>
      </w:r>
      <w:r w:rsidR="00E04868">
        <w:rPr>
          <w:rFonts w:ascii="Times New Roman" w:hAnsi="Times New Roman"/>
        </w:rPr>
        <w:t>proposes no</w:t>
      </w:r>
      <w:r w:rsidR="00124646">
        <w:rPr>
          <w:rFonts w:ascii="Times New Roman" w:hAnsi="Times New Roman"/>
        </w:rPr>
        <w:t xml:space="preserve"> change.</w:t>
      </w:r>
      <w:r w:rsidR="00A018B0">
        <w:rPr>
          <w:rFonts w:ascii="Times New Roman" w:hAnsi="Times New Roman"/>
        </w:rPr>
        <w:t xml:space="preserve">  Staff appreciates this effort.  The lack of a traditional presentat</w:t>
      </w:r>
      <w:r w:rsidR="004F6FC4">
        <w:rPr>
          <w:rFonts w:ascii="Times New Roman" w:hAnsi="Times New Roman"/>
        </w:rPr>
        <w:t xml:space="preserve">ion of cost of capital is not </w:t>
      </w:r>
      <w:r w:rsidR="00A018B0">
        <w:rPr>
          <w:rFonts w:ascii="Times New Roman" w:hAnsi="Times New Roman"/>
        </w:rPr>
        <w:t>grounds for dismissal under Commission rules</w:t>
      </w:r>
      <w:r w:rsidR="004956C5">
        <w:rPr>
          <w:rFonts w:ascii="Times New Roman" w:hAnsi="Times New Roman"/>
        </w:rPr>
        <w:t xml:space="preserve"> or rate setting principles</w:t>
      </w:r>
      <w:r w:rsidR="00A018B0">
        <w:rPr>
          <w:rFonts w:ascii="Times New Roman" w:hAnsi="Times New Roman"/>
        </w:rPr>
        <w:t>.  As the Commission itself noted, due to settlements</w:t>
      </w:r>
      <w:r w:rsidR="004956C5">
        <w:rPr>
          <w:rFonts w:ascii="Times New Roman" w:hAnsi="Times New Roman"/>
        </w:rPr>
        <w:t>, for example</w:t>
      </w:r>
      <w:r w:rsidR="00A018B0">
        <w:rPr>
          <w:rFonts w:ascii="Times New Roman" w:hAnsi="Times New Roman"/>
        </w:rPr>
        <w:t>,</w:t>
      </w:r>
      <w:r w:rsidR="004956C5">
        <w:rPr>
          <w:rFonts w:ascii="Times New Roman" w:hAnsi="Times New Roman"/>
        </w:rPr>
        <w:t xml:space="preserve"> the</w:t>
      </w:r>
      <w:r w:rsidR="00A018B0">
        <w:rPr>
          <w:rFonts w:ascii="Times New Roman" w:hAnsi="Times New Roman"/>
        </w:rPr>
        <w:t xml:space="preserve"> cost of capital </w:t>
      </w:r>
      <w:r w:rsidR="00C3736B">
        <w:rPr>
          <w:rFonts w:ascii="Times New Roman" w:hAnsi="Times New Roman"/>
        </w:rPr>
        <w:t>may</w:t>
      </w:r>
      <w:r w:rsidR="004956C5">
        <w:rPr>
          <w:rFonts w:ascii="Times New Roman" w:hAnsi="Times New Roman"/>
        </w:rPr>
        <w:t xml:space="preserve"> remain </w:t>
      </w:r>
      <w:r w:rsidR="009336CE">
        <w:rPr>
          <w:rFonts w:ascii="Times New Roman" w:hAnsi="Times New Roman"/>
        </w:rPr>
        <w:t>embedded and unchanged</w:t>
      </w:r>
      <w:r w:rsidR="004956C5">
        <w:rPr>
          <w:rFonts w:ascii="Times New Roman" w:hAnsi="Times New Roman"/>
        </w:rPr>
        <w:t xml:space="preserve"> for a </w:t>
      </w:r>
      <w:r w:rsidR="000F2638">
        <w:rPr>
          <w:rFonts w:ascii="Times New Roman" w:hAnsi="Times New Roman"/>
        </w:rPr>
        <w:t>period</w:t>
      </w:r>
      <w:r w:rsidR="004956C5">
        <w:rPr>
          <w:rFonts w:ascii="Times New Roman" w:hAnsi="Times New Roman"/>
        </w:rPr>
        <w:t xml:space="preserve"> of years.</w:t>
      </w:r>
      <w:r w:rsidR="00C3736B">
        <w:rPr>
          <w:rFonts w:ascii="Times New Roman" w:hAnsi="Times New Roman"/>
        </w:rPr>
        <w:t xml:space="preserve">  The Commission has made rules explicitly authorizing certain limited issue rate filings</w:t>
      </w:r>
      <w:r w:rsidR="009336CE">
        <w:rPr>
          <w:rStyle w:val="FootnoteReference"/>
          <w:rFonts w:ascii="Times New Roman" w:hAnsi="Times New Roman"/>
        </w:rPr>
        <w:footnoteReference w:id="12"/>
      </w:r>
      <w:r w:rsidR="00C3736B">
        <w:rPr>
          <w:rFonts w:ascii="Times New Roman" w:hAnsi="Times New Roman"/>
        </w:rPr>
        <w:t xml:space="preserve"> but this does not mean that the Commission cannot </w:t>
      </w:r>
      <w:r w:rsidR="001969AC">
        <w:rPr>
          <w:rFonts w:ascii="Times New Roman" w:hAnsi="Times New Roman"/>
        </w:rPr>
        <w:t>adjudicate</w:t>
      </w:r>
      <w:r w:rsidR="00C3736B">
        <w:rPr>
          <w:rFonts w:ascii="Times New Roman" w:hAnsi="Times New Roman"/>
        </w:rPr>
        <w:t xml:space="preserve"> other types of limited issue rate filings, such as the Pacific Power filing here.</w:t>
      </w:r>
    </w:p>
    <w:p w14:paraId="1849ECA0" w14:textId="69EC17F5" w:rsidR="009F3F0D"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1969AC">
        <w:rPr>
          <w:rFonts w:ascii="Times New Roman" w:hAnsi="Times New Roman"/>
        </w:rPr>
        <w:t xml:space="preserve">While Staff believes that Pacific Power’s filing is sufficient and should not be dismissed, </w:t>
      </w:r>
      <w:r w:rsidR="001567FE">
        <w:rPr>
          <w:rFonts w:ascii="Times New Roman" w:hAnsi="Times New Roman"/>
        </w:rPr>
        <w:t xml:space="preserve">supplementing the company’s </w:t>
      </w:r>
      <w:r w:rsidR="004425B8">
        <w:rPr>
          <w:rFonts w:ascii="Times New Roman" w:hAnsi="Times New Roman"/>
        </w:rPr>
        <w:t xml:space="preserve">cost of capital </w:t>
      </w:r>
      <w:r w:rsidR="00284A99">
        <w:rPr>
          <w:rFonts w:ascii="Times New Roman" w:hAnsi="Times New Roman"/>
        </w:rPr>
        <w:t xml:space="preserve">testimony </w:t>
      </w:r>
      <w:r w:rsidR="001567FE">
        <w:rPr>
          <w:rFonts w:ascii="Times New Roman" w:hAnsi="Times New Roman"/>
        </w:rPr>
        <w:t xml:space="preserve">would provide a more robust </w:t>
      </w:r>
      <w:r w:rsidR="002A4736">
        <w:rPr>
          <w:rFonts w:ascii="Times New Roman" w:hAnsi="Times New Roman"/>
        </w:rPr>
        <w:t xml:space="preserve">record </w:t>
      </w:r>
      <w:r w:rsidR="00E0005E">
        <w:rPr>
          <w:rFonts w:ascii="Times New Roman" w:hAnsi="Times New Roman"/>
        </w:rPr>
        <w:t>and</w:t>
      </w:r>
      <w:r w:rsidR="002A4736">
        <w:rPr>
          <w:rFonts w:ascii="Times New Roman" w:hAnsi="Times New Roman"/>
        </w:rPr>
        <w:t xml:space="preserve"> </w:t>
      </w:r>
      <w:r w:rsidR="001567FE">
        <w:rPr>
          <w:rFonts w:ascii="Times New Roman" w:hAnsi="Times New Roman"/>
        </w:rPr>
        <w:t xml:space="preserve">would </w:t>
      </w:r>
      <w:r w:rsidR="002A4736">
        <w:rPr>
          <w:rFonts w:ascii="Times New Roman" w:hAnsi="Times New Roman"/>
        </w:rPr>
        <w:t>facilitate review of Pacific Power’s overall rate of return</w:t>
      </w:r>
      <w:r w:rsidR="00410391">
        <w:rPr>
          <w:rFonts w:ascii="Times New Roman" w:hAnsi="Times New Roman"/>
        </w:rPr>
        <w:t xml:space="preserve">. </w:t>
      </w:r>
      <w:r w:rsidR="002A4736" w:rsidDel="004425B8">
        <w:rPr>
          <w:rFonts w:ascii="Times New Roman" w:hAnsi="Times New Roman"/>
        </w:rPr>
        <w:t xml:space="preserve"> </w:t>
      </w:r>
      <w:r w:rsidR="002A4736">
        <w:rPr>
          <w:rFonts w:ascii="Times New Roman" w:hAnsi="Times New Roman"/>
        </w:rPr>
        <w:t>S</w:t>
      </w:r>
      <w:r w:rsidR="0060277D">
        <w:rPr>
          <w:rFonts w:ascii="Times New Roman" w:hAnsi="Times New Roman"/>
        </w:rPr>
        <w:t>taff suggests that s</w:t>
      </w:r>
      <w:r w:rsidR="002A4736">
        <w:rPr>
          <w:rFonts w:ascii="Times New Roman" w:hAnsi="Times New Roman"/>
        </w:rPr>
        <w:t xml:space="preserve">upplemental evidence </w:t>
      </w:r>
      <w:r w:rsidR="004425B8">
        <w:rPr>
          <w:rFonts w:ascii="Times New Roman" w:hAnsi="Times New Roman"/>
        </w:rPr>
        <w:t xml:space="preserve">include at least </w:t>
      </w:r>
      <w:r w:rsidR="001A7422">
        <w:rPr>
          <w:rFonts w:ascii="Times New Roman" w:hAnsi="Times New Roman"/>
        </w:rPr>
        <w:t>the company’s current credit rating and the company’s current cost of long-term debt</w:t>
      </w:r>
      <w:r w:rsidR="001008EC">
        <w:rPr>
          <w:rFonts w:ascii="Times New Roman" w:hAnsi="Times New Roman"/>
        </w:rPr>
        <w:t>.</w:t>
      </w:r>
      <w:r w:rsidR="00BA2D84">
        <w:rPr>
          <w:rFonts w:ascii="Times New Roman" w:hAnsi="Times New Roman"/>
        </w:rPr>
        <w:t xml:space="preserve"> </w:t>
      </w:r>
      <w:r w:rsidR="004425B8">
        <w:rPr>
          <w:rFonts w:ascii="Times New Roman" w:hAnsi="Times New Roman"/>
        </w:rPr>
        <w:t xml:space="preserve"> </w:t>
      </w:r>
      <w:r w:rsidR="00BA2D84">
        <w:rPr>
          <w:rFonts w:ascii="Times New Roman" w:hAnsi="Times New Roman"/>
        </w:rPr>
        <w:t xml:space="preserve">The basis for Staff’s proposal is the finding in </w:t>
      </w:r>
      <w:r w:rsidR="00BA2D84">
        <w:rPr>
          <w:rFonts w:ascii="Times New Roman" w:hAnsi="Times New Roman"/>
        </w:rPr>
        <w:lastRenderedPageBreak/>
        <w:t>Superior Court that it was a procedural error to approve PSE’s multi-year rate plan without considering traditional cost of capital evidence.</w:t>
      </w:r>
      <w:r w:rsidR="009B7629">
        <w:rPr>
          <w:rFonts w:ascii="Times New Roman" w:hAnsi="Times New Roman"/>
        </w:rPr>
        <w:t xml:space="preserve">  While this ruling is necessarily confined to the particular facts and circumstances of the PSE case, and while a Superior Court ruling does not create binding legal precedent, </w:t>
      </w:r>
      <w:r w:rsidR="006B79B8">
        <w:rPr>
          <w:rFonts w:ascii="Times New Roman" w:hAnsi="Times New Roman"/>
        </w:rPr>
        <w:t>the multi-</w:t>
      </w:r>
      <w:r w:rsidR="009B7629">
        <w:rPr>
          <w:rFonts w:ascii="Times New Roman" w:hAnsi="Times New Roman"/>
        </w:rPr>
        <w:t xml:space="preserve">year rate plan that Pacific Power proposes in conjunction with its limited-issue expedited </w:t>
      </w:r>
      <w:r w:rsidR="006B79B8">
        <w:rPr>
          <w:rFonts w:ascii="Times New Roman" w:hAnsi="Times New Roman"/>
        </w:rPr>
        <w:t xml:space="preserve">rate </w:t>
      </w:r>
      <w:r w:rsidR="009B7629">
        <w:rPr>
          <w:rFonts w:ascii="Times New Roman" w:hAnsi="Times New Roman"/>
        </w:rPr>
        <w:t>filing presents a context that is very similar to the PSE case.</w:t>
      </w:r>
      <w:r w:rsidR="00B14C24">
        <w:rPr>
          <w:rFonts w:ascii="Times New Roman" w:hAnsi="Times New Roman"/>
        </w:rPr>
        <w:t xml:space="preserve"> </w:t>
      </w:r>
      <w:r w:rsidR="00D959DC">
        <w:rPr>
          <w:rFonts w:ascii="Times New Roman" w:hAnsi="Times New Roman"/>
        </w:rPr>
        <w:t xml:space="preserve">In fact, the staleness of the cost of capital is even more pronounced with Pacific Power.  Because the Commission elected not to rehear cost of capital in Pacific Power’s last general rate case, Pacific Power’s cost of capital has not been re-set since </w:t>
      </w:r>
      <w:r w:rsidR="0052033D">
        <w:rPr>
          <w:rFonts w:ascii="Times New Roman" w:hAnsi="Times New Roman"/>
        </w:rPr>
        <w:t xml:space="preserve">December </w:t>
      </w:r>
      <w:r w:rsidR="00D959DC">
        <w:rPr>
          <w:rFonts w:ascii="Times New Roman" w:hAnsi="Times New Roman"/>
        </w:rPr>
        <w:t xml:space="preserve">2013. </w:t>
      </w:r>
      <w:r w:rsidR="006B79B8">
        <w:rPr>
          <w:rFonts w:ascii="Times New Roman" w:hAnsi="Times New Roman"/>
        </w:rPr>
        <w:t>If the Commission approved Pacific Power’s filing</w:t>
      </w:r>
      <w:r w:rsidR="004534DF">
        <w:rPr>
          <w:rFonts w:ascii="Times New Roman" w:hAnsi="Times New Roman"/>
        </w:rPr>
        <w:t xml:space="preserve"> under these circumstances</w:t>
      </w:r>
      <w:r w:rsidR="006B79B8">
        <w:rPr>
          <w:rFonts w:ascii="Times New Roman" w:hAnsi="Times New Roman"/>
        </w:rPr>
        <w:t xml:space="preserve">, </w:t>
      </w:r>
      <w:r w:rsidR="004534DF">
        <w:rPr>
          <w:rFonts w:ascii="Times New Roman" w:hAnsi="Times New Roman"/>
        </w:rPr>
        <w:t xml:space="preserve">its rate order could be </w:t>
      </w:r>
      <w:r w:rsidR="006B79B8">
        <w:rPr>
          <w:rFonts w:ascii="Times New Roman" w:hAnsi="Times New Roman"/>
        </w:rPr>
        <w:t>challenged</w:t>
      </w:r>
      <w:r w:rsidR="004534DF">
        <w:rPr>
          <w:rFonts w:ascii="Times New Roman" w:hAnsi="Times New Roman"/>
        </w:rPr>
        <w:t xml:space="preserve"> </w:t>
      </w:r>
      <w:r w:rsidR="004425B8">
        <w:rPr>
          <w:rFonts w:ascii="Times New Roman" w:hAnsi="Times New Roman"/>
        </w:rPr>
        <w:t>with</w:t>
      </w:r>
      <w:r w:rsidR="004534DF">
        <w:rPr>
          <w:rFonts w:ascii="Times New Roman" w:hAnsi="Times New Roman"/>
        </w:rPr>
        <w:t xml:space="preserve"> the same arguments made before</w:t>
      </w:r>
      <w:r w:rsidR="006B79B8">
        <w:rPr>
          <w:rFonts w:ascii="Times New Roman" w:hAnsi="Times New Roman"/>
        </w:rPr>
        <w:t xml:space="preserve"> the Superior Court in the P</w:t>
      </w:r>
      <w:r w:rsidR="009F3F0D">
        <w:rPr>
          <w:rFonts w:ascii="Times New Roman" w:hAnsi="Times New Roman"/>
        </w:rPr>
        <w:t>SE case.</w:t>
      </w:r>
    </w:p>
    <w:p w14:paraId="2287C953" w14:textId="3A21897B" w:rsidR="001969AC"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B14C24">
        <w:rPr>
          <w:rFonts w:ascii="Times New Roman" w:hAnsi="Times New Roman"/>
        </w:rPr>
        <w:t xml:space="preserve">The Commission could avoid this </w:t>
      </w:r>
      <w:r w:rsidR="00D71F73">
        <w:rPr>
          <w:rFonts w:ascii="Times New Roman" w:hAnsi="Times New Roman"/>
        </w:rPr>
        <w:t xml:space="preserve">potential </w:t>
      </w:r>
      <w:r w:rsidR="00B14C24">
        <w:rPr>
          <w:rFonts w:ascii="Times New Roman" w:hAnsi="Times New Roman"/>
        </w:rPr>
        <w:t xml:space="preserve">procedural pitfall by not approving a rate plan, but that would be cutting off </w:t>
      </w:r>
      <w:r w:rsidR="00D91BC4">
        <w:rPr>
          <w:rFonts w:ascii="Times New Roman" w:hAnsi="Times New Roman"/>
        </w:rPr>
        <w:t>its</w:t>
      </w:r>
      <w:r w:rsidR="00B14C24">
        <w:rPr>
          <w:rFonts w:ascii="Times New Roman" w:hAnsi="Times New Roman"/>
        </w:rPr>
        <w:t xml:space="preserve"> nose to spite </w:t>
      </w:r>
      <w:r w:rsidR="00D91BC4">
        <w:rPr>
          <w:rFonts w:ascii="Times New Roman" w:hAnsi="Times New Roman"/>
        </w:rPr>
        <w:t>its</w:t>
      </w:r>
      <w:r w:rsidR="00B14C24">
        <w:rPr>
          <w:rFonts w:ascii="Times New Roman" w:hAnsi="Times New Roman"/>
        </w:rPr>
        <w:t xml:space="preserve"> face.  Indeed, the original purpose of an ERF, as discussed by the Commission in its </w:t>
      </w:r>
      <w:r w:rsidR="003766E0">
        <w:rPr>
          <w:rFonts w:ascii="Times New Roman" w:hAnsi="Times New Roman"/>
        </w:rPr>
        <w:t xml:space="preserve">2012 </w:t>
      </w:r>
      <w:r w:rsidR="00B14C24">
        <w:rPr>
          <w:rFonts w:ascii="Times New Roman" w:hAnsi="Times New Roman"/>
        </w:rPr>
        <w:t xml:space="preserve">order in PSE’s general rate case, is to ameliorate the constant press of general rate case filings.  Excising the rate plan would </w:t>
      </w:r>
      <w:r w:rsidR="00B30DC8">
        <w:rPr>
          <w:rFonts w:ascii="Times New Roman" w:hAnsi="Times New Roman"/>
        </w:rPr>
        <w:t>do away with the rate case stay</w:t>
      </w:r>
      <w:r w:rsidR="00B336C8">
        <w:rPr>
          <w:rFonts w:ascii="Times New Roman" w:hAnsi="Times New Roman"/>
        </w:rPr>
        <w:t xml:space="preserve"> </w:t>
      </w:r>
      <w:r w:rsidR="00B30DC8">
        <w:rPr>
          <w:rFonts w:ascii="Times New Roman" w:hAnsi="Times New Roman"/>
        </w:rPr>
        <w:t>out provision of Pacific Power’s proposal</w:t>
      </w:r>
      <w:r w:rsidR="00D91BC4">
        <w:rPr>
          <w:rFonts w:ascii="Times New Roman" w:hAnsi="Times New Roman"/>
        </w:rPr>
        <w:t>, which is the element that best addresses the issue of serial rate cases</w:t>
      </w:r>
      <w:r w:rsidR="00B30DC8">
        <w:rPr>
          <w:rFonts w:ascii="Times New Roman" w:hAnsi="Times New Roman"/>
        </w:rPr>
        <w:t xml:space="preserve">. </w:t>
      </w:r>
      <w:r w:rsidR="000A26DB">
        <w:rPr>
          <w:rFonts w:ascii="Times New Roman" w:hAnsi="Times New Roman"/>
        </w:rPr>
        <w:t xml:space="preserve"> To provide the Commission with the most options for a decision in this filing, Staff </w:t>
      </w:r>
      <w:r w:rsidR="00050374">
        <w:rPr>
          <w:rFonts w:ascii="Times New Roman" w:hAnsi="Times New Roman"/>
        </w:rPr>
        <w:t>suggests</w:t>
      </w:r>
      <w:r w:rsidR="000A26DB">
        <w:rPr>
          <w:rFonts w:ascii="Times New Roman" w:hAnsi="Times New Roman"/>
        </w:rPr>
        <w:t xml:space="preserve"> that the Commission solicit </w:t>
      </w:r>
      <w:r w:rsidR="00657B4A">
        <w:rPr>
          <w:rFonts w:ascii="Times New Roman" w:hAnsi="Times New Roman"/>
        </w:rPr>
        <w:t xml:space="preserve">additional </w:t>
      </w:r>
      <w:r w:rsidR="000A26DB">
        <w:rPr>
          <w:rFonts w:ascii="Times New Roman" w:hAnsi="Times New Roman"/>
        </w:rPr>
        <w:t>cost of capital evidence from Pacific Power.</w:t>
      </w:r>
    </w:p>
    <w:p w14:paraId="06BBBDA4" w14:textId="77777777" w:rsidR="001A7422" w:rsidRPr="001A7422" w:rsidRDefault="001A7422" w:rsidP="00022F92">
      <w:pPr>
        <w:pStyle w:val="BodyTextIndent2"/>
        <w:keepNext/>
        <w:numPr>
          <w:ilvl w:val="0"/>
          <w:numId w:val="6"/>
        </w:numPr>
        <w:spacing w:line="480" w:lineRule="auto"/>
        <w:ind w:hanging="720"/>
        <w:rPr>
          <w:rFonts w:ascii="Times New Roman" w:hAnsi="Times New Roman"/>
          <w:b/>
        </w:rPr>
      </w:pPr>
      <w:r w:rsidRPr="001A7422">
        <w:rPr>
          <w:rFonts w:ascii="Times New Roman" w:hAnsi="Times New Roman"/>
          <w:b/>
        </w:rPr>
        <w:t>Alternative Motion</w:t>
      </w:r>
    </w:p>
    <w:p w14:paraId="65706DA3" w14:textId="451F3032" w:rsidR="006B50CE" w:rsidRDefault="00022F92" w:rsidP="00022F92">
      <w:pPr>
        <w:pStyle w:val="BodyTextIndent2"/>
        <w:keepNext/>
        <w:numPr>
          <w:ilvl w:val="0"/>
          <w:numId w:val="4"/>
        </w:numPr>
        <w:tabs>
          <w:tab w:val="clear" w:pos="720"/>
        </w:tabs>
        <w:spacing w:line="480" w:lineRule="auto"/>
        <w:ind w:left="0"/>
        <w:rPr>
          <w:rFonts w:ascii="Times New Roman" w:hAnsi="Times New Roman"/>
        </w:rPr>
      </w:pPr>
      <w:r>
        <w:rPr>
          <w:rFonts w:ascii="Times New Roman" w:hAnsi="Times New Roman"/>
        </w:rPr>
        <w:tab/>
      </w:r>
      <w:r w:rsidR="00B70526">
        <w:rPr>
          <w:rFonts w:ascii="Times New Roman" w:hAnsi="Times New Roman"/>
        </w:rPr>
        <w:t xml:space="preserve">Boise requests, as an alternative to dismissing Pacific Power’s filing, that the Commission treat the filing as a general rate proceeding.  Staff believes this is unnecessary.  </w:t>
      </w:r>
      <w:r w:rsidR="00205A70">
        <w:rPr>
          <w:rFonts w:ascii="Times New Roman" w:hAnsi="Times New Roman"/>
        </w:rPr>
        <w:lastRenderedPageBreak/>
        <w:t xml:space="preserve">The Commission can conduct rate proceedings as it deems fit </w:t>
      </w:r>
      <w:r w:rsidR="0071274B">
        <w:rPr>
          <w:rFonts w:ascii="Times New Roman" w:hAnsi="Times New Roman"/>
        </w:rPr>
        <w:t>and</w:t>
      </w:r>
      <w:r w:rsidR="00CE038A">
        <w:rPr>
          <w:rFonts w:ascii="Times New Roman" w:hAnsi="Times New Roman"/>
        </w:rPr>
        <w:t xml:space="preserve"> </w:t>
      </w:r>
      <w:r w:rsidR="00B70526">
        <w:rPr>
          <w:rFonts w:ascii="Times New Roman" w:hAnsi="Times New Roman"/>
        </w:rPr>
        <w:t>when</w:t>
      </w:r>
      <w:r w:rsidR="00CE038A">
        <w:rPr>
          <w:rFonts w:ascii="Times New Roman" w:hAnsi="Times New Roman"/>
        </w:rPr>
        <w:t xml:space="preserve"> consistent with the public interest</w:t>
      </w:r>
      <w:r w:rsidR="004534DF">
        <w:rPr>
          <w:rFonts w:ascii="Times New Roman" w:hAnsi="Times New Roman"/>
        </w:rPr>
        <w:t xml:space="preserve">. It </w:t>
      </w:r>
      <w:r w:rsidR="00CE038A">
        <w:rPr>
          <w:rFonts w:ascii="Times New Roman" w:hAnsi="Times New Roman"/>
        </w:rPr>
        <w:t>is not constrained</w:t>
      </w:r>
      <w:r w:rsidR="00205A70">
        <w:rPr>
          <w:rFonts w:ascii="Times New Roman" w:hAnsi="Times New Roman"/>
        </w:rPr>
        <w:t xml:space="preserve"> by the rate case definition rule.  </w:t>
      </w:r>
      <w:r w:rsidR="007854AC">
        <w:rPr>
          <w:rFonts w:ascii="Times New Roman" w:hAnsi="Times New Roman"/>
        </w:rPr>
        <w:t xml:space="preserve">As the Superior Court recently recognized, </w:t>
      </w:r>
      <w:r w:rsidR="009233E3">
        <w:rPr>
          <w:rFonts w:ascii="Times New Roman" w:hAnsi="Times New Roman"/>
        </w:rPr>
        <w:t xml:space="preserve">the Commission has the </w:t>
      </w:r>
      <w:r w:rsidR="00205A70">
        <w:rPr>
          <w:rFonts w:ascii="Times New Roman" w:hAnsi="Times New Roman"/>
        </w:rPr>
        <w:t>discretion</w:t>
      </w:r>
      <w:r w:rsidR="009233E3">
        <w:rPr>
          <w:rFonts w:ascii="Times New Roman" w:hAnsi="Times New Roman"/>
        </w:rPr>
        <w:t xml:space="preserve"> to dispense with a general rate proceeding</w:t>
      </w:r>
      <w:r w:rsidR="00205A70">
        <w:rPr>
          <w:rFonts w:ascii="Times New Roman" w:hAnsi="Times New Roman"/>
        </w:rPr>
        <w:t xml:space="preserve">, even where a case may fit the definition of </w:t>
      </w:r>
      <w:r w:rsidR="00B70526">
        <w:rPr>
          <w:rFonts w:ascii="Times New Roman" w:hAnsi="Times New Roman"/>
        </w:rPr>
        <w:t>one</w:t>
      </w:r>
      <w:r w:rsidR="009233E3">
        <w:rPr>
          <w:rFonts w:ascii="Times New Roman" w:hAnsi="Times New Roman"/>
        </w:rPr>
        <w:t>.</w:t>
      </w:r>
      <w:r w:rsidR="00205A70">
        <w:rPr>
          <w:rStyle w:val="FootnoteReference"/>
          <w:rFonts w:ascii="Times New Roman" w:hAnsi="Times New Roman"/>
        </w:rPr>
        <w:footnoteReference w:id="13"/>
      </w:r>
      <w:r w:rsidR="00205A70">
        <w:rPr>
          <w:rFonts w:ascii="Times New Roman" w:hAnsi="Times New Roman"/>
        </w:rPr>
        <w:t xml:space="preserve">  </w:t>
      </w:r>
      <w:r w:rsidR="00964BEC">
        <w:rPr>
          <w:rFonts w:ascii="Times New Roman" w:hAnsi="Times New Roman"/>
        </w:rPr>
        <w:t>Accordingly, this filing</w:t>
      </w:r>
      <w:r w:rsidR="00191773">
        <w:rPr>
          <w:rFonts w:ascii="Times New Roman" w:hAnsi="Times New Roman"/>
        </w:rPr>
        <w:t xml:space="preserve">’s designation </w:t>
      </w:r>
      <w:r w:rsidR="00964BEC">
        <w:rPr>
          <w:rFonts w:ascii="Times New Roman" w:hAnsi="Times New Roman"/>
        </w:rPr>
        <w:t xml:space="preserve">does not </w:t>
      </w:r>
      <w:r w:rsidR="00CE038A">
        <w:rPr>
          <w:rFonts w:ascii="Times New Roman" w:hAnsi="Times New Roman"/>
        </w:rPr>
        <w:t xml:space="preserve">necessarily </w:t>
      </w:r>
      <w:r w:rsidR="00964BEC">
        <w:rPr>
          <w:rFonts w:ascii="Times New Roman" w:hAnsi="Times New Roman"/>
        </w:rPr>
        <w:t>determine the Commission’s procedure in adjudicating it.</w:t>
      </w:r>
    </w:p>
    <w:p w14:paraId="4AF91841" w14:textId="59431321" w:rsidR="001008EC" w:rsidRPr="00022F92" w:rsidRDefault="00022F92" w:rsidP="004918AD">
      <w:pPr>
        <w:pStyle w:val="BodyTextIndent2"/>
        <w:numPr>
          <w:ilvl w:val="0"/>
          <w:numId w:val="4"/>
        </w:numPr>
        <w:tabs>
          <w:tab w:val="clear" w:pos="720"/>
        </w:tabs>
        <w:spacing w:line="480" w:lineRule="auto"/>
        <w:ind w:left="0"/>
        <w:rPr>
          <w:rFonts w:ascii="Times New Roman" w:hAnsi="Times New Roman"/>
        </w:rPr>
      </w:pPr>
      <w:r w:rsidRPr="00022F92">
        <w:rPr>
          <w:rFonts w:ascii="Times New Roman" w:hAnsi="Times New Roman"/>
        </w:rPr>
        <w:tab/>
      </w:r>
      <w:r w:rsidR="00CE038A" w:rsidRPr="00022F92">
        <w:rPr>
          <w:rFonts w:ascii="Times New Roman" w:hAnsi="Times New Roman"/>
        </w:rPr>
        <w:t xml:space="preserve">The primary purpose of </w:t>
      </w:r>
      <w:r w:rsidR="00B70526" w:rsidRPr="00022F92">
        <w:rPr>
          <w:rFonts w:ascii="Times New Roman" w:hAnsi="Times New Roman"/>
        </w:rPr>
        <w:t>requesting</w:t>
      </w:r>
      <w:r w:rsidR="00F11844" w:rsidRPr="00022F92">
        <w:rPr>
          <w:rFonts w:ascii="Times New Roman" w:hAnsi="Times New Roman"/>
        </w:rPr>
        <w:t xml:space="preserve"> that</w:t>
      </w:r>
      <w:r w:rsidR="00B70526" w:rsidRPr="00022F92">
        <w:rPr>
          <w:rFonts w:ascii="Times New Roman" w:hAnsi="Times New Roman"/>
        </w:rPr>
        <w:t xml:space="preserve"> the Commission label</w:t>
      </w:r>
      <w:r w:rsidR="00C70DE7" w:rsidRPr="00022F92">
        <w:rPr>
          <w:rFonts w:ascii="Times New Roman" w:hAnsi="Times New Roman"/>
        </w:rPr>
        <w:t xml:space="preserve"> this filing as a general rate proceeding may be to buy time.  </w:t>
      </w:r>
      <w:r w:rsidR="000B4371" w:rsidRPr="00022F92">
        <w:rPr>
          <w:rFonts w:ascii="Times New Roman" w:hAnsi="Times New Roman"/>
        </w:rPr>
        <w:t>Even if</w:t>
      </w:r>
      <w:r w:rsidR="00191773" w:rsidRPr="00022F92">
        <w:rPr>
          <w:rFonts w:ascii="Times New Roman" w:hAnsi="Times New Roman"/>
        </w:rPr>
        <w:t xml:space="preserve"> true,</w:t>
      </w:r>
      <w:r w:rsidR="000B4371" w:rsidRPr="00022F92">
        <w:rPr>
          <w:rFonts w:ascii="Times New Roman" w:hAnsi="Times New Roman"/>
        </w:rPr>
        <w:t xml:space="preserve"> the Commission </w:t>
      </w:r>
      <w:r w:rsidR="00191773" w:rsidRPr="00022F92">
        <w:rPr>
          <w:rFonts w:ascii="Times New Roman" w:hAnsi="Times New Roman"/>
        </w:rPr>
        <w:t>is not required to extend this case to its statutory deadline.</w:t>
      </w:r>
      <w:r w:rsidR="00290229">
        <w:rPr>
          <w:rStyle w:val="FootnoteReference"/>
          <w:rFonts w:ascii="Times New Roman" w:hAnsi="Times New Roman"/>
        </w:rPr>
        <w:footnoteReference w:id="14"/>
      </w:r>
      <w:r w:rsidR="00191773" w:rsidRPr="00022F92">
        <w:rPr>
          <w:rFonts w:ascii="Times New Roman" w:hAnsi="Times New Roman"/>
        </w:rPr>
        <w:t xml:space="preserve"> T</w:t>
      </w:r>
      <w:r w:rsidR="000B4371" w:rsidRPr="00022F92">
        <w:rPr>
          <w:rFonts w:ascii="Times New Roman" w:hAnsi="Times New Roman"/>
        </w:rPr>
        <w:t xml:space="preserve">he Commission can set a procedural schedule that enables </w:t>
      </w:r>
      <w:r w:rsidR="00290229" w:rsidRPr="00022F92">
        <w:rPr>
          <w:rFonts w:ascii="Times New Roman" w:hAnsi="Times New Roman"/>
        </w:rPr>
        <w:t>it</w:t>
      </w:r>
      <w:r w:rsidR="000B4371" w:rsidRPr="00022F92">
        <w:rPr>
          <w:rFonts w:ascii="Times New Roman" w:hAnsi="Times New Roman"/>
        </w:rPr>
        <w:t xml:space="preserve"> to reach a</w:t>
      </w:r>
      <w:r w:rsidR="00191773" w:rsidRPr="00022F92">
        <w:rPr>
          <w:rFonts w:ascii="Times New Roman" w:hAnsi="Times New Roman"/>
        </w:rPr>
        <w:t>n informed</w:t>
      </w:r>
      <w:r w:rsidR="000B4371" w:rsidRPr="00022F92">
        <w:rPr>
          <w:rFonts w:ascii="Times New Roman" w:hAnsi="Times New Roman"/>
        </w:rPr>
        <w:t xml:space="preserve"> decision</w:t>
      </w:r>
      <w:r w:rsidR="00191773" w:rsidRPr="00022F92">
        <w:rPr>
          <w:rFonts w:ascii="Times New Roman" w:hAnsi="Times New Roman"/>
        </w:rPr>
        <w:t xml:space="preserve">, </w:t>
      </w:r>
      <w:r w:rsidR="00290229" w:rsidRPr="00022F92">
        <w:rPr>
          <w:rFonts w:ascii="Times New Roman" w:hAnsi="Times New Roman"/>
        </w:rPr>
        <w:t>so long as the due process requirements of the A</w:t>
      </w:r>
      <w:r w:rsidR="003B06BF" w:rsidRPr="00022F92">
        <w:rPr>
          <w:rFonts w:ascii="Times New Roman" w:hAnsi="Times New Roman"/>
        </w:rPr>
        <w:t xml:space="preserve">dministrative </w:t>
      </w:r>
      <w:r w:rsidR="00290229" w:rsidRPr="00022F92">
        <w:rPr>
          <w:rFonts w:ascii="Times New Roman" w:hAnsi="Times New Roman"/>
        </w:rPr>
        <w:t>P</w:t>
      </w:r>
      <w:r w:rsidR="003B06BF" w:rsidRPr="00022F92">
        <w:rPr>
          <w:rFonts w:ascii="Times New Roman" w:hAnsi="Times New Roman"/>
        </w:rPr>
        <w:t xml:space="preserve">rocedure </w:t>
      </w:r>
      <w:r w:rsidR="00290229" w:rsidRPr="00022F92">
        <w:rPr>
          <w:rFonts w:ascii="Times New Roman" w:hAnsi="Times New Roman"/>
        </w:rPr>
        <w:t>A</w:t>
      </w:r>
      <w:r w:rsidR="003B06BF" w:rsidRPr="00022F92">
        <w:rPr>
          <w:rFonts w:ascii="Times New Roman" w:hAnsi="Times New Roman"/>
        </w:rPr>
        <w:t>ct</w:t>
      </w:r>
      <w:r w:rsidR="00290229" w:rsidRPr="00022F92">
        <w:rPr>
          <w:rFonts w:ascii="Times New Roman" w:hAnsi="Times New Roman"/>
        </w:rPr>
        <w:t xml:space="preserve"> are met. </w:t>
      </w:r>
      <w:r w:rsidR="006B50CE" w:rsidRPr="00022F92">
        <w:rPr>
          <w:rFonts w:ascii="Times New Roman" w:hAnsi="Times New Roman"/>
        </w:rPr>
        <w:t>While Staff believes that Pacific Power’s proposed order deadline of May 1, 2016, is overly optimistic, Staff is confident that it can provide a recommendation</w:t>
      </w:r>
      <w:r w:rsidR="00F11844" w:rsidRPr="00022F92">
        <w:rPr>
          <w:rFonts w:ascii="Times New Roman" w:hAnsi="Times New Roman"/>
        </w:rPr>
        <w:t xml:space="preserve"> on this filing</w:t>
      </w:r>
      <w:r w:rsidR="006B50CE" w:rsidRPr="00022F92">
        <w:rPr>
          <w:rFonts w:ascii="Times New Roman" w:hAnsi="Times New Roman"/>
        </w:rPr>
        <w:t xml:space="preserve"> to the Commission on a shorter timeframe than </w:t>
      </w:r>
      <w:r w:rsidR="00F11844" w:rsidRPr="00022F92">
        <w:rPr>
          <w:rFonts w:ascii="Times New Roman" w:hAnsi="Times New Roman"/>
        </w:rPr>
        <w:t xml:space="preserve">it would </w:t>
      </w:r>
      <w:r w:rsidR="00B12797" w:rsidRPr="00022F92">
        <w:rPr>
          <w:rFonts w:ascii="Times New Roman" w:hAnsi="Times New Roman"/>
        </w:rPr>
        <w:t xml:space="preserve">typically </w:t>
      </w:r>
      <w:r w:rsidR="00F11844" w:rsidRPr="00022F92">
        <w:rPr>
          <w:rFonts w:ascii="Times New Roman" w:hAnsi="Times New Roman"/>
        </w:rPr>
        <w:t>need</w:t>
      </w:r>
      <w:r w:rsidR="00476BC1" w:rsidRPr="00022F92">
        <w:rPr>
          <w:rFonts w:ascii="Times New Roman" w:hAnsi="Times New Roman"/>
        </w:rPr>
        <w:t xml:space="preserve"> for a general rate proceedin</w:t>
      </w:r>
      <w:r>
        <w:rPr>
          <w:rFonts w:ascii="Times New Roman" w:hAnsi="Times New Roman"/>
        </w:rPr>
        <w:t>g</w:t>
      </w:r>
      <w:r w:rsidR="00476BC1" w:rsidRPr="00022F92">
        <w:rPr>
          <w:rFonts w:ascii="Times New Roman" w:hAnsi="Times New Roman"/>
        </w:rPr>
        <w:t>.</w:t>
      </w:r>
    </w:p>
    <w:p w14:paraId="795F22EE" w14:textId="172C05B5" w:rsidR="001008EC" w:rsidRPr="00022F92" w:rsidRDefault="001008EC" w:rsidP="00F51FCD">
      <w:pPr>
        <w:pStyle w:val="BodyTextIndent2"/>
        <w:numPr>
          <w:ilvl w:val="0"/>
          <w:numId w:val="5"/>
        </w:numPr>
        <w:spacing w:line="480" w:lineRule="auto"/>
        <w:ind w:left="720"/>
        <w:jc w:val="center"/>
        <w:rPr>
          <w:rFonts w:ascii="Times New Roman" w:hAnsi="Times New Roman"/>
          <w:b/>
        </w:rPr>
      </w:pPr>
      <w:r w:rsidRPr="00022F92">
        <w:rPr>
          <w:rFonts w:ascii="Times New Roman" w:hAnsi="Times New Roman"/>
          <w:b/>
        </w:rPr>
        <w:t>CONCLUSION</w:t>
      </w:r>
    </w:p>
    <w:p w14:paraId="51CBFBAC" w14:textId="03FCC4F3" w:rsidR="001008EC" w:rsidRPr="00663A3F"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43513A">
        <w:rPr>
          <w:rFonts w:ascii="Times New Roman" w:hAnsi="Times New Roman"/>
        </w:rPr>
        <w:t>The Commission should deny Boise’s Motion</w:t>
      </w:r>
      <w:r w:rsidR="00290229">
        <w:rPr>
          <w:rFonts w:ascii="Times New Roman" w:hAnsi="Times New Roman"/>
        </w:rPr>
        <w:t xml:space="preserve">.  Staff believes </w:t>
      </w:r>
      <w:r w:rsidR="00860451">
        <w:rPr>
          <w:rFonts w:ascii="Times New Roman" w:hAnsi="Times New Roman"/>
        </w:rPr>
        <w:t xml:space="preserve">Pacific Power has supported its </w:t>
      </w:r>
      <w:r w:rsidR="00FB15F1">
        <w:rPr>
          <w:rFonts w:ascii="Times New Roman" w:hAnsi="Times New Roman"/>
        </w:rPr>
        <w:t xml:space="preserve">limited </w:t>
      </w:r>
      <w:r w:rsidR="00290229">
        <w:rPr>
          <w:rFonts w:ascii="Times New Roman" w:hAnsi="Times New Roman"/>
        </w:rPr>
        <w:t xml:space="preserve">issue rate </w:t>
      </w:r>
      <w:r w:rsidR="0043513A">
        <w:rPr>
          <w:rFonts w:ascii="Times New Roman" w:hAnsi="Times New Roman"/>
        </w:rPr>
        <w:t xml:space="preserve">filing </w:t>
      </w:r>
      <w:r w:rsidR="00860451">
        <w:rPr>
          <w:rFonts w:ascii="Times New Roman" w:hAnsi="Times New Roman"/>
        </w:rPr>
        <w:t>with evidence</w:t>
      </w:r>
      <w:r w:rsidR="00290229">
        <w:rPr>
          <w:rFonts w:ascii="Times New Roman" w:hAnsi="Times New Roman"/>
        </w:rPr>
        <w:t xml:space="preserve"> sufficient to initiate such a proceeding</w:t>
      </w:r>
      <w:r w:rsidR="0043513A">
        <w:rPr>
          <w:rFonts w:ascii="Times New Roman" w:hAnsi="Times New Roman"/>
        </w:rPr>
        <w:t>.</w:t>
      </w:r>
      <w:r w:rsidR="00A1734A">
        <w:rPr>
          <w:rFonts w:ascii="Times New Roman" w:hAnsi="Times New Roman"/>
        </w:rPr>
        <w:t xml:space="preserve"> </w:t>
      </w:r>
      <w:r w:rsidR="00290229">
        <w:rPr>
          <w:rFonts w:ascii="Times New Roman" w:hAnsi="Times New Roman"/>
        </w:rPr>
        <w:t>There is no need to convert Pacific Power’s filing to a general rate case. Staff cautions</w:t>
      </w:r>
      <w:r w:rsidR="00FC0DCE">
        <w:rPr>
          <w:rFonts w:ascii="Times New Roman" w:hAnsi="Times New Roman"/>
        </w:rPr>
        <w:t>,</w:t>
      </w:r>
      <w:r w:rsidR="00290229">
        <w:rPr>
          <w:rFonts w:ascii="Times New Roman" w:hAnsi="Times New Roman"/>
        </w:rPr>
        <w:t xml:space="preserve"> however, that </w:t>
      </w:r>
      <w:r w:rsidR="00A1734A">
        <w:rPr>
          <w:rFonts w:ascii="Times New Roman" w:hAnsi="Times New Roman"/>
        </w:rPr>
        <w:t xml:space="preserve">without </w:t>
      </w:r>
      <w:r w:rsidR="00BA28F9">
        <w:rPr>
          <w:rFonts w:ascii="Times New Roman" w:hAnsi="Times New Roman"/>
        </w:rPr>
        <w:t xml:space="preserve">evidence addressing </w:t>
      </w:r>
      <w:r w:rsidR="00860451">
        <w:rPr>
          <w:rFonts w:ascii="Times New Roman" w:hAnsi="Times New Roman"/>
        </w:rPr>
        <w:t xml:space="preserve">the traditional breadth of </w:t>
      </w:r>
      <w:r w:rsidR="00A1734A">
        <w:rPr>
          <w:rFonts w:ascii="Times New Roman" w:hAnsi="Times New Roman"/>
        </w:rPr>
        <w:t>cost of capital</w:t>
      </w:r>
      <w:r w:rsidR="00BA28F9">
        <w:rPr>
          <w:rFonts w:ascii="Times New Roman" w:hAnsi="Times New Roman"/>
        </w:rPr>
        <w:t>,</w:t>
      </w:r>
      <w:r w:rsidR="00290229">
        <w:rPr>
          <w:rFonts w:ascii="Times New Roman" w:hAnsi="Times New Roman"/>
        </w:rPr>
        <w:t xml:space="preserve"> </w:t>
      </w:r>
      <w:r w:rsidR="00BA28F9">
        <w:rPr>
          <w:rFonts w:ascii="Times New Roman" w:hAnsi="Times New Roman"/>
        </w:rPr>
        <w:t xml:space="preserve">Pacific Power’s proposed </w:t>
      </w:r>
      <w:r w:rsidR="00A1734A">
        <w:rPr>
          <w:rFonts w:ascii="Times New Roman" w:hAnsi="Times New Roman"/>
        </w:rPr>
        <w:t xml:space="preserve">multi-year rate plan </w:t>
      </w:r>
      <w:r w:rsidR="00BA28F9">
        <w:rPr>
          <w:rFonts w:ascii="Times New Roman" w:hAnsi="Times New Roman"/>
        </w:rPr>
        <w:t xml:space="preserve">may </w:t>
      </w:r>
      <w:r w:rsidR="00A1734A">
        <w:rPr>
          <w:rFonts w:ascii="Times New Roman" w:hAnsi="Times New Roman"/>
        </w:rPr>
        <w:t>limit the Commission’s options</w:t>
      </w:r>
      <w:r w:rsidR="00BA28F9">
        <w:rPr>
          <w:rFonts w:ascii="Times New Roman" w:hAnsi="Times New Roman"/>
        </w:rPr>
        <w:t>, given the attendant risk of procedural error</w:t>
      </w:r>
      <w:r w:rsidR="00A1734A">
        <w:rPr>
          <w:rFonts w:ascii="Times New Roman" w:hAnsi="Times New Roman"/>
        </w:rPr>
        <w:t xml:space="preserve">.  To mitigate this risk and provide the Commission with a </w:t>
      </w:r>
      <w:r w:rsidR="00A1734A">
        <w:rPr>
          <w:rFonts w:ascii="Times New Roman" w:hAnsi="Times New Roman"/>
        </w:rPr>
        <w:lastRenderedPageBreak/>
        <w:t>full range of dec</w:t>
      </w:r>
      <w:r w:rsidR="00FB15F1">
        <w:rPr>
          <w:rFonts w:ascii="Times New Roman" w:hAnsi="Times New Roman"/>
        </w:rPr>
        <w:t>ision options, the Commission c</w:t>
      </w:r>
      <w:r w:rsidR="00A1734A">
        <w:rPr>
          <w:rFonts w:ascii="Times New Roman" w:hAnsi="Times New Roman"/>
        </w:rPr>
        <w:t xml:space="preserve">ould solicit a </w:t>
      </w:r>
      <w:r w:rsidR="00657B4A">
        <w:rPr>
          <w:rFonts w:ascii="Times New Roman" w:hAnsi="Times New Roman"/>
        </w:rPr>
        <w:t xml:space="preserve">supplemented </w:t>
      </w:r>
      <w:r w:rsidR="00A1734A">
        <w:rPr>
          <w:rFonts w:ascii="Times New Roman" w:hAnsi="Times New Roman"/>
        </w:rPr>
        <w:t>cost of capital presentation from Pacific Power.</w:t>
      </w:r>
    </w:p>
    <w:p w14:paraId="3FEBDF69" w14:textId="77777777" w:rsidR="000956C0" w:rsidRDefault="000956C0" w:rsidP="00494B4C">
      <w:pPr>
        <w:pStyle w:val="BodyTextIndent2"/>
        <w:ind w:left="0"/>
        <w:rPr>
          <w:rFonts w:ascii="Times New Roman" w:hAnsi="Times New Roman"/>
        </w:rPr>
      </w:pPr>
    </w:p>
    <w:p w14:paraId="56E698FC" w14:textId="483E81EF" w:rsidR="006911A3" w:rsidRPr="003215A3" w:rsidRDefault="006911A3" w:rsidP="003215A3">
      <w:pPr>
        <w:pStyle w:val="BodyTextIndent2"/>
        <w:spacing w:line="240" w:lineRule="exact"/>
        <w:ind w:left="720"/>
        <w:rPr>
          <w:rFonts w:ascii="Times New Roman" w:hAnsi="Times New Roman"/>
        </w:rPr>
      </w:pPr>
      <w:r w:rsidRPr="003215A3">
        <w:rPr>
          <w:rFonts w:ascii="Times New Roman" w:hAnsi="Times New Roman"/>
        </w:rPr>
        <w:t>D</w:t>
      </w:r>
      <w:r w:rsidR="00F27B39">
        <w:rPr>
          <w:rFonts w:ascii="Times New Roman" w:hAnsi="Times New Roman"/>
        </w:rPr>
        <w:t>ATED</w:t>
      </w:r>
      <w:r w:rsidR="00F821BD" w:rsidRPr="003215A3">
        <w:rPr>
          <w:rFonts w:ascii="Times New Roman" w:hAnsi="Times New Roman"/>
        </w:rPr>
        <w:t xml:space="preserve"> </w:t>
      </w:r>
      <w:r w:rsidR="00F27B39">
        <w:rPr>
          <w:rFonts w:ascii="Times New Roman" w:hAnsi="Times New Roman"/>
        </w:rPr>
        <w:t xml:space="preserve">December </w:t>
      </w:r>
      <w:r w:rsidR="001B0A68">
        <w:rPr>
          <w:rFonts w:ascii="Times New Roman" w:hAnsi="Times New Roman"/>
        </w:rPr>
        <w:t>21</w:t>
      </w:r>
      <w:r w:rsidR="008D7D4F">
        <w:rPr>
          <w:rFonts w:ascii="Times New Roman" w:hAnsi="Times New Roman"/>
        </w:rPr>
        <w:t>, 201</w:t>
      </w:r>
      <w:r w:rsidR="003700B8">
        <w:rPr>
          <w:rFonts w:ascii="Times New Roman" w:hAnsi="Times New Roman"/>
        </w:rPr>
        <w:t>5</w:t>
      </w:r>
      <w:r w:rsidR="00F821BD" w:rsidRPr="003215A3">
        <w:rPr>
          <w:rFonts w:ascii="Times New Roman" w:hAnsi="Times New Roman"/>
        </w:rPr>
        <w:t>.</w:t>
      </w:r>
      <w:r w:rsidRPr="003215A3">
        <w:rPr>
          <w:rFonts w:ascii="Times New Roman" w:hAnsi="Times New Roman"/>
        </w:rPr>
        <w:t xml:space="preserve">  </w:t>
      </w:r>
    </w:p>
    <w:p w14:paraId="6787CD37" w14:textId="77777777" w:rsidR="006911A3" w:rsidRPr="003215A3" w:rsidRDefault="006911A3" w:rsidP="003215A3">
      <w:pPr>
        <w:pStyle w:val="BodyTextIndent2"/>
        <w:spacing w:line="240" w:lineRule="exact"/>
        <w:rPr>
          <w:rFonts w:ascii="Times New Roman" w:hAnsi="Times New Roman"/>
        </w:rPr>
      </w:pPr>
    </w:p>
    <w:p w14:paraId="5FD8B6BB" w14:textId="77777777" w:rsidR="003215A3" w:rsidRPr="003215A3" w:rsidRDefault="003215A3" w:rsidP="003215A3">
      <w:pPr>
        <w:spacing w:line="240" w:lineRule="exact"/>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17E71886" w14:textId="77777777" w:rsidR="003215A3" w:rsidRPr="003215A3" w:rsidRDefault="003215A3" w:rsidP="003215A3">
      <w:pPr>
        <w:pStyle w:val="BodyTextIndent2"/>
        <w:spacing w:line="240" w:lineRule="exact"/>
        <w:rPr>
          <w:rFonts w:ascii="Times New Roman" w:hAnsi="Times New Roman"/>
        </w:rPr>
      </w:pPr>
    </w:p>
    <w:p w14:paraId="17A4986F" w14:textId="77777777" w:rsidR="003215A3" w:rsidRPr="003215A3" w:rsidRDefault="003215A3" w:rsidP="003215A3">
      <w:pPr>
        <w:spacing w:line="240" w:lineRule="exact"/>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2078A64E" w14:textId="77777777" w:rsidR="003215A3" w:rsidRDefault="003215A3" w:rsidP="003215A3">
      <w:pPr>
        <w:spacing w:line="240" w:lineRule="exact"/>
        <w:ind w:firstLine="5040"/>
        <w:jc w:val="both"/>
        <w:rPr>
          <w:rFonts w:ascii="Times New Roman" w:hAnsi="Times New Roman"/>
        </w:rPr>
      </w:pPr>
      <w:r w:rsidRPr="003215A3">
        <w:rPr>
          <w:rFonts w:ascii="Times New Roman" w:hAnsi="Times New Roman"/>
        </w:rPr>
        <w:t>Attorney General</w:t>
      </w:r>
    </w:p>
    <w:p w14:paraId="4F90B8DB" w14:textId="77777777" w:rsidR="007A41A2" w:rsidRDefault="007A41A2" w:rsidP="003215A3">
      <w:pPr>
        <w:spacing w:line="240" w:lineRule="exact"/>
        <w:ind w:firstLine="5040"/>
        <w:jc w:val="both"/>
        <w:rPr>
          <w:rFonts w:ascii="Times New Roman" w:hAnsi="Times New Roman"/>
        </w:rPr>
      </w:pPr>
    </w:p>
    <w:p w14:paraId="7E107E13" w14:textId="77777777" w:rsidR="003F5E39" w:rsidRPr="003215A3" w:rsidRDefault="003F5E39" w:rsidP="003215A3">
      <w:pPr>
        <w:spacing w:line="240" w:lineRule="exact"/>
        <w:jc w:val="both"/>
        <w:rPr>
          <w:rFonts w:ascii="Times New Roman" w:hAnsi="Times New Roman"/>
        </w:rPr>
      </w:pPr>
    </w:p>
    <w:p w14:paraId="59C19AE8" w14:textId="77777777" w:rsidR="003215A3" w:rsidRPr="003215A3" w:rsidRDefault="003215A3" w:rsidP="003215A3">
      <w:pPr>
        <w:spacing w:line="240" w:lineRule="exact"/>
        <w:ind w:left="1440" w:firstLine="3600"/>
        <w:jc w:val="both"/>
        <w:rPr>
          <w:rFonts w:ascii="Times New Roman" w:hAnsi="Times New Roman"/>
        </w:rPr>
      </w:pPr>
      <w:r w:rsidRPr="003215A3">
        <w:rPr>
          <w:rFonts w:ascii="Times New Roman" w:hAnsi="Times New Roman"/>
        </w:rPr>
        <w:t>______________________________</w:t>
      </w:r>
    </w:p>
    <w:p w14:paraId="7360A7CB" w14:textId="77777777" w:rsidR="003215A3" w:rsidRPr="003215A3" w:rsidRDefault="00DC4D10" w:rsidP="003215A3">
      <w:pPr>
        <w:spacing w:line="240" w:lineRule="exact"/>
        <w:ind w:firstLine="5040"/>
        <w:jc w:val="both"/>
        <w:rPr>
          <w:rFonts w:ascii="Times New Roman" w:hAnsi="Times New Roman"/>
        </w:rPr>
      </w:pPr>
      <w:r>
        <w:rPr>
          <w:rFonts w:ascii="Times New Roman" w:hAnsi="Times New Roman"/>
        </w:rPr>
        <w:t>JENNIFER CAMERON-RULKOWSKI</w:t>
      </w:r>
    </w:p>
    <w:p w14:paraId="5E121E11" w14:textId="77777777" w:rsidR="003215A3" w:rsidRPr="003215A3" w:rsidRDefault="003215A3" w:rsidP="003215A3">
      <w:pPr>
        <w:spacing w:line="240" w:lineRule="exact"/>
        <w:ind w:left="1440" w:firstLine="3600"/>
        <w:jc w:val="both"/>
        <w:rPr>
          <w:rFonts w:ascii="Times New Roman" w:hAnsi="Times New Roman"/>
        </w:rPr>
      </w:pPr>
      <w:r w:rsidRPr="003215A3">
        <w:rPr>
          <w:rFonts w:ascii="Times New Roman" w:hAnsi="Times New Roman"/>
        </w:rPr>
        <w:t>Assistant Attorney General</w:t>
      </w:r>
    </w:p>
    <w:p w14:paraId="78184DCF" w14:textId="77777777" w:rsidR="003215A3" w:rsidRPr="003215A3" w:rsidRDefault="003215A3" w:rsidP="003215A3">
      <w:pPr>
        <w:spacing w:line="240" w:lineRule="exact"/>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576E0405" w14:textId="77777777" w:rsidR="006911A3" w:rsidRPr="003215A3" w:rsidRDefault="003215A3" w:rsidP="003215A3">
      <w:pPr>
        <w:spacing w:line="240" w:lineRule="exact"/>
        <w:ind w:left="2880" w:firstLine="2160"/>
        <w:jc w:val="both"/>
        <w:rPr>
          <w:rFonts w:ascii="Times New Roman" w:hAnsi="Times New Roman"/>
        </w:rPr>
      </w:pPr>
      <w:r w:rsidRPr="003215A3">
        <w:rPr>
          <w:rFonts w:ascii="Times New Roman" w:hAnsi="Times New Roman"/>
        </w:rPr>
        <w:t>Transportation Commission Staff</w:t>
      </w:r>
    </w:p>
    <w:sectPr w:rsidR="006911A3" w:rsidRPr="003215A3" w:rsidSect="0092641E">
      <w:footerReference w:type="default" r:id="rId11"/>
      <w:pgSz w:w="12240" w:h="15840"/>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E4FD2" w14:textId="77777777" w:rsidR="007C1955" w:rsidRDefault="007C1955">
      <w:r>
        <w:separator/>
      </w:r>
    </w:p>
  </w:endnote>
  <w:endnote w:type="continuationSeparator" w:id="0">
    <w:p w14:paraId="1BE8DD33" w14:textId="77777777" w:rsidR="007C1955" w:rsidRDefault="007C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F3961" w14:textId="77777777" w:rsidR="00FF2E38" w:rsidRDefault="00FF2E38">
    <w:pPr>
      <w:pStyle w:val="Footer"/>
      <w:rPr>
        <w:rFonts w:ascii="Times New Roman" w:hAnsi="Times New Roman"/>
        <w:sz w:val="20"/>
        <w:szCs w:val="20"/>
      </w:rPr>
    </w:pPr>
    <w:r>
      <w:rPr>
        <w:rFonts w:ascii="Times New Roman" w:hAnsi="Times New Roman"/>
        <w:sz w:val="20"/>
        <w:szCs w:val="20"/>
      </w:rPr>
      <w:t>RESPONSE TO BOISE WHITE PAPER’S</w:t>
    </w:r>
  </w:p>
  <w:p w14:paraId="43290B6A" w14:textId="77777777" w:rsidR="00FF2E38" w:rsidRPr="00F821BD" w:rsidRDefault="00FF2E38">
    <w:pPr>
      <w:pStyle w:val="Footer"/>
      <w:rPr>
        <w:rFonts w:ascii="Times New Roman" w:hAnsi="Times New Roman"/>
        <w:sz w:val="20"/>
        <w:szCs w:val="20"/>
      </w:rPr>
    </w:pPr>
    <w:r>
      <w:rPr>
        <w:rFonts w:ascii="Times New Roman" w:hAnsi="Times New Roman"/>
        <w:sz w:val="20"/>
        <w:szCs w:val="20"/>
      </w:rPr>
      <w:t xml:space="preserve">MOTION TO DISMISS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022F92">
      <w:rPr>
        <w:rStyle w:val="PageNumber"/>
        <w:rFonts w:ascii="Times New Roman" w:hAnsi="Times New Roman"/>
        <w:noProof/>
        <w:sz w:val="20"/>
        <w:szCs w:val="20"/>
      </w:rPr>
      <w:t>5</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E4B4F" w14:textId="77777777" w:rsidR="007C1955" w:rsidRDefault="007C1955">
      <w:r>
        <w:separator/>
      </w:r>
    </w:p>
  </w:footnote>
  <w:footnote w:type="continuationSeparator" w:id="0">
    <w:p w14:paraId="2FF46A7D" w14:textId="77777777" w:rsidR="007C1955" w:rsidRDefault="007C1955">
      <w:r>
        <w:continuationSeparator/>
      </w:r>
    </w:p>
  </w:footnote>
  <w:footnote w:id="1">
    <w:p w14:paraId="2E42F947" w14:textId="2E7B6A68" w:rsidR="00702301" w:rsidRPr="00875627" w:rsidRDefault="00702301" w:rsidP="00702301">
      <w:pPr>
        <w:pStyle w:val="FootnoteText"/>
        <w:rPr>
          <w:rFonts w:ascii="Times New Roman" w:hAnsi="Times New Roman"/>
        </w:rPr>
      </w:pPr>
      <w:r w:rsidRPr="00875627">
        <w:rPr>
          <w:rStyle w:val="FootnoteReference"/>
          <w:rFonts w:ascii="Times New Roman" w:hAnsi="Times New Roman"/>
        </w:rPr>
        <w:footnoteRef/>
      </w:r>
      <w:r w:rsidRPr="00875627">
        <w:rPr>
          <w:rFonts w:ascii="Times New Roman" w:hAnsi="Times New Roman"/>
        </w:rPr>
        <w:t xml:space="preserve"> </w:t>
      </w:r>
      <w:r w:rsidR="0050152D" w:rsidRPr="0050152D">
        <w:rPr>
          <w:rFonts w:ascii="Times New Roman" w:hAnsi="Times New Roman"/>
          <w:i/>
        </w:rPr>
        <w:t>Industrial Customers of Northwest Utils. v. Wash. Utils. &amp; Transp. Comm’n</w:t>
      </w:r>
      <w:r w:rsidR="0050152D">
        <w:rPr>
          <w:rFonts w:ascii="Times New Roman" w:hAnsi="Times New Roman"/>
        </w:rPr>
        <w:t xml:space="preserve">, </w:t>
      </w:r>
      <w:r w:rsidR="00B93388">
        <w:rPr>
          <w:rFonts w:ascii="Times New Roman" w:hAnsi="Times New Roman"/>
        </w:rPr>
        <w:t xml:space="preserve">Thurston County Superior Court </w:t>
      </w:r>
      <w:r w:rsidR="0050152D">
        <w:rPr>
          <w:rFonts w:ascii="Times New Roman" w:hAnsi="Times New Roman"/>
        </w:rPr>
        <w:t>Case Nos. 13-2-01576-2 and 13-2-01582-7 (consolidated), Order Granting in Part and Denying in Part Petitions for Judicial Review (July 25, 2014)</w:t>
      </w:r>
      <w:r w:rsidR="00B8795A">
        <w:rPr>
          <w:rFonts w:ascii="Times New Roman" w:hAnsi="Times New Roman"/>
        </w:rPr>
        <w:t xml:space="preserve"> (“Superior Court Order”)</w:t>
      </w:r>
      <w:r w:rsidR="0050152D">
        <w:rPr>
          <w:rFonts w:ascii="Times New Roman" w:hAnsi="Times New Roman"/>
        </w:rPr>
        <w:t xml:space="preserve">. </w:t>
      </w:r>
      <w:r w:rsidRPr="00875627">
        <w:rPr>
          <w:rFonts w:ascii="Times New Roman" w:hAnsi="Times New Roman"/>
        </w:rPr>
        <w:t xml:space="preserve">The Superior Court </w:t>
      </w:r>
      <w:r>
        <w:rPr>
          <w:rFonts w:ascii="Times New Roman" w:hAnsi="Times New Roman"/>
        </w:rPr>
        <w:t xml:space="preserve">order and </w:t>
      </w:r>
      <w:r w:rsidRPr="00875627">
        <w:rPr>
          <w:rFonts w:ascii="Times New Roman" w:hAnsi="Times New Roman"/>
        </w:rPr>
        <w:t xml:space="preserve">letter ruling </w:t>
      </w:r>
      <w:r>
        <w:rPr>
          <w:rFonts w:ascii="Times New Roman" w:hAnsi="Times New Roman"/>
        </w:rPr>
        <w:t>are included in this filing as attachments</w:t>
      </w:r>
      <w:r w:rsidRPr="00875627">
        <w:rPr>
          <w:rFonts w:ascii="Times New Roman" w:hAnsi="Times New Roman"/>
        </w:rPr>
        <w:t xml:space="preserve"> to the Declaration of Betsy DeMarco. </w:t>
      </w:r>
    </w:p>
  </w:footnote>
  <w:footnote w:id="2">
    <w:p w14:paraId="09E2D5BF" w14:textId="4FADEDD6" w:rsidR="00FF2E38" w:rsidRPr="00304EDB" w:rsidRDefault="00FF2E38">
      <w:pPr>
        <w:pStyle w:val="FootnoteText"/>
        <w:rPr>
          <w:rFonts w:ascii="Times New Roman" w:hAnsi="Times New Roman"/>
        </w:rPr>
      </w:pPr>
      <w:r w:rsidRPr="00304EDB">
        <w:rPr>
          <w:rStyle w:val="FootnoteReference"/>
          <w:rFonts w:ascii="Times New Roman" w:hAnsi="Times New Roman"/>
        </w:rPr>
        <w:footnoteRef/>
      </w:r>
      <w:r w:rsidRPr="00304EDB">
        <w:rPr>
          <w:rFonts w:ascii="Times New Roman" w:hAnsi="Times New Roman"/>
        </w:rPr>
        <w:t xml:space="preserve"> Superior Court Order.</w:t>
      </w:r>
    </w:p>
  </w:footnote>
  <w:footnote w:id="3">
    <w:p w14:paraId="5E2EA433" w14:textId="77777777" w:rsidR="00FF2E38" w:rsidRDefault="00FF2E38">
      <w:pPr>
        <w:pStyle w:val="FootnoteText"/>
      </w:pPr>
      <w:r w:rsidRPr="00304EDB">
        <w:rPr>
          <w:rStyle w:val="FootnoteReference"/>
          <w:rFonts w:ascii="Times New Roman" w:hAnsi="Times New Roman"/>
        </w:rPr>
        <w:footnoteRef/>
      </w:r>
      <w:r w:rsidRPr="00304EDB">
        <w:rPr>
          <w:rFonts w:ascii="Times New Roman" w:hAnsi="Times New Roman"/>
        </w:rPr>
        <w:t xml:space="preserve"> </w:t>
      </w:r>
      <w:r>
        <w:rPr>
          <w:rFonts w:ascii="Times New Roman" w:hAnsi="Times New Roman"/>
          <w:i/>
        </w:rPr>
        <w:t>Wash. Utils. &amp; Transp. Comm’n</w:t>
      </w:r>
      <w:r w:rsidRPr="00304EDB">
        <w:rPr>
          <w:rFonts w:ascii="Times New Roman" w:hAnsi="Times New Roman"/>
          <w:i/>
        </w:rPr>
        <w:t xml:space="preserve"> v. Puget Sound Energy, Inc., </w:t>
      </w:r>
      <w:r w:rsidRPr="00304EDB">
        <w:rPr>
          <w:rFonts w:ascii="Times New Roman" w:hAnsi="Times New Roman"/>
        </w:rPr>
        <w:t>Dockets UE-111048 and UG-111049 (</w:t>
      </w:r>
      <w:r w:rsidRPr="00304EDB">
        <w:rPr>
          <w:rFonts w:ascii="Times New Roman" w:hAnsi="Times New Roman"/>
          <w:i/>
        </w:rPr>
        <w:t>consolidated</w:t>
      </w:r>
      <w:r w:rsidRPr="00304EDB">
        <w:rPr>
          <w:rFonts w:ascii="Times New Roman" w:hAnsi="Times New Roman"/>
        </w:rPr>
        <w:t>), Order 08 (May 7, 2012), 183-87, ¶¶ 496-507.</w:t>
      </w:r>
    </w:p>
  </w:footnote>
  <w:footnote w:id="4">
    <w:p w14:paraId="40ED327B" w14:textId="7A8AE8F5" w:rsidR="00FF2E38" w:rsidRPr="00FC034A" w:rsidRDefault="00FF2E38">
      <w:pPr>
        <w:pStyle w:val="FootnoteText"/>
        <w:rPr>
          <w:rFonts w:ascii="Times New Roman" w:hAnsi="Times New Roman"/>
        </w:rPr>
      </w:pPr>
      <w:r w:rsidRPr="00FC034A">
        <w:rPr>
          <w:rStyle w:val="FootnoteReference"/>
          <w:rFonts w:ascii="Times New Roman" w:hAnsi="Times New Roman"/>
        </w:rPr>
        <w:footnoteRef/>
      </w:r>
      <w:r w:rsidRPr="00FC034A">
        <w:rPr>
          <w:rFonts w:ascii="Times New Roman" w:hAnsi="Times New Roman"/>
        </w:rPr>
        <w:t xml:space="preserve"> Exh. No. KGS-1T 3:17 – 4:1.</w:t>
      </w:r>
    </w:p>
  </w:footnote>
  <w:footnote w:id="5">
    <w:p w14:paraId="25AED5CF" w14:textId="6D124483" w:rsidR="00FF2E38" w:rsidRDefault="00FF2E38">
      <w:pPr>
        <w:pStyle w:val="FootnoteText"/>
      </w:pPr>
      <w:r w:rsidRPr="00FC034A">
        <w:rPr>
          <w:rStyle w:val="FootnoteReference"/>
          <w:rFonts w:ascii="Times New Roman" w:hAnsi="Times New Roman"/>
        </w:rPr>
        <w:footnoteRef/>
      </w:r>
      <w:r w:rsidRPr="00FC034A">
        <w:rPr>
          <w:rFonts w:ascii="Times New Roman" w:hAnsi="Times New Roman"/>
        </w:rPr>
        <w:t xml:space="preserve"> Exh. No. KGS-1T 3:3-10.</w:t>
      </w:r>
    </w:p>
  </w:footnote>
  <w:footnote w:id="6">
    <w:p w14:paraId="3E5E31FD" w14:textId="77777777" w:rsidR="00FF2E38" w:rsidRPr="002F4580" w:rsidRDefault="00FF2E38">
      <w:pPr>
        <w:pStyle w:val="FootnoteText"/>
        <w:rPr>
          <w:rFonts w:ascii="Times New Roman" w:hAnsi="Times New Roman"/>
        </w:rPr>
      </w:pPr>
      <w:r w:rsidRPr="002F4580">
        <w:rPr>
          <w:rStyle w:val="FootnoteReference"/>
          <w:rFonts w:ascii="Times New Roman" w:hAnsi="Times New Roman"/>
        </w:rPr>
        <w:footnoteRef/>
      </w:r>
      <w:r w:rsidRPr="002F4580">
        <w:rPr>
          <w:rFonts w:ascii="Times New Roman" w:hAnsi="Times New Roman"/>
        </w:rPr>
        <w:t xml:space="preserve"> </w:t>
      </w:r>
      <w:r>
        <w:rPr>
          <w:rFonts w:ascii="Times New Roman" w:hAnsi="Times New Roman"/>
          <w:i/>
        </w:rPr>
        <w:t>Wash. Utils. &amp; Transp. Comm’n</w:t>
      </w:r>
      <w:r w:rsidRPr="002F4580">
        <w:rPr>
          <w:rFonts w:ascii="Times New Roman" w:hAnsi="Times New Roman"/>
          <w:i/>
          <w:szCs w:val="22"/>
        </w:rPr>
        <w:t xml:space="preserve"> v. PacifiCorp</w:t>
      </w:r>
      <w:r w:rsidRPr="002F4580">
        <w:rPr>
          <w:rFonts w:ascii="Times New Roman" w:hAnsi="Times New Roman"/>
          <w:szCs w:val="22"/>
        </w:rPr>
        <w:t>, Docket UE-130043, Order 05 (Dec. 4, 2013), 14, ¶ 39.</w:t>
      </w:r>
    </w:p>
  </w:footnote>
  <w:footnote w:id="7">
    <w:p w14:paraId="3EB07B3F" w14:textId="77777777" w:rsidR="00FF2E38" w:rsidRPr="00D203E1" w:rsidRDefault="00FF2E38">
      <w:pPr>
        <w:pStyle w:val="FootnoteText"/>
        <w:rPr>
          <w:rFonts w:ascii="Times New Roman" w:hAnsi="Times New Roman"/>
        </w:rPr>
      </w:pPr>
      <w:r>
        <w:rPr>
          <w:rStyle w:val="FootnoteReference"/>
        </w:rPr>
        <w:footnoteRef/>
      </w:r>
      <w:r>
        <w:t xml:space="preserve"> </w:t>
      </w:r>
      <w:r>
        <w:rPr>
          <w:rFonts w:ascii="Times New Roman" w:hAnsi="Times New Roman"/>
          <w:i/>
        </w:rPr>
        <w:t>Wash. Utils. &amp; Transp. Comm’n</w:t>
      </w:r>
      <w:r w:rsidRPr="002F4580">
        <w:rPr>
          <w:rFonts w:ascii="Times New Roman" w:hAnsi="Times New Roman"/>
          <w:i/>
          <w:szCs w:val="22"/>
        </w:rPr>
        <w:t xml:space="preserve"> v.</w:t>
      </w:r>
      <w:r>
        <w:rPr>
          <w:rFonts w:ascii="Times New Roman" w:hAnsi="Times New Roman"/>
          <w:i/>
          <w:szCs w:val="22"/>
        </w:rPr>
        <w:t xml:space="preserve"> Pacific Power &amp; Light, </w:t>
      </w:r>
      <w:r>
        <w:rPr>
          <w:rFonts w:ascii="Times New Roman" w:hAnsi="Times New Roman"/>
          <w:szCs w:val="22"/>
        </w:rPr>
        <w:t xml:space="preserve">Docket UE-140762, Order 08 (March 25, 2015), </w:t>
      </w:r>
      <w:r w:rsidRPr="00D203E1">
        <w:rPr>
          <w:rFonts w:ascii="Times New Roman" w:hAnsi="Times New Roman"/>
          <w:szCs w:val="22"/>
        </w:rPr>
        <w:t>3, ¶ 7.</w:t>
      </w:r>
    </w:p>
  </w:footnote>
  <w:footnote w:id="8">
    <w:p w14:paraId="1374EC8B" w14:textId="77777777" w:rsidR="00FF2E38" w:rsidRPr="00097864" w:rsidRDefault="00FF2E38">
      <w:pPr>
        <w:pStyle w:val="FootnoteText"/>
        <w:rPr>
          <w:rFonts w:ascii="Times New Roman" w:hAnsi="Times New Roman"/>
        </w:rPr>
      </w:pPr>
      <w:r w:rsidRPr="00D203E1">
        <w:rPr>
          <w:rStyle w:val="FootnoteReference"/>
          <w:rFonts w:ascii="Times New Roman" w:hAnsi="Times New Roman"/>
        </w:rPr>
        <w:footnoteRef/>
      </w:r>
      <w:r w:rsidRPr="00D203E1">
        <w:rPr>
          <w:rFonts w:ascii="Times New Roman" w:hAnsi="Times New Roman"/>
        </w:rPr>
        <w:t xml:space="preserve"> </w:t>
      </w:r>
      <w:r w:rsidRPr="00097864">
        <w:rPr>
          <w:rFonts w:ascii="Times New Roman" w:hAnsi="Times New Roman"/>
        </w:rPr>
        <w:t xml:space="preserve">Declaration of Jason Ball, ¶¶ 5-6. </w:t>
      </w:r>
    </w:p>
  </w:footnote>
  <w:footnote w:id="9">
    <w:p w14:paraId="07A33D02" w14:textId="40F83A24" w:rsidR="00FF2E38" w:rsidRDefault="00FF2E38">
      <w:pPr>
        <w:pStyle w:val="FootnoteText"/>
      </w:pPr>
      <w:r w:rsidRPr="00097864">
        <w:rPr>
          <w:rStyle w:val="FootnoteReference"/>
          <w:rFonts w:ascii="Times New Roman" w:hAnsi="Times New Roman"/>
        </w:rPr>
        <w:footnoteRef/>
      </w:r>
      <w:r w:rsidRPr="00097864">
        <w:rPr>
          <w:rFonts w:ascii="Times New Roman" w:hAnsi="Times New Roman"/>
        </w:rPr>
        <w:t xml:space="preserve"> </w:t>
      </w:r>
      <w:r>
        <w:rPr>
          <w:rFonts w:ascii="Times New Roman" w:hAnsi="Times New Roman"/>
          <w:i/>
        </w:rPr>
        <w:t>Wash. Utils. &amp; Transp. Comm’n</w:t>
      </w:r>
      <w:r w:rsidRPr="002F4580">
        <w:rPr>
          <w:rFonts w:ascii="Times New Roman" w:hAnsi="Times New Roman"/>
          <w:i/>
          <w:szCs w:val="22"/>
        </w:rPr>
        <w:t xml:space="preserve"> </w:t>
      </w:r>
      <w:r w:rsidRPr="00097864">
        <w:rPr>
          <w:rFonts w:ascii="Times New Roman" w:hAnsi="Times New Roman"/>
          <w:i/>
        </w:rPr>
        <w:t>v. PSE,</w:t>
      </w:r>
      <w:r w:rsidRPr="00097864">
        <w:rPr>
          <w:rFonts w:ascii="Times New Roman" w:hAnsi="Times New Roman"/>
        </w:rPr>
        <w:t xml:space="preserve"> Dockets UE-011163 and UE-011170, Sixth Supplemental Order – Order Granting M</w:t>
      </w:r>
      <w:r>
        <w:rPr>
          <w:rFonts w:ascii="Times New Roman" w:hAnsi="Times New Roman"/>
        </w:rPr>
        <w:t xml:space="preserve">otions; </w:t>
      </w:r>
      <w:r w:rsidR="00F46D7F">
        <w:rPr>
          <w:rFonts w:ascii="Times New Roman" w:hAnsi="Times New Roman"/>
        </w:rPr>
        <w:t>Dismissing Dockets</w:t>
      </w:r>
      <w:r>
        <w:rPr>
          <w:rFonts w:ascii="Times New Roman" w:hAnsi="Times New Roman"/>
        </w:rPr>
        <w:t xml:space="preserve"> </w:t>
      </w:r>
      <w:r w:rsidRPr="00097864">
        <w:rPr>
          <w:rFonts w:ascii="Times New Roman" w:hAnsi="Times New Roman"/>
        </w:rPr>
        <w:t>(October 4, 2001)</w:t>
      </w:r>
      <w:r w:rsidR="00F46D7F">
        <w:rPr>
          <w:rFonts w:ascii="Times New Roman" w:hAnsi="Times New Roman"/>
        </w:rPr>
        <w:t>, ¶ 14</w:t>
      </w:r>
      <w:r w:rsidRPr="00097864">
        <w:rPr>
          <w:rFonts w:ascii="Times New Roman" w:hAnsi="Times New Roman"/>
        </w:rPr>
        <w:t>.</w:t>
      </w:r>
    </w:p>
  </w:footnote>
  <w:footnote w:id="10">
    <w:p w14:paraId="1C682529" w14:textId="77777777" w:rsidR="00FF2E38" w:rsidRPr="00D203E1" w:rsidRDefault="00FF2E38" w:rsidP="00F46D7F">
      <w:pPr>
        <w:pStyle w:val="FootnoteText"/>
        <w:keepNext/>
        <w:rPr>
          <w:rFonts w:ascii="Times New Roman" w:hAnsi="Times New Roman"/>
        </w:rPr>
      </w:pPr>
      <w:r w:rsidRPr="00D203E1">
        <w:rPr>
          <w:rStyle w:val="FootnoteReference"/>
          <w:rFonts w:ascii="Times New Roman" w:hAnsi="Times New Roman"/>
        </w:rPr>
        <w:footnoteRef/>
      </w:r>
      <w:r w:rsidRPr="00D203E1">
        <w:rPr>
          <w:rFonts w:ascii="Times New Roman" w:hAnsi="Times New Roman"/>
        </w:rPr>
        <w:t xml:space="preserve"> WAC 480-07-540.</w:t>
      </w:r>
    </w:p>
    <w:p w14:paraId="6266488B" w14:textId="77777777" w:rsidR="00FF2E38" w:rsidRPr="00D203E1" w:rsidRDefault="00FF2E38" w:rsidP="00D203E1">
      <w:pPr>
        <w:pStyle w:val="FootnoteText"/>
        <w:ind w:left="720"/>
        <w:rPr>
          <w:rFonts w:ascii="Times New Roman" w:hAnsi="Times New Roman"/>
        </w:rPr>
      </w:pPr>
      <w:r w:rsidRPr="00D203E1">
        <w:rPr>
          <w:rFonts w:ascii="Times New Roman" w:hAnsi="Times New Roman"/>
        </w:rPr>
        <w:t xml:space="preserve">Public service companies bear the burden of proof in general rate proceedings that propose changes that would increase any rate, charge, rental, or toll, as provided in RCW </w:t>
      </w:r>
      <w:hyperlink r:id="rId1" w:history="1">
        <w:r w:rsidRPr="00D203E1">
          <w:rPr>
            <w:rStyle w:val="Hyperlink"/>
            <w:rFonts w:ascii="Times New Roman" w:hAnsi="Times New Roman"/>
          </w:rPr>
          <w:t>80.04.130</w:t>
        </w:r>
      </w:hyperlink>
      <w:r w:rsidRPr="00D203E1">
        <w:rPr>
          <w:rFonts w:ascii="Times New Roman" w:hAnsi="Times New Roman"/>
        </w:rPr>
        <w:t xml:space="preserve"> or 81.04.130. The burden of proof includes the burden of going forward with evidence and the burden of persuasion. The commission will consider the company's prefiled evidence to be its full direct case in support of its rate filing for purposes of deciding any prehearing motion to dismiss under WAC </w:t>
      </w:r>
      <w:hyperlink r:id="rId2" w:history="1">
        <w:r w:rsidRPr="00D203E1">
          <w:rPr>
            <w:rStyle w:val="Hyperlink"/>
            <w:rFonts w:ascii="Times New Roman" w:hAnsi="Times New Roman"/>
          </w:rPr>
          <w:t>480-07-380</w:t>
        </w:r>
      </w:hyperlink>
      <w:r w:rsidRPr="00D203E1">
        <w:rPr>
          <w:rFonts w:ascii="Times New Roman" w:hAnsi="Times New Roman"/>
        </w:rPr>
        <w:t>.</w:t>
      </w:r>
    </w:p>
  </w:footnote>
  <w:footnote w:id="11">
    <w:p w14:paraId="08F9F49C" w14:textId="77777777" w:rsidR="00FF2E38" w:rsidRPr="00D203E1" w:rsidRDefault="00FF2E38">
      <w:pPr>
        <w:pStyle w:val="FootnoteText"/>
      </w:pPr>
      <w:r w:rsidRPr="00D203E1">
        <w:rPr>
          <w:rStyle w:val="FootnoteReference"/>
          <w:rFonts w:ascii="Times New Roman" w:hAnsi="Times New Roman"/>
        </w:rPr>
        <w:footnoteRef/>
      </w:r>
      <w:r w:rsidRPr="00D203E1">
        <w:rPr>
          <w:rFonts w:ascii="Times New Roman" w:hAnsi="Times New Roman"/>
        </w:rPr>
        <w:t xml:space="preserve"> </w:t>
      </w:r>
      <w:r w:rsidRPr="00D203E1">
        <w:rPr>
          <w:rFonts w:ascii="Times New Roman" w:hAnsi="Times New Roman"/>
          <w:i/>
        </w:rPr>
        <w:t xml:space="preserve">See </w:t>
      </w:r>
      <w:r w:rsidRPr="00D203E1">
        <w:rPr>
          <w:rFonts w:ascii="Times New Roman" w:hAnsi="Times New Roman"/>
        </w:rPr>
        <w:t>WAC 480-07-505.</w:t>
      </w:r>
    </w:p>
  </w:footnote>
  <w:footnote w:id="12">
    <w:p w14:paraId="7829BEAA" w14:textId="77777777" w:rsidR="00FF2E38" w:rsidRPr="009336CE" w:rsidRDefault="00FF2E38">
      <w:pPr>
        <w:pStyle w:val="FootnoteText"/>
        <w:rPr>
          <w:rFonts w:ascii="Times New Roman" w:hAnsi="Times New Roman"/>
        </w:rPr>
      </w:pPr>
      <w:r w:rsidRPr="009336CE">
        <w:rPr>
          <w:rStyle w:val="FootnoteReference"/>
          <w:rFonts w:ascii="Times New Roman" w:hAnsi="Times New Roman"/>
        </w:rPr>
        <w:footnoteRef/>
      </w:r>
      <w:r w:rsidRPr="009336CE">
        <w:rPr>
          <w:rFonts w:ascii="Times New Roman" w:hAnsi="Times New Roman"/>
        </w:rPr>
        <w:t xml:space="preserve"> WAC 480-07-505(2).</w:t>
      </w:r>
    </w:p>
  </w:footnote>
  <w:footnote w:id="13">
    <w:p w14:paraId="74847039" w14:textId="7F4053A2" w:rsidR="00FF2E38" w:rsidRPr="002611F4" w:rsidRDefault="00FF2E38">
      <w:pPr>
        <w:pStyle w:val="FootnoteText"/>
        <w:rPr>
          <w:rFonts w:ascii="Times New Roman" w:hAnsi="Times New Roman"/>
        </w:rPr>
      </w:pPr>
      <w:r w:rsidRPr="002611F4">
        <w:rPr>
          <w:rStyle w:val="FootnoteReference"/>
          <w:rFonts w:ascii="Times New Roman" w:hAnsi="Times New Roman"/>
        </w:rPr>
        <w:footnoteRef/>
      </w:r>
      <w:r w:rsidRPr="002611F4">
        <w:rPr>
          <w:rFonts w:ascii="Times New Roman" w:hAnsi="Times New Roman"/>
        </w:rPr>
        <w:t xml:space="preserve"> </w:t>
      </w:r>
      <w:r w:rsidR="00D772D1">
        <w:rPr>
          <w:rFonts w:ascii="Times New Roman" w:hAnsi="Times New Roman"/>
          <w:i/>
        </w:rPr>
        <w:t xml:space="preserve">See </w:t>
      </w:r>
      <w:r w:rsidR="00050374">
        <w:rPr>
          <w:rFonts w:ascii="Times New Roman" w:hAnsi="Times New Roman"/>
        </w:rPr>
        <w:t>Superior Court Order, attached letter ruling,</w:t>
      </w:r>
      <w:r w:rsidRPr="002611F4">
        <w:rPr>
          <w:rFonts w:ascii="Times New Roman" w:hAnsi="Times New Roman"/>
        </w:rPr>
        <w:t xml:space="preserve"> p. 2.</w:t>
      </w:r>
    </w:p>
  </w:footnote>
  <w:footnote w:id="14">
    <w:p w14:paraId="17D22D46" w14:textId="20BFA576" w:rsidR="00FF2E38" w:rsidRDefault="00FF2E38">
      <w:pPr>
        <w:pStyle w:val="FootnoteText"/>
      </w:pPr>
      <w:r w:rsidRPr="00FC034A">
        <w:rPr>
          <w:rStyle w:val="FootnoteReference"/>
          <w:rFonts w:ascii="Times New Roman" w:hAnsi="Times New Roman"/>
        </w:rPr>
        <w:footnoteRef/>
      </w:r>
      <w:r w:rsidRPr="00FC034A">
        <w:rPr>
          <w:rFonts w:ascii="Times New Roman" w:hAnsi="Times New Roman"/>
        </w:rPr>
        <w:t xml:space="preserve"> RCW 80.04.130(1) allows the Commission to suspend a tariff revision “for a period not exceeding ten months from the time the same would otherwise go into effect.” By its </w:t>
      </w:r>
      <w:r w:rsidR="00FC034A">
        <w:rPr>
          <w:rFonts w:ascii="Times New Roman" w:hAnsi="Times New Roman"/>
        </w:rPr>
        <w:t xml:space="preserve">plain </w:t>
      </w:r>
      <w:r w:rsidRPr="00FB15F1">
        <w:rPr>
          <w:rFonts w:ascii="Times New Roman" w:hAnsi="Times New Roman"/>
        </w:rPr>
        <w:t xml:space="preserve">language, this provision does not require the Commission to suspend every tariff revision for a full ten months.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40F07C60"/>
    <w:multiLevelType w:val="hybridMultilevel"/>
    <w:tmpl w:val="F042C9FC"/>
    <w:lvl w:ilvl="0" w:tplc="76A04B1A">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40B71AA"/>
    <w:multiLevelType w:val="hybridMultilevel"/>
    <w:tmpl w:val="A23E9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DC52B4"/>
    <w:multiLevelType w:val="hybridMultilevel"/>
    <w:tmpl w:val="A9D60A60"/>
    <w:lvl w:ilvl="0" w:tplc="0052A258">
      <w:start w:val="1"/>
      <w:numFmt w:val="upperRoman"/>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21CD4"/>
    <w:rsid w:val="00022F92"/>
    <w:rsid w:val="00050374"/>
    <w:rsid w:val="00062BEC"/>
    <w:rsid w:val="00065AD4"/>
    <w:rsid w:val="00072583"/>
    <w:rsid w:val="00074ED5"/>
    <w:rsid w:val="000956C0"/>
    <w:rsid w:val="000971DB"/>
    <w:rsid w:val="00097864"/>
    <w:rsid w:val="000A26DB"/>
    <w:rsid w:val="000B4371"/>
    <w:rsid w:val="000D0E2B"/>
    <w:rsid w:val="000D1664"/>
    <w:rsid w:val="000E0657"/>
    <w:rsid w:val="000F2638"/>
    <w:rsid w:val="0010062D"/>
    <w:rsid w:val="001008EC"/>
    <w:rsid w:val="00117161"/>
    <w:rsid w:val="00122618"/>
    <w:rsid w:val="00124646"/>
    <w:rsid w:val="001401C8"/>
    <w:rsid w:val="0015309F"/>
    <w:rsid w:val="001567FE"/>
    <w:rsid w:val="00164FBE"/>
    <w:rsid w:val="00183451"/>
    <w:rsid w:val="00185D8B"/>
    <w:rsid w:val="00191773"/>
    <w:rsid w:val="001969AC"/>
    <w:rsid w:val="001A7422"/>
    <w:rsid w:val="001B0A68"/>
    <w:rsid w:val="001F4D58"/>
    <w:rsid w:val="00205A70"/>
    <w:rsid w:val="0021520A"/>
    <w:rsid w:val="00234537"/>
    <w:rsid w:val="00236FE4"/>
    <w:rsid w:val="002611F4"/>
    <w:rsid w:val="00263FE9"/>
    <w:rsid w:val="00270586"/>
    <w:rsid w:val="00272B7A"/>
    <w:rsid w:val="00284A99"/>
    <w:rsid w:val="00290229"/>
    <w:rsid w:val="002906FA"/>
    <w:rsid w:val="00291AD6"/>
    <w:rsid w:val="002A2870"/>
    <w:rsid w:val="002A330B"/>
    <w:rsid w:val="002A4736"/>
    <w:rsid w:val="002B29F9"/>
    <w:rsid w:val="002B39B2"/>
    <w:rsid w:val="002B7FEC"/>
    <w:rsid w:val="002C2648"/>
    <w:rsid w:val="002F4580"/>
    <w:rsid w:val="00304EDB"/>
    <w:rsid w:val="003215A3"/>
    <w:rsid w:val="00326CF8"/>
    <w:rsid w:val="00356451"/>
    <w:rsid w:val="003700B8"/>
    <w:rsid w:val="00371028"/>
    <w:rsid w:val="003766E0"/>
    <w:rsid w:val="00385924"/>
    <w:rsid w:val="003A07F8"/>
    <w:rsid w:val="003B06BF"/>
    <w:rsid w:val="003F5E39"/>
    <w:rsid w:val="004019DE"/>
    <w:rsid w:val="00410391"/>
    <w:rsid w:val="004157B7"/>
    <w:rsid w:val="0043286B"/>
    <w:rsid w:val="0043513A"/>
    <w:rsid w:val="004425B8"/>
    <w:rsid w:val="004534DF"/>
    <w:rsid w:val="00465C7F"/>
    <w:rsid w:val="00476BC1"/>
    <w:rsid w:val="00494B4C"/>
    <w:rsid w:val="004956C5"/>
    <w:rsid w:val="00495E3B"/>
    <w:rsid w:val="00496AED"/>
    <w:rsid w:val="004A469D"/>
    <w:rsid w:val="004A70A0"/>
    <w:rsid w:val="004D772E"/>
    <w:rsid w:val="004F6FC4"/>
    <w:rsid w:val="0050152D"/>
    <w:rsid w:val="005111BA"/>
    <w:rsid w:val="0052033D"/>
    <w:rsid w:val="00522465"/>
    <w:rsid w:val="00541677"/>
    <w:rsid w:val="00562A84"/>
    <w:rsid w:val="00586290"/>
    <w:rsid w:val="00590795"/>
    <w:rsid w:val="005925E1"/>
    <w:rsid w:val="005A0F38"/>
    <w:rsid w:val="005D6E47"/>
    <w:rsid w:val="005F2245"/>
    <w:rsid w:val="0060277D"/>
    <w:rsid w:val="0060289A"/>
    <w:rsid w:val="00610252"/>
    <w:rsid w:val="00634B68"/>
    <w:rsid w:val="00657B4A"/>
    <w:rsid w:val="00663A3F"/>
    <w:rsid w:val="00673940"/>
    <w:rsid w:val="006911A3"/>
    <w:rsid w:val="006B50CE"/>
    <w:rsid w:val="006B79B8"/>
    <w:rsid w:val="006C5B46"/>
    <w:rsid w:val="006F1441"/>
    <w:rsid w:val="00702301"/>
    <w:rsid w:val="007043E1"/>
    <w:rsid w:val="00704ABA"/>
    <w:rsid w:val="0071274B"/>
    <w:rsid w:val="0073611E"/>
    <w:rsid w:val="00745588"/>
    <w:rsid w:val="007601ED"/>
    <w:rsid w:val="007844A5"/>
    <w:rsid w:val="007854AC"/>
    <w:rsid w:val="007A41A2"/>
    <w:rsid w:val="007C1955"/>
    <w:rsid w:val="007F3C4E"/>
    <w:rsid w:val="007F7469"/>
    <w:rsid w:val="00803C9D"/>
    <w:rsid w:val="00814675"/>
    <w:rsid w:val="008347BC"/>
    <w:rsid w:val="00841DA6"/>
    <w:rsid w:val="00860451"/>
    <w:rsid w:val="00865CAF"/>
    <w:rsid w:val="00875627"/>
    <w:rsid w:val="00883368"/>
    <w:rsid w:val="008904C5"/>
    <w:rsid w:val="0089142D"/>
    <w:rsid w:val="008B3322"/>
    <w:rsid w:val="008C26B7"/>
    <w:rsid w:val="008D7D4F"/>
    <w:rsid w:val="009116EA"/>
    <w:rsid w:val="009233E3"/>
    <w:rsid w:val="0092641E"/>
    <w:rsid w:val="009336CE"/>
    <w:rsid w:val="00964BEC"/>
    <w:rsid w:val="0097063C"/>
    <w:rsid w:val="009773EF"/>
    <w:rsid w:val="009844BD"/>
    <w:rsid w:val="009A0E32"/>
    <w:rsid w:val="009B59D4"/>
    <w:rsid w:val="009B7629"/>
    <w:rsid w:val="009C25BF"/>
    <w:rsid w:val="009F324D"/>
    <w:rsid w:val="009F3F0D"/>
    <w:rsid w:val="00A018B0"/>
    <w:rsid w:val="00A1059A"/>
    <w:rsid w:val="00A11F1E"/>
    <w:rsid w:val="00A1734A"/>
    <w:rsid w:val="00A240F6"/>
    <w:rsid w:val="00A334F0"/>
    <w:rsid w:val="00A35AE6"/>
    <w:rsid w:val="00A67601"/>
    <w:rsid w:val="00A8045C"/>
    <w:rsid w:val="00A95D93"/>
    <w:rsid w:val="00AD4A23"/>
    <w:rsid w:val="00AE40EC"/>
    <w:rsid w:val="00B01583"/>
    <w:rsid w:val="00B12797"/>
    <w:rsid w:val="00B14C24"/>
    <w:rsid w:val="00B30DC8"/>
    <w:rsid w:val="00B3333A"/>
    <w:rsid w:val="00B336C8"/>
    <w:rsid w:val="00B70526"/>
    <w:rsid w:val="00B80C7E"/>
    <w:rsid w:val="00B8795A"/>
    <w:rsid w:val="00B87EC8"/>
    <w:rsid w:val="00B93388"/>
    <w:rsid w:val="00BA28F9"/>
    <w:rsid w:val="00BA2D84"/>
    <w:rsid w:val="00BA48FF"/>
    <w:rsid w:val="00BC01D9"/>
    <w:rsid w:val="00BE415D"/>
    <w:rsid w:val="00C02AD8"/>
    <w:rsid w:val="00C11035"/>
    <w:rsid w:val="00C16843"/>
    <w:rsid w:val="00C3736B"/>
    <w:rsid w:val="00C44B1C"/>
    <w:rsid w:val="00C44C11"/>
    <w:rsid w:val="00C5017F"/>
    <w:rsid w:val="00C70DE7"/>
    <w:rsid w:val="00C90F8E"/>
    <w:rsid w:val="00CA756A"/>
    <w:rsid w:val="00CE038A"/>
    <w:rsid w:val="00CF56D4"/>
    <w:rsid w:val="00D0267D"/>
    <w:rsid w:val="00D157D0"/>
    <w:rsid w:val="00D203E1"/>
    <w:rsid w:val="00D425BB"/>
    <w:rsid w:val="00D45642"/>
    <w:rsid w:val="00D45A7E"/>
    <w:rsid w:val="00D46378"/>
    <w:rsid w:val="00D512B9"/>
    <w:rsid w:val="00D6301D"/>
    <w:rsid w:val="00D71F73"/>
    <w:rsid w:val="00D772D1"/>
    <w:rsid w:val="00D8378C"/>
    <w:rsid w:val="00D91BC4"/>
    <w:rsid w:val="00D959DC"/>
    <w:rsid w:val="00D96957"/>
    <w:rsid w:val="00DB23A3"/>
    <w:rsid w:val="00DC4D10"/>
    <w:rsid w:val="00DE5C2A"/>
    <w:rsid w:val="00E0005E"/>
    <w:rsid w:val="00E04868"/>
    <w:rsid w:val="00E22586"/>
    <w:rsid w:val="00E3232B"/>
    <w:rsid w:val="00E347C7"/>
    <w:rsid w:val="00E67975"/>
    <w:rsid w:val="00E7101E"/>
    <w:rsid w:val="00EB1A61"/>
    <w:rsid w:val="00EF02E5"/>
    <w:rsid w:val="00F11844"/>
    <w:rsid w:val="00F27B39"/>
    <w:rsid w:val="00F46D7F"/>
    <w:rsid w:val="00F821BD"/>
    <w:rsid w:val="00F926FF"/>
    <w:rsid w:val="00FA0D5B"/>
    <w:rsid w:val="00FA3E27"/>
    <w:rsid w:val="00FA579E"/>
    <w:rsid w:val="00FB15F1"/>
    <w:rsid w:val="00FC034A"/>
    <w:rsid w:val="00FC0DCE"/>
    <w:rsid w:val="00FD6B99"/>
    <w:rsid w:val="00FF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1B5ECF24"/>
  <w15:docId w15:val="{CB00FA09-178E-4488-B58C-BFA4E36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92641E"/>
    <w:rPr>
      <w:rFonts w:ascii="Tahoma" w:hAnsi="Tahoma" w:cs="Tahoma"/>
      <w:sz w:val="16"/>
      <w:szCs w:val="16"/>
    </w:rPr>
  </w:style>
  <w:style w:type="character" w:customStyle="1" w:styleId="BalloonTextChar">
    <w:name w:val="Balloon Text Char"/>
    <w:link w:val="BalloonText"/>
    <w:rsid w:val="0092641E"/>
    <w:rPr>
      <w:rFonts w:ascii="Tahoma" w:hAnsi="Tahoma" w:cs="Tahoma"/>
      <w:sz w:val="16"/>
      <w:szCs w:val="16"/>
    </w:rPr>
  </w:style>
  <w:style w:type="paragraph" w:styleId="ListParagraph">
    <w:name w:val="List Paragraph"/>
    <w:basedOn w:val="Normal"/>
    <w:uiPriority w:val="34"/>
    <w:qFormat/>
    <w:rsid w:val="00522465"/>
    <w:pPr>
      <w:ind w:left="720"/>
      <w:contextualSpacing/>
    </w:pPr>
  </w:style>
  <w:style w:type="paragraph" w:styleId="FootnoteText">
    <w:name w:val="footnote text"/>
    <w:basedOn w:val="Normal"/>
    <w:link w:val="FootnoteTextChar"/>
    <w:semiHidden/>
    <w:unhideWhenUsed/>
    <w:rsid w:val="00541677"/>
    <w:rPr>
      <w:sz w:val="20"/>
      <w:szCs w:val="20"/>
    </w:rPr>
  </w:style>
  <w:style w:type="character" w:customStyle="1" w:styleId="FootnoteTextChar">
    <w:name w:val="Footnote Text Char"/>
    <w:basedOn w:val="DefaultParagraphFont"/>
    <w:link w:val="FootnoteText"/>
    <w:semiHidden/>
    <w:rsid w:val="00541677"/>
    <w:rPr>
      <w:rFonts w:ascii="Palatino Linotype" w:hAnsi="Palatino Linotype"/>
    </w:rPr>
  </w:style>
  <w:style w:type="character" w:styleId="FootnoteReference">
    <w:name w:val="footnote reference"/>
    <w:basedOn w:val="DefaultParagraphFont"/>
    <w:semiHidden/>
    <w:unhideWhenUsed/>
    <w:rsid w:val="00541677"/>
    <w:rPr>
      <w:vertAlign w:val="superscript"/>
    </w:rPr>
  </w:style>
  <w:style w:type="character" w:styleId="CommentReference">
    <w:name w:val="annotation reference"/>
    <w:basedOn w:val="DefaultParagraphFont"/>
    <w:semiHidden/>
    <w:unhideWhenUsed/>
    <w:rsid w:val="00E04868"/>
    <w:rPr>
      <w:sz w:val="16"/>
      <w:szCs w:val="16"/>
    </w:rPr>
  </w:style>
  <w:style w:type="paragraph" w:styleId="CommentText">
    <w:name w:val="annotation text"/>
    <w:basedOn w:val="Normal"/>
    <w:link w:val="CommentTextChar"/>
    <w:semiHidden/>
    <w:unhideWhenUsed/>
    <w:rsid w:val="00E04868"/>
    <w:rPr>
      <w:sz w:val="20"/>
      <w:szCs w:val="20"/>
    </w:rPr>
  </w:style>
  <w:style w:type="character" w:customStyle="1" w:styleId="CommentTextChar">
    <w:name w:val="Comment Text Char"/>
    <w:basedOn w:val="DefaultParagraphFont"/>
    <w:link w:val="CommentText"/>
    <w:semiHidden/>
    <w:rsid w:val="00E04868"/>
    <w:rPr>
      <w:rFonts w:ascii="Palatino Linotype" w:hAnsi="Palatino Linotype"/>
    </w:rPr>
  </w:style>
  <w:style w:type="paragraph" w:styleId="CommentSubject">
    <w:name w:val="annotation subject"/>
    <w:basedOn w:val="CommentText"/>
    <w:next w:val="CommentText"/>
    <w:link w:val="CommentSubjectChar"/>
    <w:semiHidden/>
    <w:unhideWhenUsed/>
    <w:rsid w:val="00E04868"/>
    <w:rPr>
      <w:b/>
      <w:bCs/>
    </w:rPr>
  </w:style>
  <w:style w:type="character" w:customStyle="1" w:styleId="CommentSubjectChar">
    <w:name w:val="Comment Subject Char"/>
    <w:basedOn w:val="CommentTextChar"/>
    <w:link w:val="CommentSubject"/>
    <w:semiHidden/>
    <w:rsid w:val="00E04868"/>
    <w:rPr>
      <w:rFonts w:ascii="Palatino Linotype" w:hAnsi="Palatino Linotype"/>
      <w:b/>
      <w:bCs/>
    </w:rPr>
  </w:style>
  <w:style w:type="paragraph" w:styleId="Revision">
    <w:name w:val="Revision"/>
    <w:hidden/>
    <w:uiPriority w:val="99"/>
    <w:semiHidden/>
    <w:rsid w:val="003B06BF"/>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apps.leg.wa.gov/wac/default.aspx?cite=480-07-380" TargetMode="External"/><Relationship Id="rId1" Type="http://schemas.openxmlformats.org/officeDocument/2006/relationships/hyperlink" Target="http://app.leg.wa.gov/RCW/default.aspx?cite=80.04.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2015-12-21T08:00:00+00:00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C26577-0CCE-4436-AF89-1F57F005F606}"/>
</file>

<file path=customXml/itemProps2.xml><?xml version="1.0" encoding="utf-8"?>
<ds:datastoreItem xmlns:ds="http://schemas.openxmlformats.org/officeDocument/2006/customXml" ds:itemID="{765F8582-3E52-4347-BE3B-ED92D8DDAA29}"/>
</file>

<file path=customXml/itemProps3.xml><?xml version="1.0" encoding="utf-8"?>
<ds:datastoreItem xmlns:ds="http://schemas.openxmlformats.org/officeDocument/2006/customXml" ds:itemID="{5F2A789C-5C71-42C8-B4AE-F4F81157602E}"/>
</file>

<file path=customXml/itemProps4.xml><?xml version="1.0" encoding="utf-8"?>
<ds:datastoreItem xmlns:ds="http://schemas.openxmlformats.org/officeDocument/2006/customXml" ds:itemID="{C02B78DB-A3A9-4214-AB67-DC66DCBEBB8F}"/>
</file>

<file path=customXml/itemProps5.xml><?xml version="1.0" encoding="utf-8"?>
<ds:datastoreItem xmlns:ds="http://schemas.openxmlformats.org/officeDocument/2006/customXml" ds:itemID="{A7F6BE18-E381-4100-ADA6-FD1E7755DF00}"/>
</file>

<file path=docProps/app.xml><?xml version="1.0" encoding="utf-8"?>
<Properties xmlns="http://schemas.openxmlformats.org/officeDocument/2006/extended-properties" xmlns:vt="http://schemas.openxmlformats.org/officeDocument/2006/docPropsVTypes">
  <Template>Normal.dotm</Template>
  <TotalTime>164</TotalTime>
  <Pages>7</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10140</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DeMarco, Betsy (UTC)</cp:lastModifiedBy>
  <cp:revision>46</cp:revision>
  <cp:lastPrinted>2013-10-10T18:04:00Z</cp:lastPrinted>
  <dcterms:created xsi:type="dcterms:W3CDTF">2015-12-18T21:57:00Z</dcterms:created>
  <dcterms:modified xsi:type="dcterms:W3CDTF">2015-12-21T19:33:00Z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y fmtid="{D5CDD505-2E9C-101B-9397-08002B2CF9AE}" pid="4" name="DocType">
    <vt:lpwstr>NOA/NOS</vt:lpwstr>
  </property>
</Properties>
</file>