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B14A0" w14:textId="77777777" w:rsidR="00BD6A2B" w:rsidRPr="00074E2B" w:rsidRDefault="00BD6A2B" w:rsidP="00FA380F">
      <w:pPr>
        <w:spacing w:line="264" w:lineRule="auto"/>
        <w:jc w:val="center"/>
        <w:rPr>
          <w:b/>
          <w:bCs/>
          <w:sz w:val="25"/>
          <w:szCs w:val="25"/>
        </w:rPr>
      </w:pPr>
      <w:r w:rsidRPr="00074E2B">
        <w:rPr>
          <w:b/>
          <w:bCs/>
          <w:sz w:val="25"/>
          <w:szCs w:val="25"/>
        </w:rPr>
        <w:t>BEFORE THE WASHINGTON</w:t>
      </w:r>
      <w:bookmarkStart w:id="0" w:name="_GoBack"/>
      <w:bookmarkEnd w:id="0"/>
    </w:p>
    <w:p w14:paraId="07431558" w14:textId="77777777" w:rsidR="00BD6A2B" w:rsidRDefault="00BD6A2B" w:rsidP="00FA380F">
      <w:pPr>
        <w:spacing w:line="264" w:lineRule="auto"/>
        <w:jc w:val="center"/>
        <w:rPr>
          <w:b/>
          <w:bCs/>
          <w:sz w:val="25"/>
          <w:szCs w:val="25"/>
        </w:rPr>
      </w:pPr>
      <w:r w:rsidRPr="00074E2B">
        <w:rPr>
          <w:b/>
          <w:bCs/>
          <w:sz w:val="25"/>
          <w:szCs w:val="25"/>
        </w:rPr>
        <w:t>UTILITIES AND TRANSPORTATION COMMISSION</w:t>
      </w:r>
    </w:p>
    <w:p w14:paraId="74224DC9" w14:textId="77777777" w:rsidR="00095827" w:rsidRDefault="00095827" w:rsidP="00FA380F">
      <w:pPr>
        <w:spacing w:line="264" w:lineRule="auto"/>
        <w:jc w:val="center"/>
        <w:rPr>
          <w:b/>
          <w:bCs/>
          <w:sz w:val="25"/>
          <w:szCs w:val="25"/>
        </w:rPr>
      </w:pPr>
    </w:p>
    <w:p w14:paraId="3FC9E6BB" w14:textId="77777777" w:rsidR="00095827" w:rsidRPr="00074E2B" w:rsidRDefault="00095827" w:rsidP="00FA380F">
      <w:pPr>
        <w:spacing w:line="264" w:lineRule="auto"/>
        <w:jc w:val="center"/>
        <w:rPr>
          <w:b/>
          <w:bCs/>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300"/>
        <w:gridCol w:w="4029"/>
      </w:tblGrid>
      <w:tr w:rsidR="00095827" w14:paraId="7F8E102A" w14:textId="77777777" w:rsidTr="00095827">
        <w:tc>
          <w:tcPr>
            <w:tcW w:w="4315" w:type="dxa"/>
          </w:tcPr>
          <w:p w14:paraId="279FF5C7" w14:textId="28C3A432" w:rsidR="00095827" w:rsidRDefault="00095827" w:rsidP="00095827">
            <w:pPr>
              <w:rPr>
                <w:sz w:val="25"/>
                <w:szCs w:val="25"/>
              </w:rPr>
            </w:pPr>
            <w:r>
              <w:rPr>
                <w:sz w:val="25"/>
                <w:szCs w:val="25"/>
              </w:rPr>
              <w:t>WASHINGTON UTILITIES AND TRANSPORTATION COMMISSION,</w:t>
            </w:r>
          </w:p>
          <w:p w14:paraId="4B4888EA" w14:textId="77777777" w:rsidR="00095827" w:rsidRDefault="00095827" w:rsidP="00095827">
            <w:pPr>
              <w:rPr>
                <w:sz w:val="25"/>
                <w:szCs w:val="25"/>
              </w:rPr>
            </w:pPr>
          </w:p>
          <w:p w14:paraId="3B5561DB" w14:textId="77777777" w:rsidR="00095827" w:rsidRDefault="00095827" w:rsidP="00095827">
            <w:pPr>
              <w:tabs>
                <w:tab w:val="left" w:pos="2156"/>
              </w:tabs>
              <w:rPr>
                <w:sz w:val="25"/>
                <w:szCs w:val="25"/>
              </w:rPr>
            </w:pPr>
            <w:r>
              <w:rPr>
                <w:sz w:val="25"/>
                <w:szCs w:val="25"/>
              </w:rPr>
              <w:tab/>
              <w:t>Complainant,</w:t>
            </w:r>
          </w:p>
          <w:p w14:paraId="3D06A1E5" w14:textId="77777777" w:rsidR="00095827" w:rsidRDefault="00095827" w:rsidP="00095827">
            <w:pPr>
              <w:tabs>
                <w:tab w:val="left" w:pos="2156"/>
              </w:tabs>
              <w:rPr>
                <w:sz w:val="25"/>
                <w:szCs w:val="25"/>
              </w:rPr>
            </w:pPr>
          </w:p>
          <w:p w14:paraId="427DA34F" w14:textId="77777777" w:rsidR="00095827" w:rsidRDefault="00095827" w:rsidP="00095827">
            <w:pPr>
              <w:tabs>
                <w:tab w:val="left" w:pos="2156"/>
              </w:tabs>
              <w:rPr>
                <w:sz w:val="25"/>
                <w:szCs w:val="25"/>
              </w:rPr>
            </w:pPr>
            <w:proofErr w:type="gramStart"/>
            <w:r>
              <w:rPr>
                <w:sz w:val="25"/>
                <w:szCs w:val="25"/>
              </w:rPr>
              <w:t>v</w:t>
            </w:r>
            <w:proofErr w:type="gramEnd"/>
            <w:r>
              <w:rPr>
                <w:sz w:val="25"/>
                <w:szCs w:val="25"/>
              </w:rPr>
              <w:t>.</w:t>
            </w:r>
          </w:p>
          <w:p w14:paraId="322F540B" w14:textId="77777777" w:rsidR="00095827" w:rsidRDefault="00095827" w:rsidP="00095827">
            <w:pPr>
              <w:tabs>
                <w:tab w:val="left" w:pos="2156"/>
              </w:tabs>
              <w:rPr>
                <w:sz w:val="25"/>
                <w:szCs w:val="25"/>
              </w:rPr>
            </w:pPr>
          </w:p>
          <w:p w14:paraId="5CB806FB" w14:textId="7126AF5C" w:rsidR="00095827" w:rsidRDefault="00095827" w:rsidP="00095827">
            <w:pPr>
              <w:tabs>
                <w:tab w:val="left" w:pos="2156"/>
              </w:tabs>
              <w:rPr>
                <w:sz w:val="25"/>
                <w:szCs w:val="25"/>
              </w:rPr>
            </w:pPr>
            <w:r>
              <w:rPr>
                <w:sz w:val="25"/>
                <w:szCs w:val="25"/>
              </w:rPr>
              <w:t>PUGET SOUND ENERGY,</w:t>
            </w:r>
          </w:p>
          <w:p w14:paraId="1F5BED4F" w14:textId="77777777" w:rsidR="00095827" w:rsidRDefault="00095827" w:rsidP="00095827">
            <w:pPr>
              <w:tabs>
                <w:tab w:val="left" w:pos="2156"/>
              </w:tabs>
              <w:rPr>
                <w:sz w:val="25"/>
                <w:szCs w:val="25"/>
              </w:rPr>
            </w:pPr>
          </w:p>
          <w:p w14:paraId="683DDFE8" w14:textId="77777777" w:rsidR="00095827" w:rsidRDefault="00095827" w:rsidP="00095827">
            <w:pPr>
              <w:tabs>
                <w:tab w:val="left" w:pos="2156"/>
              </w:tabs>
              <w:rPr>
                <w:sz w:val="25"/>
                <w:szCs w:val="25"/>
              </w:rPr>
            </w:pPr>
            <w:r>
              <w:rPr>
                <w:sz w:val="25"/>
                <w:szCs w:val="25"/>
              </w:rPr>
              <w:tab/>
              <w:t>Respondent.</w:t>
            </w:r>
          </w:p>
          <w:p w14:paraId="315CE023" w14:textId="747ECEA1" w:rsidR="00095827" w:rsidRDefault="00095827" w:rsidP="00095827">
            <w:pPr>
              <w:tabs>
                <w:tab w:val="left" w:pos="2156"/>
              </w:tabs>
              <w:rPr>
                <w:sz w:val="25"/>
                <w:szCs w:val="25"/>
              </w:rPr>
            </w:pPr>
            <w:r>
              <w:rPr>
                <w:sz w:val="25"/>
                <w:szCs w:val="25"/>
              </w:rPr>
              <w:t>. . . . . . . . . . . . . . . . . . . . . . . . . . . . . . . . .</w:t>
            </w:r>
          </w:p>
        </w:tc>
        <w:tc>
          <w:tcPr>
            <w:tcW w:w="270" w:type="dxa"/>
          </w:tcPr>
          <w:p w14:paraId="3FA571AB" w14:textId="77777777" w:rsidR="00095827" w:rsidRDefault="00095827" w:rsidP="00481928">
            <w:pPr>
              <w:jc w:val="center"/>
              <w:rPr>
                <w:sz w:val="25"/>
                <w:szCs w:val="25"/>
              </w:rPr>
            </w:pPr>
            <w:r>
              <w:rPr>
                <w:sz w:val="25"/>
                <w:szCs w:val="25"/>
              </w:rPr>
              <w:t>)</w:t>
            </w:r>
          </w:p>
          <w:p w14:paraId="1BCA6DA7" w14:textId="77777777" w:rsidR="00095827" w:rsidRDefault="00095827" w:rsidP="00481928">
            <w:pPr>
              <w:jc w:val="center"/>
              <w:rPr>
                <w:sz w:val="25"/>
                <w:szCs w:val="25"/>
              </w:rPr>
            </w:pPr>
            <w:r>
              <w:rPr>
                <w:sz w:val="25"/>
                <w:szCs w:val="25"/>
              </w:rPr>
              <w:t>)</w:t>
            </w:r>
          </w:p>
          <w:p w14:paraId="29F95689" w14:textId="77777777" w:rsidR="00095827" w:rsidRDefault="00095827" w:rsidP="00481928">
            <w:pPr>
              <w:jc w:val="center"/>
              <w:rPr>
                <w:sz w:val="25"/>
                <w:szCs w:val="25"/>
              </w:rPr>
            </w:pPr>
            <w:r>
              <w:rPr>
                <w:sz w:val="25"/>
                <w:szCs w:val="25"/>
              </w:rPr>
              <w:t>)</w:t>
            </w:r>
          </w:p>
          <w:p w14:paraId="1C40A89E" w14:textId="77777777" w:rsidR="00095827" w:rsidRDefault="00095827" w:rsidP="00481928">
            <w:pPr>
              <w:jc w:val="center"/>
              <w:rPr>
                <w:sz w:val="25"/>
                <w:szCs w:val="25"/>
              </w:rPr>
            </w:pPr>
            <w:r>
              <w:rPr>
                <w:sz w:val="25"/>
                <w:szCs w:val="25"/>
              </w:rPr>
              <w:t>)</w:t>
            </w:r>
          </w:p>
          <w:p w14:paraId="20688B70" w14:textId="77777777" w:rsidR="00095827" w:rsidRDefault="00095827" w:rsidP="00481928">
            <w:pPr>
              <w:jc w:val="center"/>
              <w:rPr>
                <w:sz w:val="25"/>
                <w:szCs w:val="25"/>
              </w:rPr>
            </w:pPr>
            <w:r>
              <w:rPr>
                <w:sz w:val="25"/>
                <w:szCs w:val="25"/>
              </w:rPr>
              <w:t>)</w:t>
            </w:r>
          </w:p>
          <w:p w14:paraId="2CB1373D" w14:textId="77777777" w:rsidR="00095827" w:rsidRDefault="00095827" w:rsidP="00481928">
            <w:pPr>
              <w:jc w:val="center"/>
              <w:rPr>
                <w:sz w:val="25"/>
                <w:szCs w:val="25"/>
              </w:rPr>
            </w:pPr>
            <w:r>
              <w:rPr>
                <w:sz w:val="25"/>
                <w:szCs w:val="25"/>
              </w:rPr>
              <w:t>)</w:t>
            </w:r>
          </w:p>
          <w:p w14:paraId="2A5813DD" w14:textId="77777777" w:rsidR="00095827" w:rsidRDefault="00095827" w:rsidP="00481928">
            <w:pPr>
              <w:jc w:val="center"/>
              <w:rPr>
                <w:sz w:val="25"/>
                <w:szCs w:val="25"/>
              </w:rPr>
            </w:pPr>
            <w:r>
              <w:rPr>
                <w:sz w:val="25"/>
                <w:szCs w:val="25"/>
              </w:rPr>
              <w:t>)</w:t>
            </w:r>
          </w:p>
          <w:p w14:paraId="3F7223EB" w14:textId="77777777" w:rsidR="00095827" w:rsidRDefault="00095827" w:rsidP="00481928">
            <w:pPr>
              <w:jc w:val="center"/>
              <w:rPr>
                <w:sz w:val="25"/>
                <w:szCs w:val="25"/>
              </w:rPr>
            </w:pPr>
            <w:r>
              <w:rPr>
                <w:sz w:val="25"/>
                <w:szCs w:val="25"/>
              </w:rPr>
              <w:t>)</w:t>
            </w:r>
          </w:p>
          <w:p w14:paraId="4F7FD18C" w14:textId="77777777" w:rsidR="00095827" w:rsidRDefault="00095827" w:rsidP="00481928">
            <w:pPr>
              <w:jc w:val="center"/>
              <w:rPr>
                <w:sz w:val="25"/>
                <w:szCs w:val="25"/>
              </w:rPr>
            </w:pPr>
            <w:r>
              <w:rPr>
                <w:sz w:val="25"/>
                <w:szCs w:val="25"/>
              </w:rPr>
              <w:t>)</w:t>
            </w:r>
          </w:p>
          <w:p w14:paraId="34BCB440" w14:textId="77777777" w:rsidR="00095827" w:rsidRDefault="00095827" w:rsidP="00481928">
            <w:pPr>
              <w:jc w:val="center"/>
              <w:rPr>
                <w:sz w:val="25"/>
                <w:szCs w:val="25"/>
              </w:rPr>
            </w:pPr>
            <w:r>
              <w:rPr>
                <w:sz w:val="25"/>
                <w:szCs w:val="25"/>
              </w:rPr>
              <w:t>)</w:t>
            </w:r>
          </w:p>
          <w:p w14:paraId="530F7E2C" w14:textId="4B0230ED" w:rsidR="00095827" w:rsidRDefault="00095827" w:rsidP="00481928">
            <w:pPr>
              <w:jc w:val="center"/>
              <w:rPr>
                <w:sz w:val="25"/>
                <w:szCs w:val="25"/>
              </w:rPr>
            </w:pPr>
            <w:r>
              <w:rPr>
                <w:sz w:val="25"/>
                <w:szCs w:val="25"/>
              </w:rPr>
              <w:t>)</w:t>
            </w:r>
          </w:p>
        </w:tc>
        <w:tc>
          <w:tcPr>
            <w:tcW w:w="4045" w:type="dxa"/>
          </w:tcPr>
          <w:p w14:paraId="2E1BC8FE" w14:textId="77777777" w:rsidR="00095827" w:rsidRDefault="00095827" w:rsidP="00095827">
            <w:pPr>
              <w:rPr>
                <w:sz w:val="25"/>
                <w:szCs w:val="25"/>
              </w:rPr>
            </w:pPr>
            <w:r>
              <w:rPr>
                <w:sz w:val="25"/>
                <w:szCs w:val="25"/>
              </w:rPr>
              <w:t xml:space="preserve">DOCKET </w:t>
            </w:r>
            <w:proofErr w:type="spellStart"/>
            <w:r>
              <w:rPr>
                <w:sz w:val="25"/>
                <w:szCs w:val="25"/>
              </w:rPr>
              <w:t>UE</w:t>
            </w:r>
            <w:proofErr w:type="spellEnd"/>
            <w:r>
              <w:rPr>
                <w:sz w:val="25"/>
                <w:szCs w:val="25"/>
              </w:rPr>
              <w:t>-141141</w:t>
            </w:r>
          </w:p>
          <w:p w14:paraId="789C2186" w14:textId="77777777" w:rsidR="00095827" w:rsidRDefault="00095827" w:rsidP="00095827">
            <w:pPr>
              <w:rPr>
                <w:sz w:val="25"/>
                <w:szCs w:val="25"/>
              </w:rPr>
            </w:pPr>
          </w:p>
          <w:p w14:paraId="630F117A" w14:textId="77777777" w:rsidR="00095827" w:rsidRDefault="00095827" w:rsidP="00095827">
            <w:pPr>
              <w:rPr>
                <w:sz w:val="25"/>
                <w:szCs w:val="25"/>
              </w:rPr>
            </w:pPr>
          </w:p>
          <w:p w14:paraId="18BF13FC" w14:textId="77777777" w:rsidR="00095827" w:rsidRDefault="00095827" w:rsidP="00095827">
            <w:pPr>
              <w:rPr>
                <w:sz w:val="25"/>
                <w:szCs w:val="25"/>
              </w:rPr>
            </w:pPr>
            <w:r>
              <w:rPr>
                <w:sz w:val="25"/>
                <w:szCs w:val="25"/>
              </w:rPr>
              <w:t>ORDER 04</w:t>
            </w:r>
          </w:p>
          <w:p w14:paraId="2561E621" w14:textId="77777777" w:rsidR="00095827" w:rsidRDefault="00095827" w:rsidP="00095827">
            <w:pPr>
              <w:rPr>
                <w:sz w:val="25"/>
                <w:szCs w:val="25"/>
              </w:rPr>
            </w:pPr>
          </w:p>
          <w:p w14:paraId="541E6018" w14:textId="77777777" w:rsidR="00095827" w:rsidRDefault="00095827" w:rsidP="00095827">
            <w:pPr>
              <w:rPr>
                <w:sz w:val="25"/>
                <w:szCs w:val="25"/>
              </w:rPr>
            </w:pPr>
          </w:p>
          <w:p w14:paraId="14684790" w14:textId="4EAD747B" w:rsidR="00095827" w:rsidRDefault="00095827" w:rsidP="00095827">
            <w:pPr>
              <w:rPr>
                <w:sz w:val="25"/>
                <w:szCs w:val="25"/>
              </w:rPr>
            </w:pPr>
            <w:r>
              <w:rPr>
                <w:sz w:val="25"/>
                <w:szCs w:val="25"/>
              </w:rPr>
              <w:t>FINAL ORDER APPROVING AND ADOPTING SETTLEMENT AGREEMENT</w:t>
            </w:r>
          </w:p>
        </w:tc>
      </w:tr>
    </w:tbl>
    <w:p w14:paraId="339694EE" w14:textId="756E5939" w:rsidR="00685203" w:rsidRDefault="00685203" w:rsidP="00481928">
      <w:pPr>
        <w:jc w:val="center"/>
        <w:rPr>
          <w:sz w:val="25"/>
          <w:szCs w:val="25"/>
        </w:rPr>
      </w:pPr>
    </w:p>
    <w:p w14:paraId="0DE84E49" w14:textId="77777777" w:rsidR="00685203" w:rsidRPr="00E518D6" w:rsidRDefault="00685203" w:rsidP="008B3E38">
      <w:pPr>
        <w:spacing w:line="288" w:lineRule="auto"/>
        <w:rPr>
          <w:bCs/>
          <w:sz w:val="25"/>
          <w:szCs w:val="25"/>
        </w:rPr>
      </w:pPr>
    </w:p>
    <w:p w14:paraId="240FEFE2" w14:textId="0CBD593E" w:rsidR="00AB558E" w:rsidRPr="00E627F3" w:rsidRDefault="00844D13" w:rsidP="008B3E38">
      <w:pPr>
        <w:numPr>
          <w:ilvl w:val="0"/>
          <w:numId w:val="14"/>
        </w:numPr>
        <w:spacing w:line="288" w:lineRule="auto"/>
        <w:ind w:hanging="720"/>
        <w:rPr>
          <w:sz w:val="25"/>
          <w:szCs w:val="25"/>
        </w:rPr>
      </w:pPr>
      <w:r w:rsidRPr="00054E65">
        <w:rPr>
          <w:b/>
          <w:sz w:val="25"/>
          <w:szCs w:val="25"/>
        </w:rPr>
        <w:t xml:space="preserve">PROCEEDING:  </w:t>
      </w:r>
      <w:r w:rsidR="00691B85" w:rsidRPr="00E627F3">
        <w:rPr>
          <w:sz w:val="25"/>
          <w:szCs w:val="25"/>
        </w:rPr>
        <w:t xml:space="preserve">On </w:t>
      </w:r>
      <w:r w:rsidR="00691B85">
        <w:rPr>
          <w:sz w:val="25"/>
          <w:szCs w:val="25"/>
        </w:rPr>
        <w:t>May 23</w:t>
      </w:r>
      <w:r w:rsidR="00410A48">
        <w:rPr>
          <w:sz w:val="25"/>
          <w:szCs w:val="25"/>
        </w:rPr>
        <w:t>, 2014</w:t>
      </w:r>
      <w:r w:rsidR="00691B85" w:rsidRPr="00E627F3">
        <w:rPr>
          <w:sz w:val="25"/>
          <w:szCs w:val="25"/>
        </w:rPr>
        <w:t xml:space="preserve">, Puget Sound Energy (PSE or Company) filed with the Washington Utilities and Transportation Commission (Commission) revisions to its currently effective Tariff </w:t>
      </w:r>
      <w:proofErr w:type="spellStart"/>
      <w:r w:rsidR="00691B85" w:rsidRPr="00E627F3">
        <w:rPr>
          <w:sz w:val="25"/>
          <w:szCs w:val="25"/>
        </w:rPr>
        <w:t>WN</w:t>
      </w:r>
      <w:proofErr w:type="spellEnd"/>
      <w:r w:rsidR="00691B85" w:rsidRPr="00E627F3">
        <w:rPr>
          <w:sz w:val="25"/>
          <w:szCs w:val="25"/>
        </w:rPr>
        <w:t xml:space="preserve"> U-60, designated as the Schedule 95 “Power Cost Adjustment Clause</w:t>
      </w:r>
      <w:r w:rsidR="002A7181">
        <w:rPr>
          <w:sz w:val="25"/>
          <w:szCs w:val="25"/>
        </w:rPr>
        <w:t>.</w:t>
      </w:r>
      <w:r w:rsidR="00691B85" w:rsidRPr="00E627F3">
        <w:rPr>
          <w:sz w:val="25"/>
          <w:szCs w:val="25"/>
        </w:rPr>
        <w:t>”</w:t>
      </w:r>
      <w:r w:rsidR="00890893">
        <w:rPr>
          <w:sz w:val="25"/>
          <w:szCs w:val="25"/>
        </w:rPr>
        <w:t xml:space="preserve"> </w:t>
      </w:r>
      <w:r w:rsidR="002A7181">
        <w:rPr>
          <w:sz w:val="25"/>
          <w:szCs w:val="25"/>
        </w:rPr>
        <w:t xml:space="preserve"> </w:t>
      </w:r>
      <w:r w:rsidR="00691B85" w:rsidRPr="00E627F3">
        <w:rPr>
          <w:sz w:val="25"/>
          <w:szCs w:val="25"/>
        </w:rPr>
        <w:t xml:space="preserve">PSE seeks to </w:t>
      </w:r>
      <w:r w:rsidR="00691B85">
        <w:rPr>
          <w:sz w:val="25"/>
          <w:szCs w:val="25"/>
        </w:rPr>
        <w:t>revise its Power Cost Rate reflected in Schedule 95, in order to reflect decreases in the Company’s overall normalized power supply costs.</w:t>
      </w:r>
      <w:r w:rsidR="00691B85" w:rsidRPr="00E627F3">
        <w:rPr>
          <w:sz w:val="25"/>
          <w:szCs w:val="25"/>
        </w:rPr>
        <w:t xml:space="preserve">  The Company’s </w:t>
      </w:r>
      <w:r w:rsidR="003C61B1">
        <w:rPr>
          <w:sz w:val="25"/>
          <w:szCs w:val="25"/>
        </w:rPr>
        <w:t xml:space="preserve">initial </w:t>
      </w:r>
      <w:r w:rsidR="00691B85" w:rsidRPr="00E627F3">
        <w:rPr>
          <w:sz w:val="25"/>
          <w:szCs w:val="25"/>
        </w:rPr>
        <w:t xml:space="preserve">filing would decrease charges and rates for electric service </w:t>
      </w:r>
      <w:r w:rsidR="00691B85">
        <w:rPr>
          <w:sz w:val="25"/>
          <w:szCs w:val="25"/>
        </w:rPr>
        <w:t xml:space="preserve">customers </w:t>
      </w:r>
      <w:r w:rsidR="00691B85" w:rsidRPr="00E627F3">
        <w:rPr>
          <w:sz w:val="25"/>
          <w:szCs w:val="25"/>
        </w:rPr>
        <w:t>by approximately $</w:t>
      </w:r>
      <w:r w:rsidR="00691B85">
        <w:rPr>
          <w:sz w:val="25"/>
          <w:szCs w:val="25"/>
        </w:rPr>
        <w:t>9,55</w:t>
      </w:r>
      <w:r w:rsidR="003C61B1">
        <w:rPr>
          <w:sz w:val="25"/>
          <w:szCs w:val="25"/>
        </w:rPr>
        <w:t>6</w:t>
      </w:r>
      <w:r w:rsidR="00691B85">
        <w:rPr>
          <w:sz w:val="25"/>
          <w:szCs w:val="25"/>
        </w:rPr>
        <w:t>,</w:t>
      </w:r>
      <w:r w:rsidR="003C61B1">
        <w:rPr>
          <w:sz w:val="25"/>
          <w:szCs w:val="25"/>
        </w:rPr>
        <w:t>193</w:t>
      </w:r>
      <w:r w:rsidR="00691B85" w:rsidRPr="00E627F3">
        <w:rPr>
          <w:sz w:val="25"/>
          <w:szCs w:val="25"/>
        </w:rPr>
        <w:t xml:space="preserve"> or </w:t>
      </w:r>
      <w:r w:rsidR="00691B85">
        <w:rPr>
          <w:sz w:val="25"/>
          <w:szCs w:val="25"/>
        </w:rPr>
        <w:t>0.456</w:t>
      </w:r>
      <w:r w:rsidR="00691B85" w:rsidRPr="00E627F3">
        <w:rPr>
          <w:sz w:val="25"/>
          <w:szCs w:val="25"/>
        </w:rPr>
        <w:t xml:space="preserve"> percent.</w:t>
      </w:r>
      <w:r w:rsidR="005A2BAF">
        <w:rPr>
          <w:rStyle w:val="FootnoteReference"/>
          <w:sz w:val="25"/>
          <w:szCs w:val="25"/>
        </w:rPr>
        <w:footnoteReference w:id="1"/>
      </w:r>
      <w:r w:rsidR="00691B85" w:rsidRPr="00E627F3">
        <w:rPr>
          <w:sz w:val="25"/>
          <w:szCs w:val="25"/>
        </w:rPr>
        <w:t xml:space="preserve">  </w:t>
      </w:r>
      <w:r w:rsidR="00AB558E" w:rsidRPr="00E627F3">
        <w:rPr>
          <w:sz w:val="25"/>
          <w:szCs w:val="25"/>
        </w:rPr>
        <w:t xml:space="preserve">  </w:t>
      </w:r>
    </w:p>
    <w:p w14:paraId="12726EC5" w14:textId="77777777" w:rsidR="00844D13" w:rsidRPr="00CC5973" w:rsidRDefault="00844D13" w:rsidP="008B3E38">
      <w:pPr>
        <w:spacing w:line="288" w:lineRule="auto"/>
        <w:rPr>
          <w:sz w:val="25"/>
          <w:szCs w:val="25"/>
        </w:rPr>
      </w:pPr>
    </w:p>
    <w:p w14:paraId="4B1041D9" w14:textId="77777777" w:rsidR="00844D13" w:rsidRPr="00BB230D" w:rsidRDefault="00BB230D" w:rsidP="008B3E38">
      <w:pPr>
        <w:numPr>
          <w:ilvl w:val="0"/>
          <w:numId w:val="14"/>
        </w:numPr>
        <w:spacing w:line="288" w:lineRule="auto"/>
        <w:ind w:hanging="720"/>
        <w:rPr>
          <w:sz w:val="25"/>
          <w:szCs w:val="25"/>
        </w:rPr>
      </w:pPr>
      <w:r>
        <w:rPr>
          <w:sz w:val="25"/>
          <w:szCs w:val="25"/>
        </w:rPr>
        <w:t>The</w:t>
      </w:r>
      <w:r w:rsidRPr="00266728">
        <w:rPr>
          <w:sz w:val="25"/>
          <w:szCs w:val="25"/>
        </w:rPr>
        <w:t xml:space="preserve"> Commission conducted a </w:t>
      </w:r>
      <w:r>
        <w:rPr>
          <w:sz w:val="25"/>
          <w:szCs w:val="25"/>
        </w:rPr>
        <w:t>settlement</w:t>
      </w:r>
      <w:r w:rsidRPr="00266728">
        <w:rPr>
          <w:sz w:val="25"/>
          <w:szCs w:val="25"/>
        </w:rPr>
        <w:t xml:space="preserve"> hearing </w:t>
      </w:r>
      <w:r>
        <w:rPr>
          <w:sz w:val="25"/>
          <w:szCs w:val="25"/>
        </w:rPr>
        <w:t xml:space="preserve">on September 30, 2014, </w:t>
      </w:r>
      <w:r w:rsidRPr="00266728">
        <w:rPr>
          <w:sz w:val="25"/>
          <w:szCs w:val="25"/>
        </w:rPr>
        <w:t xml:space="preserve">before Chairman </w:t>
      </w:r>
      <w:r>
        <w:rPr>
          <w:sz w:val="25"/>
          <w:szCs w:val="25"/>
        </w:rPr>
        <w:t>David W. Danner</w:t>
      </w:r>
      <w:r w:rsidRPr="00266728">
        <w:rPr>
          <w:sz w:val="25"/>
          <w:szCs w:val="25"/>
        </w:rPr>
        <w:t xml:space="preserve">, Commissioner </w:t>
      </w:r>
      <w:r>
        <w:rPr>
          <w:sz w:val="25"/>
          <w:szCs w:val="25"/>
        </w:rPr>
        <w:t>Philip B. Jones</w:t>
      </w:r>
      <w:r w:rsidRPr="00266728">
        <w:rPr>
          <w:sz w:val="25"/>
          <w:szCs w:val="25"/>
        </w:rPr>
        <w:t xml:space="preserve">, </w:t>
      </w:r>
      <w:r>
        <w:rPr>
          <w:sz w:val="25"/>
          <w:szCs w:val="25"/>
        </w:rPr>
        <w:t xml:space="preserve">and </w:t>
      </w:r>
      <w:r w:rsidRPr="00266728">
        <w:rPr>
          <w:sz w:val="25"/>
          <w:szCs w:val="25"/>
        </w:rPr>
        <w:t xml:space="preserve">Commissioner </w:t>
      </w:r>
      <w:r>
        <w:rPr>
          <w:sz w:val="25"/>
          <w:szCs w:val="25"/>
        </w:rPr>
        <w:t xml:space="preserve">Jeffrey D. Goltz.  Administrative Law </w:t>
      </w:r>
      <w:r w:rsidRPr="00266728">
        <w:rPr>
          <w:sz w:val="25"/>
          <w:szCs w:val="25"/>
        </w:rPr>
        <w:t xml:space="preserve">Judge </w:t>
      </w:r>
      <w:r>
        <w:rPr>
          <w:sz w:val="25"/>
          <w:szCs w:val="25"/>
        </w:rPr>
        <w:t>Marguerite E. Friedlander presided.</w:t>
      </w:r>
    </w:p>
    <w:p w14:paraId="49BB0A35" w14:textId="77777777" w:rsidR="00F32493" w:rsidRPr="00DA5DBB" w:rsidRDefault="00F32493" w:rsidP="008B3E38">
      <w:pPr>
        <w:spacing w:line="288" w:lineRule="auto"/>
        <w:rPr>
          <w:sz w:val="25"/>
          <w:szCs w:val="25"/>
        </w:rPr>
      </w:pPr>
    </w:p>
    <w:p w14:paraId="27836E12" w14:textId="77777777" w:rsidR="00665E49" w:rsidRPr="00665E49" w:rsidRDefault="00844D13" w:rsidP="008B3E38">
      <w:pPr>
        <w:numPr>
          <w:ilvl w:val="0"/>
          <w:numId w:val="14"/>
        </w:numPr>
        <w:spacing w:line="288" w:lineRule="auto"/>
        <w:ind w:hanging="720"/>
        <w:rPr>
          <w:sz w:val="25"/>
          <w:szCs w:val="25"/>
        </w:rPr>
      </w:pPr>
      <w:r w:rsidRPr="00665E49">
        <w:rPr>
          <w:b/>
          <w:sz w:val="25"/>
          <w:szCs w:val="25"/>
        </w:rPr>
        <w:t>PARTY</w:t>
      </w:r>
      <w:r w:rsidRPr="00665E49">
        <w:rPr>
          <w:b/>
          <w:bCs/>
          <w:sz w:val="25"/>
          <w:szCs w:val="25"/>
        </w:rPr>
        <w:t xml:space="preserve"> REPRESENTATIVES:</w:t>
      </w:r>
      <w:r w:rsidRPr="00665E49">
        <w:rPr>
          <w:sz w:val="25"/>
          <w:szCs w:val="25"/>
        </w:rPr>
        <w:t xml:space="preserve">  </w:t>
      </w:r>
      <w:proofErr w:type="spellStart"/>
      <w:r w:rsidRPr="00665E49">
        <w:rPr>
          <w:sz w:val="25"/>
          <w:szCs w:val="25"/>
        </w:rPr>
        <w:t>Sheree</w:t>
      </w:r>
      <w:proofErr w:type="spellEnd"/>
      <w:r w:rsidRPr="00665E49">
        <w:rPr>
          <w:sz w:val="25"/>
          <w:szCs w:val="25"/>
        </w:rPr>
        <w:t xml:space="preserve"> Strom Carson</w:t>
      </w:r>
      <w:r w:rsidR="00D37B8C">
        <w:rPr>
          <w:sz w:val="25"/>
          <w:szCs w:val="25"/>
        </w:rPr>
        <w:t>,</w:t>
      </w:r>
      <w:r w:rsidR="00EC7E06" w:rsidRPr="00665E49">
        <w:rPr>
          <w:sz w:val="25"/>
          <w:szCs w:val="25"/>
        </w:rPr>
        <w:t xml:space="preserve"> </w:t>
      </w:r>
      <w:r w:rsidRPr="00665E49">
        <w:rPr>
          <w:sz w:val="25"/>
          <w:szCs w:val="25"/>
        </w:rPr>
        <w:t xml:space="preserve">Perkins </w:t>
      </w:r>
      <w:proofErr w:type="spellStart"/>
      <w:r w:rsidRPr="00665E49">
        <w:rPr>
          <w:sz w:val="25"/>
          <w:szCs w:val="25"/>
        </w:rPr>
        <w:t>Coie</w:t>
      </w:r>
      <w:proofErr w:type="spellEnd"/>
      <w:r w:rsidR="00E72552" w:rsidRPr="00665E49">
        <w:rPr>
          <w:sz w:val="25"/>
          <w:szCs w:val="25"/>
        </w:rPr>
        <w:t xml:space="preserve"> LLP</w:t>
      </w:r>
      <w:r w:rsidRPr="00665E49">
        <w:rPr>
          <w:sz w:val="25"/>
          <w:szCs w:val="25"/>
        </w:rPr>
        <w:t>, Bellevue, Washington, represent</w:t>
      </w:r>
      <w:r w:rsidR="00A806DC">
        <w:rPr>
          <w:sz w:val="25"/>
          <w:szCs w:val="25"/>
        </w:rPr>
        <w:t>s</w:t>
      </w:r>
      <w:r w:rsidRPr="00665E49">
        <w:rPr>
          <w:sz w:val="25"/>
          <w:szCs w:val="25"/>
        </w:rPr>
        <w:t xml:space="preserve"> </w:t>
      </w:r>
      <w:r w:rsidR="00E72552" w:rsidRPr="00665E49">
        <w:rPr>
          <w:sz w:val="25"/>
          <w:szCs w:val="25"/>
        </w:rPr>
        <w:t>PSE</w:t>
      </w:r>
      <w:r w:rsidRPr="00665E49">
        <w:rPr>
          <w:sz w:val="25"/>
          <w:szCs w:val="25"/>
        </w:rPr>
        <w:t xml:space="preserve">.  </w:t>
      </w:r>
      <w:r w:rsidR="00E72552" w:rsidRPr="00665E49">
        <w:rPr>
          <w:sz w:val="25"/>
          <w:szCs w:val="25"/>
        </w:rPr>
        <w:t>Simon J. ffitch</w:t>
      </w:r>
      <w:r w:rsidRPr="00665E49">
        <w:rPr>
          <w:sz w:val="25"/>
          <w:szCs w:val="25"/>
        </w:rPr>
        <w:t xml:space="preserve">, </w:t>
      </w:r>
      <w:r w:rsidR="00D3360B">
        <w:rPr>
          <w:sz w:val="25"/>
          <w:szCs w:val="25"/>
        </w:rPr>
        <w:t xml:space="preserve">Senior </w:t>
      </w:r>
      <w:r w:rsidRPr="00665E49">
        <w:rPr>
          <w:sz w:val="25"/>
          <w:szCs w:val="25"/>
        </w:rPr>
        <w:t>Assistant Attorney General, Seattle, Washington, represent</w:t>
      </w:r>
      <w:r w:rsidR="009E52E2" w:rsidRPr="00665E49">
        <w:rPr>
          <w:sz w:val="25"/>
          <w:szCs w:val="25"/>
        </w:rPr>
        <w:t>s</w:t>
      </w:r>
      <w:r w:rsidRPr="00665E49">
        <w:rPr>
          <w:sz w:val="25"/>
          <w:szCs w:val="25"/>
        </w:rPr>
        <w:t xml:space="preserve"> the Public Counsel </w:t>
      </w:r>
      <w:r w:rsidR="00A806DC">
        <w:rPr>
          <w:sz w:val="25"/>
          <w:szCs w:val="25"/>
        </w:rPr>
        <w:t>Division</w:t>
      </w:r>
      <w:r w:rsidRPr="00665E49">
        <w:rPr>
          <w:sz w:val="25"/>
          <w:szCs w:val="25"/>
        </w:rPr>
        <w:t xml:space="preserve"> of the Washington </w:t>
      </w:r>
      <w:r w:rsidR="006D1400">
        <w:rPr>
          <w:sz w:val="25"/>
          <w:szCs w:val="25"/>
        </w:rPr>
        <w:t xml:space="preserve">State </w:t>
      </w:r>
      <w:r w:rsidRPr="00665E49">
        <w:rPr>
          <w:sz w:val="25"/>
          <w:szCs w:val="25"/>
        </w:rPr>
        <w:t>Attorney General</w:t>
      </w:r>
      <w:r w:rsidR="006D1400">
        <w:rPr>
          <w:sz w:val="25"/>
          <w:szCs w:val="25"/>
        </w:rPr>
        <w:t>’s Office</w:t>
      </w:r>
      <w:r w:rsidRPr="00665E49">
        <w:rPr>
          <w:sz w:val="25"/>
          <w:szCs w:val="25"/>
        </w:rPr>
        <w:t xml:space="preserve"> (Public Counsel).  </w:t>
      </w:r>
      <w:r w:rsidR="00BB230D">
        <w:rPr>
          <w:sz w:val="25"/>
          <w:szCs w:val="25"/>
        </w:rPr>
        <w:t>Sally Brown</w:t>
      </w:r>
      <w:r w:rsidR="00732330" w:rsidRPr="00665E49">
        <w:rPr>
          <w:sz w:val="25"/>
          <w:szCs w:val="25"/>
        </w:rPr>
        <w:t>,</w:t>
      </w:r>
      <w:r w:rsidRPr="00665E49">
        <w:rPr>
          <w:sz w:val="25"/>
          <w:szCs w:val="25"/>
        </w:rPr>
        <w:t xml:space="preserve"> </w:t>
      </w:r>
      <w:r w:rsidR="00BB230D">
        <w:rPr>
          <w:sz w:val="25"/>
          <w:szCs w:val="25"/>
        </w:rPr>
        <w:t xml:space="preserve">Senior </w:t>
      </w:r>
      <w:r w:rsidRPr="00665E49">
        <w:rPr>
          <w:sz w:val="25"/>
          <w:szCs w:val="25"/>
        </w:rPr>
        <w:t>Assistant Attorney General</w:t>
      </w:r>
      <w:r w:rsidR="00D60F46" w:rsidRPr="00665E49">
        <w:rPr>
          <w:sz w:val="25"/>
          <w:szCs w:val="25"/>
        </w:rPr>
        <w:t>,</w:t>
      </w:r>
      <w:r w:rsidRPr="00665E49">
        <w:rPr>
          <w:sz w:val="25"/>
          <w:szCs w:val="25"/>
        </w:rPr>
        <w:t xml:space="preserve"> Olympia, Washington, represent</w:t>
      </w:r>
      <w:r w:rsidR="00A806DC">
        <w:rPr>
          <w:sz w:val="25"/>
          <w:szCs w:val="25"/>
        </w:rPr>
        <w:t>s</w:t>
      </w:r>
      <w:r w:rsidRPr="00665E49">
        <w:rPr>
          <w:sz w:val="25"/>
          <w:szCs w:val="25"/>
        </w:rPr>
        <w:t xml:space="preserve"> the Commission’s </w:t>
      </w:r>
      <w:r w:rsidRPr="00665E49">
        <w:rPr>
          <w:sz w:val="25"/>
          <w:szCs w:val="25"/>
        </w:rPr>
        <w:lastRenderedPageBreak/>
        <w:t>regulatory staff (Staff).</w:t>
      </w:r>
      <w:r w:rsidRPr="00DA5DBB">
        <w:rPr>
          <w:rStyle w:val="FootnoteReference"/>
          <w:bCs/>
          <w:sz w:val="25"/>
          <w:szCs w:val="25"/>
        </w:rPr>
        <w:footnoteReference w:id="2"/>
      </w:r>
      <w:r w:rsidRPr="00665E49">
        <w:rPr>
          <w:sz w:val="25"/>
          <w:szCs w:val="25"/>
        </w:rPr>
        <w:t xml:space="preserve">  </w:t>
      </w:r>
      <w:r w:rsidR="00A806DC">
        <w:rPr>
          <w:sz w:val="25"/>
          <w:szCs w:val="25"/>
        </w:rPr>
        <w:t xml:space="preserve">Jesse </w:t>
      </w:r>
      <w:r w:rsidR="0054335C">
        <w:rPr>
          <w:sz w:val="25"/>
          <w:szCs w:val="25"/>
        </w:rPr>
        <w:t xml:space="preserve">E. </w:t>
      </w:r>
      <w:r w:rsidR="00A806DC">
        <w:rPr>
          <w:sz w:val="25"/>
          <w:szCs w:val="25"/>
        </w:rPr>
        <w:t>Cowell</w:t>
      </w:r>
      <w:r w:rsidR="00406041" w:rsidRPr="00665E49">
        <w:rPr>
          <w:sz w:val="25"/>
          <w:szCs w:val="25"/>
        </w:rPr>
        <w:t xml:space="preserve">, Davison Van Cleve, Portland, Oregon, represents the </w:t>
      </w:r>
      <w:r w:rsidR="00732330" w:rsidRPr="00665E49">
        <w:rPr>
          <w:sz w:val="25"/>
          <w:szCs w:val="25"/>
        </w:rPr>
        <w:t>Industrial Customers of Northwest Utilities (</w:t>
      </w:r>
      <w:proofErr w:type="spellStart"/>
      <w:r w:rsidR="00732330" w:rsidRPr="00665E49">
        <w:rPr>
          <w:sz w:val="25"/>
          <w:szCs w:val="25"/>
        </w:rPr>
        <w:t>ICNU</w:t>
      </w:r>
      <w:proofErr w:type="spellEnd"/>
      <w:r w:rsidR="00732330" w:rsidRPr="00665E49">
        <w:rPr>
          <w:sz w:val="25"/>
          <w:szCs w:val="25"/>
        </w:rPr>
        <w:t>)</w:t>
      </w:r>
      <w:r w:rsidR="00406041" w:rsidRPr="00665E49">
        <w:rPr>
          <w:sz w:val="25"/>
          <w:szCs w:val="25"/>
        </w:rPr>
        <w:t>.</w:t>
      </w:r>
      <w:r w:rsidR="002C0BDC" w:rsidRPr="00665E49">
        <w:rPr>
          <w:sz w:val="25"/>
          <w:szCs w:val="25"/>
        </w:rPr>
        <w:t xml:space="preserve">  </w:t>
      </w:r>
      <w:r w:rsidR="00665E49" w:rsidRPr="00665E49">
        <w:rPr>
          <w:sz w:val="25"/>
          <w:szCs w:val="25"/>
        </w:rPr>
        <w:t xml:space="preserve">  </w:t>
      </w:r>
    </w:p>
    <w:p w14:paraId="782261B5" w14:textId="77777777" w:rsidR="00844D13" w:rsidRPr="00DA5DBB" w:rsidRDefault="00844D13" w:rsidP="008B3E38">
      <w:pPr>
        <w:spacing w:line="288" w:lineRule="auto"/>
        <w:ind w:left="-720"/>
        <w:rPr>
          <w:sz w:val="25"/>
          <w:szCs w:val="25"/>
        </w:rPr>
      </w:pPr>
    </w:p>
    <w:p w14:paraId="5A0B4D4C" w14:textId="33B4F2D8" w:rsidR="00FE2619" w:rsidRDefault="00E55B1E" w:rsidP="008B3E38">
      <w:pPr>
        <w:numPr>
          <w:ilvl w:val="0"/>
          <w:numId w:val="14"/>
        </w:numPr>
        <w:spacing w:line="288" w:lineRule="auto"/>
        <w:ind w:hanging="720"/>
        <w:rPr>
          <w:sz w:val="25"/>
          <w:szCs w:val="25"/>
        </w:rPr>
      </w:pPr>
      <w:r>
        <w:rPr>
          <w:b/>
          <w:sz w:val="25"/>
          <w:szCs w:val="25"/>
        </w:rPr>
        <w:t>SUMMARY</w:t>
      </w:r>
      <w:r w:rsidR="00A7097E" w:rsidRPr="00266728">
        <w:rPr>
          <w:b/>
          <w:sz w:val="25"/>
          <w:szCs w:val="25"/>
        </w:rPr>
        <w:t>:</w:t>
      </w:r>
      <w:r w:rsidR="00A7097E" w:rsidRPr="00A7097E">
        <w:rPr>
          <w:b/>
          <w:sz w:val="25"/>
          <w:szCs w:val="25"/>
        </w:rPr>
        <w:t xml:space="preserve">  </w:t>
      </w:r>
      <w:r w:rsidR="00A7097E" w:rsidRPr="00A7097E">
        <w:rPr>
          <w:sz w:val="25"/>
          <w:szCs w:val="25"/>
        </w:rPr>
        <w:t>The Commission approves and</w:t>
      </w:r>
      <w:r w:rsidR="00A7097E" w:rsidRPr="00266728">
        <w:rPr>
          <w:sz w:val="25"/>
          <w:szCs w:val="25"/>
        </w:rPr>
        <w:t xml:space="preserve"> adopt</w:t>
      </w:r>
      <w:r w:rsidR="00A7097E">
        <w:rPr>
          <w:sz w:val="25"/>
          <w:szCs w:val="25"/>
        </w:rPr>
        <w:t>s the</w:t>
      </w:r>
      <w:r w:rsidR="00A7097E" w:rsidRPr="00266728">
        <w:rPr>
          <w:sz w:val="25"/>
          <w:szCs w:val="25"/>
        </w:rPr>
        <w:t xml:space="preserve"> Settlement </w:t>
      </w:r>
      <w:r w:rsidR="0030347E">
        <w:rPr>
          <w:sz w:val="25"/>
          <w:szCs w:val="25"/>
        </w:rPr>
        <w:t>Stipulation</w:t>
      </w:r>
      <w:r w:rsidR="00A7097E" w:rsidRPr="00266728">
        <w:rPr>
          <w:sz w:val="25"/>
          <w:szCs w:val="25"/>
        </w:rPr>
        <w:t xml:space="preserve"> </w:t>
      </w:r>
      <w:r w:rsidR="0030347E">
        <w:rPr>
          <w:sz w:val="25"/>
          <w:szCs w:val="25"/>
        </w:rPr>
        <w:t xml:space="preserve">(Settlement) </w:t>
      </w:r>
      <w:r w:rsidR="00D96295">
        <w:rPr>
          <w:sz w:val="25"/>
          <w:szCs w:val="25"/>
        </w:rPr>
        <w:t>entered into by</w:t>
      </w:r>
      <w:r w:rsidR="00A7097E" w:rsidRPr="00266728">
        <w:rPr>
          <w:sz w:val="25"/>
          <w:szCs w:val="25"/>
        </w:rPr>
        <w:t xml:space="preserve"> PSE, Staff, Public Counsel</w:t>
      </w:r>
      <w:r w:rsidR="00A7097E">
        <w:rPr>
          <w:sz w:val="25"/>
          <w:szCs w:val="25"/>
        </w:rPr>
        <w:t>,</w:t>
      </w:r>
      <w:r w:rsidR="00A7097E" w:rsidRPr="00266728">
        <w:rPr>
          <w:sz w:val="25"/>
          <w:szCs w:val="25"/>
        </w:rPr>
        <w:t xml:space="preserve"> and </w:t>
      </w:r>
      <w:proofErr w:type="spellStart"/>
      <w:r w:rsidR="00A7097E" w:rsidRPr="00266728">
        <w:rPr>
          <w:sz w:val="25"/>
          <w:szCs w:val="25"/>
        </w:rPr>
        <w:t>ICNU</w:t>
      </w:r>
      <w:proofErr w:type="spellEnd"/>
      <w:r w:rsidR="00A7097E" w:rsidRPr="00266728">
        <w:rPr>
          <w:sz w:val="25"/>
          <w:szCs w:val="25"/>
        </w:rPr>
        <w:t xml:space="preserve">.  </w:t>
      </w:r>
      <w:r w:rsidR="00A7097E">
        <w:rPr>
          <w:sz w:val="25"/>
          <w:szCs w:val="25"/>
        </w:rPr>
        <w:t>We</w:t>
      </w:r>
      <w:r w:rsidR="00A7097E" w:rsidRPr="00266728">
        <w:rPr>
          <w:sz w:val="25"/>
          <w:szCs w:val="25"/>
        </w:rPr>
        <w:t xml:space="preserve"> find </w:t>
      </w:r>
      <w:r w:rsidR="00E00A16">
        <w:rPr>
          <w:sz w:val="25"/>
          <w:szCs w:val="25"/>
        </w:rPr>
        <w:t xml:space="preserve">that </w:t>
      </w:r>
      <w:r w:rsidR="00A7097E" w:rsidRPr="00266728">
        <w:rPr>
          <w:sz w:val="25"/>
          <w:szCs w:val="25"/>
        </w:rPr>
        <w:t xml:space="preserve">the </w:t>
      </w:r>
      <w:r w:rsidR="00A7097E">
        <w:rPr>
          <w:sz w:val="25"/>
          <w:szCs w:val="25"/>
        </w:rPr>
        <w:t xml:space="preserve">settling </w:t>
      </w:r>
      <w:r w:rsidR="00A7097E" w:rsidRPr="00266728">
        <w:rPr>
          <w:sz w:val="25"/>
          <w:szCs w:val="25"/>
        </w:rPr>
        <w:t xml:space="preserve">parties’ proposal to </w:t>
      </w:r>
      <w:r w:rsidR="00A7097E">
        <w:rPr>
          <w:sz w:val="25"/>
          <w:szCs w:val="25"/>
        </w:rPr>
        <w:t>reduce</w:t>
      </w:r>
      <w:r w:rsidR="00A7097E" w:rsidRPr="00266728">
        <w:rPr>
          <w:sz w:val="25"/>
          <w:szCs w:val="25"/>
        </w:rPr>
        <w:t xml:space="preserve"> PSE</w:t>
      </w:r>
      <w:r w:rsidR="00A7097E">
        <w:rPr>
          <w:sz w:val="25"/>
          <w:szCs w:val="25"/>
        </w:rPr>
        <w:t>’s revenue requirement</w:t>
      </w:r>
      <w:r w:rsidR="00A7097E" w:rsidRPr="00266728">
        <w:rPr>
          <w:sz w:val="25"/>
          <w:szCs w:val="25"/>
        </w:rPr>
        <w:t xml:space="preserve"> </w:t>
      </w:r>
      <w:r w:rsidR="00A7097E">
        <w:rPr>
          <w:sz w:val="25"/>
          <w:szCs w:val="25"/>
        </w:rPr>
        <w:t>by</w:t>
      </w:r>
      <w:r w:rsidR="00A7097E" w:rsidRPr="00266728">
        <w:rPr>
          <w:sz w:val="25"/>
          <w:szCs w:val="25"/>
        </w:rPr>
        <w:t xml:space="preserve"> $</w:t>
      </w:r>
      <w:r>
        <w:rPr>
          <w:sz w:val="25"/>
          <w:szCs w:val="25"/>
        </w:rPr>
        <w:t>14</w:t>
      </w:r>
      <w:r w:rsidR="00A7097E" w:rsidRPr="00266728">
        <w:rPr>
          <w:sz w:val="25"/>
          <w:szCs w:val="25"/>
        </w:rPr>
        <w:t>,</w:t>
      </w:r>
      <w:r>
        <w:rPr>
          <w:sz w:val="25"/>
          <w:szCs w:val="25"/>
        </w:rPr>
        <w:t>893</w:t>
      </w:r>
      <w:r w:rsidR="00A7097E">
        <w:rPr>
          <w:sz w:val="25"/>
          <w:szCs w:val="25"/>
        </w:rPr>
        <w:t>,</w:t>
      </w:r>
      <w:r>
        <w:rPr>
          <w:sz w:val="25"/>
          <w:szCs w:val="25"/>
        </w:rPr>
        <w:t>316, an average decrease of 0.711 percent,</w:t>
      </w:r>
      <w:r w:rsidR="00A7097E">
        <w:rPr>
          <w:sz w:val="25"/>
          <w:szCs w:val="25"/>
        </w:rPr>
        <w:t xml:space="preserve"> will result in rates that are fair, just, reasonable, and sufficient.</w:t>
      </w:r>
      <w:r w:rsidR="00804372">
        <w:rPr>
          <w:rStyle w:val="FootnoteReference"/>
          <w:sz w:val="25"/>
          <w:szCs w:val="25"/>
        </w:rPr>
        <w:footnoteReference w:id="3"/>
      </w:r>
    </w:p>
    <w:p w14:paraId="7EA12FDA" w14:textId="77777777" w:rsidR="00A7097E" w:rsidRDefault="00A7097E" w:rsidP="008B3E38">
      <w:pPr>
        <w:spacing w:line="288" w:lineRule="auto"/>
        <w:rPr>
          <w:sz w:val="25"/>
          <w:szCs w:val="25"/>
        </w:rPr>
      </w:pPr>
    </w:p>
    <w:p w14:paraId="08B5B6D5" w14:textId="77777777" w:rsidR="00E55B1E" w:rsidRDefault="00E55B1E" w:rsidP="008B3E38">
      <w:pPr>
        <w:pStyle w:val="Heading1"/>
        <w:spacing w:before="0" w:after="0" w:line="288" w:lineRule="auto"/>
        <w:jc w:val="center"/>
        <w:rPr>
          <w:szCs w:val="25"/>
          <w:u w:val="single"/>
        </w:rPr>
      </w:pPr>
      <w:bookmarkStart w:id="1" w:name="_Toc155670887"/>
      <w:bookmarkStart w:id="2" w:name="_Toc168986355"/>
      <w:r w:rsidRPr="00E55B1E">
        <w:rPr>
          <w:szCs w:val="25"/>
          <w:u w:val="single"/>
        </w:rPr>
        <w:t>MEMORANDUM</w:t>
      </w:r>
      <w:bookmarkEnd w:id="1"/>
      <w:bookmarkEnd w:id="2"/>
    </w:p>
    <w:p w14:paraId="3E33CDF0" w14:textId="77777777" w:rsidR="00E55B1E" w:rsidRDefault="00E55B1E" w:rsidP="008B3E38">
      <w:pPr>
        <w:spacing w:line="288" w:lineRule="auto"/>
      </w:pPr>
    </w:p>
    <w:p w14:paraId="647051BE" w14:textId="77777777" w:rsidR="00FE2619" w:rsidRDefault="00E36B43" w:rsidP="008B3E38">
      <w:pPr>
        <w:numPr>
          <w:ilvl w:val="0"/>
          <w:numId w:val="14"/>
        </w:numPr>
        <w:spacing w:line="288" w:lineRule="auto"/>
        <w:ind w:hanging="720"/>
        <w:rPr>
          <w:sz w:val="25"/>
          <w:szCs w:val="25"/>
        </w:rPr>
      </w:pPr>
      <w:r>
        <w:rPr>
          <w:b/>
          <w:sz w:val="25"/>
          <w:szCs w:val="25"/>
        </w:rPr>
        <w:t>BACKGROUND</w:t>
      </w:r>
      <w:r w:rsidR="00FE2619" w:rsidRPr="00FB5406">
        <w:rPr>
          <w:b/>
          <w:bCs/>
          <w:sz w:val="25"/>
          <w:szCs w:val="25"/>
        </w:rPr>
        <w:t>.</w:t>
      </w:r>
      <w:r w:rsidR="00FE2619" w:rsidRPr="00FB5406">
        <w:rPr>
          <w:sz w:val="25"/>
          <w:szCs w:val="25"/>
        </w:rPr>
        <w:t xml:space="preserve">  </w:t>
      </w:r>
      <w:r w:rsidR="00EA4BA9">
        <w:rPr>
          <w:sz w:val="25"/>
          <w:szCs w:val="25"/>
        </w:rPr>
        <w:t xml:space="preserve">On May 23, 2014, PSE filed its </w:t>
      </w:r>
      <w:r w:rsidR="00C02A69">
        <w:rPr>
          <w:sz w:val="25"/>
          <w:szCs w:val="25"/>
        </w:rPr>
        <w:t>power cost only rate case (</w:t>
      </w:r>
      <w:proofErr w:type="spellStart"/>
      <w:r w:rsidR="00C02A69">
        <w:rPr>
          <w:sz w:val="25"/>
          <w:szCs w:val="25"/>
        </w:rPr>
        <w:t>PCORC</w:t>
      </w:r>
      <w:proofErr w:type="spellEnd"/>
      <w:r w:rsidR="00C02A69">
        <w:rPr>
          <w:sz w:val="25"/>
          <w:szCs w:val="25"/>
        </w:rPr>
        <w:t xml:space="preserve">) </w:t>
      </w:r>
      <w:r w:rsidR="009A1BAC">
        <w:rPr>
          <w:sz w:val="25"/>
          <w:szCs w:val="25"/>
        </w:rPr>
        <w:t xml:space="preserve">requesting a rate decrease for electric customers </w:t>
      </w:r>
      <w:r w:rsidR="0030347E">
        <w:rPr>
          <w:sz w:val="25"/>
          <w:szCs w:val="25"/>
        </w:rPr>
        <w:t>of</w:t>
      </w:r>
      <w:r w:rsidR="009A1BAC">
        <w:rPr>
          <w:sz w:val="25"/>
          <w:szCs w:val="25"/>
        </w:rPr>
        <w:t xml:space="preserve"> approximately $9.6 million, an average of 0.46 percent decrease from the electric power cost adjustment (</w:t>
      </w:r>
      <w:proofErr w:type="spellStart"/>
      <w:r w:rsidR="009A1BAC">
        <w:rPr>
          <w:sz w:val="25"/>
          <w:szCs w:val="25"/>
        </w:rPr>
        <w:t>PCA</w:t>
      </w:r>
      <w:proofErr w:type="spellEnd"/>
      <w:r w:rsidR="009A1BAC">
        <w:rPr>
          <w:sz w:val="25"/>
          <w:szCs w:val="25"/>
        </w:rPr>
        <w:t xml:space="preserve">) mechanism rates set in PSE’s 2013 </w:t>
      </w:r>
      <w:proofErr w:type="spellStart"/>
      <w:r w:rsidR="009A1BAC">
        <w:rPr>
          <w:sz w:val="25"/>
          <w:szCs w:val="25"/>
        </w:rPr>
        <w:t>PCORC</w:t>
      </w:r>
      <w:proofErr w:type="spellEnd"/>
      <w:r w:rsidR="0030347E">
        <w:rPr>
          <w:sz w:val="25"/>
          <w:szCs w:val="25"/>
        </w:rPr>
        <w:t xml:space="preserve"> proceeding</w:t>
      </w:r>
      <w:r w:rsidR="009A1BAC">
        <w:rPr>
          <w:sz w:val="25"/>
          <w:szCs w:val="25"/>
        </w:rPr>
        <w:t xml:space="preserve">, Docket </w:t>
      </w:r>
      <w:proofErr w:type="spellStart"/>
      <w:r w:rsidR="009A1BAC">
        <w:rPr>
          <w:sz w:val="25"/>
          <w:szCs w:val="25"/>
        </w:rPr>
        <w:t>UE</w:t>
      </w:r>
      <w:proofErr w:type="spellEnd"/>
      <w:r w:rsidR="009A1BAC">
        <w:rPr>
          <w:sz w:val="25"/>
          <w:szCs w:val="25"/>
        </w:rPr>
        <w:t>-130617, which became effective on November 1, 2013.</w:t>
      </w:r>
      <w:r w:rsidR="009A1BAC">
        <w:rPr>
          <w:rStyle w:val="FootnoteReference"/>
          <w:sz w:val="25"/>
          <w:szCs w:val="25"/>
        </w:rPr>
        <w:footnoteReference w:id="4"/>
      </w:r>
    </w:p>
    <w:p w14:paraId="43FCD2E5" w14:textId="77777777" w:rsidR="00106358" w:rsidRDefault="00106358" w:rsidP="008B3E38">
      <w:pPr>
        <w:spacing w:line="288" w:lineRule="auto"/>
        <w:rPr>
          <w:sz w:val="25"/>
          <w:szCs w:val="25"/>
        </w:rPr>
      </w:pPr>
    </w:p>
    <w:p w14:paraId="5533721B" w14:textId="77777777" w:rsidR="00106358" w:rsidRPr="00CB4C14" w:rsidRDefault="00106358" w:rsidP="008B3E38">
      <w:pPr>
        <w:numPr>
          <w:ilvl w:val="0"/>
          <w:numId w:val="14"/>
        </w:numPr>
        <w:spacing w:line="288" w:lineRule="auto"/>
        <w:ind w:hanging="720"/>
        <w:rPr>
          <w:sz w:val="25"/>
          <w:szCs w:val="25"/>
        </w:rPr>
      </w:pPr>
      <w:r w:rsidRPr="00266728">
        <w:rPr>
          <w:color w:val="000000"/>
          <w:sz w:val="25"/>
          <w:szCs w:val="25"/>
        </w:rPr>
        <w:t xml:space="preserve">The Commission suspended the </w:t>
      </w:r>
      <w:proofErr w:type="spellStart"/>
      <w:r>
        <w:rPr>
          <w:color w:val="000000"/>
          <w:sz w:val="25"/>
          <w:szCs w:val="25"/>
        </w:rPr>
        <w:t>PCORC</w:t>
      </w:r>
      <w:proofErr w:type="spellEnd"/>
      <w:r>
        <w:rPr>
          <w:color w:val="000000"/>
          <w:sz w:val="25"/>
          <w:szCs w:val="25"/>
        </w:rPr>
        <w:t xml:space="preserve"> </w:t>
      </w:r>
      <w:r w:rsidRPr="00266728">
        <w:rPr>
          <w:color w:val="000000"/>
          <w:sz w:val="25"/>
          <w:szCs w:val="25"/>
        </w:rPr>
        <w:t xml:space="preserve">filing on </w:t>
      </w:r>
      <w:r>
        <w:rPr>
          <w:color w:val="000000"/>
          <w:sz w:val="25"/>
          <w:szCs w:val="25"/>
        </w:rPr>
        <w:t>June 12, 2014</w:t>
      </w:r>
      <w:r w:rsidRPr="00266728">
        <w:rPr>
          <w:color w:val="000000"/>
          <w:sz w:val="25"/>
          <w:szCs w:val="25"/>
        </w:rPr>
        <w:t xml:space="preserve">, and </w:t>
      </w:r>
      <w:r>
        <w:rPr>
          <w:color w:val="000000"/>
          <w:sz w:val="25"/>
          <w:szCs w:val="25"/>
        </w:rPr>
        <w:t>conven</w:t>
      </w:r>
      <w:r w:rsidRPr="00266728">
        <w:rPr>
          <w:color w:val="000000"/>
          <w:sz w:val="25"/>
          <w:szCs w:val="25"/>
        </w:rPr>
        <w:t xml:space="preserve">ed a prehearing conference on </w:t>
      </w:r>
      <w:r>
        <w:rPr>
          <w:color w:val="000000"/>
          <w:sz w:val="25"/>
          <w:szCs w:val="25"/>
        </w:rPr>
        <w:t xml:space="preserve">July </w:t>
      </w:r>
      <w:r w:rsidR="005D236E">
        <w:rPr>
          <w:color w:val="000000"/>
          <w:sz w:val="25"/>
          <w:szCs w:val="25"/>
        </w:rPr>
        <w:t>9</w:t>
      </w:r>
      <w:r>
        <w:rPr>
          <w:color w:val="000000"/>
          <w:sz w:val="25"/>
          <w:szCs w:val="25"/>
        </w:rPr>
        <w:t>, 2014</w:t>
      </w:r>
      <w:r w:rsidRPr="00266728">
        <w:rPr>
          <w:color w:val="000000"/>
          <w:sz w:val="25"/>
          <w:szCs w:val="25"/>
        </w:rPr>
        <w:t xml:space="preserve">.  </w:t>
      </w:r>
      <w:r w:rsidR="005D236E">
        <w:rPr>
          <w:color w:val="000000"/>
          <w:sz w:val="25"/>
          <w:szCs w:val="25"/>
        </w:rPr>
        <w:t>At the prehearing conference, t</w:t>
      </w:r>
      <w:r>
        <w:rPr>
          <w:color w:val="000000"/>
          <w:sz w:val="25"/>
          <w:szCs w:val="25"/>
        </w:rPr>
        <w:t xml:space="preserve">he Commission granted </w:t>
      </w:r>
      <w:proofErr w:type="spellStart"/>
      <w:r w:rsidRPr="00266728">
        <w:rPr>
          <w:color w:val="000000"/>
          <w:sz w:val="25"/>
          <w:szCs w:val="25"/>
        </w:rPr>
        <w:t>ICNU</w:t>
      </w:r>
      <w:r>
        <w:rPr>
          <w:color w:val="000000"/>
          <w:sz w:val="25"/>
          <w:szCs w:val="25"/>
        </w:rPr>
        <w:t>’s</w:t>
      </w:r>
      <w:proofErr w:type="spellEnd"/>
      <w:r>
        <w:rPr>
          <w:color w:val="000000"/>
          <w:sz w:val="25"/>
          <w:szCs w:val="25"/>
        </w:rPr>
        <w:t xml:space="preserve"> intervention request.</w:t>
      </w:r>
      <w:r w:rsidRPr="00266728">
        <w:rPr>
          <w:color w:val="000000"/>
          <w:sz w:val="25"/>
          <w:szCs w:val="25"/>
        </w:rPr>
        <w:t xml:space="preserve">  </w:t>
      </w:r>
      <w:r>
        <w:rPr>
          <w:color w:val="000000"/>
          <w:sz w:val="25"/>
          <w:szCs w:val="25"/>
        </w:rPr>
        <w:t>On August 1, 2014, the C</w:t>
      </w:r>
      <w:r w:rsidRPr="00266728">
        <w:rPr>
          <w:color w:val="000000"/>
          <w:sz w:val="25"/>
          <w:szCs w:val="25"/>
        </w:rPr>
        <w:t xml:space="preserve">ompany </w:t>
      </w:r>
      <w:r w:rsidR="00305C15">
        <w:rPr>
          <w:color w:val="000000"/>
          <w:sz w:val="25"/>
          <w:szCs w:val="25"/>
        </w:rPr>
        <w:t xml:space="preserve">filed its supplemental direct testimony and lowered its requested rate decrease </w:t>
      </w:r>
      <w:r w:rsidR="005D236E">
        <w:rPr>
          <w:color w:val="000000"/>
          <w:sz w:val="25"/>
          <w:szCs w:val="25"/>
        </w:rPr>
        <w:t xml:space="preserve">for electric customers </w:t>
      </w:r>
      <w:r w:rsidR="00305C15">
        <w:rPr>
          <w:color w:val="000000"/>
          <w:sz w:val="25"/>
          <w:szCs w:val="25"/>
        </w:rPr>
        <w:t>from $9.6 million to $5.5 million, or from 0.46 percent to 0.261 percent</w:t>
      </w:r>
      <w:r w:rsidRPr="00266728">
        <w:rPr>
          <w:color w:val="000000"/>
          <w:sz w:val="25"/>
          <w:szCs w:val="25"/>
        </w:rPr>
        <w:t>.</w:t>
      </w:r>
      <w:r w:rsidR="00305C15">
        <w:rPr>
          <w:rStyle w:val="FootnoteReference"/>
          <w:color w:val="000000"/>
          <w:sz w:val="25"/>
          <w:szCs w:val="25"/>
        </w:rPr>
        <w:footnoteReference w:id="5"/>
      </w:r>
      <w:r w:rsidRPr="00266728">
        <w:rPr>
          <w:color w:val="000000"/>
          <w:sz w:val="25"/>
          <w:szCs w:val="25"/>
        </w:rPr>
        <w:t xml:space="preserve">  </w:t>
      </w:r>
      <w:r w:rsidR="00305C15">
        <w:rPr>
          <w:color w:val="000000"/>
          <w:sz w:val="25"/>
          <w:szCs w:val="25"/>
        </w:rPr>
        <w:t>PSE asserted that the reduction in its request was due to an increase in projected rate year power costs.</w:t>
      </w:r>
      <w:r w:rsidR="00305C15">
        <w:rPr>
          <w:rStyle w:val="FootnoteReference"/>
          <w:color w:val="000000"/>
          <w:sz w:val="25"/>
          <w:szCs w:val="25"/>
        </w:rPr>
        <w:footnoteReference w:id="6"/>
      </w:r>
    </w:p>
    <w:p w14:paraId="31AD6A9F" w14:textId="77777777" w:rsidR="00CB4C14" w:rsidRDefault="00CB4C14" w:rsidP="008B3E38">
      <w:pPr>
        <w:pStyle w:val="ListParagraph"/>
        <w:spacing w:line="288" w:lineRule="auto"/>
        <w:rPr>
          <w:sz w:val="25"/>
          <w:szCs w:val="25"/>
        </w:rPr>
      </w:pPr>
    </w:p>
    <w:p w14:paraId="64E0366B" w14:textId="6ABAEA73" w:rsidR="00CB4C14" w:rsidRPr="00A03537" w:rsidRDefault="005D236E" w:rsidP="008B3E38">
      <w:pPr>
        <w:numPr>
          <w:ilvl w:val="0"/>
          <w:numId w:val="14"/>
        </w:numPr>
        <w:spacing w:line="288" w:lineRule="auto"/>
        <w:rPr>
          <w:sz w:val="25"/>
          <w:szCs w:val="25"/>
        </w:rPr>
      </w:pPr>
      <w:r>
        <w:rPr>
          <w:sz w:val="25"/>
          <w:szCs w:val="25"/>
        </w:rPr>
        <w:lastRenderedPageBreak/>
        <w:t xml:space="preserve">On September 5, 2014, </w:t>
      </w:r>
      <w:r w:rsidR="005F350D" w:rsidRPr="00821BC4">
        <w:rPr>
          <w:sz w:val="25"/>
          <w:szCs w:val="25"/>
        </w:rPr>
        <w:t xml:space="preserve">PSE, Staff, Public Counsel, and </w:t>
      </w:r>
      <w:proofErr w:type="spellStart"/>
      <w:r w:rsidR="005F350D" w:rsidRPr="00821BC4">
        <w:rPr>
          <w:sz w:val="25"/>
          <w:szCs w:val="25"/>
        </w:rPr>
        <w:t>ICNU</w:t>
      </w:r>
      <w:proofErr w:type="spellEnd"/>
      <w:r w:rsidR="005F350D" w:rsidRPr="00821BC4">
        <w:rPr>
          <w:sz w:val="25"/>
          <w:szCs w:val="25"/>
        </w:rPr>
        <w:t xml:space="preserve"> reached agreement on all issues </w:t>
      </w:r>
      <w:r w:rsidR="005F350D">
        <w:rPr>
          <w:sz w:val="25"/>
          <w:szCs w:val="25"/>
        </w:rPr>
        <w:t xml:space="preserve">in the proceeding </w:t>
      </w:r>
      <w:r w:rsidR="005F350D" w:rsidRPr="00821BC4">
        <w:rPr>
          <w:sz w:val="25"/>
          <w:szCs w:val="25"/>
        </w:rPr>
        <w:t xml:space="preserve">and filed their Settlement </w:t>
      </w:r>
      <w:r w:rsidR="005F350D">
        <w:rPr>
          <w:sz w:val="25"/>
          <w:szCs w:val="25"/>
        </w:rPr>
        <w:t xml:space="preserve">with supporting joint testimony </w:t>
      </w:r>
      <w:r w:rsidR="005F350D" w:rsidRPr="00821BC4">
        <w:rPr>
          <w:sz w:val="25"/>
          <w:szCs w:val="25"/>
        </w:rPr>
        <w:t>pursuant to WAC 480-07-730(1).</w:t>
      </w:r>
      <w:r w:rsidR="005F350D">
        <w:rPr>
          <w:sz w:val="25"/>
          <w:szCs w:val="25"/>
        </w:rPr>
        <w:t xml:space="preserve">  </w:t>
      </w:r>
      <w:r w:rsidR="005F350D" w:rsidRPr="00821BC4">
        <w:rPr>
          <w:sz w:val="25"/>
          <w:szCs w:val="25"/>
        </w:rPr>
        <w:t>The Commission con</w:t>
      </w:r>
      <w:r w:rsidR="005F350D">
        <w:rPr>
          <w:sz w:val="25"/>
          <w:szCs w:val="25"/>
        </w:rPr>
        <w:t>ven</w:t>
      </w:r>
      <w:r w:rsidR="005F350D" w:rsidRPr="00821BC4">
        <w:rPr>
          <w:sz w:val="25"/>
          <w:szCs w:val="25"/>
        </w:rPr>
        <w:t xml:space="preserve">ed a hearing on </w:t>
      </w:r>
      <w:r w:rsidR="00A03537">
        <w:rPr>
          <w:sz w:val="25"/>
          <w:szCs w:val="25"/>
        </w:rPr>
        <w:t>September 30, 2014</w:t>
      </w:r>
      <w:r w:rsidR="00AB678C">
        <w:rPr>
          <w:sz w:val="25"/>
          <w:szCs w:val="25"/>
        </w:rPr>
        <w:t>, for the purpose of clarifying certain provisions within the Settlement</w:t>
      </w:r>
      <w:r w:rsidR="005F350D" w:rsidRPr="00821BC4">
        <w:rPr>
          <w:sz w:val="25"/>
          <w:szCs w:val="25"/>
        </w:rPr>
        <w:t xml:space="preserve">.   </w:t>
      </w:r>
      <w:r w:rsidR="00AB678C">
        <w:rPr>
          <w:sz w:val="25"/>
          <w:szCs w:val="25"/>
        </w:rPr>
        <w:t>The</w:t>
      </w:r>
      <w:r w:rsidR="005F350D" w:rsidRPr="00821BC4">
        <w:rPr>
          <w:sz w:val="25"/>
          <w:szCs w:val="25"/>
        </w:rPr>
        <w:t xml:space="preserve"> settling parties presented a panel of witnesses</w:t>
      </w:r>
      <w:r w:rsidR="005F350D">
        <w:rPr>
          <w:sz w:val="25"/>
          <w:szCs w:val="25"/>
        </w:rPr>
        <w:t xml:space="preserve"> in support of the agreement</w:t>
      </w:r>
      <w:r w:rsidR="005F350D" w:rsidRPr="00821BC4">
        <w:rPr>
          <w:sz w:val="25"/>
          <w:szCs w:val="25"/>
        </w:rPr>
        <w:t xml:space="preserve">:  </w:t>
      </w:r>
      <w:r w:rsidR="005F350D">
        <w:rPr>
          <w:sz w:val="25"/>
          <w:szCs w:val="25"/>
        </w:rPr>
        <w:t>Katherine J. Barnard</w:t>
      </w:r>
      <w:r w:rsidR="005F350D" w:rsidRPr="00821BC4">
        <w:rPr>
          <w:sz w:val="25"/>
          <w:szCs w:val="25"/>
        </w:rPr>
        <w:t xml:space="preserve"> for PSE, </w:t>
      </w:r>
      <w:r w:rsidR="00A03537">
        <w:rPr>
          <w:sz w:val="25"/>
          <w:szCs w:val="25"/>
        </w:rPr>
        <w:t>Bradley G. Mullins</w:t>
      </w:r>
      <w:r w:rsidR="005F350D" w:rsidRPr="00821BC4">
        <w:rPr>
          <w:sz w:val="25"/>
          <w:szCs w:val="25"/>
        </w:rPr>
        <w:t xml:space="preserve"> for </w:t>
      </w:r>
      <w:proofErr w:type="spellStart"/>
      <w:r w:rsidR="005F350D" w:rsidRPr="00821BC4">
        <w:rPr>
          <w:sz w:val="25"/>
          <w:szCs w:val="25"/>
        </w:rPr>
        <w:t>ICNU</w:t>
      </w:r>
      <w:proofErr w:type="spellEnd"/>
      <w:proofErr w:type="gramStart"/>
      <w:r w:rsidR="005F350D" w:rsidRPr="00821BC4">
        <w:rPr>
          <w:sz w:val="25"/>
          <w:szCs w:val="25"/>
        </w:rPr>
        <w:t xml:space="preserve">, </w:t>
      </w:r>
      <w:r w:rsidR="005932AA">
        <w:rPr>
          <w:sz w:val="25"/>
          <w:szCs w:val="25"/>
        </w:rPr>
        <w:t xml:space="preserve"> </w:t>
      </w:r>
      <w:r w:rsidR="00A03537">
        <w:rPr>
          <w:sz w:val="25"/>
          <w:szCs w:val="25"/>
        </w:rPr>
        <w:t>Lea</w:t>
      </w:r>
      <w:proofErr w:type="gramEnd"/>
      <w:r w:rsidR="00A03537">
        <w:rPr>
          <w:sz w:val="25"/>
          <w:szCs w:val="25"/>
        </w:rPr>
        <w:t xml:space="preserve"> Fisher</w:t>
      </w:r>
      <w:r w:rsidR="005F350D" w:rsidRPr="00821BC4">
        <w:rPr>
          <w:sz w:val="25"/>
          <w:szCs w:val="25"/>
        </w:rPr>
        <w:t xml:space="preserve"> for Public Counsel</w:t>
      </w:r>
      <w:r w:rsidR="00A03537">
        <w:rPr>
          <w:sz w:val="25"/>
          <w:szCs w:val="25"/>
        </w:rPr>
        <w:t>,</w:t>
      </w:r>
      <w:r w:rsidR="005F350D" w:rsidRPr="00821BC4">
        <w:rPr>
          <w:sz w:val="25"/>
          <w:szCs w:val="25"/>
        </w:rPr>
        <w:t xml:space="preserve"> and </w:t>
      </w:r>
      <w:r w:rsidR="00A03537">
        <w:rPr>
          <w:sz w:val="25"/>
          <w:szCs w:val="25"/>
        </w:rPr>
        <w:t>Jason Ball</w:t>
      </w:r>
      <w:r w:rsidR="005F350D" w:rsidRPr="00821BC4">
        <w:rPr>
          <w:sz w:val="25"/>
          <w:szCs w:val="25"/>
        </w:rPr>
        <w:t xml:space="preserve"> for Staff.</w:t>
      </w:r>
    </w:p>
    <w:p w14:paraId="08948CDA" w14:textId="77777777" w:rsidR="00282B74" w:rsidRDefault="00282B74" w:rsidP="008B3E38">
      <w:pPr>
        <w:pStyle w:val="ListParagraph"/>
        <w:spacing w:line="288" w:lineRule="auto"/>
        <w:rPr>
          <w:sz w:val="25"/>
          <w:szCs w:val="25"/>
        </w:rPr>
      </w:pPr>
    </w:p>
    <w:p w14:paraId="45EC42D7" w14:textId="541029C4" w:rsidR="00A03537" w:rsidRPr="00266728" w:rsidRDefault="00A03537" w:rsidP="008B3E38">
      <w:pPr>
        <w:numPr>
          <w:ilvl w:val="0"/>
          <w:numId w:val="14"/>
        </w:numPr>
        <w:spacing w:line="288" w:lineRule="auto"/>
        <w:ind w:hanging="720"/>
        <w:rPr>
          <w:sz w:val="25"/>
          <w:szCs w:val="25"/>
        </w:rPr>
      </w:pPr>
      <w:bookmarkStart w:id="3" w:name="OLE_LINK3"/>
      <w:bookmarkStart w:id="4" w:name="OLE_LINK4"/>
      <w:r>
        <w:rPr>
          <w:b/>
          <w:sz w:val="25"/>
          <w:szCs w:val="25"/>
        </w:rPr>
        <w:t>SETTLEMENT.</w:t>
      </w:r>
      <w:r w:rsidR="00844D13" w:rsidRPr="00A636E4">
        <w:rPr>
          <w:b/>
          <w:bCs/>
          <w:sz w:val="25"/>
          <w:szCs w:val="25"/>
        </w:rPr>
        <w:t xml:space="preserve">  </w:t>
      </w:r>
      <w:r w:rsidRPr="00266728">
        <w:rPr>
          <w:sz w:val="25"/>
          <w:szCs w:val="25"/>
        </w:rPr>
        <w:t xml:space="preserve">The </w:t>
      </w:r>
      <w:r>
        <w:rPr>
          <w:sz w:val="25"/>
          <w:szCs w:val="25"/>
        </w:rPr>
        <w:t>Settlement</w:t>
      </w:r>
      <w:r w:rsidRPr="00266728">
        <w:rPr>
          <w:sz w:val="25"/>
          <w:szCs w:val="25"/>
        </w:rPr>
        <w:t xml:space="preserve">, which is attached as </w:t>
      </w:r>
      <w:r>
        <w:rPr>
          <w:sz w:val="25"/>
          <w:szCs w:val="25"/>
        </w:rPr>
        <w:t>Appendix A</w:t>
      </w:r>
      <w:r w:rsidRPr="00266728">
        <w:rPr>
          <w:sz w:val="25"/>
          <w:szCs w:val="25"/>
        </w:rPr>
        <w:t xml:space="preserve">, </w:t>
      </w:r>
      <w:r w:rsidR="00122338">
        <w:rPr>
          <w:sz w:val="25"/>
          <w:szCs w:val="25"/>
        </w:rPr>
        <w:t xml:space="preserve">requests that the Commission approve the </w:t>
      </w:r>
      <w:proofErr w:type="spellStart"/>
      <w:r w:rsidR="00122338">
        <w:rPr>
          <w:sz w:val="25"/>
          <w:szCs w:val="25"/>
        </w:rPr>
        <w:t>PCORC</w:t>
      </w:r>
      <w:proofErr w:type="spellEnd"/>
      <w:r w:rsidR="00122338">
        <w:rPr>
          <w:sz w:val="25"/>
          <w:szCs w:val="25"/>
        </w:rPr>
        <w:t xml:space="preserve"> terms filed by PSE with the following </w:t>
      </w:r>
      <w:r w:rsidR="000C3174">
        <w:rPr>
          <w:sz w:val="25"/>
          <w:szCs w:val="25"/>
        </w:rPr>
        <w:t xml:space="preserve">provisions and </w:t>
      </w:r>
      <w:r w:rsidR="00122338">
        <w:rPr>
          <w:sz w:val="25"/>
          <w:szCs w:val="25"/>
        </w:rPr>
        <w:t>adjustments</w:t>
      </w:r>
      <w:r w:rsidRPr="00266728">
        <w:rPr>
          <w:sz w:val="25"/>
          <w:szCs w:val="25"/>
        </w:rPr>
        <w:t>:</w:t>
      </w:r>
    </w:p>
    <w:p w14:paraId="13CCFC10" w14:textId="77777777" w:rsidR="00A03537" w:rsidRDefault="00A03537" w:rsidP="008B3E38">
      <w:pPr>
        <w:spacing w:line="288" w:lineRule="auto"/>
        <w:rPr>
          <w:sz w:val="25"/>
          <w:szCs w:val="25"/>
        </w:rPr>
      </w:pPr>
    </w:p>
    <w:p w14:paraId="39EEB001" w14:textId="240915A8" w:rsidR="007F70C5" w:rsidRDefault="00E00A16" w:rsidP="008B3E38">
      <w:pPr>
        <w:numPr>
          <w:ilvl w:val="0"/>
          <w:numId w:val="16"/>
        </w:numPr>
        <w:spacing w:line="288" w:lineRule="auto"/>
        <w:ind w:left="720"/>
        <w:rPr>
          <w:sz w:val="25"/>
          <w:szCs w:val="25"/>
        </w:rPr>
      </w:pPr>
      <w:r>
        <w:rPr>
          <w:sz w:val="25"/>
          <w:szCs w:val="25"/>
        </w:rPr>
        <w:t>The o</w:t>
      </w:r>
      <w:r w:rsidR="00A03537">
        <w:rPr>
          <w:sz w:val="25"/>
          <w:szCs w:val="25"/>
        </w:rPr>
        <w:t xml:space="preserve">verall decrease in the Company’s revenue requirement </w:t>
      </w:r>
      <w:r>
        <w:rPr>
          <w:sz w:val="25"/>
          <w:szCs w:val="25"/>
        </w:rPr>
        <w:t xml:space="preserve">will be </w:t>
      </w:r>
      <w:r w:rsidR="00A03537">
        <w:rPr>
          <w:sz w:val="25"/>
          <w:szCs w:val="25"/>
        </w:rPr>
        <w:t xml:space="preserve"> $14,893,316, an average decrease of 0.711 percent;</w:t>
      </w:r>
      <w:r w:rsidR="00E569FB">
        <w:rPr>
          <w:rStyle w:val="FootnoteReference"/>
          <w:sz w:val="25"/>
          <w:szCs w:val="25"/>
        </w:rPr>
        <w:footnoteReference w:id="7"/>
      </w:r>
    </w:p>
    <w:p w14:paraId="14E2E710" w14:textId="77777777" w:rsidR="00A03537" w:rsidRDefault="00E569FB" w:rsidP="008B3E38">
      <w:pPr>
        <w:numPr>
          <w:ilvl w:val="0"/>
          <w:numId w:val="16"/>
        </w:numPr>
        <w:spacing w:line="288" w:lineRule="auto"/>
        <w:ind w:left="720"/>
        <w:rPr>
          <w:sz w:val="25"/>
          <w:szCs w:val="25"/>
        </w:rPr>
      </w:pPr>
      <w:r>
        <w:rPr>
          <w:sz w:val="25"/>
          <w:szCs w:val="25"/>
        </w:rPr>
        <w:t xml:space="preserve">While agreeing that PSE acted prudently in the renewal and acquisition of 475 </w:t>
      </w:r>
      <w:r w:rsidR="00AB678C">
        <w:rPr>
          <w:sz w:val="25"/>
          <w:szCs w:val="25"/>
        </w:rPr>
        <w:t>megawatts (MW)</w:t>
      </w:r>
      <w:r>
        <w:rPr>
          <w:sz w:val="25"/>
          <w:szCs w:val="25"/>
        </w:rPr>
        <w:t xml:space="preserve"> of Bonneville Power Administration (BPA) transmission, </w:t>
      </w:r>
      <w:r w:rsidR="00D800EE">
        <w:rPr>
          <w:sz w:val="25"/>
          <w:szCs w:val="25"/>
        </w:rPr>
        <w:t xml:space="preserve">the settling parties agree to remove </w:t>
      </w:r>
      <w:r>
        <w:rPr>
          <w:sz w:val="25"/>
          <w:szCs w:val="25"/>
        </w:rPr>
        <w:t>the rate increase associated with the 2016 BPA rate case for the last two months of the rate year, for a decrease of $1,066,572 in expense;</w:t>
      </w:r>
      <w:r>
        <w:rPr>
          <w:rStyle w:val="FootnoteReference"/>
          <w:sz w:val="25"/>
          <w:szCs w:val="25"/>
        </w:rPr>
        <w:footnoteReference w:id="8"/>
      </w:r>
    </w:p>
    <w:p w14:paraId="5FC71C57" w14:textId="77777777" w:rsidR="00E569FB" w:rsidRDefault="00E569FB" w:rsidP="008B3E38">
      <w:pPr>
        <w:numPr>
          <w:ilvl w:val="0"/>
          <w:numId w:val="16"/>
        </w:numPr>
        <w:spacing w:line="288" w:lineRule="auto"/>
        <w:ind w:left="720"/>
        <w:rPr>
          <w:sz w:val="25"/>
          <w:szCs w:val="25"/>
        </w:rPr>
      </w:pPr>
      <w:r>
        <w:rPr>
          <w:sz w:val="25"/>
          <w:szCs w:val="25"/>
        </w:rPr>
        <w:t xml:space="preserve">Major maintenance for Colstrip will be amortized over the </w:t>
      </w:r>
      <w:r w:rsidR="0056540F">
        <w:rPr>
          <w:sz w:val="25"/>
          <w:szCs w:val="25"/>
        </w:rPr>
        <w:t>projected</w:t>
      </w:r>
      <w:r>
        <w:rPr>
          <w:sz w:val="25"/>
          <w:szCs w:val="25"/>
        </w:rPr>
        <w:t xml:space="preserve"> time period to the next major event, which is three years, and included in rates based on budgeted expenditures and the estimated timing of the event;</w:t>
      </w:r>
      <w:r>
        <w:rPr>
          <w:rStyle w:val="FootnoteReference"/>
          <w:sz w:val="25"/>
          <w:szCs w:val="25"/>
        </w:rPr>
        <w:footnoteReference w:id="9"/>
      </w:r>
    </w:p>
    <w:p w14:paraId="7497130A" w14:textId="4D1979B4" w:rsidR="007D3DE4" w:rsidRDefault="00E00A16" w:rsidP="008B3E38">
      <w:pPr>
        <w:numPr>
          <w:ilvl w:val="0"/>
          <w:numId w:val="16"/>
        </w:numPr>
        <w:spacing w:line="288" w:lineRule="auto"/>
        <w:ind w:left="720"/>
        <w:rPr>
          <w:sz w:val="25"/>
          <w:szCs w:val="25"/>
        </w:rPr>
      </w:pPr>
      <w:r>
        <w:rPr>
          <w:sz w:val="25"/>
          <w:szCs w:val="25"/>
        </w:rPr>
        <w:lastRenderedPageBreak/>
        <w:t xml:space="preserve">There should be </w:t>
      </w:r>
      <w:r w:rsidR="00401CCD">
        <w:rPr>
          <w:sz w:val="25"/>
          <w:szCs w:val="25"/>
        </w:rPr>
        <w:t xml:space="preserve">$1.3 million </w:t>
      </w:r>
      <w:r w:rsidR="00257142">
        <w:rPr>
          <w:sz w:val="25"/>
          <w:szCs w:val="25"/>
        </w:rPr>
        <w:t xml:space="preserve">decrease </w:t>
      </w:r>
      <w:r w:rsidR="00401CCD">
        <w:rPr>
          <w:sz w:val="25"/>
          <w:szCs w:val="25"/>
        </w:rPr>
        <w:t>to Cols</w:t>
      </w:r>
      <w:r w:rsidR="00257142">
        <w:rPr>
          <w:sz w:val="25"/>
          <w:szCs w:val="25"/>
        </w:rPr>
        <w:t>trip operations and maintenance</w:t>
      </w:r>
      <w:r w:rsidR="0031320F">
        <w:rPr>
          <w:sz w:val="25"/>
          <w:szCs w:val="25"/>
        </w:rPr>
        <w:t xml:space="preserve"> (</w:t>
      </w:r>
      <w:proofErr w:type="spellStart"/>
      <w:r w:rsidR="0031320F">
        <w:rPr>
          <w:sz w:val="25"/>
          <w:szCs w:val="25"/>
        </w:rPr>
        <w:t>O&amp;M</w:t>
      </w:r>
      <w:proofErr w:type="spellEnd"/>
      <w:r w:rsidR="0031320F">
        <w:rPr>
          <w:sz w:val="25"/>
          <w:szCs w:val="25"/>
        </w:rPr>
        <w:t>)</w:t>
      </w:r>
      <w:r w:rsidR="00257142">
        <w:rPr>
          <w:sz w:val="25"/>
          <w:szCs w:val="25"/>
        </w:rPr>
        <w:t>;</w:t>
      </w:r>
      <w:r w:rsidR="00257142">
        <w:rPr>
          <w:rStyle w:val="FootnoteReference"/>
          <w:sz w:val="25"/>
          <w:szCs w:val="25"/>
        </w:rPr>
        <w:footnoteReference w:id="10"/>
      </w:r>
    </w:p>
    <w:p w14:paraId="62C253E0" w14:textId="0B1F198D" w:rsidR="00166BF8" w:rsidRDefault="009D1ABA" w:rsidP="008B3E38">
      <w:pPr>
        <w:numPr>
          <w:ilvl w:val="0"/>
          <w:numId w:val="16"/>
        </w:numPr>
        <w:spacing w:line="288" w:lineRule="auto"/>
        <w:ind w:left="720"/>
        <w:rPr>
          <w:sz w:val="25"/>
          <w:szCs w:val="25"/>
        </w:rPr>
      </w:pPr>
      <w:r>
        <w:rPr>
          <w:sz w:val="25"/>
          <w:szCs w:val="25"/>
        </w:rPr>
        <w:t>A compliance filing should be made incorporating s</w:t>
      </w:r>
      <w:r w:rsidR="00257142">
        <w:rPr>
          <w:sz w:val="25"/>
          <w:szCs w:val="25"/>
        </w:rPr>
        <w:t>everal AURORA modeling</w:t>
      </w:r>
      <w:r w:rsidR="00E5014B">
        <w:rPr>
          <w:rStyle w:val="FootnoteReference"/>
          <w:sz w:val="25"/>
          <w:szCs w:val="25"/>
        </w:rPr>
        <w:footnoteReference w:id="11"/>
      </w:r>
      <w:r w:rsidR="00257142">
        <w:rPr>
          <w:sz w:val="25"/>
          <w:szCs w:val="25"/>
        </w:rPr>
        <w:t xml:space="preserve"> and power cost changes</w:t>
      </w:r>
      <w:r>
        <w:rPr>
          <w:sz w:val="25"/>
          <w:szCs w:val="25"/>
        </w:rPr>
        <w:t>, including</w:t>
      </w:r>
      <w:r w:rsidR="00257142">
        <w:rPr>
          <w:sz w:val="25"/>
          <w:szCs w:val="25"/>
        </w:rPr>
        <w:t>: increased unit efficiency for Lower Baker Hydroelectric Project Unit 4 to reflect the original design specifications</w:t>
      </w:r>
      <w:r w:rsidR="0031320F">
        <w:rPr>
          <w:sz w:val="25"/>
          <w:szCs w:val="25"/>
        </w:rPr>
        <w:t>;</w:t>
      </w:r>
      <w:r w:rsidR="00257142">
        <w:rPr>
          <w:sz w:val="25"/>
          <w:szCs w:val="25"/>
        </w:rPr>
        <w:t xml:space="preserve"> replace</w:t>
      </w:r>
      <w:r w:rsidR="0031320F">
        <w:rPr>
          <w:sz w:val="25"/>
          <w:szCs w:val="25"/>
        </w:rPr>
        <w:t>ment of the</w:t>
      </w:r>
      <w:r w:rsidR="00257142">
        <w:rPr>
          <w:sz w:val="25"/>
          <w:szCs w:val="25"/>
        </w:rPr>
        <w:t xml:space="preserve"> forced outage rate for Colstrip units 3 and 4 with the rate of 11.61 percent, as agreed to in the 2013 </w:t>
      </w:r>
      <w:proofErr w:type="spellStart"/>
      <w:r w:rsidR="00257142">
        <w:rPr>
          <w:sz w:val="25"/>
          <w:szCs w:val="25"/>
        </w:rPr>
        <w:t>PCORC</w:t>
      </w:r>
      <w:proofErr w:type="spellEnd"/>
      <w:r w:rsidR="001F0B3D">
        <w:rPr>
          <w:sz w:val="25"/>
          <w:szCs w:val="25"/>
        </w:rPr>
        <w:t xml:space="preserve"> proceeding</w:t>
      </w:r>
      <w:r w:rsidR="0031320F">
        <w:rPr>
          <w:sz w:val="25"/>
          <w:szCs w:val="25"/>
        </w:rPr>
        <w:t>;</w:t>
      </w:r>
      <w:r w:rsidR="00257142">
        <w:rPr>
          <w:sz w:val="25"/>
          <w:szCs w:val="25"/>
        </w:rPr>
        <w:t xml:space="preserve"> and updated power costs for known and measurable changes normally allowed </w:t>
      </w:r>
      <w:r w:rsidR="00166BF8">
        <w:rPr>
          <w:sz w:val="25"/>
          <w:szCs w:val="25"/>
        </w:rPr>
        <w:t>by the Commission;</w:t>
      </w:r>
      <w:r w:rsidR="00166BF8">
        <w:rPr>
          <w:rStyle w:val="FootnoteReference"/>
          <w:sz w:val="25"/>
          <w:szCs w:val="25"/>
        </w:rPr>
        <w:footnoteReference w:id="12"/>
      </w:r>
    </w:p>
    <w:p w14:paraId="5418B248" w14:textId="24076287" w:rsidR="00166BF8" w:rsidRDefault="00B35668" w:rsidP="008B3E38">
      <w:pPr>
        <w:numPr>
          <w:ilvl w:val="0"/>
          <w:numId w:val="16"/>
        </w:numPr>
        <w:spacing w:line="288" w:lineRule="auto"/>
        <w:ind w:left="720"/>
        <w:rPr>
          <w:sz w:val="25"/>
          <w:szCs w:val="25"/>
        </w:rPr>
      </w:pPr>
      <w:r>
        <w:rPr>
          <w:sz w:val="25"/>
          <w:szCs w:val="25"/>
        </w:rPr>
        <w:t>The Settlement u</w:t>
      </w:r>
      <w:r w:rsidR="00166BF8">
        <w:rPr>
          <w:sz w:val="25"/>
          <w:szCs w:val="25"/>
        </w:rPr>
        <w:t>ses the Commission-approved rate base level of $305,197,</w:t>
      </w:r>
      <w:r w:rsidR="00301E74">
        <w:rPr>
          <w:sz w:val="25"/>
          <w:szCs w:val="25"/>
        </w:rPr>
        <w:t>775 for the Snoqualmie Hydroelectric Project, adjusted for depreciation and deferred income taxes;</w:t>
      </w:r>
      <w:r w:rsidR="00301E74">
        <w:rPr>
          <w:rStyle w:val="FootnoteReference"/>
          <w:sz w:val="25"/>
          <w:szCs w:val="25"/>
        </w:rPr>
        <w:footnoteReference w:id="13"/>
      </w:r>
    </w:p>
    <w:p w14:paraId="527C624D" w14:textId="4A5B94F5" w:rsidR="009B7297" w:rsidRDefault="00B35668" w:rsidP="008B3E38">
      <w:pPr>
        <w:numPr>
          <w:ilvl w:val="0"/>
          <w:numId w:val="16"/>
        </w:numPr>
        <w:spacing w:line="288" w:lineRule="auto"/>
        <w:ind w:left="720"/>
        <w:rPr>
          <w:sz w:val="25"/>
          <w:szCs w:val="25"/>
        </w:rPr>
      </w:pPr>
      <w:r>
        <w:rPr>
          <w:sz w:val="25"/>
          <w:szCs w:val="25"/>
        </w:rPr>
        <w:t>There is a</w:t>
      </w:r>
      <w:r w:rsidR="007967A4">
        <w:rPr>
          <w:sz w:val="25"/>
          <w:szCs w:val="25"/>
        </w:rPr>
        <w:t>n overall net reduction of $2,271,793 to PSE’s revenue requirement w</w:t>
      </w:r>
      <w:r w:rsidR="003B099C">
        <w:rPr>
          <w:sz w:val="25"/>
          <w:szCs w:val="25"/>
        </w:rPr>
        <w:t xml:space="preserve">ith </w:t>
      </w:r>
      <w:r w:rsidR="007509FC">
        <w:rPr>
          <w:sz w:val="25"/>
          <w:szCs w:val="25"/>
        </w:rPr>
        <w:t xml:space="preserve">the Commission’s </w:t>
      </w:r>
      <w:r w:rsidR="003B099C">
        <w:rPr>
          <w:sz w:val="25"/>
          <w:szCs w:val="25"/>
        </w:rPr>
        <w:t xml:space="preserve">approval of the Company’s sale of its Electron Hydroelectric Project </w:t>
      </w:r>
      <w:r w:rsidR="007967A4">
        <w:rPr>
          <w:sz w:val="25"/>
          <w:szCs w:val="25"/>
        </w:rPr>
        <w:t xml:space="preserve">(Electron) </w:t>
      </w:r>
      <w:r w:rsidR="003B099C">
        <w:rPr>
          <w:sz w:val="25"/>
          <w:szCs w:val="25"/>
        </w:rPr>
        <w:t>to Electron Hydro, LLC</w:t>
      </w:r>
      <w:r w:rsidR="00275710">
        <w:rPr>
          <w:sz w:val="25"/>
          <w:szCs w:val="25"/>
        </w:rPr>
        <w:t xml:space="preserve"> (Electron LLC)</w:t>
      </w:r>
      <w:r w:rsidR="007967A4">
        <w:rPr>
          <w:sz w:val="25"/>
          <w:szCs w:val="25"/>
        </w:rPr>
        <w:t>;</w:t>
      </w:r>
      <w:r w:rsidR="007967A4">
        <w:rPr>
          <w:rStyle w:val="FootnoteReference"/>
          <w:sz w:val="25"/>
          <w:szCs w:val="25"/>
        </w:rPr>
        <w:footnoteReference w:id="14"/>
      </w:r>
      <w:r w:rsidR="003B099C">
        <w:rPr>
          <w:sz w:val="25"/>
          <w:szCs w:val="25"/>
        </w:rPr>
        <w:t xml:space="preserve"> </w:t>
      </w:r>
    </w:p>
    <w:p w14:paraId="08D3FE44" w14:textId="366E5285" w:rsidR="00AE67FA" w:rsidRDefault="00B35668" w:rsidP="008B3E38">
      <w:pPr>
        <w:numPr>
          <w:ilvl w:val="0"/>
          <w:numId w:val="16"/>
        </w:numPr>
        <w:spacing w:line="288" w:lineRule="auto"/>
        <w:ind w:left="720"/>
        <w:rPr>
          <w:sz w:val="25"/>
          <w:szCs w:val="25"/>
        </w:rPr>
      </w:pPr>
      <w:r>
        <w:rPr>
          <w:sz w:val="25"/>
          <w:szCs w:val="25"/>
        </w:rPr>
        <w:t>There is a r</w:t>
      </w:r>
      <w:r w:rsidR="00AE67FA">
        <w:rPr>
          <w:sz w:val="25"/>
          <w:szCs w:val="25"/>
        </w:rPr>
        <w:t>eduction of expenses in the amount of $286,683 for updates to PSE’s share of Colstrip insurance premiums for the April 2014 through April 2015 period;</w:t>
      </w:r>
      <w:r w:rsidR="00AE67FA">
        <w:rPr>
          <w:rStyle w:val="FootnoteReference"/>
          <w:sz w:val="25"/>
          <w:szCs w:val="25"/>
        </w:rPr>
        <w:footnoteReference w:id="15"/>
      </w:r>
    </w:p>
    <w:p w14:paraId="47CE2575" w14:textId="77777777" w:rsidR="00AE67FA" w:rsidRDefault="006460F4" w:rsidP="008B3E38">
      <w:pPr>
        <w:numPr>
          <w:ilvl w:val="0"/>
          <w:numId w:val="16"/>
        </w:numPr>
        <w:spacing w:line="288" w:lineRule="auto"/>
        <w:ind w:left="720"/>
        <w:rPr>
          <w:sz w:val="25"/>
          <w:szCs w:val="25"/>
        </w:rPr>
      </w:pPr>
      <w:r>
        <w:rPr>
          <w:sz w:val="25"/>
          <w:szCs w:val="25"/>
        </w:rPr>
        <w:t>The return on equity will remain at 9.8 percent and the overall weighted average cost of capital will remain at 7.77 percent;</w:t>
      </w:r>
      <w:r>
        <w:rPr>
          <w:rStyle w:val="FootnoteReference"/>
          <w:sz w:val="25"/>
          <w:szCs w:val="25"/>
        </w:rPr>
        <w:footnoteReference w:id="16"/>
      </w:r>
    </w:p>
    <w:p w14:paraId="4A7FE088" w14:textId="77777777" w:rsidR="007E6F22" w:rsidRDefault="007E6F22" w:rsidP="008B3E38">
      <w:pPr>
        <w:numPr>
          <w:ilvl w:val="0"/>
          <w:numId w:val="16"/>
        </w:numPr>
        <w:spacing w:line="288" w:lineRule="auto"/>
        <w:ind w:left="720"/>
        <w:rPr>
          <w:sz w:val="25"/>
          <w:szCs w:val="25"/>
        </w:rPr>
      </w:pPr>
      <w:r>
        <w:rPr>
          <w:sz w:val="25"/>
          <w:szCs w:val="25"/>
        </w:rPr>
        <w:t xml:space="preserve">For purposes of the Centralia Coal Transition </w:t>
      </w:r>
      <w:r w:rsidR="00B23225">
        <w:rPr>
          <w:sz w:val="25"/>
          <w:szCs w:val="25"/>
        </w:rPr>
        <w:t>Purchase Power Agreement (</w:t>
      </w:r>
      <w:proofErr w:type="spellStart"/>
      <w:r w:rsidR="00B23225">
        <w:rPr>
          <w:sz w:val="25"/>
          <w:szCs w:val="25"/>
        </w:rPr>
        <w:t>PPA</w:t>
      </w:r>
      <w:proofErr w:type="spellEnd"/>
      <w:r w:rsidR="00B23225">
        <w:rPr>
          <w:sz w:val="25"/>
          <w:szCs w:val="25"/>
        </w:rPr>
        <w:t>)</w:t>
      </w:r>
      <w:r w:rsidR="003F00B0">
        <w:rPr>
          <w:sz w:val="25"/>
          <w:szCs w:val="25"/>
        </w:rPr>
        <w:t xml:space="preserve">, PSE may implement the December 1, 2015, price and volume changes through a 2015 </w:t>
      </w:r>
      <w:proofErr w:type="spellStart"/>
      <w:r w:rsidR="003F00B0">
        <w:rPr>
          <w:sz w:val="25"/>
          <w:szCs w:val="25"/>
        </w:rPr>
        <w:t>PCORC</w:t>
      </w:r>
      <w:proofErr w:type="spellEnd"/>
      <w:r w:rsidR="003F00B0">
        <w:rPr>
          <w:sz w:val="25"/>
          <w:szCs w:val="25"/>
        </w:rPr>
        <w:t xml:space="preserve"> </w:t>
      </w:r>
      <w:r w:rsidR="0014542E">
        <w:rPr>
          <w:sz w:val="25"/>
          <w:szCs w:val="25"/>
        </w:rPr>
        <w:t>filing</w:t>
      </w:r>
      <w:r w:rsidR="00B23225">
        <w:rPr>
          <w:sz w:val="25"/>
          <w:szCs w:val="25"/>
        </w:rPr>
        <w:t xml:space="preserve"> </w:t>
      </w:r>
      <w:r w:rsidR="003F00B0">
        <w:rPr>
          <w:sz w:val="25"/>
          <w:szCs w:val="25"/>
        </w:rPr>
        <w:t xml:space="preserve">and the December 1, 2016, price and volume changes through a general rate case, a compliance filing, or a combination of the two </w:t>
      </w:r>
      <w:r w:rsidR="0014542E">
        <w:rPr>
          <w:sz w:val="25"/>
          <w:szCs w:val="25"/>
        </w:rPr>
        <w:t xml:space="preserve">to be proposed by PSE </w:t>
      </w:r>
      <w:r w:rsidR="003F00B0">
        <w:rPr>
          <w:sz w:val="25"/>
          <w:szCs w:val="25"/>
        </w:rPr>
        <w:t>in 2016;</w:t>
      </w:r>
      <w:r w:rsidR="003F00B0">
        <w:rPr>
          <w:rStyle w:val="FootnoteReference"/>
          <w:sz w:val="25"/>
          <w:szCs w:val="25"/>
        </w:rPr>
        <w:footnoteReference w:id="17"/>
      </w:r>
      <w:r w:rsidR="003F00B0">
        <w:rPr>
          <w:sz w:val="25"/>
          <w:szCs w:val="25"/>
        </w:rPr>
        <w:t xml:space="preserve"> </w:t>
      </w:r>
    </w:p>
    <w:p w14:paraId="26D591E2" w14:textId="00592D40" w:rsidR="003F00B0" w:rsidRDefault="003F00B0" w:rsidP="008B3E38">
      <w:pPr>
        <w:numPr>
          <w:ilvl w:val="0"/>
          <w:numId w:val="16"/>
        </w:numPr>
        <w:spacing w:line="288" w:lineRule="auto"/>
        <w:ind w:left="720"/>
        <w:rPr>
          <w:sz w:val="25"/>
          <w:szCs w:val="25"/>
        </w:rPr>
      </w:pPr>
      <w:r>
        <w:rPr>
          <w:sz w:val="25"/>
          <w:szCs w:val="25"/>
        </w:rPr>
        <w:t xml:space="preserve">The renewal of the Point Roberts </w:t>
      </w:r>
      <w:proofErr w:type="spellStart"/>
      <w:r>
        <w:rPr>
          <w:sz w:val="25"/>
          <w:szCs w:val="25"/>
        </w:rPr>
        <w:t>PPA</w:t>
      </w:r>
      <w:proofErr w:type="spellEnd"/>
      <w:r>
        <w:rPr>
          <w:sz w:val="25"/>
          <w:szCs w:val="25"/>
        </w:rPr>
        <w:t xml:space="preserve"> is prudent</w:t>
      </w:r>
      <w:r w:rsidR="00B35668">
        <w:rPr>
          <w:sz w:val="25"/>
          <w:szCs w:val="25"/>
        </w:rPr>
        <w:t>,</w:t>
      </w:r>
      <w:r>
        <w:rPr>
          <w:sz w:val="25"/>
          <w:szCs w:val="25"/>
        </w:rPr>
        <w:t xml:space="preserve"> and the Electron </w:t>
      </w:r>
      <w:proofErr w:type="spellStart"/>
      <w:r>
        <w:rPr>
          <w:sz w:val="25"/>
          <w:szCs w:val="25"/>
        </w:rPr>
        <w:t>PPA</w:t>
      </w:r>
      <w:proofErr w:type="spellEnd"/>
      <w:r>
        <w:rPr>
          <w:sz w:val="25"/>
          <w:szCs w:val="25"/>
        </w:rPr>
        <w:t xml:space="preserve"> does not require a prudence determination from the Commission</w:t>
      </w:r>
      <w:r w:rsidR="005C69BC">
        <w:rPr>
          <w:sz w:val="25"/>
          <w:szCs w:val="25"/>
        </w:rPr>
        <w:t xml:space="preserve"> “as the </w:t>
      </w:r>
      <w:proofErr w:type="spellStart"/>
      <w:r w:rsidR="005C69BC">
        <w:rPr>
          <w:sz w:val="25"/>
          <w:szCs w:val="25"/>
        </w:rPr>
        <w:t>PPA</w:t>
      </w:r>
      <w:proofErr w:type="spellEnd"/>
      <w:r w:rsidR="005C69BC">
        <w:rPr>
          <w:sz w:val="25"/>
          <w:szCs w:val="25"/>
        </w:rPr>
        <w:t xml:space="preserve"> is </w:t>
      </w:r>
      <w:r w:rsidR="00713103">
        <w:rPr>
          <w:sz w:val="25"/>
          <w:szCs w:val="25"/>
        </w:rPr>
        <w:t>part of the consideration for the sale</w:t>
      </w:r>
      <w:r w:rsidR="00031BE7">
        <w:rPr>
          <w:sz w:val="25"/>
          <w:szCs w:val="25"/>
        </w:rPr>
        <w:t>;</w:t>
      </w:r>
      <w:r w:rsidR="00713103">
        <w:rPr>
          <w:sz w:val="25"/>
          <w:szCs w:val="25"/>
        </w:rPr>
        <w:t>”</w:t>
      </w:r>
      <w:r>
        <w:rPr>
          <w:rStyle w:val="FootnoteReference"/>
          <w:sz w:val="25"/>
          <w:szCs w:val="25"/>
        </w:rPr>
        <w:footnoteReference w:id="18"/>
      </w:r>
      <w:r w:rsidR="00E00A16">
        <w:rPr>
          <w:sz w:val="25"/>
          <w:szCs w:val="25"/>
        </w:rPr>
        <w:t xml:space="preserve"> and</w:t>
      </w:r>
    </w:p>
    <w:p w14:paraId="6A4A41B9" w14:textId="31B9CFDC" w:rsidR="00031BE7" w:rsidRDefault="00B35668" w:rsidP="008B3E38">
      <w:pPr>
        <w:numPr>
          <w:ilvl w:val="0"/>
          <w:numId w:val="16"/>
        </w:numPr>
        <w:spacing w:line="288" w:lineRule="auto"/>
        <w:ind w:left="720"/>
        <w:rPr>
          <w:sz w:val="25"/>
          <w:szCs w:val="25"/>
        </w:rPr>
      </w:pPr>
      <w:r>
        <w:rPr>
          <w:sz w:val="25"/>
          <w:szCs w:val="25"/>
        </w:rPr>
        <w:t xml:space="preserve">Rates will </w:t>
      </w:r>
      <w:r w:rsidR="00031BE7">
        <w:rPr>
          <w:sz w:val="25"/>
          <w:szCs w:val="25"/>
        </w:rPr>
        <w:t>become effective December 1, 2014.</w:t>
      </w:r>
      <w:r w:rsidR="00031BE7">
        <w:rPr>
          <w:rStyle w:val="FootnoteReference"/>
          <w:sz w:val="25"/>
          <w:szCs w:val="25"/>
        </w:rPr>
        <w:footnoteReference w:id="19"/>
      </w:r>
    </w:p>
    <w:p w14:paraId="3DC84002" w14:textId="77777777" w:rsidR="00127502" w:rsidRDefault="00127502" w:rsidP="008B3E38">
      <w:pPr>
        <w:spacing w:line="288" w:lineRule="auto"/>
        <w:rPr>
          <w:sz w:val="25"/>
          <w:szCs w:val="25"/>
        </w:rPr>
      </w:pPr>
    </w:p>
    <w:p w14:paraId="464C527C" w14:textId="77777777" w:rsidR="00127502" w:rsidRPr="00127502" w:rsidRDefault="00127502" w:rsidP="008B3E38">
      <w:pPr>
        <w:spacing w:line="288" w:lineRule="auto"/>
        <w:jc w:val="center"/>
        <w:rPr>
          <w:b/>
          <w:sz w:val="25"/>
          <w:szCs w:val="25"/>
          <w:u w:val="single"/>
        </w:rPr>
      </w:pPr>
      <w:r>
        <w:rPr>
          <w:b/>
          <w:sz w:val="25"/>
          <w:szCs w:val="25"/>
          <w:u w:val="single"/>
        </w:rPr>
        <w:t>DISCUSSION AND DECISION</w:t>
      </w:r>
    </w:p>
    <w:p w14:paraId="79053D01" w14:textId="77777777" w:rsidR="00844D13" w:rsidRPr="00DA5DBB" w:rsidRDefault="00844D13" w:rsidP="008B3E38">
      <w:pPr>
        <w:spacing w:line="288" w:lineRule="auto"/>
        <w:rPr>
          <w:sz w:val="25"/>
          <w:szCs w:val="25"/>
        </w:rPr>
      </w:pPr>
    </w:p>
    <w:p w14:paraId="59024706" w14:textId="1FC12ABA" w:rsidR="005A3215" w:rsidRPr="003B3A6C" w:rsidRDefault="00127502" w:rsidP="008B3E38">
      <w:pPr>
        <w:numPr>
          <w:ilvl w:val="0"/>
          <w:numId w:val="14"/>
        </w:numPr>
        <w:spacing w:line="288" w:lineRule="auto"/>
        <w:ind w:hanging="720"/>
        <w:rPr>
          <w:color w:val="000000"/>
          <w:sz w:val="25"/>
          <w:szCs w:val="25"/>
        </w:rPr>
      </w:pPr>
      <w:r w:rsidRPr="003B3A6C">
        <w:rPr>
          <w:b/>
          <w:sz w:val="25"/>
          <w:szCs w:val="25"/>
        </w:rPr>
        <w:t>Power Costs</w:t>
      </w:r>
      <w:r w:rsidR="00844D13" w:rsidRPr="003B3A6C">
        <w:rPr>
          <w:b/>
          <w:bCs/>
          <w:sz w:val="25"/>
          <w:szCs w:val="25"/>
        </w:rPr>
        <w:t>.</w:t>
      </w:r>
      <w:r w:rsidR="00844D13" w:rsidRPr="003B3A6C">
        <w:rPr>
          <w:sz w:val="25"/>
          <w:szCs w:val="25"/>
        </w:rPr>
        <w:t xml:space="preserve">  </w:t>
      </w:r>
      <w:r w:rsidR="0052685F" w:rsidRPr="003B3A6C">
        <w:rPr>
          <w:sz w:val="25"/>
          <w:szCs w:val="25"/>
        </w:rPr>
        <w:t xml:space="preserve">The Settlement’s treatment of Colstrip major </w:t>
      </w:r>
      <w:proofErr w:type="spellStart"/>
      <w:r w:rsidR="0052685F" w:rsidRPr="003B3A6C">
        <w:rPr>
          <w:sz w:val="25"/>
          <w:szCs w:val="25"/>
        </w:rPr>
        <w:t>O&amp;M</w:t>
      </w:r>
      <w:proofErr w:type="spellEnd"/>
      <w:r w:rsidR="0052685F" w:rsidRPr="003B3A6C">
        <w:rPr>
          <w:sz w:val="25"/>
          <w:szCs w:val="25"/>
        </w:rPr>
        <w:t xml:space="preserve"> costs aligns </w:t>
      </w:r>
      <w:r w:rsidR="003B3A6C" w:rsidRPr="003B3A6C">
        <w:rPr>
          <w:sz w:val="25"/>
          <w:szCs w:val="25"/>
        </w:rPr>
        <w:t>with</w:t>
      </w:r>
      <w:r w:rsidR="0052685F" w:rsidRPr="003B3A6C">
        <w:rPr>
          <w:sz w:val="25"/>
          <w:szCs w:val="25"/>
        </w:rPr>
        <w:t xml:space="preserve"> </w:t>
      </w:r>
      <w:r w:rsidR="000C3C26">
        <w:rPr>
          <w:sz w:val="25"/>
          <w:szCs w:val="25"/>
        </w:rPr>
        <w:t xml:space="preserve">the treatment of major </w:t>
      </w:r>
      <w:proofErr w:type="spellStart"/>
      <w:r w:rsidR="000C3C26">
        <w:rPr>
          <w:sz w:val="25"/>
          <w:szCs w:val="25"/>
        </w:rPr>
        <w:t>O&amp;M</w:t>
      </w:r>
      <w:proofErr w:type="spellEnd"/>
      <w:r w:rsidR="000C3C26">
        <w:rPr>
          <w:sz w:val="25"/>
          <w:szCs w:val="25"/>
        </w:rPr>
        <w:t xml:space="preserve"> </w:t>
      </w:r>
      <w:r w:rsidR="00F81914">
        <w:rPr>
          <w:sz w:val="25"/>
          <w:szCs w:val="25"/>
        </w:rPr>
        <w:t>costs for PSE’s natural gas generation plants</w:t>
      </w:r>
      <w:r w:rsidR="0007606A">
        <w:rPr>
          <w:sz w:val="25"/>
          <w:szCs w:val="25"/>
        </w:rPr>
        <w:t xml:space="preserve">.  </w:t>
      </w:r>
      <w:r w:rsidR="00F81914">
        <w:rPr>
          <w:sz w:val="25"/>
          <w:szCs w:val="25"/>
        </w:rPr>
        <w:t xml:space="preserve">To the extent the major </w:t>
      </w:r>
      <w:proofErr w:type="spellStart"/>
      <w:r w:rsidR="00F81914">
        <w:rPr>
          <w:sz w:val="25"/>
          <w:szCs w:val="25"/>
        </w:rPr>
        <w:t>O&amp;M</w:t>
      </w:r>
      <w:proofErr w:type="spellEnd"/>
      <w:r w:rsidR="00F81914">
        <w:rPr>
          <w:sz w:val="25"/>
          <w:szCs w:val="25"/>
        </w:rPr>
        <w:t xml:space="preserve"> costs of the two types of plants are similar to each other, consistency of treatment is practical and logical.  The Settlement’s</w:t>
      </w:r>
      <w:r w:rsidR="0052685F" w:rsidRPr="003B3A6C">
        <w:rPr>
          <w:sz w:val="25"/>
          <w:szCs w:val="25"/>
        </w:rPr>
        <w:t xml:space="preserve"> exclusion of </w:t>
      </w:r>
      <w:r w:rsidR="00DE0350">
        <w:rPr>
          <w:sz w:val="25"/>
          <w:szCs w:val="25"/>
        </w:rPr>
        <w:t>the</w:t>
      </w:r>
      <w:r w:rsidR="0052685F" w:rsidRPr="003B3A6C">
        <w:rPr>
          <w:sz w:val="25"/>
          <w:szCs w:val="25"/>
        </w:rPr>
        <w:t xml:space="preserve"> recent and lengthy outage at Colstrip units </w:t>
      </w:r>
      <w:r w:rsidR="00DE0350">
        <w:rPr>
          <w:sz w:val="25"/>
          <w:szCs w:val="25"/>
        </w:rPr>
        <w:t xml:space="preserve">4 </w:t>
      </w:r>
      <w:r w:rsidR="0052685F" w:rsidRPr="003B3A6C">
        <w:rPr>
          <w:sz w:val="25"/>
          <w:szCs w:val="25"/>
        </w:rPr>
        <w:t>is consistent with Commission practice for normalizing Colstrip</w:t>
      </w:r>
      <w:r w:rsidR="003B3A6C" w:rsidRPr="003B3A6C">
        <w:rPr>
          <w:sz w:val="25"/>
          <w:szCs w:val="25"/>
        </w:rPr>
        <w:t>’s</w:t>
      </w:r>
      <w:r w:rsidR="0052685F" w:rsidRPr="003B3A6C">
        <w:rPr>
          <w:sz w:val="25"/>
          <w:szCs w:val="25"/>
        </w:rPr>
        <w:t xml:space="preserve"> forced outage rate</w:t>
      </w:r>
      <w:r w:rsidR="0007606A">
        <w:rPr>
          <w:sz w:val="25"/>
          <w:szCs w:val="25"/>
        </w:rPr>
        <w:t>s for the four Colstrip units</w:t>
      </w:r>
      <w:r w:rsidR="0052685F" w:rsidRPr="003B3A6C">
        <w:rPr>
          <w:sz w:val="25"/>
          <w:szCs w:val="25"/>
        </w:rPr>
        <w:t xml:space="preserve">.  </w:t>
      </w:r>
      <w:r w:rsidR="009B48B4" w:rsidRPr="009B48B4">
        <w:rPr>
          <w:sz w:val="25"/>
          <w:szCs w:val="25"/>
        </w:rPr>
        <w:t>The Settlement also adjusts the generation output for two generation facilities in the AURORA model.</w:t>
      </w:r>
      <w:r w:rsidR="00C54852" w:rsidRPr="003B3A6C">
        <w:rPr>
          <w:sz w:val="25"/>
          <w:szCs w:val="25"/>
        </w:rPr>
        <w:t xml:space="preserve"> </w:t>
      </w:r>
    </w:p>
    <w:p w14:paraId="476B8E2A" w14:textId="77777777" w:rsidR="00C54852" w:rsidRDefault="00C54852" w:rsidP="008B3E38">
      <w:pPr>
        <w:pStyle w:val="ListParagraph"/>
        <w:spacing w:line="288" w:lineRule="auto"/>
        <w:rPr>
          <w:color w:val="000000"/>
          <w:sz w:val="25"/>
          <w:szCs w:val="25"/>
        </w:rPr>
      </w:pPr>
    </w:p>
    <w:p w14:paraId="0439CB0F" w14:textId="2F7EA800" w:rsidR="00C54852" w:rsidRPr="0068183D" w:rsidRDefault="009862D2" w:rsidP="008B3E38">
      <w:pPr>
        <w:numPr>
          <w:ilvl w:val="0"/>
          <w:numId w:val="14"/>
        </w:numPr>
        <w:spacing w:line="288" w:lineRule="auto"/>
        <w:ind w:hanging="720"/>
        <w:rPr>
          <w:color w:val="000000"/>
          <w:sz w:val="25"/>
          <w:szCs w:val="25"/>
        </w:rPr>
      </w:pPr>
      <w:r>
        <w:rPr>
          <w:sz w:val="25"/>
          <w:szCs w:val="25"/>
        </w:rPr>
        <w:t xml:space="preserve">The Settlement also addresses the net power costs (NPC) of the Coal Transition </w:t>
      </w:r>
      <w:proofErr w:type="spellStart"/>
      <w:r>
        <w:rPr>
          <w:sz w:val="25"/>
          <w:szCs w:val="25"/>
        </w:rPr>
        <w:t>PPA</w:t>
      </w:r>
      <w:proofErr w:type="spellEnd"/>
      <w:r>
        <w:rPr>
          <w:sz w:val="25"/>
          <w:szCs w:val="25"/>
        </w:rPr>
        <w:t>.  The Commission approved the C</w:t>
      </w:r>
      <w:r w:rsidRPr="00B34263">
        <w:rPr>
          <w:sz w:val="25"/>
          <w:szCs w:val="25"/>
        </w:rPr>
        <w:t>oal</w:t>
      </w:r>
      <w:r>
        <w:rPr>
          <w:sz w:val="25"/>
          <w:szCs w:val="25"/>
        </w:rPr>
        <w:t xml:space="preserve"> transition </w:t>
      </w:r>
      <w:proofErr w:type="spellStart"/>
      <w:r>
        <w:rPr>
          <w:sz w:val="25"/>
          <w:szCs w:val="25"/>
        </w:rPr>
        <w:t>PPA</w:t>
      </w:r>
      <w:proofErr w:type="spellEnd"/>
      <w:r>
        <w:rPr>
          <w:sz w:val="25"/>
          <w:szCs w:val="25"/>
        </w:rPr>
        <w:t xml:space="preserve"> in Docket </w:t>
      </w:r>
      <w:proofErr w:type="spellStart"/>
      <w:r>
        <w:rPr>
          <w:sz w:val="25"/>
          <w:szCs w:val="25"/>
        </w:rPr>
        <w:t>UE</w:t>
      </w:r>
      <w:proofErr w:type="spellEnd"/>
      <w:r>
        <w:rPr>
          <w:sz w:val="25"/>
          <w:szCs w:val="25"/>
        </w:rPr>
        <w:t>-121373</w:t>
      </w:r>
      <w:r w:rsidRPr="00B34263">
        <w:rPr>
          <w:sz w:val="25"/>
          <w:szCs w:val="25"/>
        </w:rPr>
        <w:t>.</w:t>
      </w:r>
      <w:r>
        <w:rPr>
          <w:rStyle w:val="FootnoteReference"/>
          <w:sz w:val="25"/>
          <w:szCs w:val="25"/>
        </w:rPr>
        <w:footnoteReference w:id="20"/>
      </w:r>
      <w:r w:rsidRPr="00B34263">
        <w:rPr>
          <w:sz w:val="25"/>
          <w:szCs w:val="25"/>
        </w:rPr>
        <w:t xml:space="preserve">  The </w:t>
      </w:r>
      <w:proofErr w:type="spellStart"/>
      <w:r w:rsidRPr="00B34263">
        <w:rPr>
          <w:sz w:val="25"/>
          <w:szCs w:val="25"/>
        </w:rPr>
        <w:t>PPA</w:t>
      </w:r>
      <w:proofErr w:type="spellEnd"/>
      <w:r w:rsidRPr="00B34263">
        <w:rPr>
          <w:sz w:val="25"/>
          <w:szCs w:val="25"/>
        </w:rPr>
        <w:t xml:space="preserve"> consists of three tranches of power </w:t>
      </w:r>
      <w:r>
        <w:rPr>
          <w:sz w:val="25"/>
          <w:szCs w:val="25"/>
        </w:rPr>
        <w:t xml:space="preserve">that begin </w:t>
      </w:r>
      <w:r w:rsidRPr="00B34263">
        <w:rPr>
          <w:sz w:val="25"/>
          <w:szCs w:val="25"/>
        </w:rPr>
        <w:t>delivery</w:t>
      </w:r>
      <w:r>
        <w:rPr>
          <w:sz w:val="25"/>
          <w:szCs w:val="25"/>
        </w:rPr>
        <w:t xml:space="preserve"> on three different dates</w:t>
      </w:r>
      <w:r w:rsidRPr="00B34263">
        <w:rPr>
          <w:sz w:val="25"/>
          <w:szCs w:val="25"/>
        </w:rPr>
        <w:t>.  Th</w:t>
      </w:r>
      <w:r>
        <w:rPr>
          <w:sz w:val="25"/>
          <w:szCs w:val="25"/>
        </w:rPr>
        <w:t xml:space="preserve">e first tranche of </w:t>
      </w:r>
      <w:r w:rsidRPr="00B34263">
        <w:rPr>
          <w:sz w:val="25"/>
          <w:szCs w:val="25"/>
        </w:rPr>
        <w:t xml:space="preserve">180 MW </w:t>
      </w:r>
      <w:r>
        <w:rPr>
          <w:sz w:val="25"/>
          <w:szCs w:val="25"/>
        </w:rPr>
        <w:t xml:space="preserve">begins delivery </w:t>
      </w:r>
      <w:r w:rsidRPr="00B34263">
        <w:rPr>
          <w:sz w:val="25"/>
          <w:szCs w:val="25"/>
        </w:rPr>
        <w:t>on Dec 1, 2014, the se</w:t>
      </w:r>
      <w:r>
        <w:rPr>
          <w:sz w:val="25"/>
          <w:szCs w:val="25"/>
        </w:rPr>
        <w:t>cond tranche of 100 MW begins delivery on Dec 1, 2015, and the last tranche of 100 MW begins delivery on Dec 1, 2016.  The</w:t>
      </w:r>
      <w:r w:rsidR="00C54852">
        <w:rPr>
          <w:sz w:val="25"/>
          <w:szCs w:val="25"/>
        </w:rPr>
        <w:t xml:space="preserve"> Commission required PSE to file </w:t>
      </w:r>
      <w:r w:rsidR="00085827">
        <w:rPr>
          <w:sz w:val="25"/>
          <w:szCs w:val="25"/>
        </w:rPr>
        <w:t>this</w:t>
      </w:r>
      <w:r w:rsidR="00C54852">
        <w:rPr>
          <w:sz w:val="25"/>
          <w:szCs w:val="25"/>
        </w:rPr>
        <w:t xml:space="preserve"> </w:t>
      </w:r>
      <w:proofErr w:type="spellStart"/>
      <w:r w:rsidR="00C54852">
        <w:rPr>
          <w:sz w:val="25"/>
          <w:szCs w:val="25"/>
        </w:rPr>
        <w:t>PCORC</w:t>
      </w:r>
      <w:proofErr w:type="spellEnd"/>
      <w:r w:rsidR="00C54852">
        <w:rPr>
          <w:sz w:val="25"/>
          <w:szCs w:val="25"/>
        </w:rPr>
        <w:t xml:space="preserve"> </w:t>
      </w:r>
      <w:r w:rsidR="00085827">
        <w:rPr>
          <w:sz w:val="25"/>
          <w:szCs w:val="25"/>
        </w:rPr>
        <w:t>so as to</w:t>
      </w:r>
      <w:r w:rsidR="00C54852">
        <w:rPr>
          <w:sz w:val="25"/>
          <w:szCs w:val="25"/>
        </w:rPr>
        <w:t xml:space="preserve"> place in rates the </w:t>
      </w:r>
      <w:r w:rsidR="0056540F">
        <w:rPr>
          <w:sz w:val="25"/>
          <w:szCs w:val="25"/>
        </w:rPr>
        <w:t xml:space="preserve">cost of the </w:t>
      </w:r>
      <w:r w:rsidR="00C54852">
        <w:rPr>
          <w:sz w:val="25"/>
          <w:szCs w:val="25"/>
        </w:rPr>
        <w:t>first tr</w:t>
      </w:r>
      <w:r w:rsidR="00085827">
        <w:rPr>
          <w:sz w:val="25"/>
          <w:szCs w:val="25"/>
        </w:rPr>
        <w:t>a</w:t>
      </w:r>
      <w:r w:rsidR="00C54852">
        <w:rPr>
          <w:sz w:val="25"/>
          <w:szCs w:val="25"/>
        </w:rPr>
        <w:t>nch</w:t>
      </w:r>
      <w:r w:rsidR="0056540F">
        <w:rPr>
          <w:sz w:val="25"/>
          <w:szCs w:val="25"/>
        </w:rPr>
        <w:t>e</w:t>
      </w:r>
      <w:r w:rsidR="00C54852">
        <w:rPr>
          <w:sz w:val="25"/>
          <w:szCs w:val="25"/>
        </w:rPr>
        <w:t xml:space="preserve"> of power from the </w:t>
      </w:r>
      <w:proofErr w:type="spellStart"/>
      <w:r w:rsidR="00C54852">
        <w:rPr>
          <w:sz w:val="25"/>
          <w:szCs w:val="25"/>
        </w:rPr>
        <w:t>PPA</w:t>
      </w:r>
      <w:proofErr w:type="spellEnd"/>
      <w:r w:rsidR="00C54852">
        <w:rPr>
          <w:sz w:val="25"/>
          <w:szCs w:val="25"/>
        </w:rPr>
        <w:t xml:space="preserve"> and for PSE to propose a metho</w:t>
      </w:r>
      <w:r w:rsidR="00085827">
        <w:rPr>
          <w:sz w:val="25"/>
          <w:szCs w:val="25"/>
        </w:rPr>
        <w:t xml:space="preserve">d for including the </w:t>
      </w:r>
      <w:r w:rsidR="0056540F">
        <w:rPr>
          <w:sz w:val="25"/>
          <w:szCs w:val="25"/>
        </w:rPr>
        <w:t>costs</w:t>
      </w:r>
      <w:r w:rsidR="0007606A">
        <w:rPr>
          <w:sz w:val="25"/>
          <w:szCs w:val="25"/>
        </w:rPr>
        <w:t xml:space="preserve"> in rates</w:t>
      </w:r>
      <w:r w:rsidR="0056540F">
        <w:rPr>
          <w:sz w:val="25"/>
          <w:szCs w:val="25"/>
        </w:rPr>
        <w:t xml:space="preserve"> of the </w:t>
      </w:r>
      <w:r w:rsidR="0007606A">
        <w:rPr>
          <w:sz w:val="25"/>
          <w:szCs w:val="25"/>
        </w:rPr>
        <w:t xml:space="preserve">2015 and 2016 </w:t>
      </w:r>
      <w:r w:rsidR="00085827">
        <w:rPr>
          <w:sz w:val="25"/>
          <w:szCs w:val="25"/>
        </w:rPr>
        <w:t>tra</w:t>
      </w:r>
      <w:r w:rsidR="00C54852">
        <w:rPr>
          <w:sz w:val="25"/>
          <w:szCs w:val="25"/>
        </w:rPr>
        <w:t>nches of power</w:t>
      </w:r>
      <w:r w:rsidR="0007606A">
        <w:rPr>
          <w:sz w:val="25"/>
          <w:szCs w:val="25"/>
        </w:rPr>
        <w:t>.</w:t>
      </w:r>
      <w:r w:rsidR="00CE3665">
        <w:rPr>
          <w:rStyle w:val="FootnoteReference"/>
          <w:sz w:val="25"/>
          <w:szCs w:val="25"/>
        </w:rPr>
        <w:footnoteReference w:id="21"/>
      </w:r>
      <w:r w:rsidR="00C54852">
        <w:rPr>
          <w:sz w:val="25"/>
          <w:szCs w:val="25"/>
        </w:rPr>
        <w:t xml:space="preserve"> </w:t>
      </w:r>
      <w:r w:rsidR="00CE3665">
        <w:rPr>
          <w:sz w:val="25"/>
          <w:szCs w:val="25"/>
        </w:rPr>
        <w:t xml:space="preserve"> </w:t>
      </w:r>
      <w:r w:rsidR="00C54852">
        <w:rPr>
          <w:sz w:val="25"/>
          <w:szCs w:val="25"/>
        </w:rPr>
        <w:t xml:space="preserve">The Settlement </w:t>
      </w:r>
      <w:r w:rsidR="00B326E3">
        <w:rPr>
          <w:sz w:val="25"/>
          <w:szCs w:val="25"/>
        </w:rPr>
        <w:t xml:space="preserve">provides for </w:t>
      </w:r>
      <w:r w:rsidR="009B48B4">
        <w:rPr>
          <w:sz w:val="25"/>
          <w:szCs w:val="25"/>
        </w:rPr>
        <w:t xml:space="preserve">the </w:t>
      </w:r>
      <w:r w:rsidR="00B326E3">
        <w:rPr>
          <w:sz w:val="25"/>
          <w:szCs w:val="25"/>
        </w:rPr>
        <w:t>recover</w:t>
      </w:r>
      <w:r w:rsidR="0056540F">
        <w:rPr>
          <w:sz w:val="25"/>
          <w:szCs w:val="25"/>
        </w:rPr>
        <w:t>y</w:t>
      </w:r>
      <w:r w:rsidR="00B326E3">
        <w:rPr>
          <w:sz w:val="25"/>
          <w:szCs w:val="25"/>
        </w:rPr>
        <w:t xml:space="preserve"> of </w:t>
      </w:r>
      <w:proofErr w:type="spellStart"/>
      <w:r w:rsidR="00C54852">
        <w:rPr>
          <w:sz w:val="25"/>
          <w:szCs w:val="25"/>
        </w:rPr>
        <w:t>NPC</w:t>
      </w:r>
      <w:r>
        <w:rPr>
          <w:sz w:val="25"/>
          <w:szCs w:val="25"/>
        </w:rPr>
        <w:t>s</w:t>
      </w:r>
      <w:proofErr w:type="spellEnd"/>
      <w:r w:rsidR="00C54852">
        <w:rPr>
          <w:sz w:val="25"/>
          <w:szCs w:val="25"/>
        </w:rPr>
        <w:t xml:space="preserve"> </w:t>
      </w:r>
      <w:r w:rsidR="009B48B4">
        <w:rPr>
          <w:sz w:val="25"/>
          <w:szCs w:val="25"/>
        </w:rPr>
        <w:t xml:space="preserve">which are </w:t>
      </w:r>
      <w:r w:rsidR="00C54852">
        <w:rPr>
          <w:sz w:val="25"/>
          <w:szCs w:val="25"/>
        </w:rPr>
        <w:t>approximately $14 million lower than existing NPC even after the inclusion of the additional costs of the first tr</w:t>
      </w:r>
      <w:r w:rsidR="00B326E3">
        <w:rPr>
          <w:sz w:val="25"/>
          <w:szCs w:val="25"/>
        </w:rPr>
        <w:t>a</w:t>
      </w:r>
      <w:r w:rsidR="00C54852">
        <w:rPr>
          <w:sz w:val="25"/>
          <w:szCs w:val="25"/>
        </w:rPr>
        <w:t>nch</w:t>
      </w:r>
      <w:r w:rsidR="0056540F">
        <w:rPr>
          <w:sz w:val="25"/>
          <w:szCs w:val="25"/>
        </w:rPr>
        <w:t>e</w:t>
      </w:r>
      <w:r w:rsidR="00C54852">
        <w:rPr>
          <w:sz w:val="25"/>
          <w:szCs w:val="25"/>
        </w:rPr>
        <w:t xml:space="preserve"> of power from </w:t>
      </w:r>
      <w:r w:rsidR="0007606A">
        <w:rPr>
          <w:sz w:val="25"/>
          <w:szCs w:val="25"/>
        </w:rPr>
        <w:t xml:space="preserve">this </w:t>
      </w:r>
      <w:proofErr w:type="spellStart"/>
      <w:r w:rsidR="00C54852">
        <w:rPr>
          <w:sz w:val="25"/>
          <w:szCs w:val="25"/>
        </w:rPr>
        <w:t>PPA</w:t>
      </w:r>
      <w:proofErr w:type="spellEnd"/>
      <w:r w:rsidR="00C54852">
        <w:rPr>
          <w:sz w:val="25"/>
          <w:szCs w:val="25"/>
        </w:rPr>
        <w:t>.  The Settlemen</w:t>
      </w:r>
      <w:r w:rsidR="009D1ABA">
        <w:rPr>
          <w:sz w:val="25"/>
          <w:szCs w:val="25"/>
        </w:rPr>
        <w:t>t</w:t>
      </w:r>
      <w:r w:rsidR="0007606A">
        <w:rPr>
          <w:sz w:val="25"/>
          <w:szCs w:val="25"/>
        </w:rPr>
        <w:t>’s proposal of</w:t>
      </w:r>
      <w:r w:rsidR="00C54852">
        <w:rPr>
          <w:sz w:val="25"/>
          <w:szCs w:val="25"/>
        </w:rPr>
        <w:t xml:space="preserve"> another </w:t>
      </w:r>
      <w:proofErr w:type="spellStart"/>
      <w:r w:rsidR="00C54852">
        <w:rPr>
          <w:sz w:val="25"/>
          <w:szCs w:val="25"/>
        </w:rPr>
        <w:t>PCORC</w:t>
      </w:r>
      <w:proofErr w:type="spellEnd"/>
      <w:r w:rsidR="00C54852">
        <w:rPr>
          <w:sz w:val="25"/>
          <w:szCs w:val="25"/>
        </w:rPr>
        <w:t xml:space="preserve"> filing in 2015 to place in rates </w:t>
      </w:r>
      <w:r w:rsidR="0056540F">
        <w:rPr>
          <w:sz w:val="25"/>
          <w:szCs w:val="25"/>
        </w:rPr>
        <w:t xml:space="preserve">the costs of the </w:t>
      </w:r>
      <w:r w:rsidR="00C54852">
        <w:rPr>
          <w:sz w:val="25"/>
          <w:szCs w:val="25"/>
        </w:rPr>
        <w:t>second tr</w:t>
      </w:r>
      <w:r w:rsidR="00B326E3">
        <w:rPr>
          <w:sz w:val="25"/>
          <w:szCs w:val="25"/>
        </w:rPr>
        <w:t>a</w:t>
      </w:r>
      <w:r w:rsidR="00C54852">
        <w:rPr>
          <w:sz w:val="25"/>
          <w:szCs w:val="25"/>
        </w:rPr>
        <w:t>nch</w:t>
      </w:r>
      <w:r w:rsidR="0056540F">
        <w:rPr>
          <w:sz w:val="25"/>
          <w:szCs w:val="25"/>
        </w:rPr>
        <w:t>e</w:t>
      </w:r>
      <w:r w:rsidR="00C54852">
        <w:rPr>
          <w:sz w:val="25"/>
          <w:szCs w:val="25"/>
        </w:rPr>
        <w:t xml:space="preserve"> of </w:t>
      </w:r>
      <w:r w:rsidR="0007606A">
        <w:rPr>
          <w:sz w:val="25"/>
          <w:szCs w:val="25"/>
        </w:rPr>
        <w:t xml:space="preserve">power </w:t>
      </w:r>
      <w:r w:rsidR="00C54852">
        <w:rPr>
          <w:sz w:val="25"/>
          <w:szCs w:val="25"/>
        </w:rPr>
        <w:t>is sound.  The third tr</w:t>
      </w:r>
      <w:r w:rsidR="00B326E3">
        <w:rPr>
          <w:sz w:val="25"/>
          <w:szCs w:val="25"/>
        </w:rPr>
        <w:t>a</w:t>
      </w:r>
      <w:r w:rsidR="00C54852">
        <w:rPr>
          <w:sz w:val="25"/>
          <w:szCs w:val="25"/>
        </w:rPr>
        <w:t>nch</w:t>
      </w:r>
      <w:r w:rsidR="0056540F">
        <w:rPr>
          <w:sz w:val="25"/>
          <w:szCs w:val="25"/>
        </w:rPr>
        <w:t>e, in 2016,</w:t>
      </w:r>
      <w:r w:rsidR="00C54852">
        <w:rPr>
          <w:sz w:val="25"/>
          <w:szCs w:val="25"/>
        </w:rPr>
        <w:t xml:space="preserve"> commences during the window of time </w:t>
      </w:r>
      <w:r w:rsidR="0007606A">
        <w:rPr>
          <w:sz w:val="25"/>
          <w:szCs w:val="25"/>
        </w:rPr>
        <w:t xml:space="preserve">in which </w:t>
      </w:r>
      <w:r w:rsidR="00C54852">
        <w:rPr>
          <w:sz w:val="25"/>
          <w:szCs w:val="25"/>
        </w:rPr>
        <w:t>PSE must file a general rate case</w:t>
      </w:r>
      <w:r w:rsidR="0007606A">
        <w:rPr>
          <w:sz w:val="25"/>
          <w:szCs w:val="25"/>
        </w:rPr>
        <w:t xml:space="preserve"> (</w:t>
      </w:r>
      <w:proofErr w:type="spellStart"/>
      <w:r w:rsidR="0007606A">
        <w:rPr>
          <w:sz w:val="25"/>
          <w:szCs w:val="25"/>
        </w:rPr>
        <w:t>GRC</w:t>
      </w:r>
      <w:proofErr w:type="spellEnd"/>
      <w:r w:rsidR="0007606A">
        <w:rPr>
          <w:sz w:val="25"/>
          <w:szCs w:val="25"/>
        </w:rPr>
        <w:t>)</w:t>
      </w:r>
      <w:r w:rsidR="00C54852">
        <w:rPr>
          <w:sz w:val="25"/>
          <w:szCs w:val="25"/>
        </w:rPr>
        <w:t xml:space="preserve">.  To accommodate the possible </w:t>
      </w:r>
      <w:r w:rsidR="00B326E3">
        <w:rPr>
          <w:sz w:val="25"/>
          <w:szCs w:val="25"/>
        </w:rPr>
        <w:t xml:space="preserve">timing </w:t>
      </w:r>
      <w:r w:rsidR="00C54852">
        <w:rPr>
          <w:sz w:val="25"/>
          <w:szCs w:val="25"/>
        </w:rPr>
        <w:t xml:space="preserve">mismatch of the </w:t>
      </w:r>
      <w:proofErr w:type="spellStart"/>
      <w:r w:rsidR="0007606A">
        <w:rPr>
          <w:sz w:val="25"/>
          <w:szCs w:val="25"/>
        </w:rPr>
        <w:t>GRC</w:t>
      </w:r>
      <w:proofErr w:type="spellEnd"/>
      <w:r w:rsidR="0007606A">
        <w:rPr>
          <w:sz w:val="25"/>
          <w:szCs w:val="25"/>
        </w:rPr>
        <w:t xml:space="preserve"> </w:t>
      </w:r>
      <w:r w:rsidR="00C54852">
        <w:rPr>
          <w:sz w:val="25"/>
          <w:szCs w:val="25"/>
        </w:rPr>
        <w:t>and the beginn</w:t>
      </w:r>
      <w:r w:rsidR="00B326E3">
        <w:rPr>
          <w:sz w:val="25"/>
          <w:szCs w:val="25"/>
        </w:rPr>
        <w:t>ing of the cost of the third tra</w:t>
      </w:r>
      <w:r w:rsidR="00C54852">
        <w:rPr>
          <w:sz w:val="25"/>
          <w:szCs w:val="25"/>
        </w:rPr>
        <w:t>nch</w:t>
      </w:r>
      <w:r w:rsidR="00417CE0">
        <w:rPr>
          <w:sz w:val="25"/>
          <w:szCs w:val="25"/>
        </w:rPr>
        <w:t>e</w:t>
      </w:r>
      <w:r w:rsidR="00C54852">
        <w:rPr>
          <w:sz w:val="25"/>
          <w:szCs w:val="25"/>
        </w:rPr>
        <w:t xml:space="preserve"> of power, the Settlement proposes th</w:t>
      </w:r>
      <w:r w:rsidR="00B326E3">
        <w:rPr>
          <w:sz w:val="25"/>
          <w:szCs w:val="25"/>
        </w:rPr>
        <w:t xml:space="preserve">at PSE be allowed to make a </w:t>
      </w:r>
      <w:r w:rsidR="00C54852">
        <w:rPr>
          <w:sz w:val="25"/>
          <w:szCs w:val="25"/>
        </w:rPr>
        <w:t>compliance filing to track any of the costs of the third tr</w:t>
      </w:r>
      <w:r w:rsidR="00B326E3">
        <w:rPr>
          <w:sz w:val="25"/>
          <w:szCs w:val="25"/>
        </w:rPr>
        <w:t>a</w:t>
      </w:r>
      <w:r w:rsidR="00C54852">
        <w:rPr>
          <w:sz w:val="25"/>
          <w:szCs w:val="25"/>
        </w:rPr>
        <w:t>nch</w:t>
      </w:r>
      <w:r w:rsidR="00417CE0">
        <w:rPr>
          <w:sz w:val="25"/>
          <w:szCs w:val="25"/>
        </w:rPr>
        <w:t>e</w:t>
      </w:r>
      <w:r w:rsidR="00C54852">
        <w:rPr>
          <w:sz w:val="25"/>
          <w:szCs w:val="25"/>
        </w:rPr>
        <w:t xml:space="preserve"> of power that may</w:t>
      </w:r>
      <w:r w:rsidR="0007606A">
        <w:rPr>
          <w:sz w:val="25"/>
          <w:szCs w:val="25"/>
        </w:rPr>
        <w:t xml:space="preserve"> not be included in the relevant test year of the </w:t>
      </w:r>
      <w:proofErr w:type="spellStart"/>
      <w:r w:rsidR="0007606A">
        <w:rPr>
          <w:sz w:val="25"/>
          <w:szCs w:val="25"/>
        </w:rPr>
        <w:t>GRC</w:t>
      </w:r>
      <w:proofErr w:type="spellEnd"/>
      <w:r w:rsidR="00C54852">
        <w:rPr>
          <w:sz w:val="25"/>
          <w:szCs w:val="25"/>
        </w:rPr>
        <w:t>.  The Commission considers this provision necessary to</w:t>
      </w:r>
      <w:r w:rsidR="00AD5114">
        <w:rPr>
          <w:sz w:val="25"/>
          <w:szCs w:val="25"/>
        </w:rPr>
        <w:t xml:space="preserve"> </w:t>
      </w:r>
      <w:r w:rsidR="00607437">
        <w:rPr>
          <w:sz w:val="25"/>
          <w:szCs w:val="25"/>
        </w:rPr>
        <w:t>ensure</w:t>
      </w:r>
      <w:r w:rsidR="00C54852">
        <w:rPr>
          <w:sz w:val="25"/>
          <w:szCs w:val="25"/>
        </w:rPr>
        <w:t xml:space="preserve"> </w:t>
      </w:r>
      <w:r w:rsidR="00607437">
        <w:rPr>
          <w:sz w:val="25"/>
          <w:szCs w:val="25"/>
        </w:rPr>
        <w:t xml:space="preserve">full and timely </w:t>
      </w:r>
      <w:r w:rsidR="00C54852">
        <w:rPr>
          <w:sz w:val="25"/>
          <w:szCs w:val="25"/>
        </w:rPr>
        <w:t xml:space="preserve">recovery of </w:t>
      </w:r>
      <w:r w:rsidR="00607437">
        <w:rPr>
          <w:sz w:val="25"/>
          <w:szCs w:val="25"/>
        </w:rPr>
        <w:t xml:space="preserve">all aspects of power costs associated with this </w:t>
      </w:r>
      <w:proofErr w:type="spellStart"/>
      <w:r w:rsidR="00607437">
        <w:rPr>
          <w:sz w:val="25"/>
          <w:szCs w:val="25"/>
        </w:rPr>
        <w:t>PPA</w:t>
      </w:r>
      <w:proofErr w:type="spellEnd"/>
      <w:r w:rsidR="00607437">
        <w:rPr>
          <w:sz w:val="25"/>
          <w:szCs w:val="25"/>
        </w:rPr>
        <w:t>.</w:t>
      </w:r>
    </w:p>
    <w:p w14:paraId="382FC435" w14:textId="77777777" w:rsidR="00282B9D" w:rsidRDefault="00282B9D" w:rsidP="008B3E38">
      <w:pPr>
        <w:pStyle w:val="ListParagraph"/>
        <w:spacing w:line="288" w:lineRule="auto"/>
        <w:rPr>
          <w:color w:val="000000"/>
          <w:sz w:val="25"/>
          <w:szCs w:val="25"/>
        </w:rPr>
      </w:pPr>
    </w:p>
    <w:p w14:paraId="1B870337" w14:textId="77777777" w:rsidR="00282B9D" w:rsidRPr="00B3075D" w:rsidRDefault="00282B9D" w:rsidP="008B3E38">
      <w:pPr>
        <w:numPr>
          <w:ilvl w:val="0"/>
          <w:numId w:val="14"/>
        </w:numPr>
        <w:spacing w:line="288" w:lineRule="auto"/>
        <w:ind w:hanging="720"/>
        <w:rPr>
          <w:sz w:val="25"/>
          <w:szCs w:val="25"/>
        </w:rPr>
      </w:pPr>
      <w:r>
        <w:rPr>
          <w:b/>
          <w:color w:val="000000"/>
          <w:sz w:val="25"/>
          <w:szCs w:val="25"/>
        </w:rPr>
        <w:t xml:space="preserve">Snoqualmie Hydroelectric Project.  </w:t>
      </w:r>
      <w:r w:rsidR="00B3075D" w:rsidRPr="00B3075D">
        <w:rPr>
          <w:sz w:val="25"/>
          <w:szCs w:val="25"/>
        </w:rPr>
        <w:t xml:space="preserve">The Settlement delays the </w:t>
      </w:r>
      <w:r w:rsidR="00C067E8">
        <w:rPr>
          <w:sz w:val="25"/>
          <w:szCs w:val="25"/>
        </w:rPr>
        <w:t xml:space="preserve">consideration of </w:t>
      </w:r>
      <w:r w:rsidR="00B3075D" w:rsidRPr="00B3075D">
        <w:rPr>
          <w:sz w:val="25"/>
          <w:szCs w:val="25"/>
        </w:rPr>
        <w:t>additions, changes</w:t>
      </w:r>
      <w:r w:rsidR="0068183D">
        <w:rPr>
          <w:sz w:val="25"/>
          <w:szCs w:val="25"/>
        </w:rPr>
        <w:t>,</w:t>
      </w:r>
      <w:r w:rsidR="00B3075D" w:rsidRPr="00B3075D">
        <w:rPr>
          <w:sz w:val="25"/>
          <w:szCs w:val="25"/>
        </w:rPr>
        <w:t xml:space="preserve"> or improvements to the Sno</w:t>
      </w:r>
      <w:r w:rsidR="0068183D">
        <w:rPr>
          <w:sz w:val="25"/>
          <w:szCs w:val="25"/>
        </w:rPr>
        <w:t xml:space="preserve">qualmie Hydroelectric Project </w:t>
      </w:r>
      <w:r w:rsidR="00902AFF">
        <w:rPr>
          <w:sz w:val="25"/>
          <w:szCs w:val="25"/>
        </w:rPr>
        <w:t xml:space="preserve">(Snoqualmie) </w:t>
      </w:r>
      <w:r w:rsidR="00B3075D" w:rsidRPr="00B3075D">
        <w:rPr>
          <w:sz w:val="25"/>
          <w:szCs w:val="25"/>
        </w:rPr>
        <w:t>that PSE included in its direct case</w:t>
      </w:r>
      <w:r w:rsidR="00C067E8">
        <w:rPr>
          <w:sz w:val="25"/>
          <w:szCs w:val="25"/>
        </w:rPr>
        <w:t xml:space="preserve"> until the Company’s</w:t>
      </w:r>
      <w:r w:rsidR="00B3075D" w:rsidRPr="00B3075D">
        <w:rPr>
          <w:sz w:val="25"/>
          <w:szCs w:val="25"/>
        </w:rPr>
        <w:t xml:space="preserve"> 2015 </w:t>
      </w:r>
      <w:proofErr w:type="spellStart"/>
      <w:r w:rsidR="00B3075D" w:rsidRPr="00B3075D">
        <w:rPr>
          <w:sz w:val="25"/>
          <w:szCs w:val="25"/>
        </w:rPr>
        <w:t>PCORC</w:t>
      </w:r>
      <w:proofErr w:type="spellEnd"/>
      <w:r w:rsidR="00B3075D" w:rsidRPr="00B3075D">
        <w:rPr>
          <w:sz w:val="25"/>
          <w:szCs w:val="25"/>
        </w:rPr>
        <w:t xml:space="preserve"> </w:t>
      </w:r>
      <w:r w:rsidR="00902AFF">
        <w:rPr>
          <w:sz w:val="25"/>
          <w:szCs w:val="25"/>
        </w:rPr>
        <w:t xml:space="preserve">filing </w:t>
      </w:r>
      <w:r w:rsidR="00B3075D" w:rsidRPr="00B3075D">
        <w:rPr>
          <w:sz w:val="25"/>
          <w:szCs w:val="25"/>
        </w:rPr>
        <w:t xml:space="preserve">or </w:t>
      </w:r>
      <w:r w:rsidR="00C067E8">
        <w:rPr>
          <w:sz w:val="25"/>
          <w:szCs w:val="25"/>
        </w:rPr>
        <w:t xml:space="preserve">a </w:t>
      </w:r>
      <w:r w:rsidR="00B3075D" w:rsidRPr="00B3075D">
        <w:rPr>
          <w:sz w:val="25"/>
          <w:szCs w:val="25"/>
        </w:rPr>
        <w:t>similar proceeding</w:t>
      </w:r>
      <w:r w:rsidR="00C067E8">
        <w:rPr>
          <w:sz w:val="25"/>
          <w:szCs w:val="25"/>
        </w:rPr>
        <w:t xml:space="preserve"> when</w:t>
      </w:r>
      <w:r w:rsidR="00B3075D" w:rsidRPr="00B3075D">
        <w:rPr>
          <w:sz w:val="25"/>
          <w:szCs w:val="25"/>
        </w:rPr>
        <w:t xml:space="preserve"> full and final amounts of the project upgrades are determined. The rate base level of $305,197,775</w:t>
      </w:r>
      <w:r w:rsidR="00C067E8">
        <w:rPr>
          <w:sz w:val="25"/>
          <w:szCs w:val="25"/>
        </w:rPr>
        <w:t xml:space="preserve">, </w:t>
      </w:r>
      <w:r w:rsidR="00B3075D" w:rsidRPr="00B3075D">
        <w:rPr>
          <w:sz w:val="25"/>
          <w:szCs w:val="25"/>
        </w:rPr>
        <w:t xml:space="preserve">updated for accumulated depreciation and </w:t>
      </w:r>
      <w:r w:rsidR="00902AFF">
        <w:rPr>
          <w:sz w:val="25"/>
          <w:szCs w:val="25"/>
        </w:rPr>
        <w:t>deferred federal income tax</w:t>
      </w:r>
      <w:r w:rsidR="00C067E8">
        <w:rPr>
          <w:sz w:val="25"/>
          <w:szCs w:val="25"/>
        </w:rPr>
        <w:t>,</w:t>
      </w:r>
      <w:r w:rsidR="00B3075D" w:rsidRPr="00B3075D">
        <w:rPr>
          <w:sz w:val="25"/>
          <w:szCs w:val="25"/>
        </w:rPr>
        <w:t xml:space="preserve"> was </w:t>
      </w:r>
      <w:r w:rsidR="00C067E8">
        <w:rPr>
          <w:sz w:val="25"/>
          <w:szCs w:val="25"/>
        </w:rPr>
        <w:t xml:space="preserve">previously </w:t>
      </w:r>
      <w:r w:rsidR="00B3075D" w:rsidRPr="00B3075D">
        <w:rPr>
          <w:sz w:val="25"/>
          <w:szCs w:val="25"/>
        </w:rPr>
        <w:t xml:space="preserve">approved in the 2013 </w:t>
      </w:r>
      <w:proofErr w:type="spellStart"/>
      <w:r w:rsidR="00B3075D" w:rsidRPr="00B3075D">
        <w:rPr>
          <w:sz w:val="25"/>
          <w:szCs w:val="25"/>
        </w:rPr>
        <w:t>PCORC</w:t>
      </w:r>
      <w:proofErr w:type="spellEnd"/>
      <w:r w:rsidR="00902AFF">
        <w:rPr>
          <w:sz w:val="25"/>
          <w:szCs w:val="25"/>
        </w:rPr>
        <w:t xml:space="preserve"> docket</w:t>
      </w:r>
      <w:r w:rsidR="00B3075D" w:rsidRPr="00B3075D">
        <w:rPr>
          <w:sz w:val="25"/>
          <w:szCs w:val="25"/>
        </w:rPr>
        <w:t>.</w:t>
      </w:r>
      <w:r w:rsidR="00B3075D" w:rsidRPr="00B3075D">
        <w:rPr>
          <w:rStyle w:val="FootnoteReference"/>
          <w:sz w:val="25"/>
          <w:szCs w:val="25"/>
        </w:rPr>
        <w:t xml:space="preserve"> </w:t>
      </w:r>
      <w:r w:rsidR="00B3075D" w:rsidRPr="00B3075D">
        <w:rPr>
          <w:rStyle w:val="FootnoteReference"/>
          <w:sz w:val="25"/>
          <w:szCs w:val="25"/>
        </w:rPr>
        <w:footnoteReference w:id="22"/>
      </w:r>
      <w:r w:rsidR="00B3075D" w:rsidRPr="00B3075D">
        <w:rPr>
          <w:sz w:val="25"/>
          <w:szCs w:val="25"/>
        </w:rPr>
        <w:t xml:space="preserve"> </w:t>
      </w:r>
      <w:r w:rsidR="00DA30AD">
        <w:rPr>
          <w:sz w:val="25"/>
          <w:szCs w:val="25"/>
        </w:rPr>
        <w:t xml:space="preserve"> </w:t>
      </w:r>
      <w:r w:rsidR="00B3075D" w:rsidRPr="00B3075D">
        <w:rPr>
          <w:sz w:val="25"/>
          <w:szCs w:val="25"/>
        </w:rPr>
        <w:t>T</w:t>
      </w:r>
      <w:r w:rsidR="00CF2D1E">
        <w:rPr>
          <w:sz w:val="25"/>
          <w:szCs w:val="25"/>
        </w:rPr>
        <w:t xml:space="preserve">his is a </w:t>
      </w:r>
      <w:r w:rsidR="00E74E8B">
        <w:rPr>
          <w:sz w:val="25"/>
          <w:szCs w:val="25"/>
        </w:rPr>
        <w:t>reasonable</w:t>
      </w:r>
      <w:r w:rsidR="00CF2D1E">
        <w:rPr>
          <w:sz w:val="25"/>
          <w:szCs w:val="25"/>
        </w:rPr>
        <w:t xml:space="preserve"> </w:t>
      </w:r>
      <w:r w:rsidR="00DA30AD">
        <w:rPr>
          <w:sz w:val="25"/>
          <w:szCs w:val="25"/>
        </w:rPr>
        <w:t>outcome</w:t>
      </w:r>
      <w:r w:rsidR="00B3075D">
        <w:rPr>
          <w:sz w:val="25"/>
          <w:szCs w:val="25"/>
        </w:rPr>
        <w:t xml:space="preserve"> and should be approved.</w:t>
      </w:r>
      <w:r w:rsidR="00417CE0">
        <w:rPr>
          <w:rStyle w:val="FootnoteReference"/>
          <w:sz w:val="25"/>
          <w:szCs w:val="25"/>
        </w:rPr>
        <w:footnoteReference w:id="23"/>
      </w:r>
    </w:p>
    <w:p w14:paraId="25932648" w14:textId="77777777" w:rsidR="00282B9D" w:rsidRDefault="00282B9D" w:rsidP="008B3E38">
      <w:pPr>
        <w:pStyle w:val="ListParagraph"/>
        <w:spacing w:line="288" w:lineRule="auto"/>
        <w:rPr>
          <w:color w:val="000000"/>
          <w:sz w:val="25"/>
          <w:szCs w:val="25"/>
        </w:rPr>
      </w:pPr>
    </w:p>
    <w:p w14:paraId="6D483238" w14:textId="092E2525" w:rsidR="00282B9D" w:rsidRDefault="00282B9D" w:rsidP="00FF6B02">
      <w:pPr>
        <w:numPr>
          <w:ilvl w:val="0"/>
          <w:numId w:val="14"/>
        </w:numPr>
        <w:spacing w:line="288" w:lineRule="auto"/>
        <w:ind w:hanging="720"/>
        <w:rPr>
          <w:color w:val="000000"/>
          <w:sz w:val="25"/>
          <w:szCs w:val="25"/>
        </w:rPr>
      </w:pPr>
      <w:r w:rsidRPr="00F61D00">
        <w:rPr>
          <w:b/>
          <w:color w:val="000000"/>
          <w:sz w:val="25"/>
          <w:szCs w:val="25"/>
        </w:rPr>
        <w:t>Electron Sale.</w:t>
      </w:r>
      <w:r w:rsidRPr="00F61D00">
        <w:rPr>
          <w:color w:val="000000"/>
          <w:sz w:val="25"/>
          <w:szCs w:val="25"/>
        </w:rPr>
        <w:t xml:space="preserve">  On October 9, 2014, the Commission entered Order 10 in Dockets </w:t>
      </w:r>
      <w:proofErr w:type="spellStart"/>
      <w:r w:rsidRPr="00F61D00">
        <w:rPr>
          <w:color w:val="000000"/>
          <w:sz w:val="25"/>
          <w:szCs w:val="25"/>
        </w:rPr>
        <w:t>UE</w:t>
      </w:r>
      <w:proofErr w:type="spellEnd"/>
      <w:r w:rsidRPr="00F61D00">
        <w:rPr>
          <w:color w:val="000000"/>
          <w:sz w:val="25"/>
          <w:szCs w:val="25"/>
        </w:rPr>
        <w:t xml:space="preserve">-130617 </w:t>
      </w:r>
      <w:r w:rsidRPr="00F61D00">
        <w:rPr>
          <w:i/>
          <w:color w:val="000000"/>
          <w:sz w:val="25"/>
          <w:szCs w:val="25"/>
        </w:rPr>
        <w:t>et al.</w:t>
      </w:r>
      <w:r w:rsidR="009A3A82" w:rsidRPr="00F61D00">
        <w:rPr>
          <w:i/>
          <w:color w:val="000000"/>
          <w:sz w:val="25"/>
          <w:szCs w:val="25"/>
        </w:rPr>
        <w:t xml:space="preserve"> </w:t>
      </w:r>
      <w:r w:rsidR="009A3A82" w:rsidRPr="00F61D00">
        <w:rPr>
          <w:color w:val="000000"/>
          <w:sz w:val="25"/>
          <w:szCs w:val="25"/>
        </w:rPr>
        <w:t xml:space="preserve">authorizing the sale </w:t>
      </w:r>
      <w:r w:rsidR="00275710" w:rsidRPr="00F61D00">
        <w:rPr>
          <w:color w:val="000000"/>
          <w:sz w:val="25"/>
          <w:szCs w:val="25"/>
        </w:rPr>
        <w:t xml:space="preserve">of the </w:t>
      </w:r>
      <w:r w:rsidR="00AD5114">
        <w:rPr>
          <w:color w:val="000000"/>
          <w:sz w:val="25"/>
          <w:szCs w:val="25"/>
        </w:rPr>
        <w:t>Electron Hydroelectric Project</w:t>
      </w:r>
      <w:r w:rsidR="00275710" w:rsidRPr="00F61D00">
        <w:rPr>
          <w:color w:val="000000"/>
          <w:sz w:val="25"/>
          <w:szCs w:val="25"/>
        </w:rPr>
        <w:t xml:space="preserve"> </w:t>
      </w:r>
      <w:r w:rsidR="009A3A82" w:rsidRPr="00F61D00">
        <w:rPr>
          <w:color w:val="000000"/>
          <w:sz w:val="25"/>
          <w:szCs w:val="25"/>
        </w:rPr>
        <w:t xml:space="preserve">by PSE </w:t>
      </w:r>
      <w:r w:rsidR="00275710" w:rsidRPr="00F61D00">
        <w:rPr>
          <w:color w:val="000000"/>
          <w:sz w:val="25"/>
          <w:szCs w:val="25"/>
        </w:rPr>
        <w:t xml:space="preserve">to Electron LLC and </w:t>
      </w:r>
      <w:r w:rsidR="00CB6062" w:rsidRPr="00F61D00">
        <w:rPr>
          <w:color w:val="000000"/>
          <w:sz w:val="25"/>
          <w:szCs w:val="25"/>
        </w:rPr>
        <w:t xml:space="preserve">approving the accounting treatment proposed by </w:t>
      </w:r>
      <w:r w:rsidR="00B8615F" w:rsidRPr="00F61D00">
        <w:rPr>
          <w:color w:val="000000"/>
          <w:sz w:val="25"/>
          <w:szCs w:val="25"/>
        </w:rPr>
        <w:t xml:space="preserve">PSE.  </w:t>
      </w:r>
      <w:r w:rsidR="00DB412D" w:rsidRPr="00F61D00">
        <w:rPr>
          <w:color w:val="000000"/>
          <w:sz w:val="25"/>
          <w:szCs w:val="25"/>
        </w:rPr>
        <w:t xml:space="preserve">The resulting adjustment for this transaction decreases </w:t>
      </w:r>
      <w:r w:rsidR="001C1DC4" w:rsidRPr="00F61D00">
        <w:rPr>
          <w:color w:val="000000"/>
          <w:sz w:val="25"/>
          <w:szCs w:val="25"/>
        </w:rPr>
        <w:t xml:space="preserve">the revenue requirement by $5,086,563, which is offset by an increase in power costs totaling $2,814,770 </w:t>
      </w:r>
      <w:r w:rsidR="00737C89" w:rsidRPr="00F61D00">
        <w:rPr>
          <w:color w:val="000000"/>
          <w:sz w:val="25"/>
          <w:szCs w:val="25"/>
        </w:rPr>
        <w:t>related</w:t>
      </w:r>
      <w:r w:rsidR="001C1DC4" w:rsidRPr="00F61D00">
        <w:rPr>
          <w:color w:val="000000"/>
          <w:sz w:val="25"/>
          <w:szCs w:val="25"/>
        </w:rPr>
        <w:t xml:space="preserve"> to the Electron </w:t>
      </w:r>
      <w:proofErr w:type="spellStart"/>
      <w:r w:rsidR="001C1DC4" w:rsidRPr="00F61D00">
        <w:rPr>
          <w:color w:val="000000"/>
          <w:sz w:val="25"/>
          <w:szCs w:val="25"/>
        </w:rPr>
        <w:t>PPA</w:t>
      </w:r>
      <w:proofErr w:type="spellEnd"/>
      <w:r w:rsidR="001C1DC4" w:rsidRPr="00F61D00">
        <w:rPr>
          <w:color w:val="000000"/>
          <w:sz w:val="25"/>
          <w:szCs w:val="25"/>
        </w:rPr>
        <w:t xml:space="preserve">.  </w:t>
      </w:r>
      <w:r w:rsidR="0091667B" w:rsidRPr="00F61D00">
        <w:rPr>
          <w:color w:val="000000"/>
          <w:sz w:val="25"/>
          <w:szCs w:val="25"/>
        </w:rPr>
        <w:t xml:space="preserve">This </w:t>
      </w:r>
      <w:r w:rsidR="001B4607" w:rsidRPr="00F61D00">
        <w:rPr>
          <w:color w:val="000000"/>
          <w:sz w:val="25"/>
          <w:szCs w:val="25"/>
        </w:rPr>
        <w:t>ratemaking treatment</w:t>
      </w:r>
      <w:r w:rsidR="00266A13" w:rsidRPr="00F61D00">
        <w:rPr>
          <w:color w:val="000000"/>
          <w:sz w:val="25"/>
          <w:szCs w:val="25"/>
        </w:rPr>
        <w:t xml:space="preserve"> is </w:t>
      </w:r>
      <w:r w:rsidR="001B4607" w:rsidRPr="00F61D00">
        <w:rPr>
          <w:color w:val="000000"/>
          <w:sz w:val="25"/>
          <w:szCs w:val="25"/>
        </w:rPr>
        <w:t xml:space="preserve">reasonable and </w:t>
      </w:r>
      <w:r w:rsidR="00CF2D1E" w:rsidRPr="00F61D00">
        <w:rPr>
          <w:color w:val="000000"/>
          <w:sz w:val="25"/>
          <w:szCs w:val="25"/>
        </w:rPr>
        <w:t xml:space="preserve">benefits ratepayers. </w:t>
      </w:r>
      <w:r w:rsidR="00B35668">
        <w:rPr>
          <w:color w:val="000000"/>
          <w:sz w:val="25"/>
          <w:szCs w:val="25"/>
        </w:rPr>
        <w:t xml:space="preserve">Though the parties </w:t>
      </w:r>
      <w:r w:rsidR="00AD5114">
        <w:rPr>
          <w:color w:val="000000"/>
          <w:sz w:val="25"/>
          <w:szCs w:val="25"/>
        </w:rPr>
        <w:t xml:space="preserve">suggested </w:t>
      </w:r>
      <w:r w:rsidR="00B35668">
        <w:rPr>
          <w:color w:val="000000"/>
          <w:sz w:val="25"/>
          <w:szCs w:val="25"/>
        </w:rPr>
        <w:t xml:space="preserve">that we could use this case to make a determination on the prudency of the Electron </w:t>
      </w:r>
      <w:proofErr w:type="spellStart"/>
      <w:r w:rsidR="00B35668">
        <w:rPr>
          <w:color w:val="000000"/>
          <w:sz w:val="25"/>
          <w:szCs w:val="25"/>
        </w:rPr>
        <w:t>PPA</w:t>
      </w:r>
      <w:proofErr w:type="spellEnd"/>
      <w:r w:rsidR="00B35668">
        <w:rPr>
          <w:color w:val="000000"/>
          <w:sz w:val="25"/>
          <w:szCs w:val="25"/>
        </w:rPr>
        <w:t xml:space="preserve">, they indicated that it was </w:t>
      </w:r>
      <w:r w:rsidR="00AF1B1F">
        <w:rPr>
          <w:color w:val="000000"/>
          <w:sz w:val="25"/>
          <w:szCs w:val="25"/>
        </w:rPr>
        <w:t xml:space="preserve">not </w:t>
      </w:r>
      <w:r w:rsidR="00B35668">
        <w:rPr>
          <w:color w:val="000000"/>
          <w:sz w:val="25"/>
          <w:szCs w:val="25"/>
        </w:rPr>
        <w:t>necessary for the Commission to do so.  Accordingly, w</w:t>
      </w:r>
      <w:r w:rsidR="00F61D00">
        <w:rPr>
          <w:color w:val="000000"/>
          <w:sz w:val="25"/>
          <w:szCs w:val="25"/>
        </w:rPr>
        <w:t xml:space="preserve">e choose not to </w:t>
      </w:r>
      <w:r w:rsidR="00B35668">
        <w:rPr>
          <w:color w:val="000000"/>
          <w:sz w:val="25"/>
          <w:szCs w:val="25"/>
        </w:rPr>
        <w:t>make such a</w:t>
      </w:r>
      <w:r w:rsidR="00F61D00">
        <w:rPr>
          <w:color w:val="000000"/>
          <w:sz w:val="25"/>
          <w:szCs w:val="25"/>
        </w:rPr>
        <w:t xml:space="preserve"> prudency </w:t>
      </w:r>
      <w:r w:rsidR="00B35668">
        <w:rPr>
          <w:color w:val="000000"/>
          <w:sz w:val="25"/>
          <w:szCs w:val="25"/>
        </w:rPr>
        <w:t xml:space="preserve">determination at this time. </w:t>
      </w:r>
    </w:p>
    <w:p w14:paraId="597C9683" w14:textId="77777777" w:rsidR="000C3C26" w:rsidRDefault="000C3C26" w:rsidP="000C3C26">
      <w:pPr>
        <w:pStyle w:val="ListParagraph"/>
        <w:rPr>
          <w:color w:val="000000"/>
          <w:sz w:val="25"/>
          <w:szCs w:val="25"/>
        </w:rPr>
      </w:pPr>
    </w:p>
    <w:p w14:paraId="05BB7E97" w14:textId="77777777" w:rsidR="00282B9D" w:rsidRPr="00B3075D" w:rsidRDefault="00282B9D" w:rsidP="008B3E38">
      <w:pPr>
        <w:numPr>
          <w:ilvl w:val="0"/>
          <w:numId w:val="14"/>
        </w:numPr>
        <w:spacing w:line="288" w:lineRule="auto"/>
        <w:ind w:hanging="720"/>
      </w:pPr>
      <w:r>
        <w:rPr>
          <w:b/>
          <w:color w:val="000000"/>
          <w:sz w:val="25"/>
          <w:szCs w:val="25"/>
        </w:rPr>
        <w:t>Property Insurance.</w:t>
      </w:r>
      <w:r w:rsidR="00B3075D">
        <w:rPr>
          <w:b/>
          <w:color w:val="000000"/>
          <w:sz w:val="25"/>
          <w:szCs w:val="25"/>
        </w:rPr>
        <w:t xml:space="preserve">  </w:t>
      </w:r>
      <w:r w:rsidR="001E4747">
        <w:t xml:space="preserve">The </w:t>
      </w:r>
      <w:r w:rsidR="00B3075D">
        <w:t xml:space="preserve">property insurance expense </w:t>
      </w:r>
      <w:r w:rsidR="001E4747">
        <w:t xml:space="preserve">update, which </w:t>
      </w:r>
      <w:r w:rsidR="00B3075D">
        <w:t>reflect</w:t>
      </w:r>
      <w:r w:rsidR="001E4747">
        <w:t>s</w:t>
      </w:r>
      <w:r w:rsidR="00B3075D">
        <w:t xml:space="preserve"> PSE’s share of Colstrip insurance premiums</w:t>
      </w:r>
      <w:r w:rsidR="001E4747">
        <w:t xml:space="preserve"> and only</w:t>
      </w:r>
      <w:r w:rsidR="00B3075D">
        <w:t xml:space="preserve"> became available after PSE filed its direct case</w:t>
      </w:r>
      <w:r w:rsidR="001E4747">
        <w:t xml:space="preserve">, will result in a </w:t>
      </w:r>
      <w:r w:rsidR="00B3075D">
        <w:t>reduction of expenses by $286,683</w:t>
      </w:r>
      <w:r w:rsidR="001E4747">
        <w:t xml:space="preserve">.  This </w:t>
      </w:r>
      <w:r w:rsidR="00B3075D">
        <w:t>adjustment</w:t>
      </w:r>
      <w:r w:rsidR="00390DF3">
        <w:t xml:space="preserve"> is in the public interest</w:t>
      </w:r>
      <w:r w:rsidR="00B3075D">
        <w:t>.</w:t>
      </w:r>
    </w:p>
    <w:p w14:paraId="04F41E3B" w14:textId="77777777" w:rsidR="00282B9D" w:rsidRDefault="00282B9D" w:rsidP="008B3E38">
      <w:pPr>
        <w:pStyle w:val="ListParagraph"/>
        <w:spacing w:line="288" w:lineRule="auto"/>
        <w:rPr>
          <w:color w:val="000000"/>
          <w:sz w:val="25"/>
          <w:szCs w:val="25"/>
        </w:rPr>
      </w:pPr>
    </w:p>
    <w:p w14:paraId="243879D4" w14:textId="5FE5380C" w:rsidR="00282B9D" w:rsidRPr="00282B9D" w:rsidRDefault="00282B9D" w:rsidP="008B3E38">
      <w:pPr>
        <w:numPr>
          <w:ilvl w:val="0"/>
          <w:numId w:val="14"/>
        </w:numPr>
        <w:spacing w:line="288" w:lineRule="auto"/>
        <w:ind w:hanging="720"/>
        <w:rPr>
          <w:color w:val="000000"/>
          <w:sz w:val="25"/>
          <w:szCs w:val="25"/>
        </w:rPr>
      </w:pPr>
      <w:r>
        <w:rPr>
          <w:b/>
          <w:color w:val="000000"/>
          <w:sz w:val="25"/>
          <w:szCs w:val="25"/>
        </w:rPr>
        <w:t>Cost of Capital.</w:t>
      </w:r>
      <w:r w:rsidR="00E74E8B">
        <w:rPr>
          <w:b/>
          <w:color w:val="000000"/>
          <w:sz w:val="25"/>
          <w:szCs w:val="25"/>
        </w:rPr>
        <w:t xml:space="preserve">  </w:t>
      </w:r>
      <w:r w:rsidR="00E74E8B">
        <w:rPr>
          <w:color w:val="000000"/>
          <w:sz w:val="25"/>
          <w:szCs w:val="25"/>
        </w:rPr>
        <w:t xml:space="preserve">The settling parties have agreed to keep the current return on equity of 9.8 percent and the overall weighted average cost of capital </w:t>
      </w:r>
      <w:r w:rsidR="00831B7E">
        <w:rPr>
          <w:color w:val="000000"/>
          <w:sz w:val="25"/>
          <w:szCs w:val="25"/>
        </w:rPr>
        <w:t xml:space="preserve">at 7.7 percent.  </w:t>
      </w:r>
      <w:r w:rsidR="000C2CA3">
        <w:rPr>
          <w:color w:val="000000"/>
          <w:sz w:val="25"/>
          <w:szCs w:val="25"/>
        </w:rPr>
        <w:t xml:space="preserve">We do not typically address </w:t>
      </w:r>
      <w:r w:rsidR="00C21E76">
        <w:rPr>
          <w:color w:val="000000"/>
          <w:sz w:val="25"/>
          <w:szCs w:val="25"/>
        </w:rPr>
        <w:t>these</w:t>
      </w:r>
      <w:r w:rsidR="000C2CA3">
        <w:rPr>
          <w:color w:val="000000"/>
          <w:sz w:val="25"/>
          <w:szCs w:val="25"/>
        </w:rPr>
        <w:t xml:space="preserve"> </w:t>
      </w:r>
      <w:r w:rsidR="00C21E76">
        <w:rPr>
          <w:color w:val="000000"/>
          <w:sz w:val="25"/>
          <w:szCs w:val="25"/>
        </w:rPr>
        <w:t>figures</w:t>
      </w:r>
      <w:r w:rsidR="000C2CA3">
        <w:rPr>
          <w:color w:val="000000"/>
          <w:sz w:val="25"/>
          <w:szCs w:val="25"/>
        </w:rPr>
        <w:t xml:space="preserve"> in </w:t>
      </w:r>
      <w:proofErr w:type="spellStart"/>
      <w:r w:rsidR="000C2CA3">
        <w:rPr>
          <w:color w:val="000000"/>
          <w:sz w:val="25"/>
          <w:szCs w:val="25"/>
        </w:rPr>
        <w:t>PCORC</w:t>
      </w:r>
      <w:proofErr w:type="spellEnd"/>
      <w:r w:rsidR="000C2CA3">
        <w:rPr>
          <w:color w:val="000000"/>
          <w:sz w:val="25"/>
          <w:szCs w:val="25"/>
        </w:rPr>
        <w:t xml:space="preserve"> proceedings, and, as the settling parties have indicated, the agreement to </w:t>
      </w:r>
      <w:r w:rsidR="00C21E76">
        <w:rPr>
          <w:color w:val="000000"/>
          <w:sz w:val="25"/>
          <w:szCs w:val="25"/>
        </w:rPr>
        <w:t>default to</w:t>
      </w:r>
      <w:r w:rsidR="000C2CA3">
        <w:rPr>
          <w:color w:val="000000"/>
          <w:sz w:val="25"/>
          <w:szCs w:val="25"/>
        </w:rPr>
        <w:t xml:space="preserve"> these figures on an interim basis a</w:t>
      </w:r>
      <w:r w:rsidR="00C067E8">
        <w:rPr>
          <w:color w:val="000000"/>
          <w:sz w:val="25"/>
          <w:szCs w:val="25"/>
        </w:rPr>
        <w:t>llows this case to move forward.</w:t>
      </w:r>
      <w:r w:rsidR="000C2CA3">
        <w:rPr>
          <w:color w:val="000000"/>
          <w:sz w:val="25"/>
          <w:szCs w:val="25"/>
        </w:rPr>
        <w:t xml:space="preserve"> </w:t>
      </w:r>
      <w:r w:rsidR="00831B7E">
        <w:rPr>
          <w:sz w:val="25"/>
          <w:szCs w:val="25"/>
        </w:rPr>
        <w:t xml:space="preserve">The Commission will </w:t>
      </w:r>
      <w:r w:rsidR="000C3C26">
        <w:rPr>
          <w:sz w:val="25"/>
          <w:szCs w:val="25"/>
        </w:rPr>
        <w:t>render a decision on</w:t>
      </w:r>
      <w:r w:rsidR="00831B7E">
        <w:rPr>
          <w:sz w:val="25"/>
          <w:szCs w:val="25"/>
        </w:rPr>
        <w:t xml:space="preserve"> these matters separately in </w:t>
      </w:r>
      <w:r w:rsidR="000C2CA3">
        <w:rPr>
          <w:sz w:val="25"/>
          <w:szCs w:val="25"/>
        </w:rPr>
        <w:t>the rem</w:t>
      </w:r>
      <w:r w:rsidR="00C067E8">
        <w:rPr>
          <w:sz w:val="25"/>
          <w:szCs w:val="25"/>
        </w:rPr>
        <w:t xml:space="preserve">and proceeding in </w:t>
      </w:r>
      <w:r w:rsidR="00831B7E">
        <w:rPr>
          <w:sz w:val="25"/>
          <w:szCs w:val="25"/>
        </w:rPr>
        <w:t xml:space="preserve">Dockets </w:t>
      </w:r>
      <w:proofErr w:type="spellStart"/>
      <w:r w:rsidR="00831B7E">
        <w:t>UE</w:t>
      </w:r>
      <w:proofErr w:type="spellEnd"/>
      <w:r w:rsidR="00831B7E">
        <w:t xml:space="preserve">-121697 and </w:t>
      </w:r>
      <w:proofErr w:type="spellStart"/>
      <w:r w:rsidR="00831B7E">
        <w:t>U</w:t>
      </w:r>
      <w:r w:rsidR="005932AA">
        <w:t>G</w:t>
      </w:r>
      <w:proofErr w:type="spellEnd"/>
      <w:r w:rsidR="00831B7E">
        <w:t xml:space="preserve">-121705 (consolidated) and Dockets </w:t>
      </w:r>
      <w:proofErr w:type="spellStart"/>
      <w:r w:rsidR="00831B7E">
        <w:t>UE</w:t>
      </w:r>
      <w:proofErr w:type="spellEnd"/>
      <w:r w:rsidR="00831B7E">
        <w:t xml:space="preserve">-130137 and </w:t>
      </w:r>
      <w:proofErr w:type="spellStart"/>
      <w:r w:rsidR="00831B7E">
        <w:t>UG</w:t>
      </w:r>
      <w:proofErr w:type="spellEnd"/>
      <w:r w:rsidR="00831B7E">
        <w:t>-130138 (consolidated)</w:t>
      </w:r>
      <w:r w:rsidR="00831B7E">
        <w:rPr>
          <w:sz w:val="25"/>
          <w:szCs w:val="25"/>
        </w:rPr>
        <w:t>.</w:t>
      </w:r>
      <w:r w:rsidR="00F61D00">
        <w:rPr>
          <w:sz w:val="25"/>
          <w:szCs w:val="25"/>
        </w:rPr>
        <w:t xml:space="preserve">  </w:t>
      </w:r>
    </w:p>
    <w:p w14:paraId="25A67CEE" w14:textId="77777777" w:rsidR="00282B9D" w:rsidRDefault="00282B9D" w:rsidP="008B3E38">
      <w:pPr>
        <w:pStyle w:val="ListParagraph"/>
        <w:spacing w:line="288" w:lineRule="auto"/>
        <w:rPr>
          <w:color w:val="000000"/>
          <w:sz w:val="25"/>
          <w:szCs w:val="25"/>
        </w:rPr>
      </w:pPr>
    </w:p>
    <w:p w14:paraId="7F1371CD" w14:textId="04C5410E" w:rsidR="00282B9D" w:rsidRPr="000415F4" w:rsidRDefault="00282B9D" w:rsidP="008B3E38">
      <w:pPr>
        <w:numPr>
          <w:ilvl w:val="0"/>
          <w:numId w:val="14"/>
        </w:numPr>
        <w:spacing w:line="288" w:lineRule="auto"/>
        <w:ind w:hanging="720"/>
        <w:rPr>
          <w:color w:val="000000"/>
          <w:sz w:val="25"/>
          <w:szCs w:val="25"/>
        </w:rPr>
      </w:pPr>
      <w:r>
        <w:rPr>
          <w:b/>
          <w:color w:val="000000"/>
          <w:sz w:val="25"/>
          <w:szCs w:val="25"/>
        </w:rPr>
        <w:t>Prudence.</w:t>
      </w:r>
      <w:r w:rsidR="00C54852">
        <w:rPr>
          <w:b/>
          <w:color w:val="000000"/>
          <w:sz w:val="25"/>
          <w:szCs w:val="25"/>
        </w:rPr>
        <w:t xml:space="preserve">  </w:t>
      </w:r>
      <w:r w:rsidR="00C54852">
        <w:rPr>
          <w:sz w:val="25"/>
          <w:szCs w:val="25"/>
        </w:rPr>
        <w:t xml:space="preserve">The </w:t>
      </w:r>
      <w:r w:rsidR="00B326E3">
        <w:rPr>
          <w:sz w:val="25"/>
          <w:szCs w:val="25"/>
        </w:rPr>
        <w:t>settling parties</w:t>
      </w:r>
      <w:r w:rsidR="00C54852">
        <w:rPr>
          <w:sz w:val="25"/>
          <w:szCs w:val="25"/>
        </w:rPr>
        <w:t xml:space="preserve"> testify to the prudence of PSE’s renewal of BPA transmission rights from Mid-C</w:t>
      </w:r>
      <w:r w:rsidR="008747D3">
        <w:rPr>
          <w:sz w:val="25"/>
          <w:szCs w:val="25"/>
        </w:rPr>
        <w:t xml:space="preserve">olumbia </w:t>
      </w:r>
      <w:r w:rsidR="00BE44CC">
        <w:rPr>
          <w:sz w:val="25"/>
          <w:szCs w:val="25"/>
        </w:rPr>
        <w:t xml:space="preserve">(Mid-C) </w:t>
      </w:r>
      <w:r w:rsidR="00C54852">
        <w:rPr>
          <w:sz w:val="25"/>
          <w:szCs w:val="25"/>
        </w:rPr>
        <w:t xml:space="preserve">and the renewal of the Point Roberts </w:t>
      </w:r>
      <w:proofErr w:type="spellStart"/>
      <w:r w:rsidR="00C54852">
        <w:rPr>
          <w:sz w:val="25"/>
          <w:szCs w:val="25"/>
        </w:rPr>
        <w:t>PPA</w:t>
      </w:r>
      <w:proofErr w:type="spellEnd"/>
      <w:r w:rsidR="00C54852">
        <w:rPr>
          <w:sz w:val="25"/>
          <w:szCs w:val="25"/>
        </w:rPr>
        <w:t xml:space="preserve">.  The Point Roberts </w:t>
      </w:r>
      <w:proofErr w:type="spellStart"/>
      <w:r w:rsidR="00C54852">
        <w:rPr>
          <w:sz w:val="25"/>
          <w:szCs w:val="25"/>
        </w:rPr>
        <w:t>PPA</w:t>
      </w:r>
      <w:proofErr w:type="spellEnd"/>
      <w:r w:rsidR="00C54852">
        <w:rPr>
          <w:sz w:val="25"/>
          <w:szCs w:val="25"/>
        </w:rPr>
        <w:t xml:space="preserve"> is necessary to service an electrical load isolated from PSE’s other service territory.  The 475 MW of BPA transmission is used to meet capacity and deliver power from Mid-C to PSE’s service territory.</w:t>
      </w:r>
      <w:r w:rsidR="00105515">
        <w:rPr>
          <w:sz w:val="25"/>
          <w:szCs w:val="25"/>
        </w:rPr>
        <w:t xml:space="preserve">  The Commission concludes that PSE’s </w:t>
      </w:r>
      <w:r w:rsidR="00F61D00">
        <w:rPr>
          <w:sz w:val="25"/>
          <w:szCs w:val="25"/>
        </w:rPr>
        <w:t xml:space="preserve">actions to renew both </w:t>
      </w:r>
      <w:r w:rsidR="00105515">
        <w:rPr>
          <w:sz w:val="25"/>
          <w:szCs w:val="25"/>
        </w:rPr>
        <w:t xml:space="preserve">the Mid-C BPA transmission rights and the Point Roberts </w:t>
      </w:r>
      <w:proofErr w:type="spellStart"/>
      <w:r w:rsidR="00105515">
        <w:rPr>
          <w:sz w:val="25"/>
          <w:szCs w:val="25"/>
        </w:rPr>
        <w:t>PPA</w:t>
      </w:r>
      <w:proofErr w:type="spellEnd"/>
      <w:r w:rsidR="00105515">
        <w:rPr>
          <w:sz w:val="25"/>
          <w:szCs w:val="25"/>
        </w:rPr>
        <w:t xml:space="preserve"> are prudent.  </w:t>
      </w:r>
    </w:p>
    <w:p w14:paraId="2801C048" w14:textId="77777777" w:rsidR="000415F4" w:rsidRDefault="000415F4" w:rsidP="008B3E38">
      <w:pPr>
        <w:pStyle w:val="ListParagraph"/>
        <w:spacing w:line="288" w:lineRule="auto"/>
        <w:rPr>
          <w:color w:val="000000"/>
          <w:sz w:val="25"/>
          <w:szCs w:val="25"/>
        </w:rPr>
      </w:pPr>
    </w:p>
    <w:p w14:paraId="663A58E7" w14:textId="77777777" w:rsidR="000415F4" w:rsidRPr="00266728" w:rsidRDefault="000415F4" w:rsidP="008B3E38">
      <w:pPr>
        <w:spacing w:line="288" w:lineRule="auto"/>
        <w:jc w:val="center"/>
        <w:outlineLvl w:val="0"/>
        <w:rPr>
          <w:sz w:val="25"/>
          <w:szCs w:val="25"/>
        </w:rPr>
      </w:pPr>
      <w:bookmarkStart w:id="5" w:name="_Toc168986382"/>
      <w:r w:rsidRPr="00266728">
        <w:rPr>
          <w:b/>
          <w:sz w:val="25"/>
          <w:szCs w:val="25"/>
          <w:u w:val="single"/>
        </w:rPr>
        <w:t>FINDINGS OF FACT</w:t>
      </w:r>
      <w:bookmarkEnd w:id="5"/>
    </w:p>
    <w:p w14:paraId="67719272" w14:textId="77777777" w:rsidR="000415F4" w:rsidRPr="00266728" w:rsidRDefault="000415F4" w:rsidP="008B3E38">
      <w:pPr>
        <w:spacing w:line="288" w:lineRule="auto"/>
        <w:jc w:val="center"/>
        <w:rPr>
          <w:sz w:val="25"/>
          <w:szCs w:val="25"/>
        </w:rPr>
      </w:pPr>
    </w:p>
    <w:p w14:paraId="0B0C1B46" w14:textId="77777777" w:rsidR="000415F4" w:rsidRPr="008144E8" w:rsidRDefault="000415F4" w:rsidP="008B3E38">
      <w:pPr>
        <w:numPr>
          <w:ilvl w:val="0"/>
          <w:numId w:val="14"/>
        </w:numPr>
        <w:spacing w:line="288" w:lineRule="auto"/>
        <w:ind w:hanging="720"/>
        <w:rPr>
          <w:sz w:val="25"/>
          <w:szCs w:val="25"/>
        </w:rPr>
      </w:pPr>
      <w:r w:rsidRPr="008144E8">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6A7F0992" w14:textId="77777777" w:rsidR="000415F4" w:rsidRPr="00266728" w:rsidRDefault="000415F4" w:rsidP="008B3E38">
      <w:pPr>
        <w:spacing w:line="288" w:lineRule="auto"/>
        <w:ind w:left="-720"/>
        <w:rPr>
          <w:sz w:val="25"/>
          <w:szCs w:val="25"/>
        </w:rPr>
      </w:pPr>
    </w:p>
    <w:p w14:paraId="269F0846" w14:textId="77777777" w:rsidR="008D220D" w:rsidRDefault="000415F4" w:rsidP="008B3E38">
      <w:pPr>
        <w:numPr>
          <w:ilvl w:val="0"/>
          <w:numId w:val="14"/>
        </w:numPr>
        <w:tabs>
          <w:tab w:val="left" w:pos="0"/>
        </w:tabs>
        <w:spacing w:line="288" w:lineRule="auto"/>
        <w:ind w:left="720" w:hanging="1440"/>
        <w:rPr>
          <w:sz w:val="25"/>
          <w:szCs w:val="25"/>
        </w:rPr>
      </w:pPr>
      <w:r w:rsidRPr="00266728">
        <w:rPr>
          <w:sz w:val="25"/>
          <w:szCs w:val="25"/>
        </w:rPr>
        <w:t>(1)</w:t>
      </w:r>
      <w:r w:rsidRPr="00266728">
        <w:rPr>
          <w:sz w:val="25"/>
          <w:szCs w:val="25"/>
        </w:rPr>
        <w:tab/>
        <w:t xml:space="preserve">The Washington Utilities and Transportation Commission is an agency of the </w:t>
      </w:r>
    </w:p>
    <w:p w14:paraId="3E0D1DED" w14:textId="77777777" w:rsidR="000415F4" w:rsidRPr="00266728" w:rsidRDefault="000415F4" w:rsidP="008B3E38">
      <w:pPr>
        <w:tabs>
          <w:tab w:val="left" w:pos="720"/>
        </w:tabs>
        <w:spacing w:line="288" w:lineRule="auto"/>
        <w:ind w:left="720"/>
        <w:rPr>
          <w:sz w:val="25"/>
          <w:szCs w:val="25"/>
        </w:rPr>
      </w:pPr>
      <w:r w:rsidRPr="00266728">
        <w:rPr>
          <w:sz w:val="25"/>
          <w:szCs w:val="25"/>
        </w:rPr>
        <w:t xml:space="preserve">state of Washington, vested by statute with authority to regulate rates, rules, regulations, practices, and accounts of public service companies, including electrical </w:t>
      </w:r>
      <w:r w:rsidR="008D04C7">
        <w:rPr>
          <w:sz w:val="25"/>
          <w:szCs w:val="25"/>
        </w:rPr>
        <w:t>companies</w:t>
      </w:r>
      <w:r w:rsidRPr="00266728">
        <w:rPr>
          <w:i/>
          <w:iCs/>
          <w:sz w:val="25"/>
          <w:szCs w:val="25"/>
        </w:rPr>
        <w:t>.</w:t>
      </w:r>
    </w:p>
    <w:p w14:paraId="1841E54A" w14:textId="77777777" w:rsidR="000415F4" w:rsidRPr="00266728" w:rsidRDefault="000415F4" w:rsidP="008B3E38">
      <w:pPr>
        <w:spacing w:line="288" w:lineRule="auto"/>
        <w:rPr>
          <w:sz w:val="25"/>
          <w:szCs w:val="25"/>
        </w:rPr>
      </w:pPr>
    </w:p>
    <w:p w14:paraId="330619B5" w14:textId="77777777" w:rsidR="000415F4" w:rsidRPr="00266728" w:rsidRDefault="000415F4" w:rsidP="008B3E38">
      <w:pPr>
        <w:numPr>
          <w:ilvl w:val="0"/>
          <w:numId w:val="14"/>
        </w:numPr>
        <w:spacing w:line="288" w:lineRule="auto"/>
        <w:ind w:left="720" w:hanging="1440"/>
        <w:rPr>
          <w:sz w:val="25"/>
          <w:szCs w:val="25"/>
        </w:rPr>
      </w:pPr>
      <w:r w:rsidRPr="00266728">
        <w:rPr>
          <w:sz w:val="25"/>
          <w:szCs w:val="25"/>
        </w:rPr>
        <w:t>(2)</w:t>
      </w:r>
      <w:r w:rsidRPr="00266728">
        <w:rPr>
          <w:sz w:val="25"/>
          <w:szCs w:val="25"/>
        </w:rPr>
        <w:tab/>
        <w:t xml:space="preserve">PSE is a “public service company” and an “electrical company” as those terms are defined in </w:t>
      </w:r>
      <w:proofErr w:type="spellStart"/>
      <w:r w:rsidRPr="00266728">
        <w:rPr>
          <w:sz w:val="25"/>
          <w:szCs w:val="25"/>
        </w:rPr>
        <w:t>RCW</w:t>
      </w:r>
      <w:proofErr w:type="spellEnd"/>
      <w:r w:rsidRPr="00266728">
        <w:rPr>
          <w:sz w:val="25"/>
          <w:szCs w:val="25"/>
        </w:rPr>
        <w:t xml:space="preserve"> 80.04.010 and used in Title 80 </w:t>
      </w:r>
      <w:proofErr w:type="spellStart"/>
      <w:r w:rsidRPr="00266728">
        <w:rPr>
          <w:sz w:val="25"/>
          <w:szCs w:val="25"/>
        </w:rPr>
        <w:t>RCW</w:t>
      </w:r>
      <w:proofErr w:type="spellEnd"/>
      <w:r w:rsidRPr="00266728">
        <w:rPr>
          <w:sz w:val="25"/>
          <w:szCs w:val="25"/>
        </w:rPr>
        <w:t>.  PSE is engaged in Washington</w:t>
      </w:r>
      <w:r>
        <w:rPr>
          <w:sz w:val="25"/>
          <w:szCs w:val="25"/>
        </w:rPr>
        <w:t xml:space="preserve"> s</w:t>
      </w:r>
      <w:r w:rsidRPr="00266728">
        <w:rPr>
          <w:sz w:val="25"/>
          <w:szCs w:val="25"/>
        </w:rPr>
        <w:t>tate in the business of supplying utility services and commodities to the public for compensation.</w:t>
      </w:r>
    </w:p>
    <w:p w14:paraId="0C14F5B8" w14:textId="77777777" w:rsidR="000415F4" w:rsidRPr="00266728" w:rsidRDefault="000415F4" w:rsidP="008B3E38">
      <w:pPr>
        <w:spacing w:line="288" w:lineRule="auto"/>
        <w:rPr>
          <w:sz w:val="25"/>
          <w:szCs w:val="25"/>
        </w:rPr>
      </w:pPr>
    </w:p>
    <w:p w14:paraId="1B2359D4" w14:textId="77777777" w:rsidR="000415F4" w:rsidRPr="00510EFF" w:rsidRDefault="000415F4" w:rsidP="008B3E38">
      <w:pPr>
        <w:numPr>
          <w:ilvl w:val="0"/>
          <w:numId w:val="14"/>
        </w:numPr>
        <w:tabs>
          <w:tab w:val="left" w:pos="0"/>
          <w:tab w:val="num" w:pos="90"/>
        </w:tabs>
        <w:spacing w:line="288" w:lineRule="auto"/>
        <w:ind w:left="720" w:hanging="1530"/>
        <w:rPr>
          <w:sz w:val="25"/>
          <w:szCs w:val="25"/>
        </w:rPr>
      </w:pPr>
      <w:r w:rsidRPr="00510EFF">
        <w:rPr>
          <w:sz w:val="25"/>
          <w:szCs w:val="25"/>
        </w:rPr>
        <w:t>(3)</w:t>
      </w:r>
      <w:r w:rsidRPr="00510EFF">
        <w:rPr>
          <w:sz w:val="25"/>
          <w:szCs w:val="25"/>
        </w:rPr>
        <w:tab/>
      </w:r>
      <w:r w:rsidR="00D62281" w:rsidRPr="00E627F3">
        <w:rPr>
          <w:sz w:val="25"/>
          <w:szCs w:val="25"/>
        </w:rPr>
        <w:t xml:space="preserve">On </w:t>
      </w:r>
      <w:r w:rsidR="00D62281">
        <w:rPr>
          <w:sz w:val="25"/>
          <w:szCs w:val="25"/>
        </w:rPr>
        <w:t>May 23</w:t>
      </w:r>
      <w:r w:rsidR="00D62281" w:rsidRPr="00E627F3">
        <w:rPr>
          <w:sz w:val="25"/>
          <w:szCs w:val="25"/>
        </w:rPr>
        <w:t>, 201</w:t>
      </w:r>
      <w:r w:rsidR="00D62281">
        <w:rPr>
          <w:sz w:val="25"/>
          <w:szCs w:val="25"/>
        </w:rPr>
        <w:t>4</w:t>
      </w:r>
      <w:r w:rsidR="00D62281" w:rsidRPr="00E627F3">
        <w:rPr>
          <w:sz w:val="25"/>
          <w:szCs w:val="25"/>
        </w:rPr>
        <w:t xml:space="preserve">, PSE filed with the Commission revisions to its currently effective Tariff </w:t>
      </w:r>
      <w:proofErr w:type="spellStart"/>
      <w:r w:rsidR="00D62281" w:rsidRPr="00E627F3">
        <w:rPr>
          <w:sz w:val="25"/>
          <w:szCs w:val="25"/>
        </w:rPr>
        <w:t>WN</w:t>
      </w:r>
      <w:proofErr w:type="spellEnd"/>
      <w:r w:rsidR="00D62281" w:rsidRPr="00E627F3">
        <w:rPr>
          <w:sz w:val="25"/>
          <w:szCs w:val="25"/>
        </w:rPr>
        <w:t xml:space="preserve"> U-60, designated as the Schedule 95 “Power Cost Adjustment Clause</w:t>
      </w:r>
      <w:r w:rsidR="00D62281">
        <w:rPr>
          <w:sz w:val="25"/>
          <w:szCs w:val="25"/>
        </w:rPr>
        <w:t>.</w:t>
      </w:r>
      <w:r w:rsidR="00D62281" w:rsidRPr="00E627F3">
        <w:rPr>
          <w:sz w:val="25"/>
          <w:szCs w:val="25"/>
        </w:rPr>
        <w:t>”</w:t>
      </w:r>
      <w:r w:rsidR="00D62281">
        <w:rPr>
          <w:sz w:val="25"/>
          <w:szCs w:val="25"/>
        </w:rPr>
        <w:t xml:space="preserve">  </w:t>
      </w:r>
      <w:r w:rsidR="00D62281" w:rsidRPr="00E627F3">
        <w:rPr>
          <w:sz w:val="25"/>
          <w:szCs w:val="25"/>
        </w:rPr>
        <w:t xml:space="preserve">PSE </w:t>
      </w:r>
      <w:r w:rsidR="00D62281">
        <w:rPr>
          <w:sz w:val="25"/>
          <w:szCs w:val="25"/>
        </w:rPr>
        <w:t>proposed</w:t>
      </w:r>
      <w:r w:rsidR="00D62281" w:rsidRPr="00E627F3">
        <w:rPr>
          <w:sz w:val="25"/>
          <w:szCs w:val="25"/>
        </w:rPr>
        <w:t xml:space="preserve"> to </w:t>
      </w:r>
      <w:r w:rsidR="00D62281">
        <w:rPr>
          <w:sz w:val="25"/>
          <w:szCs w:val="25"/>
        </w:rPr>
        <w:t>revise its Power Cost Rate reflected in Schedule 95, in order to reflect decreases in the Company’s overall normalized power supply costs.</w:t>
      </w:r>
      <w:r w:rsidR="00D62281" w:rsidRPr="00E627F3">
        <w:rPr>
          <w:sz w:val="25"/>
          <w:szCs w:val="25"/>
        </w:rPr>
        <w:t xml:space="preserve">  The Company’s filing would decrease charges and rates for electric service </w:t>
      </w:r>
      <w:r w:rsidR="00D62281">
        <w:rPr>
          <w:sz w:val="25"/>
          <w:szCs w:val="25"/>
        </w:rPr>
        <w:t xml:space="preserve">customers </w:t>
      </w:r>
      <w:r w:rsidR="00D62281" w:rsidRPr="00E627F3">
        <w:rPr>
          <w:sz w:val="25"/>
          <w:szCs w:val="25"/>
        </w:rPr>
        <w:t>by approximately $</w:t>
      </w:r>
      <w:r w:rsidR="00D62281">
        <w:rPr>
          <w:sz w:val="25"/>
          <w:szCs w:val="25"/>
        </w:rPr>
        <w:t>9,55</w:t>
      </w:r>
      <w:r w:rsidR="001B6D0C">
        <w:rPr>
          <w:sz w:val="25"/>
          <w:szCs w:val="25"/>
        </w:rPr>
        <w:t>6</w:t>
      </w:r>
      <w:r w:rsidR="00D62281">
        <w:rPr>
          <w:sz w:val="25"/>
          <w:szCs w:val="25"/>
        </w:rPr>
        <w:t>,</w:t>
      </w:r>
      <w:r w:rsidR="001B6D0C">
        <w:rPr>
          <w:sz w:val="25"/>
          <w:szCs w:val="25"/>
        </w:rPr>
        <w:t>193</w:t>
      </w:r>
      <w:r w:rsidR="00D62281" w:rsidRPr="00E627F3">
        <w:rPr>
          <w:sz w:val="25"/>
          <w:szCs w:val="25"/>
        </w:rPr>
        <w:t xml:space="preserve"> or </w:t>
      </w:r>
      <w:r w:rsidR="00D62281">
        <w:rPr>
          <w:sz w:val="25"/>
          <w:szCs w:val="25"/>
        </w:rPr>
        <w:t>0.456</w:t>
      </w:r>
      <w:r w:rsidR="00D62281" w:rsidRPr="00E627F3">
        <w:rPr>
          <w:sz w:val="25"/>
          <w:szCs w:val="25"/>
        </w:rPr>
        <w:t xml:space="preserve"> percent.</w:t>
      </w:r>
    </w:p>
    <w:p w14:paraId="3639E685" w14:textId="77777777" w:rsidR="000415F4" w:rsidRPr="00266728" w:rsidRDefault="000415F4" w:rsidP="008B3E38">
      <w:pPr>
        <w:spacing w:line="288" w:lineRule="auto"/>
        <w:rPr>
          <w:sz w:val="25"/>
          <w:szCs w:val="25"/>
        </w:rPr>
      </w:pPr>
    </w:p>
    <w:p w14:paraId="664D4140" w14:textId="77777777" w:rsidR="000415F4" w:rsidRDefault="000415F4" w:rsidP="008B3E38">
      <w:pPr>
        <w:numPr>
          <w:ilvl w:val="0"/>
          <w:numId w:val="14"/>
        </w:numPr>
        <w:spacing w:line="288" w:lineRule="auto"/>
        <w:ind w:left="720" w:hanging="1440"/>
        <w:rPr>
          <w:sz w:val="25"/>
          <w:szCs w:val="25"/>
        </w:rPr>
      </w:pPr>
      <w:r>
        <w:rPr>
          <w:sz w:val="25"/>
          <w:szCs w:val="25"/>
        </w:rPr>
        <w:t>(</w:t>
      </w:r>
      <w:r w:rsidR="003E657B">
        <w:rPr>
          <w:sz w:val="25"/>
          <w:szCs w:val="25"/>
        </w:rPr>
        <w:t>4</w:t>
      </w:r>
      <w:r w:rsidRPr="00266728">
        <w:rPr>
          <w:sz w:val="25"/>
          <w:szCs w:val="25"/>
        </w:rPr>
        <w:t>)</w:t>
      </w:r>
      <w:r w:rsidRPr="00266728">
        <w:rPr>
          <w:sz w:val="25"/>
          <w:szCs w:val="25"/>
        </w:rPr>
        <w:tab/>
        <w:t xml:space="preserve">The Commission suspended the operation of the proposed tariff revisions </w:t>
      </w:r>
      <w:r>
        <w:rPr>
          <w:sz w:val="25"/>
          <w:szCs w:val="25"/>
        </w:rPr>
        <w:t>on</w:t>
      </w:r>
      <w:r w:rsidRPr="00266728">
        <w:rPr>
          <w:sz w:val="25"/>
          <w:szCs w:val="25"/>
        </w:rPr>
        <w:t xml:space="preserve"> </w:t>
      </w:r>
      <w:r w:rsidR="003E657B">
        <w:rPr>
          <w:sz w:val="25"/>
          <w:szCs w:val="25"/>
        </w:rPr>
        <w:t>June 12, 2014</w:t>
      </w:r>
      <w:r w:rsidRPr="00266728">
        <w:rPr>
          <w:sz w:val="25"/>
          <w:szCs w:val="25"/>
        </w:rPr>
        <w:t>, pending an investigation and hearing concerning the proposed changes and whether they are just and reasonable.</w:t>
      </w:r>
    </w:p>
    <w:p w14:paraId="3CCD1249" w14:textId="77777777" w:rsidR="000415F4" w:rsidRDefault="000415F4" w:rsidP="008B3E38">
      <w:pPr>
        <w:pStyle w:val="ListParagraph"/>
        <w:spacing w:line="288" w:lineRule="auto"/>
        <w:rPr>
          <w:sz w:val="25"/>
          <w:szCs w:val="25"/>
        </w:rPr>
      </w:pPr>
    </w:p>
    <w:p w14:paraId="224352CA" w14:textId="77777777" w:rsidR="000415F4" w:rsidRPr="004B6A39" w:rsidRDefault="000415F4" w:rsidP="008B3E38">
      <w:pPr>
        <w:numPr>
          <w:ilvl w:val="0"/>
          <w:numId w:val="14"/>
        </w:numPr>
        <w:spacing w:line="288" w:lineRule="auto"/>
        <w:ind w:left="720" w:hanging="1440"/>
        <w:rPr>
          <w:sz w:val="25"/>
          <w:szCs w:val="25"/>
        </w:rPr>
      </w:pPr>
      <w:r w:rsidRPr="004B6A39">
        <w:rPr>
          <w:sz w:val="25"/>
          <w:szCs w:val="25"/>
        </w:rPr>
        <w:t>(</w:t>
      </w:r>
      <w:r w:rsidR="004B6A39" w:rsidRPr="004B6A39">
        <w:rPr>
          <w:sz w:val="25"/>
          <w:szCs w:val="25"/>
        </w:rPr>
        <w:t>5</w:t>
      </w:r>
      <w:r w:rsidRPr="004B6A39">
        <w:rPr>
          <w:sz w:val="25"/>
          <w:szCs w:val="25"/>
        </w:rPr>
        <w:t>)</w:t>
      </w:r>
      <w:r w:rsidRPr="004B6A39">
        <w:rPr>
          <w:sz w:val="25"/>
          <w:szCs w:val="25"/>
        </w:rPr>
        <w:tab/>
        <w:t xml:space="preserve">On September </w:t>
      </w:r>
      <w:r w:rsidR="004B6A39">
        <w:rPr>
          <w:sz w:val="25"/>
          <w:szCs w:val="25"/>
        </w:rPr>
        <w:t>5, 2014</w:t>
      </w:r>
      <w:r w:rsidRPr="004B6A39">
        <w:rPr>
          <w:sz w:val="25"/>
          <w:szCs w:val="25"/>
        </w:rPr>
        <w:t>, PSE, Commission Staff, Pu</w:t>
      </w:r>
      <w:r w:rsidR="00EC61F4">
        <w:rPr>
          <w:sz w:val="25"/>
          <w:szCs w:val="25"/>
        </w:rPr>
        <w:t xml:space="preserve">blic Counsel, and </w:t>
      </w:r>
      <w:proofErr w:type="spellStart"/>
      <w:r w:rsidR="00EC61F4">
        <w:rPr>
          <w:sz w:val="25"/>
          <w:szCs w:val="25"/>
        </w:rPr>
        <w:t>ICNU</w:t>
      </w:r>
      <w:proofErr w:type="spellEnd"/>
      <w:r w:rsidR="00EC61F4">
        <w:rPr>
          <w:sz w:val="25"/>
          <w:szCs w:val="25"/>
        </w:rPr>
        <w:t xml:space="preserve"> filed a full </w:t>
      </w:r>
      <w:r w:rsidRPr="004B6A39">
        <w:rPr>
          <w:sz w:val="25"/>
          <w:szCs w:val="25"/>
        </w:rPr>
        <w:t xml:space="preserve">Settlement Stipulation (Settlement) </w:t>
      </w:r>
      <w:r w:rsidR="00373B33" w:rsidRPr="00266728">
        <w:rPr>
          <w:sz w:val="25"/>
          <w:szCs w:val="25"/>
        </w:rPr>
        <w:t xml:space="preserve">which is attached as </w:t>
      </w:r>
      <w:r w:rsidR="00373B33">
        <w:rPr>
          <w:sz w:val="25"/>
          <w:szCs w:val="25"/>
        </w:rPr>
        <w:t>Appendix A</w:t>
      </w:r>
      <w:r w:rsidR="00373B33" w:rsidRPr="00266728">
        <w:rPr>
          <w:sz w:val="25"/>
          <w:szCs w:val="25"/>
        </w:rPr>
        <w:t xml:space="preserve"> and adopted in this Order by reference</w:t>
      </w:r>
      <w:r w:rsidR="00373B33">
        <w:rPr>
          <w:sz w:val="25"/>
          <w:szCs w:val="25"/>
        </w:rPr>
        <w:t xml:space="preserve"> and</w:t>
      </w:r>
      <w:r w:rsidRPr="004B6A39">
        <w:rPr>
          <w:sz w:val="25"/>
          <w:szCs w:val="25"/>
        </w:rPr>
        <w:t>, if approved, would resolve all the issues in th</w:t>
      </w:r>
      <w:r w:rsidR="00A310AC">
        <w:rPr>
          <w:sz w:val="25"/>
          <w:szCs w:val="25"/>
        </w:rPr>
        <w:t>is</w:t>
      </w:r>
      <w:r w:rsidRPr="004B6A39">
        <w:rPr>
          <w:sz w:val="25"/>
          <w:szCs w:val="25"/>
        </w:rPr>
        <w:t xml:space="preserve"> docket.  </w:t>
      </w:r>
    </w:p>
    <w:p w14:paraId="0BCBC1D0" w14:textId="77777777" w:rsidR="000415F4" w:rsidRPr="00266728" w:rsidRDefault="000415F4" w:rsidP="008B3E38">
      <w:pPr>
        <w:spacing w:line="288" w:lineRule="auto"/>
        <w:rPr>
          <w:sz w:val="25"/>
          <w:szCs w:val="25"/>
        </w:rPr>
      </w:pPr>
    </w:p>
    <w:p w14:paraId="22D70568" w14:textId="77777777" w:rsidR="000415F4" w:rsidRDefault="000415F4" w:rsidP="008B3E38">
      <w:pPr>
        <w:numPr>
          <w:ilvl w:val="0"/>
          <w:numId w:val="14"/>
        </w:numPr>
        <w:spacing w:line="288" w:lineRule="auto"/>
        <w:ind w:left="720" w:hanging="1440"/>
        <w:rPr>
          <w:sz w:val="25"/>
          <w:szCs w:val="25"/>
        </w:rPr>
      </w:pPr>
      <w:r>
        <w:rPr>
          <w:sz w:val="25"/>
          <w:szCs w:val="25"/>
        </w:rPr>
        <w:t>(</w:t>
      </w:r>
      <w:r w:rsidR="00A310AC">
        <w:rPr>
          <w:sz w:val="25"/>
          <w:szCs w:val="25"/>
        </w:rPr>
        <w:t>6</w:t>
      </w:r>
      <w:r w:rsidRPr="00266728">
        <w:rPr>
          <w:sz w:val="25"/>
          <w:szCs w:val="25"/>
        </w:rPr>
        <w:t>)</w:t>
      </w:r>
      <w:r w:rsidRPr="00266728">
        <w:rPr>
          <w:sz w:val="25"/>
          <w:szCs w:val="25"/>
        </w:rPr>
        <w:tab/>
      </w:r>
      <w:r>
        <w:rPr>
          <w:sz w:val="25"/>
          <w:szCs w:val="25"/>
        </w:rPr>
        <w:t>The Settlement provides for: (1) a decrease of $</w:t>
      </w:r>
      <w:r w:rsidR="00BB489E">
        <w:rPr>
          <w:sz w:val="25"/>
          <w:szCs w:val="25"/>
        </w:rPr>
        <w:t>14.893</w:t>
      </w:r>
      <w:r>
        <w:rPr>
          <w:sz w:val="25"/>
          <w:szCs w:val="25"/>
        </w:rPr>
        <w:t xml:space="preserve"> million in the Company’s revenue requirement; (2) </w:t>
      </w:r>
      <w:r w:rsidR="00BB489E">
        <w:rPr>
          <w:sz w:val="25"/>
          <w:szCs w:val="25"/>
        </w:rPr>
        <w:t>a prudence determination on PSE’s renewal and acquisition of 475 megawatts of Bonneville Power Administration transmission</w:t>
      </w:r>
      <w:r>
        <w:rPr>
          <w:sz w:val="25"/>
          <w:szCs w:val="25"/>
        </w:rPr>
        <w:t xml:space="preserve">; (3) </w:t>
      </w:r>
      <w:r w:rsidR="00BB489E">
        <w:rPr>
          <w:sz w:val="25"/>
          <w:szCs w:val="25"/>
        </w:rPr>
        <w:t>amortization of the Colstrip major maintenance expense over three years</w:t>
      </w:r>
      <w:r>
        <w:rPr>
          <w:sz w:val="25"/>
          <w:szCs w:val="25"/>
        </w:rPr>
        <w:t xml:space="preserve">; (4) reduction of </w:t>
      </w:r>
      <w:r w:rsidR="00BB489E">
        <w:rPr>
          <w:sz w:val="25"/>
          <w:szCs w:val="25"/>
        </w:rPr>
        <w:t xml:space="preserve">$1.3 million to </w:t>
      </w:r>
      <w:r>
        <w:rPr>
          <w:sz w:val="25"/>
          <w:szCs w:val="25"/>
        </w:rPr>
        <w:t xml:space="preserve">the </w:t>
      </w:r>
      <w:r w:rsidR="00BB489E">
        <w:rPr>
          <w:sz w:val="25"/>
          <w:szCs w:val="25"/>
        </w:rPr>
        <w:t>Colstrip operations and maintenance expense</w:t>
      </w:r>
      <w:r>
        <w:rPr>
          <w:sz w:val="25"/>
          <w:szCs w:val="25"/>
        </w:rPr>
        <w:t xml:space="preserve">; (5) </w:t>
      </w:r>
      <w:r w:rsidR="00BB489E">
        <w:rPr>
          <w:sz w:val="25"/>
          <w:szCs w:val="25"/>
        </w:rPr>
        <w:t>various AURORA modeling and power cost changes</w:t>
      </w:r>
      <w:r>
        <w:rPr>
          <w:sz w:val="25"/>
          <w:szCs w:val="25"/>
        </w:rPr>
        <w:t xml:space="preserve">; (6) </w:t>
      </w:r>
      <w:r w:rsidR="0002125E">
        <w:rPr>
          <w:sz w:val="25"/>
          <w:szCs w:val="25"/>
        </w:rPr>
        <w:t xml:space="preserve">reduction in rate base of $15,613,977 through the </w:t>
      </w:r>
      <w:r w:rsidR="00BB489E">
        <w:rPr>
          <w:sz w:val="25"/>
          <w:szCs w:val="25"/>
        </w:rPr>
        <w:t xml:space="preserve">use of the </w:t>
      </w:r>
      <w:r w:rsidR="0002125E">
        <w:rPr>
          <w:sz w:val="25"/>
          <w:szCs w:val="25"/>
        </w:rPr>
        <w:t xml:space="preserve">rate base level for the Snoqualmie Hydroelectric Project approved in the Company’s 2013 </w:t>
      </w:r>
      <w:proofErr w:type="spellStart"/>
      <w:r w:rsidR="0002125E">
        <w:rPr>
          <w:sz w:val="25"/>
          <w:szCs w:val="25"/>
        </w:rPr>
        <w:t>PCORC</w:t>
      </w:r>
      <w:proofErr w:type="spellEnd"/>
      <w:r w:rsidR="00EC61F4">
        <w:rPr>
          <w:sz w:val="25"/>
          <w:szCs w:val="25"/>
        </w:rPr>
        <w:t xml:space="preserve"> proceeding</w:t>
      </w:r>
      <w:r w:rsidR="0002125E">
        <w:rPr>
          <w:sz w:val="25"/>
          <w:szCs w:val="25"/>
        </w:rPr>
        <w:t>, $305,197,775, adjusted for depreciation and deferred income taxes</w:t>
      </w:r>
      <w:r>
        <w:rPr>
          <w:sz w:val="25"/>
          <w:szCs w:val="25"/>
        </w:rPr>
        <w:t xml:space="preserve">; (7) </w:t>
      </w:r>
      <w:r w:rsidR="0002125E">
        <w:rPr>
          <w:sz w:val="25"/>
          <w:szCs w:val="25"/>
        </w:rPr>
        <w:t xml:space="preserve">ratemaking treatment for the sale of the Electron Hydroelectric Facility, approved by the Commission in Docket </w:t>
      </w:r>
      <w:proofErr w:type="spellStart"/>
      <w:r w:rsidR="0002125E">
        <w:rPr>
          <w:sz w:val="25"/>
          <w:szCs w:val="25"/>
        </w:rPr>
        <w:t>UE</w:t>
      </w:r>
      <w:proofErr w:type="spellEnd"/>
      <w:r w:rsidR="0002125E">
        <w:rPr>
          <w:sz w:val="25"/>
          <w:szCs w:val="25"/>
        </w:rPr>
        <w:t xml:space="preserve">-130617 </w:t>
      </w:r>
      <w:r w:rsidR="0002125E">
        <w:rPr>
          <w:i/>
          <w:sz w:val="25"/>
          <w:szCs w:val="25"/>
        </w:rPr>
        <w:t xml:space="preserve">et </w:t>
      </w:r>
      <w:r w:rsidR="0002125E" w:rsidRPr="0002125E">
        <w:rPr>
          <w:sz w:val="25"/>
          <w:szCs w:val="25"/>
        </w:rPr>
        <w:t>al</w:t>
      </w:r>
      <w:r w:rsidR="0002125E">
        <w:rPr>
          <w:sz w:val="25"/>
          <w:szCs w:val="25"/>
        </w:rPr>
        <w:t>, resulting in a revenue requirement reduction of $2,271,793</w:t>
      </w:r>
      <w:r>
        <w:rPr>
          <w:sz w:val="25"/>
          <w:szCs w:val="25"/>
        </w:rPr>
        <w:t xml:space="preserve">;  (8) </w:t>
      </w:r>
      <w:r w:rsidR="00F832CF">
        <w:rPr>
          <w:sz w:val="25"/>
          <w:szCs w:val="25"/>
        </w:rPr>
        <w:t>reduction of $286,683</w:t>
      </w:r>
      <w:r w:rsidR="00B825D3">
        <w:rPr>
          <w:sz w:val="25"/>
          <w:szCs w:val="25"/>
        </w:rPr>
        <w:t xml:space="preserve"> for PSE’s share of the Colstrip property insurance premiums</w:t>
      </w:r>
      <w:r>
        <w:rPr>
          <w:sz w:val="25"/>
          <w:szCs w:val="25"/>
        </w:rPr>
        <w:t xml:space="preserve">; (9) </w:t>
      </w:r>
      <w:r w:rsidR="00B825D3">
        <w:rPr>
          <w:sz w:val="25"/>
          <w:szCs w:val="25"/>
        </w:rPr>
        <w:t xml:space="preserve">retention of the current return on equity and weighted average cost of capital percentages; (10) </w:t>
      </w:r>
      <w:r w:rsidR="00EC61F4">
        <w:rPr>
          <w:sz w:val="25"/>
          <w:szCs w:val="25"/>
        </w:rPr>
        <w:t xml:space="preserve">allows </w:t>
      </w:r>
      <w:r w:rsidR="00B825D3">
        <w:rPr>
          <w:sz w:val="25"/>
          <w:szCs w:val="25"/>
        </w:rPr>
        <w:t xml:space="preserve">PSE </w:t>
      </w:r>
      <w:r w:rsidR="00EC61F4">
        <w:rPr>
          <w:sz w:val="25"/>
          <w:szCs w:val="25"/>
        </w:rPr>
        <w:t>to</w:t>
      </w:r>
      <w:r w:rsidR="00B825D3">
        <w:rPr>
          <w:sz w:val="25"/>
          <w:szCs w:val="25"/>
        </w:rPr>
        <w:t xml:space="preserve"> implement the December 1, 2015, price and volume changes associated with the Centralia Coal </w:t>
      </w:r>
      <w:r w:rsidR="00130759">
        <w:rPr>
          <w:sz w:val="25"/>
          <w:szCs w:val="25"/>
        </w:rPr>
        <w:t xml:space="preserve">Transition purchase power agreement through a 2015 </w:t>
      </w:r>
      <w:proofErr w:type="spellStart"/>
      <w:r w:rsidR="00130759">
        <w:rPr>
          <w:sz w:val="25"/>
          <w:szCs w:val="25"/>
        </w:rPr>
        <w:t>PCORC</w:t>
      </w:r>
      <w:proofErr w:type="spellEnd"/>
      <w:r w:rsidR="00130759">
        <w:rPr>
          <w:sz w:val="25"/>
          <w:szCs w:val="25"/>
        </w:rPr>
        <w:t xml:space="preserve"> proceeding and the December 1, 2016, price and volume changes either through a compliance filing in 2016, a general rate case, or a combination to be proposed by PSE; and (11) a prudence determination for PSE’s renewal of the Point Roberts purchase power agreement</w:t>
      </w:r>
      <w:r w:rsidRPr="00266728">
        <w:rPr>
          <w:sz w:val="25"/>
          <w:szCs w:val="25"/>
        </w:rPr>
        <w:t>.</w:t>
      </w:r>
    </w:p>
    <w:p w14:paraId="2DF72D24" w14:textId="77777777" w:rsidR="000415F4" w:rsidRDefault="000415F4" w:rsidP="008B3E38">
      <w:pPr>
        <w:spacing w:line="288" w:lineRule="auto"/>
        <w:ind w:left="720"/>
        <w:rPr>
          <w:sz w:val="25"/>
          <w:szCs w:val="25"/>
        </w:rPr>
      </w:pPr>
    </w:p>
    <w:p w14:paraId="7E8B870E" w14:textId="77777777" w:rsidR="000415F4" w:rsidRPr="00266728" w:rsidRDefault="000415F4" w:rsidP="008B3E38">
      <w:pPr>
        <w:numPr>
          <w:ilvl w:val="0"/>
          <w:numId w:val="14"/>
        </w:numPr>
        <w:spacing w:line="288" w:lineRule="auto"/>
        <w:ind w:left="720" w:hanging="1440"/>
        <w:rPr>
          <w:sz w:val="25"/>
          <w:szCs w:val="25"/>
        </w:rPr>
      </w:pPr>
      <w:r>
        <w:rPr>
          <w:sz w:val="25"/>
          <w:szCs w:val="25"/>
        </w:rPr>
        <w:t>(</w:t>
      </w:r>
      <w:r w:rsidR="00F13290">
        <w:rPr>
          <w:sz w:val="25"/>
          <w:szCs w:val="25"/>
        </w:rPr>
        <w:t>7</w:t>
      </w:r>
      <w:r>
        <w:rPr>
          <w:sz w:val="25"/>
          <w:szCs w:val="25"/>
        </w:rPr>
        <w:t>)</w:t>
      </w:r>
      <w:r>
        <w:rPr>
          <w:sz w:val="25"/>
          <w:szCs w:val="25"/>
        </w:rPr>
        <w:tab/>
        <w:t>PSE’s currently effective rates are not fair, just, or reasonable for the services rendered.</w:t>
      </w:r>
    </w:p>
    <w:p w14:paraId="2A8A8FB7" w14:textId="544589F0" w:rsidR="00095827" w:rsidRDefault="00095827">
      <w:pPr>
        <w:rPr>
          <w:sz w:val="25"/>
          <w:szCs w:val="25"/>
        </w:rPr>
      </w:pPr>
      <w:r>
        <w:rPr>
          <w:sz w:val="25"/>
          <w:szCs w:val="25"/>
        </w:rPr>
        <w:br w:type="page"/>
      </w:r>
    </w:p>
    <w:p w14:paraId="0AC99BCD" w14:textId="77777777" w:rsidR="000415F4" w:rsidRPr="00266728" w:rsidRDefault="000415F4" w:rsidP="008B3E38">
      <w:pPr>
        <w:spacing w:line="288" w:lineRule="auto"/>
        <w:ind w:left="-720"/>
        <w:rPr>
          <w:sz w:val="25"/>
          <w:szCs w:val="25"/>
        </w:rPr>
      </w:pPr>
    </w:p>
    <w:p w14:paraId="44094210" w14:textId="77777777" w:rsidR="000415F4" w:rsidRPr="00266728" w:rsidRDefault="000415F4" w:rsidP="008B3E38">
      <w:pPr>
        <w:spacing w:line="288" w:lineRule="auto"/>
        <w:jc w:val="center"/>
        <w:outlineLvl w:val="0"/>
        <w:rPr>
          <w:sz w:val="25"/>
          <w:szCs w:val="25"/>
        </w:rPr>
      </w:pPr>
      <w:bookmarkStart w:id="6" w:name="_Toc168986383"/>
      <w:r w:rsidRPr="00266728">
        <w:rPr>
          <w:b/>
          <w:sz w:val="25"/>
          <w:szCs w:val="25"/>
          <w:u w:val="single"/>
        </w:rPr>
        <w:t>CONCLUSIONS OF LAW</w:t>
      </w:r>
      <w:bookmarkEnd w:id="6"/>
    </w:p>
    <w:p w14:paraId="32382D70" w14:textId="77777777" w:rsidR="000415F4" w:rsidRPr="00266728" w:rsidRDefault="000415F4" w:rsidP="008B3E38">
      <w:pPr>
        <w:spacing w:line="288" w:lineRule="auto"/>
        <w:jc w:val="center"/>
        <w:rPr>
          <w:sz w:val="25"/>
          <w:szCs w:val="25"/>
        </w:rPr>
      </w:pPr>
    </w:p>
    <w:p w14:paraId="3034026C" w14:textId="77777777" w:rsidR="000415F4" w:rsidRPr="00B75B06" w:rsidRDefault="000415F4" w:rsidP="008B3E38">
      <w:pPr>
        <w:numPr>
          <w:ilvl w:val="0"/>
          <w:numId w:val="14"/>
        </w:numPr>
        <w:tabs>
          <w:tab w:val="left" w:pos="0"/>
        </w:tabs>
        <w:spacing w:line="288" w:lineRule="auto"/>
        <w:ind w:hanging="720"/>
        <w:rPr>
          <w:b/>
          <w:sz w:val="25"/>
          <w:szCs w:val="25"/>
        </w:rPr>
      </w:pPr>
      <w:r w:rsidRPr="00001CED">
        <w:rPr>
          <w:color w:val="000000"/>
          <w:sz w:val="25"/>
          <w:szCs w:val="25"/>
        </w:rPr>
        <w:t>Having</w:t>
      </w:r>
      <w:r w:rsidRPr="00001CED">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r w:rsidRPr="00B75B06">
        <w:rPr>
          <w:sz w:val="25"/>
          <w:szCs w:val="25"/>
        </w:rPr>
        <w:t>:</w:t>
      </w:r>
    </w:p>
    <w:p w14:paraId="564DAFD1" w14:textId="77777777" w:rsidR="000415F4" w:rsidRPr="00266728" w:rsidRDefault="000415F4" w:rsidP="008B3E38">
      <w:pPr>
        <w:spacing w:line="288" w:lineRule="auto"/>
        <w:ind w:left="-720"/>
        <w:rPr>
          <w:b/>
          <w:sz w:val="25"/>
          <w:szCs w:val="25"/>
        </w:rPr>
      </w:pPr>
    </w:p>
    <w:p w14:paraId="7D5EC2CF" w14:textId="77777777" w:rsidR="000415F4" w:rsidRDefault="000415F4" w:rsidP="008B3E38">
      <w:pPr>
        <w:numPr>
          <w:ilvl w:val="0"/>
          <w:numId w:val="14"/>
        </w:numPr>
        <w:spacing w:line="288" w:lineRule="auto"/>
        <w:ind w:left="720" w:hanging="1440"/>
        <w:rPr>
          <w:sz w:val="25"/>
          <w:szCs w:val="25"/>
        </w:rPr>
      </w:pPr>
      <w:r w:rsidRPr="00266728">
        <w:rPr>
          <w:sz w:val="25"/>
          <w:szCs w:val="25"/>
        </w:rPr>
        <w:t>(1)</w:t>
      </w:r>
      <w:r w:rsidRPr="00266728">
        <w:rPr>
          <w:sz w:val="25"/>
          <w:szCs w:val="25"/>
        </w:rPr>
        <w:tab/>
        <w:t xml:space="preserve">The Washington Utilities and Transportation Commission has jurisdiction over the </w:t>
      </w:r>
      <w:r w:rsidRPr="00266728">
        <w:rPr>
          <w:color w:val="000000"/>
          <w:sz w:val="25"/>
          <w:szCs w:val="25"/>
        </w:rPr>
        <w:t>subject</w:t>
      </w:r>
      <w:r w:rsidRPr="00266728">
        <w:rPr>
          <w:sz w:val="25"/>
          <w:szCs w:val="25"/>
        </w:rPr>
        <w:t xml:space="preserve"> matter of, and parties to, these proceedings.  </w:t>
      </w:r>
    </w:p>
    <w:p w14:paraId="37646FE4" w14:textId="77777777" w:rsidR="000415F4" w:rsidRDefault="000415F4" w:rsidP="008B3E38">
      <w:pPr>
        <w:pStyle w:val="ListParagraph"/>
        <w:spacing w:line="288" w:lineRule="auto"/>
        <w:rPr>
          <w:sz w:val="25"/>
          <w:szCs w:val="25"/>
        </w:rPr>
      </w:pPr>
    </w:p>
    <w:p w14:paraId="23255EDD" w14:textId="77777777" w:rsidR="000415F4" w:rsidRDefault="000415F4" w:rsidP="008B3E38">
      <w:pPr>
        <w:numPr>
          <w:ilvl w:val="0"/>
          <w:numId w:val="14"/>
        </w:numPr>
        <w:spacing w:line="288" w:lineRule="auto"/>
        <w:ind w:left="720" w:hanging="1440"/>
        <w:rPr>
          <w:sz w:val="25"/>
          <w:szCs w:val="25"/>
        </w:rPr>
      </w:pPr>
      <w:r>
        <w:rPr>
          <w:sz w:val="25"/>
          <w:szCs w:val="25"/>
        </w:rPr>
        <w:t>(2)</w:t>
      </w:r>
      <w:r>
        <w:rPr>
          <w:sz w:val="25"/>
          <w:szCs w:val="25"/>
        </w:rPr>
        <w:tab/>
        <w:t xml:space="preserve">PSE’s proposed tariff revisions, filed on </w:t>
      </w:r>
      <w:r w:rsidR="00130759">
        <w:rPr>
          <w:sz w:val="25"/>
          <w:szCs w:val="25"/>
        </w:rPr>
        <w:t>May 23, 2014</w:t>
      </w:r>
      <w:r>
        <w:rPr>
          <w:sz w:val="25"/>
          <w:szCs w:val="25"/>
        </w:rPr>
        <w:t>, would not result in rates that are fair, just, or reasonable.</w:t>
      </w:r>
    </w:p>
    <w:p w14:paraId="6BB50060" w14:textId="77777777" w:rsidR="000415F4" w:rsidRDefault="000415F4" w:rsidP="008B3E38">
      <w:pPr>
        <w:pStyle w:val="ListParagraph"/>
        <w:spacing w:line="288" w:lineRule="auto"/>
        <w:rPr>
          <w:sz w:val="25"/>
          <w:szCs w:val="25"/>
        </w:rPr>
      </w:pPr>
    </w:p>
    <w:p w14:paraId="19DC56A4" w14:textId="77777777" w:rsidR="000415F4" w:rsidRDefault="000415F4" w:rsidP="008B3E38">
      <w:pPr>
        <w:numPr>
          <w:ilvl w:val="0"/>
          <w:numId w:val="14"/>
        </w:numPr>
        <w:tabs>
          <w:tab w:val="left" w:pos="0"/>
          <w:tab w:val="num" w:pos="720"/>
        </w:tabs>
        <w:spacing w:line="288" w:lineRule="auto"/>
        <w:ind w:left="720" w:hanging="1440"/>
        <w:rPr>
          <w:sz w:val="25"/>
          <w:szCs w:val="25"/>
        </w:rPr>
      </w:pPr>
      <w:r>
        <w:rPr>
          <w:sz w:val="25"/>
          <w:szCs w:val="25"/>
        </w:rPr>
        <w:t>(3)</w:t>
      </w:r>
      <w:r>
        <w:rPr>
          <w:sz w:val="25"/>
          <w:szCs w:val="25"/>
        </w:rPr>
        <w:tab/>
      </w:r>
      <w:r w:rsidR="00EC6E90">
        <w:rPr>
          <w:sz w:val="25"/>
          <w:szCs w:val="25"/>
        </w:rPr>
        <w:t xml:space="preserve">Renewal and acquisition of 475 </w:t>
      </w:r>
      <w:r w:rsidR="0001478D">
        <w:rPr>
          <w:sz w:val="25"/>
          <w:szCs w:val="25"/>
        </w:rPr>
        <w:t>MW</w:t>
      </w:r>
      <w:r w:rsidR="00EC6E90">
        <w:rPr>
          <w:sz w:val="25"/>
          <w:szCs w:val="25"/>
        </w:rPr>
        <w:t xml:space="preserve"> of </w:t>
      </w:r>
      <w:r w:rsidR="0001478D">
        <w:rPr>
          <w:sz w:val="25"/>
          <w:szCs w:val="25"/>
        </w:rPr>
        <w:t>BPA</w:t>
      </w:r>
      <w:r w:rsidR="00EC6E90">
        <w:rPr>
          <w:sz w:val="25"/>
          <w:szCs w:val="25"/>
        </w:rPr>
        <w:t xml:space="preserve"> transmission and renewal of the Point Roberts power purchase agreement are in the public interest and should be found prudent</w:t>
      </w:r>
      <w:r>
        <w:rPr>
          <w:sz w:val="25"/>
          <w:szCs w:val="25"/>
        </w:rPr>
        <w:t>.</w:t>
      </w:r>
    </w:p>
    <w:p w14:paraId="34F49D7B" w14:textId="77777777" w:rsidR="000415F4" w:rsidRDefault="000415F4" w:rsidP="008B3E38">
      <w:pPr>
        <w:pStyle w:val="ListParagraph"/>
        <w:spacing w:line="288" w:lineRule="auto"/>
        <w:rPr>
          <w:sz w:val="25"/>
          <w:szCs w:val="25"/>
        </w:rPr>
      </w:pPr>
    </w:p>
    <w:p w14:paraId="274A5199" w14:textId="77777777" w:rsidR="000415F4" w:rsidRPr="00B26051" w:rsidRDefault="000415F4" w:rsidP="008B3E38">
      <w:pPr>
        <w:numPr>
          <w:ilvl w:val="0"/>
          <w:numId w:val="14"/>
        </w:numPr>
        <w:spacing w:line="288" w:lineRule="auto"/>
        <w:ind w:left="720" w:hanging="1440"/>
        <w:rPr>
          <w:sz w:val="25"/>
          <w:szCs w:val="25"/>
        </w:rPr>
      </w:pPr>
      <w:r w:rsidRPr="00B26051">
        <w:rPr>
          <w:sz w:val="25"/>
          <w:szCs w:val="25"/>
        </w:rPr>
        <w:t>(4)</w:t>
      </w:r>
      <w:r w:rsidRPr="00B26051">
        <w:rPr>
          <w:sz w:val="25"/>
          <w:szCs w:val="25"/>
        </w:rPr>
        <w:tab/>
      </w:r>
      <w:r w:rsidR="00EC6E90" w:rsidRPr="00B26051">
        <w:rPr>
          <w:sz w:val="25"/>
          <w:szCs w:val="25"/>
        </w:rPr>
        <w:t xml:space="preserve">The amortization of major maintenance expenses for Colstrip until the next major event, as described more fully in the Settlement, is </w:t>
      </w:r>
      <w:r w:rsidR="00B26051">
        <w:rPr>
          <w:sz w:val="25"/>
          <w:szCs w:val="25"/>
        </w:rPr>
        <w:t xml:space="preserve">a </w:t>
      </w:r>
      <w:r w:rsidR="00EC6E90" w:rsidRPr="00B26051">
        <w:rPr>
          <w:sz w:val="25"/>
          <w:szCs w:val="25"/>
        </w:rPr>
        <w:t xml:space="preserve">reasonable </w:t>
      </w:r>
      <w:r w:rsidR="00B26051">
        <w:rPr>
          <w:sz w:val="25"/>
          <w:szCs w:val="25"/>
        </w:rPr>
        <w:t xml:space="preserve">approach </w:t>
      </w:r>
      <w:r w:rsidR="00EC6E90" w:rsidRPr="00B26051">
        <w:rPr>
          <w:sz w:val="25"/>
          <w:szCs w:val="25"/>
        </w:rPr>
        <w:t>and should be approved</w:t>
      </w:r>
      <w:r w:rsidRPr="00B26051">
        <w:rPr>
          <w:sz w:val="25"/>
          <w:szCs w:val="25"/>
        </w:rPr>
        <w:t>.</w:t>
      </w:r>
    </w:p>
    <w:p w14:paraId="69293338" w14:textId="77777777" w:rsidR="000415F4" w:rsidRDefault="000415F4" w:rsidP="008B3E38">
      <w:pPr>
        <w:pStyle w:val="ListParagraph"/>
        <w:spacing w:line="288" w:lineRule="auto"/>
        <w:rPr>
          <w:sz w:val="25"/>
          <w:szCs w:val="25"/>
        </w:rPr>
      </w:pPr>
    </w:p>
    <w:p w14:paraId="6C9EE6F9" w14:textId="77777777" w:rsidR="000415F4" w:rsidRPr="00B26051" w:rsidRDefault="000415F4" w:rsidP="008B3E38">
      <w:pPr>
        <w:numPr>
          <w:ilvl w:val="0"/>
          <w:numId w:val="14"/>
        </w:numPr>
        <w:spacing w:line="288" w:lineRule="auto"/>
        <w:ind w:left="720" w:hanging="1440"/>
        <w:rPr>
          <w:sz w:val="25"/>
          <w:szCs w:val="25"/>
        </w:rPr>
      </w:pPr>
      <w:r w:rsidRPr="00B26051">
        <w:rPr>
          <w:sz w:val="25"/>
          <w:szCs w:val="25"/>
        </w:rPr>
        <w:t>(</w:t>
      </w:r>
      <w:r w:rsidR="00B26051" w:rsidRPr="00B26051">
        <w:rPr>
          <w:sz w:val="25"/>
          <w:szCs w:val="25"/>
        </w:rPr>
        <w:t>5</w:t>
      </w:r>
      <w:r w:rsidRPr="00B26051">
        <w:rPr>
          <w:sz w:val="25"/>
          <w:szCs w:val="25"/>
        </w:rPr>
        <w:t>)</w:t>
      </w:r>
      <w:r w:rsidRPr="00B26051">
        <w:rPr>
          <w:sz w:val="25"/>
          <w:szCs w:val="25"/>
        </w:rPr>
        <w:tab/>
      </w:r>
      <w:r w:rsidR="00B26051" w:rsidRPr="00B26051">
        <w:rPr>
          <w:sz w:val="25"/>
          <w:szCs w:val="25"/>
        </w:rPr>
        <w:t>The Company should file various AURORA modeling and power cost changes, as described more fully in the Settlement, in a compliance filing</w:t>
      </w:r>
      <w:r w:rsidRPr="00B26051">
        <w:rPr>
          <w:sz w:val="25"/>
          <w:szCs w:val="25"/>
        </w:rPr>
        <w:t>.</w:t>
      </w:r>
    </w:p>
    <w:p w14:paraId="270FD36C" w14:textId="77777777" w:rsidR="000415F4" w:rsidRDefault="000415F4" w:rsidP="008B3E38">
      <w:pPr>
        <w:pStyle w:val="ListParagraph"/>
        <w:spacing w:line="288" w:lineRule="auto"/>
        <w:rPr>
          <w:sz w:val="25"/>
          <w:szCs w:val="25"/>
        </w:rPr>
      </w:pPr>
    </w:p>
    <w:p w14:paraId="252E9E8B" w14:textId="77777777" w:rsidR="000415F4" w:rsidRPr="00266728" w:rsidRDefault="000415F4" w:rsidP="008B3E38">
      <w:pPr>
        <w:numPr>
          <w:ilvl w:val="0"/>
          <w:numId w:val="14"/>
        </w:numPr>
        <w:tabs>
          <w:tab w:val="left" w:pos="0"/>
          <w:tab w:val="num" w:pos="720"/>
        </w:tabs>
        <w:spacing w:line="288" w:lineRule="auto"/>
        <w:ind w:left="720" w:hanging="1440"/>
        <w:rPr>
          <w:sz w:val="25"/>
          <w:szCs w:val="25"/>
        </w:rPr>
      </w:pPr>
      <w:r>
        <w:rPr>
          <w:sz w:val="25"/>
          <w:szCs w:val="25"/>
        </w:rPr>
        <w:t>(</w:t>
      </w:r>
      <w:r w:rsidR="00B26051">
        <w:rPr>
          <w:sz w:val="25"/>
          <w:szCs w:val="25"/>
        </w:rPr>
        <w:t>6</w:t>
      </w:r>
      <w:r>
        <w:rPr>
          <w:sz w:val="25"/>
          <w:szCs w:val="25"/>
        </w:rPr>
        <w:t>)</w:t>
      </w:r>
      <w:r>
        <w:rPr>
          <w:sz w:val="25"/>
          <w:szCs w:val="25"/>
        </w:rPr>
        <w:tab/>
        <w:t xml:space="preserve">The </w:t>
      </w:r>
      <w:r w:rsidR="004D7F50">
        <w:rPr>
          <w:sz w:val="25"/>
          <w:szCs w:val="25"/>
        </w:rPr>
        <w:t>ratemaking treatment for the Electron Hydroelectric Project sale resulting in a $2,271,793 reduction to PSE’s revenue requirement</w:t>
      </w:r>
      <w:r w:rsidR="00373B33">
        <w:rPr>
          <w:sz w:val="25"/>
          <w:szCs w:val="25"/>
        </w:rPr>
        <w:t xml:space="preserve"> should be approved</w:t>
      </w:r>
      <w:r>
        <w:rPr>
          <w:sz w:val="25"/>
          <w:szCs w:val="25"/>
        </w:rPr>
        <w:t>.</w:t>
      </w:r>
    </w:p>
    <w:p w14:paraId="0884F8D7" w14:textId="77777777" w:rsidR="000415F4" w:rsidRPr="00266728" w:rsidRDefault="000415F4" w:rsidP="008B3E38">
      <w:pPr>
        <w:spacing w:line="288" w:lineRule="auto"/>
        <w:rPr>
          <w:sz w:val="25"/>
          <w:szCs w:val="25"/>
        </w:rPr>
      </w:pPr>
    </w:p>
    <w:p w14:paraId="704B0860" w14:textId="77777777" w:rsidR="002262AC" w:rsidRPr="002262AC" w:rsidRDefault="000415F4" w:rsidP="008B3E38">
      <w:pPr>
        <w:numPr>
          <w:ilvl w:val="0"/>
          <w:numId w:val="14"/>
        </w:numPr>
        <w:spacing w:line="288" w:lineRule="auto"/>
        <w:ind w:left="720" w:hanging="1440"/>
        <w:rPr>
          <w:b/>
          <w:sz w:val="25"/>
          <w:szCs w:val="25"/>
        </w:rPr>
      </w:pPr>
      <w:r w:rsidRPr="009E34DB">
        <w:rPr>
          <w:sz w:val="25"/>
          <w:szCs w:val="25"/>
        </w:rPr>
        <w:t>(</w:t>
      </w:r>
      <w:r w:rsidR="004D7F50">
        <w:rPr>
          <w:sz w:val="25"/>
          <w:szCs w:val="25"/>
        </w:rPr>
        <w:t>7</w:t>
      </w:r>
      <w:r w:rsidRPr="009E34DB">
        <w:rPr>
          <w:color w:val="000000"/>
          <w:sz w:val="25"/>
          <w:szCs w:val="25"/>
        </w:rPr>
        <w:t>)</w:t>
      </w:r>
      <w:r w:rsidRPr="009E34DB">
        <w:rPr>
          <w:color w:val="000000"/>
          <w:sz w:val="25"/>
          <w:szCs w:val="25"/>
        </w:rPr>
        <w:tab/>
      </w:r>
      <w:r w:rsidR="004D7F50">
        <w:rPr>
          <w:color w:val="000000"/>
          <w:sz w:val="25"/>
          <w:szCs w:val="25"/>
        </w:rPr>
        <w:t xml:space="preserve">The </w:t>
      </w:r>
      <w:r w:rsidR="002262AC">
        <w:rPr>
          <w:color w:val="000000"/>
          <w:sz w:val="25"/>
          <w:szCs w:val="25"/>
        </w:rPr>
        <w:t xml:space="preserve">use of PSE’s previously approved </w:t>
      </w:r>
      <w:r w:rsidR="004D7F50">
        <w:rPr>
          <w:color w:val="000000"/>
          <w:sz w:val="25"/>
          <w:szCs w:val="25"/>
        </w:rPr>
        <w:t xml:space="preserve">rate base level for the Snoqualmie Hydroelectric Project renovation, adjusted for depreciation and deferred income taxes, </w:t>
      </w:r>
      <w:r w:rsidR="002262AC">
        <w:rPr>
          <w:color w:val="000000"/>
          <w:sz w:val="25"/>
          <w:szCs w:val="25"/>
        </w:rPr>
        <w:t>is reasonable.</w:t>
      </w:r>
      <w:r w:rsidR="004D7F50">
        <w:rPr>
          <w:color w:val="000000"/>
          <w:sz w:val="25"/>
          <w:szCs w:val="25"/>
        </w:rPr>
        <w:t xml:space="preserve"> </w:t>
      </w:r>
    </w:p>
    <w:p w14:paraId="098D3487" w14:textId="77777777" w:rsidR="002262AC" w:rsidRDefault="002262AC" w:rsidP="008B3E38">
      <w:pPr>
        <w:pStyle w:val="ListParagraph"/>
        <w:spacing w:line="288" w:lineRule="auto"/>
        <w:rPr>
          <w:sz w:val="25"/>
          <w:szCs w:val="25"/>
        </w:rPr>
      </w:pPr>
    </w:p>
    <w:p w14:paraId="0924D705" w14:textId="77777777" w:rsidR="000415F4" w:rsidRPr="00E557F2" w:rsidRDefault="002262AC" w:rsidP="008B3E38">
      <w:pPr>
        <w:numPr>
          <w:ilvl w:val="0"/>
          <w:numId w:val="14"/>
        </w:numPr>
        <w:spacing w:line="288" w:lineRule="auto"/>
        <w:ind w:left="720" w:hanging="1440"/>
        <w:rPr>
          <w:b/>
          <w:sz w:val="25"/>
          <w:szCs w:val="25"/>
        </w:rPr>
      </w:pPr>
      <w:r>
        <w:rPr>
          <w:sz w:val="25"/>
          <w:szCs w:val="25"/>
        </w:rPr>
        <w:t>(8)</w:t>
      </w:r>
      <w:r>
        <w:rPr>
          <w:sz w:val="25"/>
          <w:szCs w:val="25"/>
        </w:rPr>
        <w:tab/>
      </w:r>
      <w:r w:rsidR="000415F4" w:rsidRPr="009E34DB">
        <w:rPr>
          <w:sz w:val="25"/>
          <w:szCs w:val="25"/>
        </w:rPr>
        <w:t>The Settlement</w:t>
      </w:r>
      <w:r w:rsidR="00373B33">
        <w:rPr>
          <w:sz w:val="25"/>
          <w:szCs w:val="25"/>
        </w:rPr>
        <w:t>,</w:t>
      </w:r>
      <w:r w:rsidR="000415F4" w:rsidRPr="009E34DB">
        <w:rPr>
          <w:sz w:val="25"/>
          <w:szCs w:val="25"/>
        </w:rPr>
        <w:t xml:space="preserve"> </w:t>
      </w:r>
      <w:r w:rsidR="000415F4" w:rsidRPr="009E34DB">
        <w:rPr>
          <w:iCs/>
          <w:sz w:val="25"/>
          <w:szCs w:val="25"/>
        </w:rPr>
        <w:t xml:space="preserve">if approved, would </w:t>
      </w:r>
      <w:r w:rsidR="000415F4" w:rsidRPr="009E34DB">
        <w:rPr>
          <w:sz w:val="25"/>
          <w:szCs w:val="25"/>
        </w:rPr>
        <w:t xml:space="preserve">result in rates for PSE that are fair, just, reasonable, and sufficient.  </w:t>
      </w:r>
    </w:p>
    <w:p w14:paraId="6559823A" w14:textId="77777777" w:rsidR="000415F4" w:rsidRDefault="000415F4" w:rsidP="008B3E38">
      <w:pPr>
        <w:pStyle w:val="ListParagraph"/>
        <w:spacing w:line="288" w:lineRule="auto"/>
        <w:rPr>
          <w:b/>
          <w:sz w:val="25"/>
          <w:szCs w:val="25"/>
        </w:rPr>
      </w:pPr>
    </w:p>
    <w:p w14:paraId="35E5D9BE" w14:textId="77777777" w:rsidR="000415F4" w:rsidRPr="00E557F2" w:rsidRDefault="000415F4" w:rsidP="008B3E38">
      <w:pPr>
        <w:numPr>
          <w:ilvl w:val="0"/>
          <w:numId w:val="14"/>
        </w:numPr>
        <w:spacing w:line="288" w:lineRule="auto"/>
        <w:ind w:left="720" w:hanging="1440"/>
        <w:rPr>
          <w:sz w:val="25"/>
          <w:szCs w:val="25"/>
        </w:rPr>
      </w:pPr>
      <w:r w:rsidRPr="00E557F2">
        <w:rPr>
          <w:sz w:val="25"/>
          <w:szCs w:val="25"/>
        </w:rPr>
        <w:t>(</w:t>
      </w:r>
      <w:r w:rsidR="00DB1FB0">
        <w:rPr>
          <w:sz w:val="25"/>
          <w:szCs w:val="25"/>
        </w:rPr>
        <w:t>9</w:t>
      </w:r>
      <w:r w:rsidRPr="00E557F2">
        <w:rPr>
          <w:sz w:val="25"/>
          <w:szCs w:val="25"/>
        </w:rPr>
        <w:t>)</w:t>
      </w:r>
      <w:r w:rsidRPr="00E557F2">
        <w:rPr>
          <w:sz w:val="25"/>
          <w:szCs w:val="25"/>
        </w:rPr>
        <w:tab/>
      </w:r>
      <w:r w:rsidRPr="009E34DB">
        <w:rPr>
          <w:sz w:val="25"/>
          <w:szCs w:val="25"/>
        </w:rPr>
        <w:t>Rates determined on the basis of the terms set forth in the Settlement would be neither unduly preferential nor discriminatory</w:t>
      </w:r>
      <w:r>
        <w:rPr>
          <w:sz w:val="25"/>
          <w:szCs w:val="25"/>
        </w:rPr>
        <w:t xml:space="preserve"> and should become effective </w:t>
      </w:r>
      <w:r w:rsidR="00DB1FB0">
        <w:rPr>
          <w:sz w:val="25"/>
          <w:szCs w:val="25"/>
        </w:rPr>
        <w:t>December</w:t>
      </w:r>
      <w:r>
        <w:rPr>
          <w:sz w:val="25"/>
          <w:szCs w:val="25"/>
        </w:rPr>
        <w:t xml:space="preserve"> 1, 201</w:t>
      </w:r>
      <w:r w:rsidR="00DB1FB0">
        <w:rPr>
          <w:sz w:val="25"/>
          <w:szCs w:val="25"/>
        </w:rPr>
        <w:t>4</w:t>
      </w:r>
      <w:r w:rsidRPr="009E34DB">
        <w:rPr>
          <w:sz w:val="25"/>
          <w:szCs w:val="25"/>
        </w:rPr>
        <w:t>.</w:t>
      </w:r>
    </w:p>
    <w:p w14:paraId="4DDF0C5D" w14:textId="77777777" w:rsidR="000415F4" w:rsidRDefault="000415F4" w:rsidP="008B3E38">
      <w:pPr>
        <w:pStyle w:val="ListParagraph"/>
        <w:spacing w:line="288" w:lineRule="auto"/>
        <w:rPr>
          <w:b/>
          <w:sz w:val="25"/>
          <w:szCs w:val="25"/>
        </w:rPr>
      </w:pPr>
    </w:p>
    <w:p w14:paraId="00EA2A6C" w14:textId="77777777" w:rsidR="000415F4" w:rsidRPr="009E34DB" w:rsidRDefault="000415F4" w:rsidP="008B3E38">
      <w:pPr>
        <w:numPr>
          <w:ilvl w:val="0"/>
          <w:numId w:val="14"/>
        </w:numPr>
        <w:spacing w:line="288" w:lineRule="auto"/>
        <w:ind w:left="720" w:hanging="1440"/>
        <w:rPr>
          <w:sz w:val="25"/>
          <w:szCs w:val="25"/>
        </w:rPr>
      </w:pPr>
      <w:r>
        <w:rPr>
          <w:sz w:val="25"/>
          <w:szCs w:val="25"/>
        </w:rPr>
        <w:t>(1</w:t>
      </w:r>
      <w:r w:rsidR="00DB1FB0">
        <w:rPr>
          <w:sz w:val="25"/>
          <w:szCs w:val="25"/>
        </w:rPr>
        <w:t>0</w:t>
      </w:r>
      <w:r w:rsidRPr="009E34DB">
        <w:rPr>
          <w:sz w:val="25"/>
          <w:szCs w:val="25"/>
        </w:rPr>
        <w:t>)</w:t>
      </w:r>
      <w:r w:rsidRPr="009E34DB">
        <w:rPr>
          <w:sz w:val="25"/>
          <w:szCs w:val="25"/>
        </w:rPr>
        <w:tab/>
      </w:r>
      <w:r>
        <w:rPr>
          <w:sz w:val="25"/>
          <w:szCs w:val="25"/>
        </w:rPr>
        <w:t>The Settlement fully and fairly resolves the issues in these dockets and is in the public interest.</w:t>
      </w:r>
    </w:p>
    <w:p w14:paraId="326A3485" w14:textId="77777777" w:rsidR="000415F4" w:rsidRPr="00266728" w:rsidRDefault="000415F4" w:rsidP="008B3E38">
      <w:pPr>
        <w:spacing w:line="288" w:lineRule="auto"/>
        <w:rPr>
          <w:b/>
          <w:sz w:val="25"/>
          <w:szCs w:val="25"/>
        </w:rPr>
      </w:pPr>
    </w:p>
    <w:p w14:paraId="2F6DB081" w14:textId="77777777" w:rsidR="000415F4" w:rsidRPr="00266728" w:rsidRDefault="000415F4" w:rsidP="008B3E38">
      <w:pPr>
        <w:numPr>
          <w:ilvl w:val="0"/>
          <w:numId w:val="14"/>
        </w:numPr>
        <w:spacing w:line="288" w:lineRule="auto"/>
        <w:ind w:left="720" w:hanging="1440"/>
        <w:rPr>
          <w:b/>
          <w:sz w:val="25"/>
          <w:szCs w:val="25"/>
        </w:rPr>
      </w:pPr>
      <w:r w:rsidRPr="00266728">
        <w:rPr>
          <w:iCs/>
          <w:sz w:val="25"/>
          <w:szCs w:val="25"/>
        </w:rPr>
        <w:t>(</w:t>
      </w:r>
      <w:r>
        <w:rPr>
          <w:iCs/>
          <w:sz w:val="25"/>
          <w:szCs w:val="25"/>
        </w:rPr>
        <w:t>1</w:t>
      </w:r>
      <w:r w:rsidR="00DB1FB0">
        <w:rPr>
          <w:iCs/>
          <w:sz w:val="25"/>
          <w:szCs w:val="25"/>
        </w:rPr>
        <w:t>1</w:t>
      </w:r>
      <w:r w:rsidRPr="00266728">
        <w:rPr>
          <w:iCs/>
          <w:sz w:val="25"/>
          <w:szCs w:val="25"/>
        </w:rPr>
        <w:t>)</w:t>
      </w:r>
      <w:r>
        <w:rPr>
          <w:iCs/>
          <w:sz w:val="25"/>
          <w:szCs w:val="25"/>
        </w:rPr>
        <w:tab/>
      </w:r>
      <w:r w:rsidRPr="000415F4">
        <w:rPr>
          <w:sz w:val="25"/>
          <w:szCs w:val="25"/>
        </w:rPr>
        <w:t>The</w:t>
      </w:r>
      <w:r w:rsidRPr="00266728">
        <w:rPr>
          <w:iCs/>
          <w:sz w:val="25"/>
          <w:szCs w:val="25"/>
        </w:rPr>
        <w:t xml:space="preserve"> </w:t>
      </w:r>
      <w:r w:rsidRPr="00266728">
        <w:rPr>
          <w:sz w:val="25"/>
          <w:szCs w:val="25"/>
        </w:rPr>
        <w:t>Commission</w:t>
      </w:r>
      <w:r w:rsidRPr="00266728">
        <w:rPr>
          <w:iCs/>
          <w:sz w:val="25"/>
          <w:szCs w:val="25"/>
        </w:rPr>
        <w:t xml:space="preserve"> should approve and adopt the Settlement</w:t>
      </w:r>
      <w:r w:rsidR="00644967">
        <w:rPr>
          <w:iCs/>
          <w:sz w:val="25"/>
          <w:szCs w:val="25"/>
        </w:rPr>
        <w:t>,</w:t>
      </w:r>
      <w:r w:rsidRPr="00266728">
        <w:rPr>
          <w:iCs/>
          <w:sz w:val="25"/>
          <w:szCs w:val="25"/>
        </w:rPr>
        <w:t xml:space="preserve"> attached to this Order as Appendix A and incorporated by reference in this Order</w:t>
      </w:r>
      <w:r w:rsidR="00644967">
        <w:rPr>
          <w:iCs/>
          <w:sz w:val="25"/>
          <w:szCs w:val="25"/>
        </w:rPr>
        <w:t>,</w:t>
      </w:r>
      <w:r w:rsidRPr="00266728">
        <w:rPr>
          <w:iCs/>
          <w:sz w:val="25"/>
          <w:szCs w:val="25"/>
        </w:rPr>
        <w:t xml:space="preserve"> as a reasonable resolution of the issues presented.  </w:t>
      </w:r>
    </w:p>
    <w:p w14:paraId="1E191035" w14:textId="77777777" w:rsidR="000415F4" w:rsidRPr="00266728" w:rsidRDefault="000415F4" w:rsidP="008B3E38">
      <w:pPr>
        <w:spacing w:line="288" w:lineRule="auto"/>
        <w:rPr>
          <w:sz w:val="25"/>
          <w:szCs w:val="25"/>
        </w:rPr>
      </w:pPr>
    </w:p>
    <w:p w14:paraId="428F7A16" w14:textId="77777777" w:rsidR="000415F4" w:rsidRPr="00266728" w:rsidRDefault="000415F4" w:rsidP="008B3E38">
      <w:pPr>
        <w:numPr>
          <w:ilvl w:val="0"/>
          <w:numId w:val="14"/>
        </w:numPr>
        <w:spacing w:line="288" w:lineRule="auto"/>
        <w:ind w:left="720" w:hanging="1440"/>
        <w:rPr>
          <w:sz w:val="25"/>
          <w:szCs w:val="25"/>
        </w:rPr>
      </w:pPr>
      <w:r w:rsidRPr="00266728">
        <w:rPr>
          <w:sz w:val="25"/>
          <w:szCs w:val="25"/>
        </w:rPr>
        <w:t>(</w:t>
      </w:r>
      <w:r>
        <w:rPr>
          <w:sz w:val="25"/>
          <w:szCs w:val="25"/>
        </w:rPr>
        <w:t>1</w:t>
      </w:r>
      <w:r w:rsidR="00DB1FB0">
        <w:rPr>
          <w:sz w:val="25"/>
          <w:szCs w:val="25"/>
        </w:rPr>
        <w:t>2</w:t>
      </w:r>
      <w:r w:rsidRPr="00266728">
        <w:rPr>
          <w:sz w:val="25"/>
          <w:szCs w:val="25"/>
        </w:rPr>
        <w:t>)</w:t>
      </w:r>
      <w:r w:rsidRPr="00266728">
        <w:rPr>
          <w:sz w:val="25"/>
          <w:szCs w:val="25"/>
        </w:rPr>
        <w:tab/>
        <w:t xml:space="preserve">The Commission Secretary should be authorized to accept by letter, with copies to all parties to this proceeding, </w:t>
      </w:r>
      <w:r w:rsidR="00BA5ACE">
        <w:rPr>
          <w:sz w:val="25"/>
          <w:szCs w:val="25"/>
        </w:rPr>
        <w:t>a filing</w:t>
      </w:r>
      <w:r w:rsidRPr="00266728">
        <w:rPr>
          <w:sz w:val="25"/>
          <w:szCs w:val="25"/>
        </w:rPr>
        <w:t xml:space="preserve"> that compl</w:t>
      </w:r>
      <w:r w:rsidR="00BA5ACE">
        <w:rPr>
          <w:sz w:val="25"/>
          <w:szCs w:val="25"/>
        </w:rPr>
        <w:t>ies</w:t>
      </w:r>
      <w:r w:rsidRPr="00266728">
        <w:rPr>
          <w:sz w:val="25"/>
          <w:szCs w:val="25"/>
        </w:rPr>
        <w:t xml:space="preserve"> with the requirements of this Order.</w:t>
      </w:r>
    </w:p>
    <w:p w14:paraId="154B825D" w14:textId="77777777" w:rsidR="000415F4" w:rsidRPr="00266728" w:rsidRDefault="000415F4" w:rsidP="008B3E38">
      <w:pPr>
        <w:spacing w:line="288" w:lineRule="auto"/>
        <w:rPr>
          <w:sz w:val="25"/>
          <w:szCs w:val="25"/>
        </w:rPr>
      </w:pPr>
    </w:p>
    <w:p w14:paraId="0CD4D5D9" w14:textId="77777777" w:rsidR="000415F4" w:rsidRPr="00F83E44" w:rsidRDefault="000415F4" w:rsidP="008B3E38">
      <w:pPr>
        <w:numPr>
          <w:ilvl w:val="0"/>
          <w:numId w:val="14"/>
        </w:numPr>
        <w:tabs>
          <w:tab w:val="left" w:pos="0"/>
          <w:tab w:val="num" w:pos="720"/>
        </w:tabs>
        <w:spacing w:line="288" w:lineRule="auto"/>
        <w:ind w:left="720" w:hanging="1440"/>
        <w:rPr>
          <w:b/>
          <w:sz w:val="25"/>
          <w:szCs w:val="25"/>
          <w:u w:val="single"/>
        </w:rPr>
      </w:pPr>
      <w:r w:rsidRPr="00266728">
        <w:rPr>
          <w:sz w:val="25"/>
          <w:szCs w:val="25"/>
        </w:rPr>
        <w:t>(</w:t>
      </w:r>
      <w:r>
        <w:rPr>
          <w:sz w:val="25"/>
          <w:szCs w:val="25"/>
        </w:rPr>
        <w:t>1</w:t>
      </w:r>
      <w:r w:rsidR="00DB1FB0">
        <w:rPr>
          <w:sz w:val="25"/>
          <w:szCs w:val="25"/>
        </w:rPr>
        <w:t>3</w:t>
      </w:r>
      <w:r w:rsidRPr="00266728">
        <w:rPr>
          <w:sz w:val="25"/>
          <w:szCs w:val="25"/>
        </w:rPr>
        <w:t>)</w:t>
      </w:r>
      <w:r w:rsidRPr="00266728">
        <w:rPr>
          <w:sz w:val="25"/>
          <w:szCs w:val="25"/>
        </w:rPr>
        <w:tab/>
        <w:t xml:space="preserve">The Commission should retain jurisdiction to effectuate the terms of this Order.  </w:t>
      </w:r>
    </w:p>
    <w:p w14:paraId="5C1C91D0" w14:textId="77777777" w:rsidR="000415F4" w:rsidRPr="00266728" w:rsidRDefault="000415F4" w:rsidP="008B3E38">
      <w:pPr>
        <w:spacing w:line="288" w:lineRule="auto"/>
        <w:rPr>
          <w:b/>
          <w:sz w:val="25"/>
          <w:szCs w:val="25"/>
        </w:rPr>
      </w:pPr>
    </w:p>
    <w:p w14:paraId="4F12CA4E" w14:textId="77777777" w:rsidR="000415F4" w:rsidRPr="00266728" w:rsidRDefault="000415F4" w:rsidP="008B3E38">
      <w:pPr>
        <w:spacing w:line="288" w:lineRule="auto"/>
        <w:ind w:left="-720"/>
        <w:jc w:val="center"/>
        <w:rPr>
          <w:b/>
          <w:sz w:val="25"/>
          <w:szCs w:val="25"/>
          <w:u w:val="single"/>
        </w:rPr>
      </w:pPr>
      <w:r w:rsidRPr="00266728">
        <w:rPr>
          <w:b/>
          <w:sz w:val="25"/>
          <w:szCs w:val="25"/>
          <w:u w:val="single"/>
        </w:rPr>
        <w:t>O R D E R</w:t>
      </w:r>
    </w:p>
    <w:p w14:paraId="1EE7E1D6" w14:textId="77777777" w:rsidR="000415F4" w:rsidRPr="00266728" w:rsidRDefault="0094265A" w:rsidP="008B3E38">
      <w:pPr>
        <w:tabs>
          <w:tab w:val="left" w:pos="6048"/>
        </w:tabs>
        <w:spacing w:line="288" w:lineRule="auto"/>
        <w:rPr>
          <w:sz w:val="25"/>
          <w:szCs w:val="25"/>
        </w:rPr>
      </w:pPr>
      <w:r>
        <w:rPr>
          <w:sz w:val="25"/>
          <w:szCs w:val="25"/>
        </w:rPr>
        <w:tab/>
      </w:r>
    </w:p>
    <w:p w14:paraId="40CF9DDE" w14:textId="77777777" w:rsidR="000415F4" w:rsidRPr="00266728" w:rsidRDefault="000415F4" w:rsidP="008B3E38">
      <w:pPr>
        <w:spacing w:line="288" w:lineRule="auto"/>
        <w:rPr>
          <w:bCs/>
          <w:sz w:val="25"/>
          <w:szCs w:val="25"/>
        </w:rPr>
      </w:pPr>
      <w:r w:rsidRPr="00266728">
        <w:rPr>
          <w:bCs/>
          <w:sz w:val="25"/>
          <w:szCs w:val="25"/>
        </w:rPr>
        <w:t>THE COMMISSION ORDERS:</w:t>
      </w:r>
    </w:p>
    <w:p w14:paraId="77E8204B" w14:textId="77777777" w:rsidR="000415F4" w:rsidRPr="00266728" w:rsidRDefault="000415F4" w:rsidP="008B3E38">
      <w:pPr>
        <w:spacing w:line="288" w:lineRule="auto"/>
        <w:jc w:val="center"/>
        <w:rPr>
          <w:sz w:val="25"/>
          <w:szCs w:val="25"/>
        </w:rPr>
      </w:pPr>
    </w:p>
    <w:p w14:paraId="1F2BC480" w14:textId="77777777" w:rsidR="000415F4" w:rsidRDefault="000415F4" w:rsidP="008B3E38">
      <w:pPr>
        <w:numPr>
          <w:ilvl w:val="0"/>
          <w:numId w:val="14"/>
        </w:numPr>
        <w:tabs>
          <w:tab w:val="clear" w:pos="0"/>
        </w:tabs>
        <w:spacing w:line="288" w:lineRule="auto"/>
        <w:ind w:left="-90" w:hanging="720"/>
        <w:rPr>
          <w:sz w:val="25"/>
          <w:szCs w:val="25"/>
        </w:rPr>
      </w:pPr>
      <w:r w:rsidRPr="00266728">
        <w:rPr>
          <w:sz w:val="25"/>
          <w:szCs w:val="25"/>
        </w:rPr>
        <w:t>(1)</w:t>
      </w:r>
      <w:r w:rsidRPr="00266728">
        <w:rPr>
          <w:sz w:val="25"/>
          <w:szCs w:val="25"/>
        </w:rPr>
        <w:tab/>
      </w:r>
      <w:r w:rsidRPr="00266728">
        <w:rPr>
          <w:rStyle w:val="RCWSLText"/>
          <w:sz w:val="25"/>
          <w:szCs w:val="25"/>
        </w:rPr>
        <w:t>T</w:t>
      </w:r>
      <w:r w:rsidRPr="00266728">
        <w:rPr>
          <w:sz w:val="25"/>
          <w:szCs w:val="25"/>
        </w:rPr>
        <w:t xml:space="preserve">he proposed tariff revisions </w:t>
      </w:r>
      <w:r w:rsidR="00A47B46">
        <w:rPr>
          <w:sz w:val="25"/>
          <w:szCs w:val="25"/>
        </w:rPr>
        <w:t>Puget Sound Energy (PSE)</w:t>
      </w:r>
      <w:r w:rsidRPr="00266728">
        <w:rPr>
          <w:sz w:val="25"/>
          <w:szCs w:val="25"/>
        </w:rPr>
        <w:t xml:space="preserve"> filed on </w:t>
      </w:r>
      <w:r w:rsidR="00DB1FB0">
        <w:rPr>
          <w:sz w:val="25"/>
          <w:szCs w:val="25"/>
        </w:rPr>
        <w:t xml:space="preserve">May 23, </w:t>
      </w:r>
      <w:r w:rsidR="00804372">
        <w:rPr>
          <w:sz w:val="25"/>
          <w:szCs w:val="25"/>
        </w:rPr>
        <w:tab/>
      </w:r>
      <w:r w:rsidR="00804372">
        <w:rPr>
          <w:sz w:val="25"/>
          <w:szCs w:val="25"/>
        </w:rPr>
        <w:tab/>
      </w:r>
      <w:r w:rsidR="00804372">
        <w:rPr>
          <w:sz w:val="25"/>
          <w:szCs w:val="25"/>
        </w:rPr>
        <w:tab/>
      </w:r>
      <w:r w:rsidR="00DB1FB0">
        <w:rPr>
          <w:sz w:val="25"/>
          <w:szCs w:val="25"/>
        </w:rPr>
        <w:t>2014</w:t>
      </w:r>
      <w:r w:rsidRPr="00266728">
        <w:rPr>
          <w:sz w:val="25"/>
          <w:szCs w:val="25"/>
        </w:rPr>
        <w:t>, and suspended by prior Commission order, are rejected.</w:t>
      </w:r>
    </w:p>
    <w:p w14:paraId="6D1E21AA" w14:textId="77777777" w:rsidR="000415F4" w:rsidRDefault="000415F4" w:rsidP="008B3E38">
      <w:pPr>
        <w:spacing w:line="288" w:lineRule="auto"/>
        <w:rPr>
          <w:sz w:val="25"/>
          <w:szCs w:val="25"/>
        </w:rPr>
      </w:pPr>
    </w:p>
    <w:p w14:paraId="37FE5551" w14:textId="77777777" w:rsidR="000415F4" w:rsidRPr="00266728" w:rsidRDefault="000415F4" w:rsidP="008B3E38">
      <w:pPr>
        <w:numPr>
          <w:ilvl w:val="0"/>
          <w:numId w:val="14"/>
        </w:numPr>
        <w:spacing w:line="288" w:lineRule="auto"/>
        <w:ind w:left="720" w:hanging="1440"/>
        <w:rPr>
          <w:sz w:val="25"/>
          <w:szCs w:val="25"/>
        </w:rPr>
      </w:pPr>
      <w:r>
        <w:rPr>
          <w:sz w:val="25"/>
          <w:szCs w:val="25"/>
        </w:rPr>
        <w:t>(2)</w:t>
      </w:r>
      <w:r>
        <w:rPr>
          <w:sz w:val="25"/>
          <w:szCs w:val="25"/>
        </w:rPr>
        <w:tab/>
        <w:t xml:space="preserve">The Settlement Stipulation filed by PSE, Commission Staff, Public Counsel, and </w:t>
      </w:r>
      <w:proofErr w:type="spellStart"/>
      <w:r>
        <w:rPr>
          <w:sz w:val="25"/>
          <w:szCs w:val="25"/>
        </w:rPr>
        <w:t>ICNU</w:t>
      </w:r>
      <w:proofErr w:type="spellEnd"/>
      <w:r>
        <w:rPr>
          <w:sz w:val="25"/>
          <w:szCs w:val="25"/>
        </w:rPr>
        <w:t>, and attached to this Order as Appendix A, is approved and adopted.</w:t>
      </w:r>
    </w:p>
    <w:p w14:paraId="331BE742" w14:textId="77777777" w:rsidR="000415F4" w:rsidRPr="00266728" w:rsidRDefault="000415F4" w:rsidP="008B3E38">
      <w:pPr>
        <w:spacing w:line="288" w:lineRule="auto"/>
        <w:ind w:left="-360"/>
        <w:rPr>
          <w:sz w:val="25"/>
          <w:szCs w:val="25"/>
        </w:rPr>
      </w:pPr>
    </w:p>
    <w:p w14:paraId="508398DB" w14:textId="77777777" w:rsidR="000415F4" w:rsidRDefault="000415F4" w:rsidP="008B3E38">
      <w:pPr>
        <w:numPr>
          <w:ilvl w:val="0"/>
          <w:numId w:val="14"/>
        </w:numPr>
        <w:spacing w:line="288" w:lineRule="auto"/>
        <w:ind w:left="720" w:hanging="1440"/>
        <w:rPr>
          <w:sz w:val="25"/>
          <w:szCs w:val="25"/>
        </w:rPr>
      </w:pPr>
      <w:r w:rsidRPr="00BA5ACE">
        <w:rPr>
          <w:sz w:val="25"/>
          <w:szCs w:val="25"/>
        </w:rPr>
        <w:t>(3)</w:t>
      </w:r>
      <w:r w:rsidRPr="00BA5ACE">
        <w:rPr>
          <w:sz w:val="25"/>
          <w:szCs w:val="25"/>
        </w:rPr>
        <w:tab/>
      </w:r>
      <w:r w:rsidR="00AF6AC2" w:rsidRPr="00BA5ACE">
        <w:rPr>
          <w:sz w:val="25"/>
          <w:szCs w:val="25"/>
        </w:rPr>
        <w:t>PSE’s renewal and acquisition of 475 megawatts of BPA transmission and the renewal of the Point Roberts purchase power agreement are prudent</w:t>
      </w:r>
      <w:r w:rsidRPr="00BA5ACE">
        <w:rPr>
          <w:sz w:val="25"/>
          <w:szCs w:val="25"/>
        </w:rPr>
        <w:t>.</w:t>
      </w:r>
    </w:p>
    <w:p w14:paraId="638BE724" w14:textId="77777777" w:rsidR="00BA5ACE" w:rsidRDefault="00BA5ACE" w:rsidP="008B3E38">
      <w:pPr>
        <w:pStyle w:val="ListParagraph"/>
        <w:spacing w:line="288" w:lineRule="auto"/>
        <w:rPr>
          <w:sz w:val="25"/>
          <w:szCs w:val="25"/>
        </w:rPr>
      </w:pPr>
    </w:p>
    <w:p w14:paraId="092F4B44" w14:textId="6259FE24" w:rsidR="00BA5ACE" w:rsidRPr="00BA5ACE" w:rsidRDefault="00BA5ACE" w:rsidP="008B3E38">
      <w:pPr>
        <w:numPr>
          <w:ilvl w:val="0"/>
          <w:numId w:val="14"/>
        </w:numPr>
        <w:spacing w:line="288" w:lineRule="auto"/>
        <w:ind w:left="720" w:hanging="1440"/>
        <w:rPr>
          <w:sz w:val="25"/>
          <w:szCs w:val="25"/>
        </w:rPr>
      </w:pPr>
      <w:r>
        <w:rPr>
          <w:sz w:val="25"/>
          <w:szCs w:val="25"/>
        </w:rPr>
        <w:t>(4)</w:t>
      </w:r>
      <w:r>
        <w:rPr>
          <w:sz w:val="25"/>
          <w:szCs w:val="25"/>
        </w:rPr>
        <w:tab/>
      </w:r>
      <w:r w:rsidRPr="00266728">
        <w:rPr>
          <w:sz w:val="25"/>
          <w:szCs w:val="25"/>
        </w:rPr>
        <w:t>PSE is authorized and required to make a compliance filing including such new and revised tariff sheets as are necessary to implement the requirements of this Order</w:t>
      </w:r>
      <w:r w:rsidR="00F61D00">
        <w:rPr>
          <w:sz w:val="25"/>
          <w:szCs w:val="25"/>
        </w:rPr>
        <w:t xml:space="preserve"> so that new tariffs become effective December 1, 2014</w:t>
      </w:r>
      <w:r w:rsidRPr="00266728">
        <w:rPr>
          <w:sz w:val="25"/>
          <w:szCs w:val="25"/>
        </w:rPr>
        <w:t>.</w:t>
      </w:r>
    </w:p>
    <w:p w14:paraId="7667147D" w14:textId="77777777" w:rsidR="000415F4" w:rsidRPr="00266728" w:rsidRDefault="000415F4" w:rsidP="008B3E38">
      <w:pPr>
        <w:spacing w:line="288" w:lineRule="auto"/>
        <w:rPr>
          <w:b/>
          <w:sz w:val="25"/>
          <w:szCs w:val="25"/>
        </w:rPr>
      </w:pPr>
    </w:p>
    <w:p w14:paraId="6B8A06BA" w14:textId="77777777" w:rsidR="000415F4" w:rsidRPr="00AF6AC2" w:rsidRDefault="000415F4" w:rsidP="008B3E38">
      <w:pPr>
        <w:numPr>
          <w:ilvl w:val="0"/>
          <w:numId w:val="14"/>
        </w:numPr>
        <w:spacing w:line="288" w:lineRule="auto"/>
        <w:ind w:left="720" w:hanging="1440"/>
        <w:rPr>
          <w:b/>
          <w:sz w:val="25"/>
          <w:szCs w:val="25"/>
        </w:rPr>
      </w:pPr>
      <w:r w:rsidRPr="00AF6AC2">
        <w:rPr>
          <w:sz w:val="25"/>
          <w:szCs w:val="25"/>
        </w:rPr>
        <w:t>(5)</w:t>
      </w:r>
      <w:r w:rsidRPr="00AF6AC2">
        <w:rPr>
          <w:sz w:val="25"/>
          <w:szCs w:val="25"/>
        </w:rPr>
        <w:tab/>
      </w:r>
      <w:bookmarkStart w:id="7" w:name="OLE_LINK1"/>
      <w:bookmarkStart w:id="8" w:name="OLE_LINK2"/>
      <w:r w:rsidRPr="00AF6AC2">
        <w:rPr>
          <w:sz w:val="25"/>
          <w:szCs w:val="25"/>
        </w:rPr>
        <w:t xml:space="preserve">The Commission Secretary is authorized to accept by letter, with copies to all parties to this proceeding, a filing that complies with the requirements of this Order. </w:t>
      </w:r>
      <w:bookmarkEnd w:id="7"/>
      <w:bookmarkEnd w:id="8"/>
      <w:r w:rsidRPr="00AF6AC2">
        <w:rPr>
          <w:sz w:val="25"/>
          <w:szCs w:val="25"/>
        </w:rPr>
        <w:t xml:space="preserve"> </w:t>
      </w:r>
    </w:p>
    <w:p w14:paraId="29310F93" w14:textId="77777777" w:rsidR="000415F4" w:rsidRPr="00266728" w:rsidRDefault="000415F4" w:rsidP="008B3E38">
      <w:pPr>
        <w:spacing w:line="288" w:lineRule="auto"/>
        <w:ind w:left="-720"/>
        <w:rPr>
          <w:b/>
          <w:sz w:val="25"/>
          <w:szCs w:val="25"/>
        </w:rPr>
      </w:pPr>
    </w:p>
    <w:p w14:paraId="5A2F3392" w14:textId="77777777" w:rsidR="000415F4" w:rsidRPr="00266728" w:rsidRDefault="000415F4" w:rsidP="008B3E38">
      <w:pPr>
        <w:numPr>
          <w:ilvl w:val="0"/>
          <w:numId w:val="14"/>
        </w:numPr>
        <w:spacing w:line="288" w:lineRule="auto"/>
        <w:ind w:left="720" w:hanging="1440"/>
        <w:rPr>
          <w:b/>
          <w:sz w:val="25"/>
          <w:szCs w:val="25"/>
        </w:rPr>
      </w:pPr>
      <w:r w:rsidRPr="00266728">
        <w:rPr>
          <w:sz w:val="25"/>
          <w:szCs w:val="25"/>
        </w:rPr>
        <w:t>(</w:t>
      </w:r>
      <w:r w:rsidR="00AF6AC2">
        <w:rPr>
          <w:sz w:val="25"/>
          <w:szCs w:val="25"/>
        </w:rPr>
        <w:t>6</w:t>
      </w:r>
      <w:r w:rsidRPr="00266728">
        <w:rPr>
          <w:sz w:val="25"/>
          <w:szCs w:val="25"/>
        </w:rPr>
        <w:t>)</w:t>
      </w:r>
      <w:r w:rsidRPr="00266728">
        <w:rPr>
          <w:sz w:val="25"/>
          <w:szCs w:val="25"/>
        </w:rPr>
        <w:tab/>
        <w:t>The Commission retains jurisdiction over the subject matters and parties to this proceeding to effectuate the terms of this Order.</w:t>
      </w:r>
    </w:p>
    <w:p w14:paraId="5FDA5894" w14:textId="77777777" w:rsidR="000415F4" w:rsidRPr="00266728" w:rsidRDefault="000415F4" w:rsidP="008B3E38">
      <w:pPr>
        <w:spacing w:line="288" w:lineRule="auto"/>
        <w:rPr>
          <w:b/>
          <w:sz w:val="25"/>
          <w:szCs w:val="25"/>
        </w:rPr>
      </w:pPr>
    </w:p>
    <w:p w14:paraId="56851F39" w14:textId="58ABC98A" w:rsidR="00844D13" w:rsidRPr="00DA5DBB" w:rsidRDefault="00844D13" w:rsidP="008B3E38">
      <w:pPr>
        <w:spacing w:line="288" w:lineRule="auto"/>
        <w:rPr>
          <w:sz w:val="25"/>
          <w:szCs w:val="25"/>
        </w:rPr>
      </w:pPr>
      <w:r w:rsidRPr="00DA5DBB">
        <w:rPr>
          <w:sz w:val="25"/>
          <w:szCs w:val="25"/>
        </w:rPr>
        <w:t xml:space="preserve">Dated at Olympia, Washington, and effective </w:t>
      </w:r>
      <w:r w:rsidR="00664B43">
        <w:rPr>
          <w:sz w:val="25"/>
          <w:szCs w:val="25"/>
        </w:rPr>
        <w:t>November 3</w:t>
      </w:r>
      <w:r w:rsidR="00385E49">
        <w:rPr>
          <w:sz w:val="25"/>
          <w:szCs w:val="25"/>
        </w:rPr>
        <w:t>, 2014</w:t>
      </w:r>
      <w:r w:rsidRPr="00DA5DBB">
        <w:rPr>
          <w:sz w:val="25"/>
          <w:szCs w:val="25"/>
        </w:rPr>
        <w:t>.</w:t>
      </w:r>
    </w:p>
    <w:p w14:paraId="4C0BB868" w14:textId="77777777" w:rsidR="00844D13" w:rsidRPr="00DA5DBB" w:rsidRDefault="00844D13" w:rsidP="008B3E38">
      <w:pPr>
        <w:pStyle w:val="Header"/>
        <w:tabs>
          <w:tab w:val="clear" w:pos="4320"/>
          <w:tab w:val="clear" w:pos="8640"/>
        </w:tabs>
        <w:spacing w:line="288" w:lineRule="auto"/>
        <w:rPr>
          <w:sz w:val="25"/>
          <w:szCs w:val="25"/>
        </w:rPr>
      </w:pPr>
    </w:p>
    <w:p w14:paraId="78AE3A6E" w14:textId="77777777" w:rsidR="00AF6AC2" w:rsidRPr="00E557F2" w:rsidRDefault="00AF6AC2" w:rsidP="008B3E38">
      <w:pPr>
        <w:spacing w:line="288" w:lineRule="auto"/>
        <w:jc w:val="center"/>
        <w:rPr>
          <w:sz w:val="25"/>
          <w:szCs w:val="25"/>
        </w:rPr>
      </w:pPr>
      <w:r w:rsidRPr="00E557F2">
        <w:rPr>
          <w:sz w:val="25"/>
          <w:szCs w:val="25"/>
        </w:rPr>
        <w:t>WASHINGTON UTILITIES AND TRANSPORTATION COMMISSION</w:t>
      </w:r>
      <w:r w:rsidRPr="00E557F2">
        <w:rPr>
          <w:sz w:val="25"/>
          <w:szCs w:val="25"/>
        </w:rPr>
        <w:tab/>
      </w:r>
    </w:p>
    <w:p w14:paraId="4F048732" w14:textId="77777777" w:rsidR="00AF6AC2" w:rsidRPr="00E557F2" w:rsidRDefault="00AF6AC2" w:rsidP="008B3E38">
      <w:pPr>
        <w:spacing w:line="288" w:lineRule="auto"/>
        <w:ind w:firstLine="4320"/>
        <w:jc w:val="both"/>
        <w:rPr>
          <w:sz w:val="25"/>
          <w:szCs w:val="25"/>
        </w:rPr>
      </w:pPr>
    </w:p>
    <w:p w14:paraId="7BC35F1A" w14:textId="77777777" w:rsidR="00AF6AC2" w:rsidRDefault="00AF6AC2" w:rsidP="008B3E38">
      <w:pPr>
        <w:spacing w:line="288" w:lineRule="auto"/>
        <w:ind w:firstLine="4320"/>
        <w:jc w:val="both"/>
        <w:rPr>
          <w:sz w:val="25"/>
          <w:szCs w:val="25"/>
        </w:rPr>
      </w:pPr>
    </w:p>
    <w:p w14:paraId="112475C3" w14:textId="77777777" w:rsidR="00AF6AC2" w:rsidRPr="00E557F2" w:rsidRDefault="00AF6AC2" w:rsidP="008B3E38">
      <w:pPr>
        <w:spacing w:line="288" w:lineRule="auto"/>
        <w:ind w:firstLine="4320"/>
        <w:jc w:val="both"/>
        <w:rPr>
          <w:sz w:val="25"/>
          <w:szCs w:val="25"/>
        </w:rPr>
      </w:pPr>
    </w:p>
    <w:p w14:paraId="3EC6837F" w14:textId="77777777" w:rsidR="00AF6AC2" w:rsidRPr="00E557F2" w:rsidRDefault="00AF6AC2" w:rsidP="008B3E38">
      <w:pPr>
        <w:spacing w:line="288" w:lineRule="auto"/>
        <w:ind w:firstLine="4320"/>
        <w:jc w:val="both"/>
        <w:rPr>
          <w:sz w:val="25"/>
          <w:szCs w:val="25"/>
        </w:rPr>
      </w:pPr>
      <w:r w:rsidRPr="00E557F2">
        <w:rPr>
          <w:sz w:val="25"/>
          <w:szCs w:val="25"/>
        </w:rPr>
        <w:t>DAVID W. DANNER, Chairman</w:t>
      </w:r>
    </w:p>
    <w:p w14:paraId="60AF67D1" w14:textId="77777777" w:rsidR="00AF6AC2" w:rsidRPr="00E557F2" w:rsidRDefault="00AF6AC2" w:rsidP="008B3E38">
      <w:pPr>
        <w:spacing w:line="288" w:lineRule="auto"/>
        <w:jc w:val="center"/>
        <w:rPr>
          <w:sz w:val="25"/>
          <w:szCs w:val="25"/>
        </w:rPr>
      </w:pPr>
    </w:p>
    <w:p w14:paraId="442E9E1C" w14:textId="77777777" w:rsidR="00AF6AC2" w:rsidRPr="00E557F2" w:rsidRDefault="00AF6AC2" w:rsidP="008B3E38">
      <w:pPr>
        <w:spacing w:line="288" w:lineRule="auto"/>
        <w:jc w:val="center"/>
        <w:rPr>
          <w:sz w:val="25"/>
          <w:szCs w:val="25"/>
        </w:rPr>
      </w:pPr>
    </w:p>
    <w:p w14:paraId="4B746233" w14:textId="77777777" w:rsidR="00AF6AC2" w:rsidRPr="00E557F2" w:rsidRDefault="00AF6AC2" w:rsidP="008B3E38">
      <w:pPr>
        <w:spacing w:line="288" w:lineRule="auto"/>
        <w:jc w:val="center"/>
        <w:rPr>
          <w:sz w:val="25"/>
          <w:szCs w:val="25"/>
        </w:rPr>
      </w:pPr>
    </w:p>
    <w:p w14:paraId="4AE82A0D" w14:textId="77777777" w:rsidR="00AF6AC2" w:rsidRPr="00E557F2" w:rsidRDefault="00AF6AC2" w:rsidP="008B3E38">
      <w:pPr>
        <w:spacing w:line="288" w:lineRule="auto"/>
        <w:rPr>
          <w:sz w:val="25"/>
          <w:szCs w:val="25"/>
        </w:rPr>
      </w:pP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t>PHILIP B. JONES, Commissioner</w:t>
      </w:r>
    </w:p>
    <w:p w14:paraId="47A2014D" w14:textId="77777777" w:rsidR="00AF6AC2" w:rsidRPr="00E557F2" w:rsidRDefault="00AF6AC2" w:rsidP="008B3E38">
      <w:pPr>
        <w:spacing w:line="288" w:lineRule="auto"/>
        <w:jc w:val="center"/>
        <w:rPr>
          <w:sz w:val="25"/>
          <w:szCs w:val="25"/>
        </w:rPr>
      </w:pPr>
    </w:p>
    <w:p w14:paraId="2D18B2E0" w14:textId="77777777" w:rsidR="00AF6AC2" w:rsidRDefault="00AF6AC2" w:rsidP="008B3E38">
      <w:pPr>
        <w:spacing w:line="288" w:lineRule="auto"/>
        <w:jc w:val="center"/>
        <w:rPr>
          <w:sz w:val="25"/>
          <w:szCs w:val="25"/>
        </w:rPr>
      </w:pPr>
    </w:p>
    <w:p w14:paraId="2793154A" w14:textId="77777777" w:rsidR="00AF6AC2" w:rsidRPr="00E557F2" w:rsidRDefault="00AF6AC2" w:rsidP="008B3E38">
      <w:pPr>
        <w:spacing w:line="288" w:lineRule="auto"/>
        <w:jc w:val="center"/>
        <w:rPr>
          <w:sz w:val="25"/>
          <w:szCs w:val="25"/>
        </w:rPr>
      </w:pPr>
    </w:p>
    <w:p w14:paraId="50A49086" w14:textId="77777777" w:rsidR="00AF6AC2" w:rsidRPr="00E557F2" w:rsidRDefault="00AF6AC2" w:rsidP="008B3E38">
      <w:pPr>
        <w:spacing w:line="288" w:lineRule="auto"/>
        <w:rPr>
          <w:sz w:val="25"/>
          <w:szCs w:val="25"/>
        </w:rPr>
      </w:pP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r>
      <w:r w:rsidRPr="00E557F2">
        <w:rPr>
          <w:sz w:val="25"/>
          <w:szCs w:val="25"/>
        </w:rPr>
        <w:tab/>
        <w:t>JEFFREY D. GOLTZ, Commissioner</w:t>
      </w:r>
    </w:p>
    <w:p w14:paraId="544939F2" w14:textId="77777777" w:rsidR="00AF6AC2" w:rsidRPr="00E557F2" w:rsidRDefault="00AF6AC2" w:rsidP="008B3E38">
      <w:pPr>
        <w:spacing w:line="288" w:lineRule="auto"/>
        <w:rPr>
          <w:sz w:val="25"/>
          <w:szCs w:val="25"/>
        </w:rPr>
      </w:pPr>
    </w:p>
    <w:p w14:paraId="1840EDE1" w14:textId="77777777" w:rsidR="00AF6AC2" w:rsidRDefault="00AF6AC2" w:rsidP="008B3E38">
      <w:pPr>
        <w:spacing w:line="288" w:lineRule="auto"/>
        <w:ind w:left="3600" w:firstLine="720"/>
        <w:rPr>
          <w:sz w:val="25"/>
          <w:szCs w:val="25"/>
        </w:rPr>
      </w:pPr>
    </w:p>
    <w:p w14:paraId="0DF298F9" w14:textId="77777777" w:rsidR="00AF6AC2" w:rsidRPr="003528DF" w:rsidRDefault="00AF6AC2" w:rsidP="008B3E38">
      <w:pPr>
        <w:spacing w:line="288" w:lineRule="auto"/>
        <w:ind w:left="3600" w:firstLine="720"/>
        <w:rPr>
          <w:sz w:val="25"/>
          <w:szCs w:val="25"/>
        </w:rPr>
      </w:pPr>
    </w:p>
    <w:p w14:paraId="2EE33FD5" w14:textId="77777777" w:rsidR="00AF6AC2" w:rsidRDefault="00AF6AC2" w:rsidP="008B3E38">
      <w:pPr>
        <w:spacing w:line="288" w:lineRule="auto"/>
        <w:rPr>
          <w:b/>
          <w:sz w:val="25"/>
          <w:szCs w:val="25"/>
        </w:rPr>
      </w:pPr>
      <w:r w:rsidRPr="003528DF">
        <w:rPr>
          <w:b/>
          <w:sz w:val="25"/>
          <w:szCs w:val="25"/>
        </w:rPr>
        <w:t xml:space="preserve">NOTICE TO PARTIES:  This is a Commission Final Order.  In addition to judicial review, administrative relief may be available through a petition for reconsideration, filed within 10 days of the service of this order pursuant to </w:t>
      </w:r>
      <w:proofErr w:type="spellStart"/>
      <w:r w:rsidRPr="003528DF">
        <w:rPr>
          <w:b/>
          <w:sz w:val="25"/>
          <w:szCs w:val="25"/>
        </w:rPr>
        <w:t>RCW</w:t>
      </w:r>
      <w:proofErr w:type="spellEnd"/>
      <w:r w:rsidRPr="003528DF">
        <w:rPr>
          <w:b/>
          <w:sz w:val="25"/>
          <w:szCs w:val="25"/>
        </w:rPr>
        <w:t xml:space="preserve"> 34.05.470 and WAC 480-07-850, or a petition for rehearing pursuant to </w:t>
      </w:r>
      <w:proofErr w:type="spellStart"/>
      <w:r w:rsidRPr="003528DF">
        <w:rPr>
          <w:b/>
          <w:sz w:val="25"/>
          <w:szCs w:val="25"/>
        </w:rPr>
        <w:t>RCW</w:t>
      </w:r>
      <w:proofErr w:type="spellEnd"/>
      <w:r w:rsidRPr="003528DF">
        <w:rPr>
          <w:b/>
          <w:sz w:val="25"/>
          <w:szCs w:val="25"/>
        </w:rPr>
        <w:t xml:space="preserve"> 80.04.200 and WAC 480-07-870.</w:t>
      </w:r>
      <w:r w:rsidRPr="003528DF" w:rsidDel="00781F91">
        <w:rPr>
          <w:b/>
          <w:sz w:val="25"/>
          <w:szCs w:val="25"/>
        </w:rPr>
        <w:t xml:space="preserve"> </w:t>
      </w:r>
    </w:p>
    <w:p w14:paraId="5F148AC5" w14:textId="77777777" w:rsidR="00AF6AC2" w:rsidRDefault="00AF6AC2" w:rsidP="008B3E38">
      <w:pPr>
        <w:spacing w:line="288" w:lineRule="auto"/>
        <w:jc w:val="center"/>
        <w:rPr>
          <w:b/>
          <w:sz w:val="25"/>
          <w:szCs w:val="25"/>
        </w:rPr>
      </w:pPr>
    </w:p>
    <w:p w14:paraId="321C90D8" w14:textId="77777777" w:rsidR="00AF6AC2" w:rsidRDefault="00AF6AC2" w:rsidP="00AF6AC2">
      <w:pPr>
        <w:spacing w:line="288" w:lineRule="auto"/>
        <w:jc w:val="center"/>
        <w:rPr>
          <w:b/>
          <w:sz w:val="25"/>
          <w:szCs w:val="25"/>
        </w:rPr>
      </w:pPr>
      <w:r>
        <w:rPr>
          <w:b/>
          <w:sz w:val="25"/>
          <w:szCs w:val="25"/>
        </w:rPr>
        <w:br w:type="page"/>
      </w:r>
    </w:p>
    <w:p w14:paraId="0CED69D1" w14:textId="77777777" w:rsidR="00AF6AC2" w:rsidRDefault="00AF6AC2" w:rsidP="00AF6AC2">
      <w:pPr>
        <w:spacing w:line="288" w:lineRule="auto"/>
        <w:jc w:val="center"/>
        <w:rPr>
          <w:b/>
          <w:sz w:val="25"/>
          <w:szCs w:val="25"/>
        </w:rPr>
      </w:pPr>
    </w:p>
    <w:p w14:paraId="0B012503" w14:textId="77777777" w:rsidR="00AF6AC2" w:rsidRDefault="00AF6AC2" w:rsidP="00AF6AC2">
      <w:pPr>
        <w:spacing w:line="288" w:lineRule="auto"/>
        <w:jc w:val="center"/>
        <w:rPr>
          <w:b/>
          <w:sz w:val="25"/>
          <w:szCs w:val="25"/>
        </w:rPr>
      </w:pPr>
    </w:p>
    <w:p w14:paraId="45F58C67" w14:textId="77777777" w:rsidR="00AF6AC2" w:rsidRDefault="00AF6AC2" w:rsidP="00AF6AC2">
      <w:pPr>
        <w:spacing w:line="288" w:lineRule="auto"/>
        <w:jc w:val="center"/>
        <w:rPr>
          <w:b/>
          <w:sz w:val="25"/>
          <w:szCs w:val="25"/>
        </w:rPr>
      </w:pPr>
    </w:p>
    <w:p w14:paraId="78181A9D" w14:textId="77777777" w:rsidR="00AF6AC2" w:rsidRDefault="00AF6AC2" w:rsidP="00AF6AC2">
      <w:pPr>
        <w:spacing w:line="288" w:lineRule="auto"/>
        <w:jc w:val="center"/>
        <w:rPr>
          <w:b/>
          <w:sz w:val="25"/>
          <w:szCs w:val="25"/>
        </w:rPr>
      </w:pPr>
    </w:p>
    <w:p w14:paraId="4FC1F903" w14:textId="77777777" w:rsidR="00AF6AC2" w:rsidRDefault="00AF6AC2" w:rsidP="00AF6AC2">
      <w:pPr>
        <w:spacing w:line="288" w:lineRule="auto"/>
        <w:jc w:val="center"/>
        <w:rPr>
          <w:b/>
          <w:sz w:val="25"/>
          <w:szCs w:val="25"/>
        </w:rPr>
      </w:pPr>
    </w:p>
    <w:p w14:paraId="5F7ACB38" w14:textId="77777777" w:rsidR="00AF6AC2" w:rsidRDefault="00AF6AC2" w:rsidP="00AF6AC2">
      <w:pPr>
        <w:spacing w:line="288" w:lineRule="auto"/>
        <w:jc w:val="center"/>
        <w:rPr>
          <w:b/>
          <w:sz w:val="25"/>
          <w:szCs w:val="25"/>
        </w:rPr>
      </w:pPr>
    </w:p>
    <w:p w14:paraId="04D3091A" w14:textId="77777777" w:rsidR="00AF6AC2" w:rsidRDefault="00AF6AC2" w:rsidP="00AF6AC2">
      <w:pPr>
        <w:spacing w:line="288" w:lineRule="auto"/>
        <w:jc w:val="center"/>
        <w:rPr>
          <w:b/>
          <w:sz w:val="25"/>
          <w:szCs w:val="25"/>
        </w:rPr>
      </w:pPr>
    </w:p>
    <w:p w14:paraId="2F10D12F" w14:textId="77777777" w:rsidR="00AF6AC2" w:rsidRDefault="00AF6AC2" w:rsidP="00AF6AC2">
      <w:pPr>
        <w:spacing w:line="288" w:lineRule="auto"/>
        <w:jc w:val="center"/>
        <w:rPr>
          <w:b/>
          <w:sz w:val="25"/>
          <w:szCs w:val="25"/>
        </w:rPr>
      </w:pPr>
    </w:p>
    <w:p w14:paraId="3335CE65" w14:textId="77777777" w:rsidR="00AF6AC2" w:rsidRDefault="00AF6AC2" w:rsidP="00AF6AC2">
      <w:pPr>
        <w:spacing w:line="288" w:lineRule="auto"/>
        <w:jc w:val="center"/>
        <w:rPr>
          <w:b/>
          <w:sz w:val="25"/>
          <w:szCs w:val="25"/>
        </w:rPr>
      </w:pPr>
    </w:p>
    <w:p w14:paraId="323BB5C2" w14:textId="77777777" w:rsidR="00AF6AC2" w:rsidRDefault="00AF6AC2" w:rsidP="00AF6AC2">
      <w:pPr>
        <w:spacing w:line="288" w:lineRule="auto"/>
        <w:jc w:val="center"/>
        <w:rPr>
          <w:b/>
          <w:sz w:val="25"/>
          <w:szCs w:val="25"/>
        </w:rPr>
      </w:pPr>
    </w:p>
    <w:p w14:paraId="37B8AEBD" w14:textId="77777777" w:rsidR="00AF6AC2" w:rsidRDefault="00AF6AC2" w:rsidP="00AF6AC2">
      <w:pPr>
        <w:spacing w:line="288" w:lineRule="auto"/>
        <w:jc w:val="center"/>
        <w:rPr>
          <w:b/>
          <w:sz w:val="25"/>
          <w:szCs w:val="25"/>
        </w:rPr>
      </w:pPr>
    </w:p>
    <w:p w14:paraId="43146BA4" w14:textId="77777777" w:rsidR="00AF6AC2" w:rsidRPr="00A81F96" w:rsidRDefault="00AF6AC2" w:rsidP="00AF6AC2">
      <w:pPr>
        <w:spacing w:line="288" w:lineRule="auto"/>
        <w:jc w:val="center"/>
        <w:rPr>
          <w:sz w:val="48"/>
          <w:szCs w:val="48"/>
        </w:rPr>
      </w:pPr>
      <w:r w:rsidRPr="00A81F96">
        <w:rPr>
          <w:sz w:val="48"/>
          <w:szCs w:val="48"/>
        </w:rPr>
        <w:t>APPENDIX A</w:t>
      </w:r>
    </w:p>
    <w:p w14:paraId="01724A66" w14:textId="77777777" w:rsidR="00AF6AC2" w:rsidRPr="00A81F96" w:rsidRDefault="00AF6AC2" w:rsidP="00AF6AC2">
      <w:pPr>
        <w:spacing w:line="288" w:lineRule="auto"/>
        <w:jc w:val="center"/>
        <w:rPr>
          <w:sz w:val="48"/>
          <w:szCs w:val="48"/>
        </w:rPr>
      </w:pPr>
      <w:r w:rsidRPr="00A81F96">
        <w:rPr>
          <w:sz w:val="48"/>
          <w:szCs w:val="48"/>
        </w:rPr>
        <w:t xml:space="preserve">(Settlement </w:t>
      </w:r>
      <w:r>
        <w:rPr>
          <w:sz w:val="48"/>
          <w:szCs w:val="48"/>
        </w:rPr>
        <w:t>Stipulation</w:t>
      </w:r>
      <w:r w:rsidRPr="00A81F96">
        <w:rPr>
          <w:sz w:val="48"/>
          <w:szCs w:val="48"/>
        </w:rPr>
        <w:t>)</w:t>
      </w:r>
    </w:p>
    <w:bookmarkEnd w:id="3"/>
    <w:bookmarkEnd w:id="4"/>
    <w:p w14:paraId="189CDA0A" w14:textId="77777777" w:rsidR="00844D13" w:rsidRPr="00DA5DBB" w:rsidRDefault="00844D13" w:rsidP="00AF6AC2">
      <w:pPr>
        <w:spacing w:line="288" w:lineRule="auto"/>
        <w:jc w:val="center"/>
        <w:rPr>
          <w:sz w:val="25"/>
          <w:szCs w:val="25"/>
        </w:rPr>
      </w:pPr>
    </w:p>
    <w:sectPr w:rsidR="00844D13" w:rsidRPr="00DA5DBB" w:rsidSect="002C2CB9">
      <w:headerReference w:type="default" r:id="rId8"/>
      <w:headerReference w:type="first" r:id="rId9"/>
      <w:pgSz w:w="12240" w:h="15840" w:code="1"/>
      <w:pgMar w:top="1440" w:right="1440" w:bottom="1440" w:left="2160" w:header="1440" w:footer="720" w:gutter="0"/>
      <w:paperSrc w:first="262" w:other="26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261F" w14:textId="77777777" w:rsidR="00A97F97" w:rsidRDefault="00A97F97">
      <w:r>
        <w:separator/>
      </w:r>
    </w:p>
  </w:endnote>
  <w:endnote w:type="continuationSeparator" w:id="0">
    <w:p w14:paraId="479B6FDC" w14:textId="77777777" w:rsidR="00A97F97" w:rsidRDefault="00A9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41DD4" w14:textId="77777777" w:rsidR="00A97F97" w:rsidRDefault="00A97F97">
      <w:r>
        <w:separator/>
      </w:r>
    </w:p>
  </w:footnote>
  <w:footnote w:type="continuationSeparator" w:id="0">
    <w:p w14:paraId="5139444A" w14:textId="77777777" w:rsidR="00A97F97" w:rsidRDefault="00A97F97">
      <w:r>
        <w:continuationSeparator/>
      </w:r>
    </w:p>
  </w:footnote>
  <w:footnote w:id="1">
    <w:p w14:paraId="2AAF646A" w14:textId="77777777" w:rsidR="005A2BAF" w:rsidRDefault="005A2BAF">
      <w:pPr>
        <w:pStyle w:val="FootnoteText"/>
      </w:pPr>
      <w:r>
        <w:rPr>
          <w:rStyle w:val="FootnoteReference"/>
        </w:rPr>
        <w:footnoteRef/>
      </w:r>
      <w:r>
        <w:t xml:space="preserve"> </w:t>
      </w:r>
      <w:r w:rsidR="003C61B1">
        <w:t>Barnard</w:t>
      </w:r>
      <w:r w:rsidR="00BB230D">
        <w:t xml:space="preserve">, </w:t>
      </w:r>
      <w:proofErr w:type="spellStart"/>
      <w:r w:rsidR="00BB230D">
        <w:t>Exh</w:t>
      </w:r>
      <w:proofErr w:type="spellEnd"/>
      <w:r w:rsidR="00BB230D">
        <w:t xml:space="preserve">. No. </w:t>
      </w:r>
      <w:proofErr w:type="spellStart"/>
      <w:r w:rsidR="001B6D0C">
        <w:t>KJB-1T</w:t>
      </w:r>
      <w:proofErr w:type="spellEnd"/>
      <w:r w:rsidR="001B6D0C">
        <w:t xml:space="preserve">, at </w:t>
      </w:r>
      <w:r w:rsidR="00BB230D">
        <w:t>2:</w:t>
      </w:r>
      <w:r w:rsidR="001B6D0C">
        <w:t>1-2</w:t>
      </w:r>
      <w:r w:rsidR="00BB230D">
        <w:t xml:space="preserve">.  </w:t>
      </w:r>
      <w:r w:rsidR="00BB230D" w:rsidRPr="00BB230D">
        <w:rPr>
          <w:szCs w:val="25"/>
        </w:rPr>
        <w:t xml:space="preserve">This power cost only rate case, or </w:t>
      </w:r>
      <w:proofErr w:type="spellStart"/>
      <w:r w:rsidR="00BB230D" w:rsidRPr="00BB230D">
        <w:rPr>
          <w:szCs w:val="25"/>
        </w:rPr>
        <w:t>PCORC</w:t>
      </w:r>
      <w:proofErr w:type="spellEnd"/>
      <w:r w:rsidR="00BB230D" w:rsidRPr="00BB230D">
        <w:rPr>
          <w:szCs w:val="25"/>
        </w:rPr>
        <w:t xml:space="preserve">, filing is authorized by the Settlement Stipulation approved by the Commission in Dockets </w:t>
      </w:r>
      <w:proofErr w:type="spellStart"/>
      <w:r w:rsidR="00BB230D" w:rsidRPr="00BB230D">
        <w:rPr>
          <w:szCs w:val="25"/>
        </w:rPr>
        <w:t>UE</w:t>
      </w:r>
      <w:proofErr w:type="spellEnd"/>
      <w:r w:rsidR="00BB230D" w:rsidRPr="00BB230D">
        <w:rPr>
          <w:szCs w:val="25"/>
        </w:rPr>
        <w:t xml:space="preserve">-011570 and </w:t>
      </w:r>
      <w:proofErr w:type="spellStart"/>
      <w:r w:rsidR="00BB230D" w:rsidRPr="00BB230D">
        <w:rPr>
          <w:szCs w:val="25"/>
        </w:rPr>
        <w:t>UG</w:t>
      </w:r>
      <w:proofErr w:type="spellEnd"/>
      <w:r w:rsidR="00BB230D" w:rsidRPr="00BB230D">
        <w:rPr>
          <w:szCs w:val="25"/>
        </w:rPr>
        <w:t>-011571.</w:t>
      </w:r>
    </w:p>
  </w:footnote>
  <w:footnote w:id="2">
    <w:p w14:paraId="25AC0483" w14:textId="77777777" w:rsidR="00895576" w:rsidRPr="00F76E6F" w:rsidRDefault="00895576" w:rsidP="00844D13">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i/>
          <w:iCs/>
          <w:szCs w:val="22"/>
        </w:rPr>
        <w:t>See</w:t>
      </w:r>
      <w:r>
        <w:rPr>
          <w:iCs/>
          <w:szCs w:val="22"/>
        </w:rPr>
        <w:t xml:space="preserve"> </w:t>
      </w:r>
      <w:proofErr w:type="spellStart"/>
      <w:r>
        <w:rPr>
          <w:iCs/>
          <w:szCs w:val="22"/>
        </w:rPr>
        <w:t>RCW</w:t>
      </w:r>
      <w:proofErr w:type="spellEnd"/>
      <w:r>
        <w:rPr>
          <w:iCs/>
          <w:szCs w:val="22"/>
        </w:rPr>
        <w:t xml:space="preserve"> 34.05.455.</w:t>
      </w:r>
    </w:p>
  </w:footnote>
  <w:footnote w:id="3">
    <w:p w14:paraId="5335D7F0" w14:textId="77777777" w:rsidR="00804372" w:rsidRDefault="00BA019D">
      <w:pPr>
        <w:pStyle w:val="FootnoteText"/>
      </w:pPr>
      <w:r>
        <w:rPr>
          <w:rStyle w:val="FootnoteReference"/>
        </w:rPr>
        <w:footnoteRef/>
      </w:r>
      <w:r>
        <w:t xml:space="preserve"> The </w:t>
      </w:r>
      <w:r w:rsidR="00417CE0">
        <w:t>final</w:t>
      </w:r>
      <w:r>
        <w:t xml:space="preserve"> revenue requirement amount will be determined when PSE submits its compliance filing that will include updates and power cost changes agreed upon in the Settlement.</w:t>
      </w:r>
    </w:p>
  </w:footnote>
  <w:footnote w:id="4">
    <w:p w14:paraId="53A9F92D" w14:textId="77777777" w:rsidR="009A1BAC" w:rsidRDefault="009A1BAC">
      <w:pPr>
        <w:pStyle w:val="FootnoteText"/>
      </w:pPr>
      <w:r>
        <w:rPr>
          <w:rStyle w:val="FootnoteReference"/>
        </w:rPr>
        <w:footnoteRef/>
      </w:r>
      <w:r>
        <w:t xml:space="preserve"> </w:t>
      </w:r>
      <w:r w:rsidR="00106358">
        <w:t xml:space="preserve">Mills, </w:t>
      </w:r>
      <w:proofErr w:type="spellStart"/>
      <w:r w:rsidR="00106358">
        <w:t>Exh</w:t>
      </w:r>
      <w:proofErr w:type="spellEnd"/>
      <w:r w:rsidR="00106358">
        <w:t>. No. DEM-</w:t>
      </w:r>
      <w:proofErr w:type="spellStart"/>
      <w:r w:rsidR="00106358">
        <w:t>1CT</w:t>
      </w:r>
      <w:proofErr w:type="spellEnd"/>
      <w:r w:rsidR="00106358">
        <w:t>, at 4:5-8.</w:t>
      </w:r>
    </w:p>
  </w:footnote>
  <w:footnote w:id="5">
    <w:p w14:paraId="3AC9138E" w14:textId="77777777" w:rsidR="00305C15" w:rsidRDefault="00305C15">
      <w:pPr>
        <w:pStyle w:val="FootnoteText"/>
      </w:pPr>
      <w:r>
        <w:rPr>
          <w:rStyle w:val="FootnoteReference"/>
        </w:rPr>
        <w:footnoteRef/>
      </w:r>
      <w:r>
        <w:t xml:space="preserve"> Mills, </w:t>
      </w:r>
      <w:proofErr w:type="spellStart"/>
      <w:r>
        <w:t>Exh</w:t>
      </w:r>
      <w:proofErr w:type="spellEnd"/>
      <w:r>
        <w:t>. No. DEM-</w:t>
      </w:r>
      <w:proofErr w:type="spellStart"/>
      <w:r>
        <w:t>5CT</w:t>
      </w:r>
      <w:proofErr w:type="spellEnd"/>
      <w:r>
        <w:t>, at 2:9-13.</w:t>
      </w:r>
    </w:p>
  </w:footnote>
  <w:footnote w:id="6">
    <w:p w14:paraId="4F00111E" w14:textId="77777777" w:rsidR="00305C15" w:rsidRPr="00CB4C14" w:rsidRDefault="00305C15">
      <w:pPr>
        <w:pStyle w:val="FootnoteText"/>
      </w:pPr>
      <w:r>
        <w:rPr>
          <w:rStyle w:val="FootnoteReference"/>
        </w:rPr>
        <w:footnoteRef/>
      </w:r>
      <w:r>
        <w:t xml:space="preserve"> </w:t>
      </w:r>
      <w:r w:rsidR="00CB4C14">
        <w:rPr>
          <w:i/>
        </w:rPr>
        <w:t>Id.</w:t>
      </w:r>
      <w:r w:rsidR="00CB4C14">
        <w:t xml:space="preserve"> at 2:7-9.</w:t>
      </w:r>
    </w:p>
  </w:footnote>
  <w:footnote w:id="7">
    <w:p w14:paraId="509D8044" w14:textId="77777777" w:rsidR="00E569FB" w:rsidRDefault="00E569FB">
      <w:pPr>
        <w:pStyle w:val="FootnoteText"/>
      </w:pPr>
      <w:r>
        <w:rPr>
          <w:rStyle w:val="FootnoteReference"/>
        </w:rPr>
        <w:footnoteRef/>
      </w:r>
      <w:r>
        <w:t xml:space="preserve"> Settlement, ¶ 10.</w:t>
      </w:r>
      <w:r w:rsidR="008D220D">
        <w:t xml:space="preserve">  </w:t>
      </w:r>
    </w:p>
  </w:footnote>
  <w:footnote w:id="8">
    <w:p w14:paraId="454E9EC6" w14:textId="77777777" w:rsidR="00E569FB" w:rsidRPr="00E569FB" w:rsidRDefault="00E569FB">
      <w:pPr>
        <w:pStyle w:val="FootnoteText"/>
      </w:pPr>
      <w:r>
        <w:rPr>
          <w:rStyle w:val="FootnoteReference"/>
        </w:rPr>
        <w:footnoteRef/>
      </w:r>
      <w:r>
        <w:t xml:space="preserve"> </w:t>
      </w:r>
      <w:r>
        <w:rPr>
          <w:i/>
        </w:rPr>
        <w:t>Id.</w:t>
      </w:r>
      <w:r>
        <w:t>, ¶ 11.</w:t>
      </w:r>
      <w:r w:rsidR="00B818B9">
        <w:t xml:space="preserve">  In November 2014, BPA will commence a combined power and transmission rate case to set new rates for its fiscal years 2016-2017</w:t>
      </w:r>
      <w:r w:rsidR="00583CA0">
        <w:t>.</w:t>
      </w:r>
    </w:p>
  </w:footnote>
  <w:footnote w:id="9">
    <w:p w14:paraId="742DE53F" w14:textId="77777777" w:rsidR="00E569FB" w:rsidRDefault="00E569FB">
      <w:pPr>
        <w:pStyle w:val="FootnoteText"/>
      </w:pPr>
      <w:r>
        <w:rPr>
          <w:rStyle w:val="FootnoteReference"/>
        </w:rPr>
        <w:footnoteRef/>
      </w:r>
      <w:r>
        <w:t xml:space="preserve"> </w:t>
      </w:r>
      <w:r>
        <w:rPr>
          <w:i/>
        </w:rPr>
        <w:t>Id.</w:t>
      </w:r>
      <w:r>
        <w:t xml:space="preserve">  As the settling parties explained:</w:t>
      </w:r>
    </w:p>
    <w:p w14:paraId="1FC0A17E" w14:textId="77777777" w:rsidR="007D3DE4" w:rsidRPr="007D3DE4" w:rsidRDefault="00E569FB" w:rsidP="007D3DE4">
      <w:pPr>
        <w:pStyle w:val="FootnoteText"/>
        <w:ind w:left="720"/>
        <w:rPr>
          <w:i/>
        </w:rPr>
      </w:pPr>
      <w:r>
        <w:t xml:space="preserve">At the time of the major maintenance event, PSE will defer and book the balance of the </w:t>
      </w:r>
      <w:r w:rsidR="002318D4">
        <w:t>expenditures, including any management reserves that were eventually used, to a FERC 186 account for amortization.  The actual amortization runs through the [</w:t>
      </w:r>
      <w:proofErr w:type="spellStart"/>
      <w:r w:rsidR="002318D4">
        <w:t>PCA</w:t>
      </w:r>
      <w:proofErr w:type="spellEnd"/>
      <w:r w:rsidR="002318D4">
        <w:t xml:space="preserve">] mechanism as a variable item when incurred, thereby truing up for the difference between budget and actuals….For purposes of the 2014 </w:t>
      </w:r>
      <w:proofErr w:type="spellStart"/>
      <w:r w:rsidR="002318D4">
        <w:t>PCORC</w:t>
      </w:r>
      <w:proofErr w:type="spellEnd"/>
      <w:r w:rsidR="002318D4">
        <w:t xml:space="preserve"> rate year (December 2014-November 2015), the major maintenance contract amounts for units 1 and 2 are set at $5 million, and for units 3 and 4 are set at $3 million.  Commencing with the 2014 Colstrip 3 and 4 major maintenance event, those costs will be deferred to FERC 186 </w:t>
      </w:r>
      <w:r w:rsidR="0031320F">
        <w:t xml:space="preserve">[account] </w:t>
      </w:r>
      <w:r w:rsidR="002318D4">
        <w:t xml:space="preserve">and amortized over a three-year period once complete.  For ratemaking purposes, the total $8 million is amortized over 36 months starting in June 2015 (six months into the rate year).  The actual amortization amount will begin in the month the event occurred and be included in actual expenses in the </w:t>
      </w:r>
      <w:proofErr w:type="spellStart"/>
      <w:r w:rsidR="002318D4">
        <w:t>PCA</w:t>
      </w:r>
      <w:proofErr w:type="spellEnd"/>
      <w:r w:rsidR="002318D4">
        <w:t xml:space="preserve"> mechanism.  In a subsequent </w:t>
      </w:r>
      <w:proofErr w:type="spellStart"/>
      <w:r w:rsidR="002318D4">
        <w:t>PCORC</w:t>
      </w:r>
      <w:proofErr w:type="spellEnd"/>
      <w:r w:rsidR="002318D4">
        <w:t xml:space="preserve"> or general rate case, PSE will use the actual amortization schedule for these two events for setting rates.</w:t>
      </w:r>
      <w:r w:rsidR="007D3DE4">
        <w:t xml:space="preserve">  </w:t>
      </w:r>
      <w:r w:rsidR="007D3DE4">
        <w:rPr>
          <w:i/>
        </w:rPr>
        <w:t>Id.</w:t>
      </w:r>
    </w:p>
  </w:footnote>
  <w:footnote w:id="10">
    <w:p w14:paraId="3C001F23" w14:textId="77777777" w:rsidR="00257142" w:rsidRPr="00257142" w:rsidRDefault="00257142">
      <w:pPr>
        <w:pStyle w:val="FootnoteText"/>
        <w:rPr>
          <w:i/>
        </w:rPr>
      </w:pPr>
      <w:r>
        <w:rPr>
          <w:rStyle w:val="FootnoteReference"/>
        </w:rPr>
        <w:footnoteRef/>
      </w:r>
      <w:r>
        <w:t xml:space="preserve"> </w:t>
      </w:r>
      <w:r>
        <w:rPr>
          <w:i/>
        </w:rPr>
        <w:t>Id.</w:t>
      </w:r>
    </w:p>
  </w:footnote>
  <w:footnote w:id="11">
    <w:p w14:paraId="4323E56D" w14:textId="7E97E3FA" w:rsidR="00E5014B" w:rsidRPr="00626F63" w:rsidRDefault="00E5014B">
      <w:pPr>
        <w:pStyle w:val="FootnoteText"/>
      </w:pPr>
      <w:r>
        <w:rPr>
          <w:rStyle w:val="FootnoteReference"/>
        </w:rPr>
        <w:footnoteRef/>
      </w:r>
      <w:r>
        <w:t xml:space="preserve"> PSE used the AURORA hourly dispatch model to project a portion of its net power costs for the rate year.  Mills, </w:t>
      </w:r>
      <w:proofErr w:type="spellStart"/>
      <w:r>
        <w:t>Exh</w:t>
      </w:r>
      <w:proofErr w:type="spellEnd"/>
      <w:r>
        <w:t>. No. DEM-</w:t>
      </w:r>
      <w:proofErr w:type="spellStart"/>
      <w:r>
        <w:t>1CT</w:t>
      </w:r>
      <w:proofErr w:type="spellEnd"/>
      <w:r>
        <w:t xml:space="preserve">, at 27:16-17.  Developed by </w:t>
      </w:r>
      <w:proofErr w:type="spellStart"/>
      <w:r>
        <w:t>EPIS</w:t>
      </w:r>
      <w:proofErr w:type="spellEnd"/>
      <w:r>
        <w:t xml:space="preserve">, Inc., the AURORA hourly dispatch model “is a fundamentals-based production cost model that simulates hourly economic dispatch of PSE’s </w:t>
      </w:r>
      <w:r w:rsidR="00626F63">
        <w:t xml:space="preserve">generation resource portfolio within the Western Electricity Coordinating Council region.” </w:t>
      </w:r>
      <w:r w:rsidR="00626F63">
        <w:rPr>
          <w:i/>
        </w:rPr>
        <w:t>Id.</w:t>
      </w:r>
      <w:r w:rsidR="00626F63">
        <w:t xml:space="preserve"> at 28:2-4.</w:t>
      </w:r>
    </w:p>
  </w:footnote>
  <w:footnote w:id="12">
    <w:p w14:paraId="6BB75CAD" w14:textId="77777777" w:rsidR="00166BF8" w:rsidRPr="00166BF8" w:rsidRDefault="00166BF8">
      <w:pPr>
        <w:pStyle w:val="FootnoteText"/>
        <w:rPr>
          <w:i/>
        </w:rPr>
      </w:pPr>
      <w:r>
        <w:rPr>
          <w:rStyle w:val="FootnoteReference"/>
        </w:rPr>
        <w:footnoteRef/>
      </w:r>
      <w:r>
        <w:t xml:space="preserve"> </w:t>
      </w:r>
      <w:r>
        <w:rPr>
          <w:i/>
        </w:rPr>
        <w:t>Id.</w:t>
      </w:r>
    </w:p>
  </w:footnote>
  <w:footnote w:id="13">
    <w:p w14:paraId="746B4651" w14:textId="77777777" w:rsidR="00301E74" w:rsidRPr="00301E74" w:rsidRDefault="00301E74">
      <w:pPr>
        <w:pStyle w:val="FootnoteText"/>
      </w:pPr>
      <w:r>
        <w:rPr>
          <w:rStyle w:val="FootnoteReference"/>
        </w:rPr>
        <w:footnoteRef/>
      </w:r>
      <w:r>
        <w:t xml:space="preserve"> </w:t>
      </w:r>
      <w:r>
        <w:rPr>
          <w:i/>
        </w:rPr>
        <w:t>Id.</w:t>
      </w:r>
      <w:r>
        <w:t xml:space="preserve">, ¶ 12.  This rate base level is </w:t>
      </w:r>
      <w:r w:rsidR="009B7297">
        <w:t xml:space="preserve">a decrease of </w:t>
      </w:r>
      <w:r>
        <w:t>$15,</w:t>
      </w:r>
      <w:r w:rsidR="009B7297">
        <w:t xml:space="preserve">613,977 from PSE’s filed case.  </w:t>
      </w:r>
      <w:r w:rsidR="009B7297">
        <w:rPr>
          <w:i/>
        </w:rPr>
        <w:t>Id.</w:t>
      </w:r>
      <w:r w:rsidR="009B7297">
        <w:t xml:space="preserve"> </w:t>
      </w:r>
    </w:p>
  </w:footnote>
  <w:footnote w:id="14">
    <w:p w14:paraId="527579CD" w14:textId="77777777" w:rsidR="007967A4" w:rsidRPr="007967A4" w:rsidRDefault="007967A4">
      <w:pPr>
        <w:pStyle w:val="FootnoteText"/>
        <w:rPr>
          <w:i/>
        </w:rPr>
      </w:pPr>
      <w:r>
        <w:rPr>
          <w:rStyle w:val="FootnoteReference"/>
        </w:rPr>
        <w:footnoteRef/>
      </w:r>
      <w:r>
        <w:t xml:space="preserve"> </w:t>
      </w:r>
      <w:r>
        <w:rPr>
          <w:i/>
        </w:rPr>
        <w:t>Id.,</w:t>
      </w:r>
      <w:r>
        <w:t xml:space="preserve"> ¶ 13.  The amount of this adjustment, $2,271,793, stems from the Subtotal and Baseline Rate amount of $5,086,563, less the power costs of $2,814,770 associated with the Electron purchase power agreement</w:t>
      </w:r>
      <w:r w:rsidR="00811E92">
        <w:t xml:space="preserve"> (</w:t>
      </w:r>
      <w:proofErr w:type="spellStart"/>
      <w:r w:rsidR="00811E92">
        <w:t>PPA</w:t>
      </w:r>
      <w:proofErr w:type="spellEnd"/>
      <w:r w:rsidR="00811E92">
        <w:t>)</w:t>
      </w:r>
      <w:r>
        <w:t xml:space="preserve">.  </w:t>
      </w:r>
      <w:r>
        <w:rPr>
          <w:i/>
        </w:rPr>
        <w:t>Id.</w:t>
      </w:r>
    </w:p>
  </w:footnote>
  <w:footnote w:id="15">
    <w:p w14:paraId="7FCE885B" w14:textId="77777777" w:rsidR="00AE67FA" w:rsidRPr="00AE67FA" w:rsidRDefault="00AE67FA">
      <w:pPr>
        <w:pStyle w:val="FootnoteText"/>
      </w:pPr>
      <w:r>
        <w:rPr>
          <w:rStyle w:val="FootnoteReference"/>
        </w:rPr>
        <w:footnoteRef/>
      </w:r>
      <w:r>
        <w:t xml:space="preserve"> </w:t>
      </w:r>
      <w:r>
        <w:rPr>
          <w:i/>
        </w:rPr>
        <w:t>Id.</w:t>
      </w:r>
      <w:r>
        <w:t>, ¶ 14.</w:t>
      </w:r>
    </w:p>
  </w:footnote>
  <w:footnote w:id="16">
    <w:p w14:paraId="315217ED" w14:textId="77777777" w:rsidR="006460F4" w:rsidRPr="006460F4" w:rsidRDefault="006460F4">
      <w:pPr>
        <w:pStyle w:val="FootnoteText"/>
      </w:pPr>
      <w:r>
        <w:rPr>
          <w:rStyle w:val="FootnoteReference"/>
        </w:rPr>
        <w:footnoteRef/>
      </w:r>
      <w:r>
        <w:t xml:space="preserve"> </w:t>
      </w:r>
      <w:r>
        <w:rPr>
          <w:i/>
        </w:rPr>
        <w:t>Id.</w:t>
      </w:r>
      <w:r>
        <w:t xml:space="preserve">, ¶ 15.  Due to the Thurston County Superior Court’s remand in Dockets </w:t>
      </w:r>
      <w:proofErr w:type="spellStart"/>
      <w:r>
        <w:t>UE</w:t>
      </w:r>
      <w:proofErr w:type="spellEnd"/>
      <w:r>
        <w:t xml:space="preserve">-121697 and </w:t>
      </w:r>
      <w:proofErr w:type="spellStart"/>
      <w:r>
        <w:t>UE</w:t>
      </w:r>
      <w:proofErr w:type="spellEnd"/>
      <w:r>
        <w:t xml:space="preserve">-121705 (consolidated) and Dockets </w:t>
      </w:r>
      <w:proofErr w:type="spellStart"/>
      <w:r>
        <w:t>UE</w:t>
      </w:r>
      <w:proofErr w:type="spellEnd"/>
      <w:r>
        <w:t xml:space="preserve">-130137 and </w:t>
      </w:r>
      <w:proofErr w:type="spellStart"/>
      <w:r>
        <w:t>UG</w:t>
      </w:r>
      <w:proofErr w:type="spellEnd"/>
      <w:r>
        <w:t>-130138 (consolidated)</w:t>
      </w:r>
      <w:r w:rsidR="00207B0D">
        <w:t>, the parties agree that this cost of capital structure is, essentially, interim in nature</w:t>
      </w:r>
      <w:r w:rsidR="007E6F22">
        <w:t xml:space="preserve"> pending the Commission’s determination of the return on equity in the above referenced dockets</w:t>
      </w:r>
      <w:r w:rsidR="00207B0D">
        <w:t xml:space="preserve">.  ffitch, </w:t>
      </w:r>
      <w:proofErr w:type="spellStart"/>
      <w:r w:rsidR="00207B0D">
        <w:t>TR</w:t>
      </w:r>
      <w:proofErr w:type="spellEnd"/>
      <w:r w:rsidR="00207B0D">
        <w:t xml:space="preserve"> 66:6-9; Cowell, </w:t>
      </w:r>
      <w:proofErr w:type="spellStart"/>
      <w:r w:rsidR="00207B0D">
        <w:t>TR</w:t>
      </w:r>
      <w:proofErr w:type="spellEnd"/>
      <w:r w:rsidR="00207B0D">
        <w:t xml:space="preserve"> 66:21-67:</w:t>
      </w:r>
      <w:r w:rsidR="007E6F22">
        <w:t xml:space="preserve">8; Carson, </w:t>
      </w:r>
      <w:proofErr w:type="spellStart"/>
      <w:r w:rsidR="007E6F22">
        <w:t>TR</w:t>
      </w:r>
      <w:proofErr w:type="spellEnd"/>
      <w:r w:rsidR="007E6F22">
        <w:t xml:space="preserve"> 67:18-21; and Brown, </w:t>
      </w:r>
      <w:proofErr w:type="spellStart"/>
      <w:r w:rsidR="007E6F22">
        <w:t>TR</w:t>
      </w:r>
      <w:proofErr w:type="spellEnd"/>
      <w:r w:rsidR="007E6F22">
        <w:t xml:space="preserve"> 64:7-15.</w:t>
      </w:r>
    </w:p>
  </w:footnote>
  <w:footnote w:id="17">
    <w:p w14:paraId="356CA528" w14:textId="77777777" w:rsidR="003F00B0" w:rsidRPr="003F00B0" w:rsidRDefault="003F00B0">
      <w:pPr>
        <w:pStyle w:val="FootnoteText"/>
      </w:pPr>
      <w:r>
        <w:rPr>
          <w:rStyle w:val="FootnoteReference"/>
        </w:rPr>
        <w:footnoteRef/>
      </w:r>
      <w:r>
        <w:t xml:space="preserve"> </w:t>
      </w:r>
      <w:r>
        <w:rPr>
          <w:i/>
        </w:rPr>
        <w:t>Id.</w:t>
      </w:r>
      <w:r>
        <w:t>, ¶ 1</w:t>
      </w:r>
      <w:r w:rsidR="0014542E">
        <w:t>6</w:t>
      </w:r>
      <w:r>
        <w:t>.</w:t>
      </w:r>
    </w:p>
  </w:footnote>
  <w:footnote w:id="18">
    <w:p w14:paraId="2408C301" w14:textId="77777777" w:rsidR="00033CDD" w:rsidRPr="00033CDD" w:rsidRDefault="003F00B0">
      <w:pPr>
        <w:pStyle w:val="FootnoteText"/>
        <w:rPr>
          <w:i/>
        </w:rPr>
      </w:pPr>
      <w:r>
        <w:rPr>
          <w:rStyle w:val="FootnoteReference"/>
        </w:rPr>
        <w:footnoteRef/>
      </w:r>
      <w:r>
        <w:t xml:space="preserve"> </w:t>
      </w:r>
      <w:r>
        <w:rPr>
          <w:i/>
        </w:rPr>
        <w:t>Id.</w:t>
      </w:r>
      <w:r w:rsidR="00033CDD">
        <w:t>, ¶ 17</w:t>
      </w:r>
      <w:r w:rsidR="00713103">
        <w:t xml:space="preserve"> and Joint Testimony, </w:t>
      </w:r>
      <w:proofErr w:type="spellStart"/>
      <w:r w:rsidR="00713103">
        <w:t>Exh</w:t>
      </w:r>
      <w:proofErr w:type="spellEnd"/>
      <w:r w:rsidR="00713103">
        <w:t>. No. 4, at 6:16.</w:t>
      </w:r>
      <w:r w:rsidR="00033CDD">
        <w:t xml:space="preserve">  In the alternative, if the Commission determines that a prudence determination is necessary for the Electron </w:t>
      </w:r>
      <w:proofErr w:type="spellStart"/>
      <w:r w:rsidR="00033CDD">
        <w:t>PPA</w:t>
      </w:r>
      <w:proofErr w:type="spellEnd"/>
      <w:r w:rsidR="00033CDD">
        <w:t xml:space="preserve">, the settling parties request that the Commission find the </w:t>
      </w:r>
      <w:proofErr w:type="spellStart"/>
      <w:r w:rsidR="00033CDD">
        <w:t>PPA</w:t>
      </w:r>
      <w:proofErr w:type="spellEnd"/>
      <w:r w:rsidR="00033CDD">
        <w:t xml:space="preserve"> prudent.  </w:t>
      </w:r>
      <w:r w:rsidR="00033CDD">
        <w:rPr>
          <w:i/>
        </w:rPr>
        <w:t>Id.</w:t>
      </w:r>
    </w:p>
  </w:footnote>
  <w:footnote w:id="19">
    <w:p w14:paraId="7F2DBE2C" w14:textId="77777777" w:rsidR="00031BE7" w:rsidRPr="00031BE7" w:rsidRDefault="00031BE7">
      <w:pPr>
        <w:pStyle w:val="FootnoteText"/>
      </w:pPr>
      <w:r>
        <w:rPr>
          <w:rStyle w:val="FootnoteReference"/>
        </w:rPr>
        <w:footnoteRef/>
      </w:r>
      <w:r>
        <w:t xml:space="preserve"> </w:t>
      </w:r>
      <w:r>
        <w:rPr>
          <w:i/>
        </w:rPr>
        <w:t>Id.</w:t>
      </w:r>
      <w:r>
        <w:t>, ¶ 5.</w:t>
      </w:r>
    </w:p>
  </w:footnote>
  <w:footnote w:id="20">
    <w:p w14:paraId="17F59984" w14:textId="77777777" w:rsidR="009862D2" w:rsidRDefault="009862D2" w:rsidP="009862D2">
      <w:pPr>
        <w:pStyle w:val="FootnoteText"/>
      </w:pPr>
      <w:r>
        <w:rPr>
          <w:rStyle w:val="FootnoteReference"/>
        </w:rPr>
        <w:footnoteRef/>
      </w:r>
      <w:r>
        <w:t xml:space="preserve"> </w:t>
      </w:r>
      <w:r w:rsidRPr="00530BE3">
        <w:t xml:space="preserve">Coal Transition Docket </w:t>
      </w:r>
      <w:proofErr w:type="spellStart"/>
      <w:r w:rsidRPr="00530BE3">
        <w:t>UE</w:t>
      </w:r>
      <w:proofErr w:type="spellEnd"/>
      <w:r w:rsidRPr="00530BE3">
        <w:t>-121373, Order 08 ¶</w:t>
      </w:r>
      <w:r>
        <w:t>53; “</w:t>
      </w:r>
      <w:r w:rsidRPr="00530BE3">
        <w:t xml:space="preserve">We therefore expressly approve what the Commission previously implied in Order 03.  We determine that PSE should be authorized and required to file a </w:t>
      </w:r>
      <w:proofErr w:type="spellStart"/>
      <w:r w:rsidRPr="00530BE3">
        <w:t>PCORC</w:t>
      </w:r>
      <w:proofErr w:type="spellEnd"/>
      <w:r w:rsidRPr="00530BE3">
        <w:t xml:space="preserve"> timed so that the any incremental power costs created through this </w:t>
      </w:r>
      <w:proofErr w:type="spellStart"/>
      <w:r w:rsidRPr="00530BE3">
        <w:t>PPA</w:t>
      </w:r>
      <w:proofErr w:type="spellEnd"/>
      <w:r w:rsidRPr="00530BE3">
        <w:t xml:space="preserve"> beginning on December 1, 2014, can be recovered fully and timely in rates.  Furthermore, we encourage PSE to propose in the context of its initial </w:t>
      </w:r>
      <w:proofErr w:type="spellStart"/>
      <w:r w:rsidRPr="00530BE3">
        <w:t>PCORC</w:t>
      </w:r>
      <w:proofErr w:type="spellEnd"/>
      <w:r w:rsidRPr="00530BE3">
        <w:t xml:space="preserve"> filing additional clarifications, such as the compliance filing approach suggested by Multiparty Settlement Agreement, and how this will interact with annual adjustments in the </w:t>
      </w:r>
      <w:proofErr w:type="spellStart"/>
      <w:r w:rsidRPr="00530BE3">
        <w:t>PCA</w:t>
      </w:r>
      <w:proofErr w:type="spellEnd"/>
      <w:r w:rsidRPr="00530BE3">
        <w:t xml:space="preserve"> baseline.</w:t>
      </w:r>
      <w:r>
        <w:t>”</w:t>
      </w:r>
    </w:p>
  </w:footnote>
  <w:footnote w:id="21">
    <w:p w14:paraId="24CBB200" w14:textId="4B9E53DA" w:rsidR="00CE3665" w:rsidRPr="00CE3665" w:rsidRDefault="00CE3665">
      <w:pPr>
        <w:pStyle w:val="FootnoteText"/>
        <w:rPr>
          <w:i/>
        </w:rPr>
      </w:pPr>
      <w:r w:rsidRPr="00CE3665">
        <w:rPr>
          <w:rStyle w:val="FootnoteReference"/>
        </w:rPr>
        <w:footnoteRef/>
      </w:r>
      <w:r w:rsidRPr="00CE3665">
        <w:t xml:space="preserve"> </w:t>
      </w:r>
      <w:r>
        <w:rPr>
          <w:i/>
        </w:rPr>
        <w:t>Id.</w:t>
      </w:r>
    </w:p>
  </w:footnote>
  <w:footnote w:id="22">
    <w:p w14:paraId="3CA1C139" w14:textId="77777777" w:rsidR="00B3075D" w:rsidRDefault="00B3075D" w:rsidP="00B3075D">
      <w:pPr>
        <w:pStyle w:val="FootnoteText"/>
      </w:pPr>
      <w:r>
        <w:rPr>
          <w:rStyle w:val="FootnoteReference"/>
        </w:rPr>
        <w:footnoteRef/>
      </w:r>
      <w:r>
        <w:t xml:space="preserve"> Settlement</w:t>
      </w:r>
      <w:r w:rsidR="00902AFF">
        <w:t>,</w:t>
      </w:r>
      <w:r>
        <w:t xml:space="preserve"> </w:t>
      </w:r>
      <w:r w:rsidR="00902AFF">
        <w:t>¶</w:t>
      </w:r>
      <w:r>
        <w:t>12.</w:t>
      </w:r>
    </w:p>
  </w:footnote>
  <w:footnote w:id="23">
    <w:p w14:paraId="247E6BE5" w14:textId="77777777" w:rsidR="00417CE0" w:rsidRDefault="00417CE0">
      <w:pPr>
        <w:pStyle w:val="FootnoteText"/>
      </w:pPr>
      <w:r>
        <w:rPr>
          <w:rStyle w:val="FootnoteReference"/>
        </w:rPr>
        <w:footnoteRef/>
      </w:r>
      <w:r>
        <w:t xml:space="preserve"> We note that the revenue requirement under the Settlement includes the removal of revenue adjustment for flow-through taxes associated with the non-tax deductible depreciation expenses of the Snoqualmie and </w:t>
      </w:r>
      <w:r w:rsidR="00902AFF">
        <w:t xml:space="preserve">Lower </w:t>
      </w:r>
      <w:r>
        <w:t xml:space="preserve">Baker projects, consistent with the original intent of the </w:t>
      </w:r>
      <w:proofErr w:type="spellStart"/>
      <w:r>
        <w:t>PCORC</w:t>
      </w:r>
      <w:proofErr w:type="spellEnd"/>
      <w:r>
        <w:t xml:space="preserve">. The treatment of federal income taxes will be evaluated in the </w:t>
      </w:r>
      <w:proofErr w:type="spellStart"/>
      <w:r>
        <w:t>PCORC</w:t>
      </w:r>
      <w:proofErr w:type="spellEnd"/>
      <w:r>
        <w:t xml:space="preserve"> collaborative now ongoing.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538F" w14:textId="77777777" w:rsidR="00895576" w:rsidRPr="004A53E4" w:rsidRDefault="0089557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 xml:space="preserve">DOCKET </w:t>
    </w:r>
    <w:proofErr w:type="spellStart"/>
    <w:r w:rsidRPr="004A53E4">
      <w:rPr>
        <w:rStyle w:val="PageNumber"/>
        <w:b/>
        <w:sz w:val="20"/>
        <w:szCs w:val="20"/>
      </w:rPr>
      <w:t>UE</w:t>
    </w:r>
    <w:proofErr w:type="spellEnd"/>
    <w:r w:rsidRPr="004A53E4">
      <w:rPr>
        <w:rStyle w:val="PageNumber"/>
        <w:b/>
        <w:sz w:val="20"/>
        <w:szCs w:val="20"/>
      </w:rPr>
      <w:t>-</w:t>
    </w:r>
    <w:r>
      <w:rPr>
        <w:rStyle w:val="PageNumber"/>
        <w:b/>
        <w:sz w:val="20"/>
        <w:szCs w:val="20"/>
      </w:rPr>
      <w:t>1</w:t>
    </w:r>
    <w:r w:rsidR="00EF5AEE">
      <w:rPr>
        <w:rStyle w:val="PageNumber"/>
        <w:b/>
        <w:sz w:val="20"/>
        <w:szCs w:val="20"/>
      </w:rPr>
      <w:t>41141</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BD2799">
      <w:rPr>
        <w:rStyle w:val="PageNumber"/>
        <w:b/>
        <w:noProof/>
        <w:sz w:val="20"/>
        <w:szCs w:val="20"/>
      </w:rPr>
      <w:t>13</w:t>
    </w:r>
    <w:r w:rsidRPr="004A53E4">
      <w:rPr>
        <w:rStyle w:val="PageNumber"/>
        <w:b/>
        <w:sz w:val="20"/>
        <w:szCs w:val="20"/>
      </w:rPr>
      <w:fldChar w:fldCharType="end"/>
    </w:r>
  </w:p>
  <w:p w14:paraId="274092D5" w14:textId="77777777" w:rsidR="00895576" w:rsidRPr="004A53E4" w:rsidRDefault="00895576">
    <w:pPr>
      <w:rPr>
        <w:b/>
        <w:sz w:val="20"/>
        <w:szCs w:val="20"/>
      </w:rPr>
    </w:pPr>
    <w:r w:rsidRPr="004A53E4">
      <w:rPr>
        <w:b/>
        <w:sz w:val="20"/>
        <w:szCs w:val="20"/>
      </w:rPr>
      <w:t xml:space="preserve">ORDER </w:t>
    </w:r>
    <w:r>
      <w:rPr>
        <w:b/>
        <w:sz w:val="20"/>
        <w:szCs w:val="20"/>
      </w:rPr>
      <w:t>0</w:t>
    </w:r>
    <w:r w:rsidR="0054335C">
      <w:rPr>
        <w:b/>
        <w:sz w:val="20"/>
        <w:szCs w:val="20"/>
      </w:rPr>
      <w:t>4</w:t>
    </w:r>
  </w:p>
  <w:p w14:paraId="734DAED9" w14:textId="77777777" w:rsidR="00895576" w:rsidRPr="004A53E4" w:rsidRDefault="0089557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E739" w14:textId="6CB65B44" w:rsidR="00895576" w:rsidRPr="00B6537E" w:rsidRDefault="00895576" w:rsidP="00265C02">
    <w:pPr>
      <w:pStyle w:val="Header"/>
      <w:tabs>
        <w:tab w:val="clear" w:pos="4320"/>
        <w:tab w:val="clear" w:pos="8640"/>
        <w:tab w:val="right" w:pos="8460"/>
      </w:tabs>
      <w:rPr>
        <w:b/>
        <w:sz w:val="20"/>
        <w:szCs w:val="20"/>
      </w:rPr>
    </w:pPr>
    <w:r>
      <w:rPr>
        <w:b/>
        <w:sz w:val="20"/>
        <w:szCs w:val="20"/>
      </w:rPr>
      <w:tab/>
    </w:r>
    <w:r w:rsidR="00314B9E">
      <w:rPr>
        <w:b/>
        <w:sz w:val="20"/>
        <w:szCs w:val="20"/>
      </w:rPr>
      <w:t>[Service Date November 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6"/>
  </w:num>
  <w:num w:numId="2">
    <w:abstractNumId w:val="7"/>
  </w:num>
  <w:num w:numId="3">
    <w:abstractNumId w:val="14"/>
  </w:num>
  <w:num w:numId="4">
    <w:abstractNumId w:val="12"/>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0"/>
  </w:num>
  <w:num w:numId="10">
    <w:abstractNumId w:val="5"/>
  </w:num>
  <w:num w:numId="11">
    <w:abstractNumId w:val="2"/>
  </w:num>
  <w:num w:numId="12">
    <w:abstractNumId w:val="6"/>
  </w:num>
  <w:num w:numId="13">
    <w:abstractNumId w:val="9"/>
  </w:num>
  <w:num w:numId="14">
    <w:abstractNumId w:val="8"/>
  </w:num>
  <w:num w:numId="15">
    <w:abstractNumId w:val="11"/>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E65"/>
    <w:rsid w:val="0005523A"/>
    <w:rsid w:val="00056483"/>
    <w:rsid w:val="000569C5"/>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DD5"/>
    <w:rsid w:val="00073037"/>
    <w:rsid w:val="00073550"/>
    <w:rsid w:val="00073E8B"/>
    <w:rsid w:val="0007410A"/>
    <w:rsid w:val="00074C8D"/>
    <w:rsid w:val="00074E2B"/>
    <w:rsid w:val="0007606A"/>
    <w:rsid w:val="00076C29"/>
    <w:rsid w:val="00077EC9"/>
    <w:rsid w:val="000827AD"/>
    <w:rsid w:val="0008521D"/>
    <w:rsid w:val="00085827"/>
    <w:rsid w:val="00086EDC"/>
    <w:rsid w:val="00087620"/>
    <w:rsid w:val="00087860"/>
    <w:rsid w:val="00087F01"/>
    <w:rsid w:val="00087F4B"/>
    <w:rsid w:val="00090C0D"/>
    <w:rsid w:val="000913E6"/>
    <w:rsid w:val="000925F4"/>
    <w:rsid w:val="00093918"/>
    <w:rsid w:val="00093A94"/>
    <w:rsid w:val="00093C20"/>
    <w:rsid w:val="0009498B"/>
    <w:rsid w:val="00094CF0"/>
    <w:rsid w:val="00095690"/>
    <w:rsid w:val="00095827"/>
    <w:rsid w:val="0009665F"/>
    <w:rsid w:val="0009760A"/>
    <w:rsid w:val="000A0894"/>
    <w:rsid w:val="000A0A26"/>
    <w:rsid w:val="000A0E5C"/>
    <w:rsid w:val="000A1068"/>
    <w:rsid w:val="000A30D7"/>
    <w:rsid w:val="000A4072"/>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3C26"/>
    <w:rsid w:val="000C45D8"/>
    <w:rsid w:val="000C4F53"/>
    <w:rsid w:val="000C5D75"/>
    <w:rsid w:val="000C5F1A"/>
    <w:rsid w:val="000C6C47"/>
    <w:rsid w:val="000C7261"/>
    <w:rsid w:val="000D0515"/>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A73"/>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EB4"/>
    <w:rsid w:val="00122338"/>
    <w:rsid w:val="0012363E"/>
    <w:rsid w:val="00124A7A"/>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3129"/>
    <w:rsid w:val="00153D6F"/>
    <w:rsid w:val="00154667"/>
    <w:rsid w:val="00154AAA"/>
    <w:rsid w:val="00154C28"/>
    <w:rsid w:val="00155D9C"/>
    <w:rsid w:val="00155EC0"/>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3F2"/>
    <w:rsid w:val="00192447"/>
    <w:rsid w:val="001928F3"/>
    <w:rsid w:val="00193E66"/>
    <w:rsid w:val="00194B00"/>
    <w:rsid w:val="00194B11"/>
    <w:rsid w:val="001966A7"/>
    <w:rsid w:val="00196950"/>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99"/>
    <w:rsid w:val="001C7B75"/>
    <w:rsid w:val="001D0F4B"/>
    <w:rsid w:val="001D1C37"/>
    <w:rsid w:val="001D2209"/>
    <w:rsid w:val="001D2844"/>
    <w:rsid w:val="001D2D37"/>
    <w:rsid w:val="001D3002"/>
    <w:rsid w:val="001D3570"/>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67CB"/>
    <w:rsid w:val="001F6BF9"/>
    <w:rsid w:val="001F6E66"/>
    <w:rsid w:val="001F6ED4"/>
    <w:rsid w:val="001F7A2C"/>
    <w:rsid w:val="00202298"/>
    <w:rsid w:val="002022A6"/>
    <w:rsid w:val="00202F93"/>
    <w:rsid w:val="00205DD9"/>
    <w:rsid w:val="0020757F"/>
    <w:rsid w:val="002075DA"/>
    <w:rsid w:val="00207B0D"/>
    <w:rsid w:val="00211690"/>
    <w:rsid w:val="002122A7"/>
    <w:rsid w:val="002125E3"/>
    <w:rsid w:val="002127A0"/>
    <w:rsid w:val="00212BAC"/>
    <w:rsid w:val="00212CDA"/>
    <w:rsid w:val="00213E2A"/>
    <w:rsid w:val="00213EC0"/>
    <w:rsid w:val="00214210"/>
    <w:rsid w:val="0021471D"/>
    <w:rsid w:val="00214A2D"/>
    <w:rsid w:val="002164F1"/>
    <w:rsid w:val="002170AE"/>
    <w:rsid w:val="0022109C"/>
    <w:rsid w:val="00222CA5"/>
    <w:rsid w:val="00224581"/>
    <w:rsid w:val="00225940"/>
    <w:rsid w:val="002262AC"/>
    <w:rsid w:val="00227087"/>
    <w:rsid w:val="002275F0"/>
    <w:rsid w:val="00227ABC"/>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F13"/>
    <w:rsid w:val="002422D4"/>
    <w:rsid w:val="00244096"/>
    <w:rsid w:val="00244B34"/>
    <w:rsid w:val="00244DEF"/>
    <w:rsid w:val="002454C6"/>
    <w:rsid w:val="00245C7C"/>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F80"/>
    <w:rsid w:val="00285FE8"/>
    <w:rsid w:val="002878B2"/>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646C"/>
    <w:rsid w:val="0029699C"/>
    <w:rsid w:val="002972D0"/>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D76"/>
    <w:rsid w:val="002B763C"/>
    <w:rsid w:val="002B7BC0"/>
    <w:rsid w:val="002B7E60"/>
    <w:rsid w:val="002B7F7C"/>
    <w:rsid w:val="002C0BDC"/>
    <w:rsid w:val="002C1F75"/>
    <w:rsid w:val="002C2CB9"/>
    <w:rsid w:val="002C4141"/>
    <w:rsid w:val="002C427B"/>
    <w:rsid w:val="002C4633"/>
    <w:rsid w:val="002C6117"/>
    <w:rsid w:val="002C6A38"/>
    <w:rsid w:val="002C6A75"/>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4292"/>
    <w:rsid w:val="002E4BA6"/>
    <w:rsid w:val="002E4E67"/>
    <w:rsid w:val="002E59D0"/>
    <w:rsid w:val="002E5D29"/>
    <w:rsid w:val="002E67BA"/>
    <w:rsid w:val="002E6C28"/>
    <w:rsid w:val="002E6CB0"/>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A04"/>
    <w:rsid w:val="003058A2"/>
    <w:rsid w:val="00305C15"/>
    <w:rsid w:val="00306037"/>
    <w:rsid w:val="00310288"/>
    <w:rsid w:val="00311DDF"/>
    <w:rsid w:val="00311EF6"/>
    <w:rsid w:val="00312379"/>
    <w:rsid w:val="0031320F"/>
    <w:rsid w:val="003134E7"/>
    <w:rsid w:val="003136D7"/>
    <w:rsid w:val="00313FC1"/>
    <w:rsid w:val="00314B9E"/>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247F"/>
    <w:rsid w:val="00332BCF"/>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E83"/>
    <w:rsid w:val="003560A3"/>
    <w:rsid w:val="00356844"/>
    <w:rsid w:val="00356F37"/>
    <w:rsid w:val="00357658"/>
    <w:rsid w:val="003578DE"/>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CCE"/>
    <w:rsid w:val="003C15DE"/>
    <w:rsid w:val="003C256C"/>
    <w:rsid w:val="003C37D5"/>
    <w:rsid w:val="003C5A70"/>
    <w:rsid w:val="003C5BAF"/>
    <w:rsid w:val="003C5BC6"/>
    <w:rsid w:val="003C604D"/>
    <w:rsid w:val="003C61B1"/>
    <w:rsid w:val="003C70B9"/>
    <w:rsid w:val="003C7501"/>
    <w:rsid w:val="003D013A"/>
    <w:rsid w:val="003D09C5"/>
    <w:rsid w:val="003D0F15"/>
    <w:rsid w:val="003D1721"/>
    <w:rsid w:val="003D1B85"/>
    <w:rsid w:val="003D2648"/>
    <w:rsid w:val="003D36E6"/>
    <w:rsid w:val="003D3E19"/>
    <w:rsid w:val="003D4253"/>
    <w:rsid w:val="003D4370"/>
    <w:rsid w:val="003D45E2"/>
    <w:rsid w:val="003D48D5"/>
    <w:rsid w:val="003D5702"/>
    <w:rsid w:val="003D5843"/>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78D"/>
    <w:rsid w:val="00401CCD"/>
    <w:rsid w:val="00402A7A"/>
    <w:rsid w:val="00403C87"/>
    <w:rsid w:val="00403DC2"/>
    <w:rsid w:val="0040495B"/>
    <w:rsid w:val="004057D9"/>
    <w:rsid w:val="00406041"/>
    <w:rsid w:val="00406BBF"/>
    <w:rsid w:val="00406CD9"/>
    <w:rsid w:val="00407639"/>
    <w:rsid w:val="00410A48"/>
    <w:rsid w:val="00412401"/>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808"/>
    <w:rsid w:val="00436866"/>
    <w:rsid w:val="00436A0D"/>
    <w:rsid w:val="00436A89"/>
    <w:rsid w:val="00436D97"/>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D0668"/>
    <w:rsid w:val="004D0D59"/>
    <w:rsid w:val="004D13EC"/>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3EF"/>
    <w:rsid w:val="005401CC"/>
    <w:rsid w:val="00540272"/>
    <w:rsid w:val="0054060E"/>
    <w:rsid w:val="005416F4"/>
    <w:rsid w:val="00541E6C"/>
    <w:rsid w:val="005421F1"/>
    <w:rsid w:val="005423E8"/>
    <w:rsid w:val="0054335C"/>
    <w:rsid w:val="005434B5"/>
    <w:rsid w:val="00543D7C"/>
    <w:rsid w:val="00543F69"/>
    <w:rsid w:val="0054489C"/>
    <w:rsid w:val="00544B3C"/>
    <w:rsid w:val="0054545A"/>
    <w:rsid w:val="005454AC"/>
    <w:rsid w:val="00545AA5"/>
    <w:rsid w:val="0054657E"/>
    <w:rsid w:val="00547ABE"/>
    <w:rsid w:val="00547F37"/>
    <w:rsid w:val="00550DD6"/>
    <w:rsid w:val="00550FEB"/>
    <w:rsid w:val="00552D1D"/>
    <w:rsid w:val="005532F4"/>
    <w:rsid w:val="005542F5"/>
    <w:rsid w:val="005546FA"/>
    <w:rsid w:val="0055479B"/>
    <w:rsid w:val="00554B2D"/>
    <w:rsid w:val="00555658"/>
    <w:rsid w:val="00555E65"/>
    <w:rsid w:val="0055695B"/>
    <w:rsid w:val="00556D17"/>
    <w:rsid w:val="005573E3"/>
    <w:rsid w:val="00557717"/>
    <w:rsid w:val="00560747"/>
    <w:rsid w:val="00560CA9"/>
    <w:rsid w:val="005615EE"/>
    <w:rsid w:val="005619EC"/>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3730"/>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2AA"/>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482"/>
    <w:rsid w:val="005B74E2"/>
    <w:rsid w:val="005B7833"/>
    <w:rsid w:val="005C043D"/>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AED"/>
    <w:rsid w:val="00607437"/>
    <w:rsid w:val="00607AE3"/>
    <w:rsid w:val="006115D9"/>
    <w:rsid w:val="006120B6"/>
    <w:rsid w:val="006126D6"/>
    <w:rsid w:val="006135B9"/>
    <w:rsid w:val="006135E6"/>
    <w:rsid w:val="0061399A"/>
    <w:rsid w:val="00613D93"/>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26F63"/>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4B43"/>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D42"/>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4451"/>
    <w:rsid w:val="00704A4A"/>
    <w:rsid w:val="00704F96"/>
    <w:rsid w:val="00705033"/>
    <w:rsid w:val="00705294"/>
    <w:rsid w:val="007053B4"/>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21F3"/>
    <w:rsid w:val="007423A9"/>
    <w:rsid w:val="00742475"/>
    <w:rsid w:val="00742B32"/>
    <w:rsid w:val="00742E41"/>
    <w:rsid w:val="00743183"/>
    <w:rsid w:val="00743F27"/>
    <w:rsid w:val="007448FD"/>
    <w:rsid w:val="00744C80"/>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69"/>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C49"/>
    <w:rsid w:val="007B3802"/>
    <w:rsid w:val="007B3CED"/>
    <w:rsid w:val="007B46FA"/>
    <w:rsid w:val="007B4E04"/>
    <w:rsid w:val="007B54C8"/>
    <w:rsid w:val="007B6296"/>
    <w:rsid w:val="007B6A55"/>
    <w:rsid w:val="007B746B"/>
    <w:rsid w:val="007C0B07"/>
    <w:rsid w:val="007C0E2B"/>
    <w:rsid w:val="007C11BB"/>
    <w:rsid w:val="007C1925"/>
    <w:rsid w:val="007C1D7A"/>
    <w:rsid w:val="007C2125"/>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3F78"/>
    <w:rsid w:val="008640D8"/>
    <w:rsid w:val="00864845"/>
    <w:rsid w:val="008656F9"/>
    <w:rsid w:val="00865847"/>
    <w:rsid w:val="008664B4"/>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3E38"/>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A5B"/>
    <w:rsid w:val="008D3410"/>
    <w:rsid w:val="008D48BC"/>
    <w:rsid w:val="008D4C88"/>
    <w:rsid w:val="008D4CC3"/>
    <w:rsid w:val="008D568C"/>
    <w:rsid w:val="008D6896"/>
    <w:rsid w:val="008D7A62"/>
    <w:rsid w:val="008E0071"/>
    <w:rsid w:val="008E0CE3"/>
    <w:rsid w:val="008E0F94"/>
    <w:rsid w:val="008E1081"/>
    <w:rsid w:val="008E1256"/>
    <w:rsid w:val="008E1326"/>
    <w:rsid w:val="008E283D"/>
    <w:rsid w:val="008E2B8F"/>
    <w:rsid w:val="008E30C4"/>
    <w:rsid w:val="008E3563"/>
    <w:rsid w:val="008E5085"/>
    <w:rsid w:val="008E5AF1"/>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FA0"/>
    <w:rsid w:val="00980825"/>
    <w:rsid w:val="0098282D"/>
    <w:rsid w:val="00982CBB"/>
    <w:rsid w:val="009831C2"/>
    <w:rsid w:val="0098340B"/>
    <w:rsid w:val="00984918"/>
    <w:rsid w:val="00985444"/>
    <w:rsid w:val="00985D4A"/>
    <w:rsid w:val="009862D2"/>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D44"/>
    <w:rsid w:val="009C51A0"/>
    <w:rsid w:val="009C5627"/>
    <w:rsid w:val="009C5C19"/>
    <w:rsid w:val="009C6145"/>
    <w:rsid w:val="009C671B"/>
    <w:rsid w:val="009C6C5F"/>
    <w:rsid w:val="009C780A"/>
    <w:rsid w:val="009D1ABA"/>
    <w:rsid w:val="009D23B2"/>
    <w:rsid w:val="009D2B54"/>
    <w:rsid w:val="009D4077"/>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9FF"/>
    <w:rsid w:val="009F6292"/>
    <w:rsid w:val="009F71BD"/>
    <w:rsid w:val="009F7685"/>
    <w:rsid w:val="00A00565"/>
    <w:rsid w:val="00A00A2E"/>
    <w:rsid w:val="00A01889"/>
    <w:rsid w:val="00A01AEA"/>
    <w:rsid w:val="00A01B8A"/>
    <w:rsid w:val="00A01EF6"/>
    <w:rsid w:val="00A02757"/>
    <w:rsid w:val="00A028F7"/>
    <w:rsid w:val="00A03512"/>
    <w:rsid w:val="00A03537"/>
    <w:rsid w:val="00A03B1D"/>
    <w:rsid w:val="00A03B5C"/>
    <w:rsid w:val="00A04E0C"/>
    <w:rsid w:val="00A0513D"/>
    <w:rsid w:val="00A066A7"/>
    <w:rsid w:val="00A066D9"/>
    <w:rsid w:val="00A07060"/>
    <w:rsid w:val="00A1007F"/>
    <w:rsid w:val="00A104D8"/>
    <w:rsid w:val="00A11551"/>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DE5"/>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2087"/>
    <w:rsid w:val="00A62891"/>
    <w:rsid w:val="00A636E4"/>
    <w:rsid w:val="00A64038"/>
    <w:rsid w:val="00A644C6"/>
    <w:rsid w:val="00A648DA"/>
    <w:rsid w:val="00A64AFC"/>
    <w:rsid w:val="00A65616"/>
    <w:rsid w:val="00A65D4C"/>
    <w:rsid w:val="00A6663E"/>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90C97"/>
    <w:rsid w:val="00A90CE8"/>
    <w:rsid w:val="00A91399"/>
    <w:rsid w:val="00A91DEA"/>
    <w:rsid w:val="00A929C3"/>
    <w:rsid w:val="00A93D46"/>
    <w:rsid w:val="00A94949"/>
    <w:rsid w:val="00A9587F"/>
    <w:rsid w:val="00A96810"/>
    <w:rsid w:val="00A96BBB"/>
    <w:rsid w:val="00A97261"/>
    <w:rsid w:val="00A97F97"/>
    <w:rsid w:val="00AA064F"/>
    <w:rsid w:val="00AA0EDE"/>
    <w:rsid w:val="00AA2344"/>
    <w:rsid w:val="00AA25F9"/>
    <w:rsid w:val="00AA2F96"/>
    <w:rsid w:val="00AA3103"/>
    <w:rsid w:val="00AA446E"/>
    <w:rsid w:val="00AA5A76"/>
    <w:rsid w:val="00AA5C15"/>
    <w:rsid w:val="00AA625F"/>
    <w:rsid w:val="00AA62CA"/>
    <w:rsid w:val="00AA630D"/>
    <w:rsid w:val="00AB0192"/>
    <w:rsid w:val="00AB2E3E"/>
    <w:rsid w:val="00AB3004"/>
    <w:rsid w:val="00AB461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14"/>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1B1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7AF"/>
    <w:rsid w:val="00B218EC"/>
    <w:rsid w:val="00B228DA"/>
    <w:rsid w:val="00B229AE"/>
    <w:rsid w:val="00B23225"/>
    <w:rsid w:val="00B23AFC"/>
    <w:rsid w:val="00B23F55"/>
    <w:rsid w:val="00B243BA"/>
    <w:rsid w:val="00B24BA3"/>
    <w:rsid w:val="00B24EBD"/>
    <w:rsid w:val="00B24F41"/>
    <w:rsid w:val="00B25290"/>
    <w:rsid w:val="00B253A6"/>
    <w:rsid w:val="00B253D6"/>
    <w:rsid w:val="00B2559A"/>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5668"/>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8C3"/>
    <w:rsid w:val="00B67DA0"/>
    <w:rsid w:val="00B702C7"/>
    <w:rsid w:val="00B70914"/>
    <w:rsid w:val="00B7174B"/>
    <w:rsid w:val="00B71C2A"/>
    <w:rsid w:val="00B72C48"/>
    <w:rsid w:val="00B74B14"/>
    <w:rsid w:val="00B74DB4"/>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63B4"/>
    <w:rsid w:val="00BB6EEE"/>
    <w:rsid w:val="00BB7F0A"/>
    <w:rsid w:val="00BC0A3E"/>
    <w:rsid w:val="00BC0AF7"/>
    <w:rsid w:val="00BC1B73"/>
    <w:rsid w:val="00BC1DBE"/>
    <w:rsid w:val="00BC1E3D"/>
    <w:rsid w:val="00BC2555"/>
    <w:rsid w:val="00BC2560"/>
    <w:rsid w:val="00BC33E6"/>
    <w:rsid w:val="00BC3555"/>
    <w:rsid w:val="00BC37AC"/>
    <w:rsid w:val="00BC5E39"/>
    <w:rsid w:val="00BC5F81"/>
    <w:rsid w:val="00BC6066"/>
    <w:rsid w:val="00BC63A8"/>
    <w:rsid w:val="00BC6B6E"/>
    <w:rsid w:val="00BC7046"/>
    <w:rsid w:val="00BD1489"/>
    <w:rsid w:val="00BD2003"/>
    <w:rsid w:val="00BD2550"/>
    <w:rsid w:val="00BD2799"/>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351"/>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6E60"/>
    <w:rsid w:val="00BF79C2"/>
    <w:rsid w:val="00BF7AA0"/>
    <w:rsid w:val="00C00761"/>
    <w:rsid w:val="00C01CD4"/>
    <w:rsid w:val="00C02359"/>
    <w:rsid w:val="00C02A69"/>
    <w:rsid w:val="00C02B5C"/>
    <w:rsid w:val="00C03984"/>
    <w:rsid w:val="00C0405A"/>
    <w:rsid w:val="00C04137"/>
    <w:rsid w:val="00C05379"/>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A07"/>
    <w:rsid w:val="00C20A9F"/>
    <w:rsid w:val="00C21E76"/>
    <w:rsid w:val="00C223C1"/>
    <w:rsid w:val="00C23C05"/>
    <w:rsid w:val="00C24507"/>
    <w:rsid w:val="00C24AB5"/>
    <w:rsid w:val="00C24CCE"/>
    <w:rsid w:val="00C260B4"/>
    <w:rsid w:val="00C260B7"/>
    <w:rsid w:val="00C262FE"/>
    <w:rsid w:val="00C263DC"/>
    <w:rsid w:val="00C2661E"/>
    <w:rsid w:val="00C27130"/>
    <w:rsid w:val="00C30163"/>
    <w:rsid w:val="00C30B41"/>
    <w:rsid w:val="00C32B14"/>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61B8"/>
    <w:rsid w:val="00C465B5"/>
    <w:rsid w:val="00C46CE3"/>
    <w:rsid w:val="00C51424"/>
    <w:rsid w:val="00C51DA9"/>
    <w:rsid w:val="00C52153"/>
    <w:rsid w:val="00C533D0"/>
    <w:rsid w:val="00C53421"/>
    <w:rsid w:val="00C54852"/>
    <w:rsid w:val="00C5497C"/>
    <w:rsid w:val="00C54998"/>
    <w:rsid w:val="00C5539F"/>
    <w:rsid w:val="00C55DB3"/>
    <w:rsid w:val="00C565CB"/>
    <w:rsid w:val="00C56C66"/>
    <w:rsid w:val="00C571C6"/>
    <w:rsid w:val="00C57730"/>
    <w:rsid w:val="00C5785C"/>
    <w:rsid w:val="00C57897"/>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922"/>
    <w:rsid w:val="00CA36B6"/>
    <w:rsid w:val="00CA4780"/>
    <w:rsid w:val="00CA5CA3"/>
    <w:rsid w:val="00CA6160"/>
    <w:rsid w:val="00CA62CC"/>
    <w:rsid w:val="00CA64BE"/>
    <w:rsid w:val="00CB0520"/>
    <w:rsid w:val="00CB0E7E"/>
    <w:rsid w:val="00CB137A"/>
    <w:rsid w:val="00CB376A"/>
    <w:rsid w:val="00CB401E"/>
    <w:rsid w:val="00CB4A1E"/>
    <w:rsid w:val="00CB4C14"/>
    <w:rsid w:val="00CB6062"/>
    <w:rsid w:val="00CB6418"/>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135E"/>
    <w:rsid w:val="00CD21F6"/>
    <w:rsid w:val="00CD2655"/>
    <w:rsid w:val="00CD367C"/>
    <w:rsid w:val="00CD4519"/>
    <w:rsid w:val="00CD7762"/>
    <w:rsid w:val="00CD7905"/>
    <w:rsid w:val="00CE05BA"/>
    <w:rsid w:val="00CE08AA"/>
    <w:rsid w:val="00CE2102"/>
    <w:rsid w:val="00CE2934"/>
    <w:rsid w:val="00CE3632"/>
    <w:rsid w:val="00CE3665"/>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4DEF"/>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4290"/>
    <w:rsid w:val="00D843E5"/>
    <w:rsid w:val="00D84EED"/>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882"/>
    <w:rsid w:val="00DC1444"/>
    <w:rsid w:val="00DC26B5"/>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350"/>
    <w:rsid w:val="00DE051F"/>
    <w:rsid w:val="00DE0F3C"/>
    <w:rsid w:val="00DE13EB"/>
    <w:rsid w:val="00DE1FCF"/>
    <w:rsid w:val="00DE39BD"/>
    <w:rsid w:val="00DE3D8D"/>
    <w:rsid w:val="00DE5DA1"/>
    <w:rsid w:val="00DE70B5"/>
    <w:rsid w:val="00DE78CC"/>
    <w:rsid w:val="00DE7F70"/>
    <w:rsid w:val="00DF112A"/>
    <w:rsid w:val="00DF2226"/>
    <w:rsid w:val="00DF22A4"/>
    <w:rsid w:val="00DF4ED3"/>
    <w:rsid w:val="00DF4FB3"/>
    <w:rsid w:val="00DF608C"/>
    <w:rsid w:val="00DF6170"/>
    <w:rsid w:val="00DF666D"/>
    <w:rsid w:val="00DF679B"/>
    <w:rsid w:val="00DF71D1"/>
    <w:rsid w:val="00DF7CCE"/>
    <w:rsid w:val="00E003EF"/>
    <w:rsid w:val="00E0066B"/>
    <w:rsid w:val="00E007D5"/>
    <w:rsid w:val="00E00A16"/>
    <w:rsid w:val="00E010D7"/>
    <w:rsid w:val="00E015C0"/>
    <w:rsid w:val="00E01BA9"/>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3FC0"/>
    <w:rsid w:val="00E34400"/>
    <w:rsid w:val="00E34404"/>
    <w:rsid w:val="00E34F50"/>
    <w:rsid w:val="00E362FF"/>
    <w:rsid w:val="00E36B43"/>
    <w:rsid w:val="00E40078"/>
    <w:rsid w:val="00E40638"/>
    <w:rsid w:val="00E40C46"/>
    <w:rsid w:val="00E40FD2"/>
    <w:rsid w:val="00E416AF"/>
    <w:rsid w:val="00E429F8"/>
    <w:rsid w:val="00E43AF7"/>
    <w:rsid w:val="00E44232"/>
    <w:rsid w:val="00E45589"/>
    <w:rsid w:val="00E45ED3"/>
    <w:rsid w:val="00E4632F"/>
    <w:rsid w:val="00E474D7"/>
    <w:rsid w:val="00E478B5"/>
    <w:rsid w:val="00E5014B"/>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4365"/>
    <w:rsid w:val="00E87103"/>
    <w:rsid w:val="00E8755E"/>
    <w:rsid w:val="00E9010C"/>
    <w:rsid w:val="00E901D2"/>
    <w:rsid w:val="00E91CDC"/>
    <w:rsid w:val="00E9322B"/>
    <w:rsid w:val="00E93349"/>
    <w:rsid w:val="00E9335B"/>
    <w:rsid w:val="00E93B26"/>
    <w:rsid w:val="00E94A41"/>
    <w:rsid w:val="00E9598B"/>
    <w:rsid w:val="00E96C70"/>
    <w:rsid w:val="00E97185"/>
    <w:rsid w:val="00EA18F6"/>
    <w:rsid w:val="00EA1E8F"/>
    <w:rsid w:val="00EA2519"/>
    <w:rsid w:val="00EA2C69"/>
    <w:rsid w:val="00EA2CCC"/>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C74"/>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628F"/>
    <w:rsid w:val="00F56759"/>
    <w:rsid w:val="00F567B2"/>
    <w:rsid w:val="00F56BA3"/>
    <w:rsid w:val="00F56E44"/>
    <w:rsid w:val="00F57402"/>
    <w:rsid w:val="00F57431"/>
    <w:rsid w:val="00F579E5"/>
    <w:rsid w:val="00F607C0"/>
    <w:rsid w:val="00F60B46"/>
    <w:rsid w:val="00F61332"/>
    <w:rsid w:val="00F61D00"/>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DC3"/>
    <w:rsid w:val="00F7702E"/>
    <w:rsid w:val="00F810ED"/>
    <w:rsid w:val="00F81418"/>
    <w:rsid w:val="00F81914"/>
    <w:rsid w:val="00F82B09"/>
    <w:rsid w:val="00F832CF"/>
    <w:rsid w:val="00F83A55"/>
    <w:rsid w:val="00F84945"/>
    <w:rsid w:val="00F84AA3"/>
    <w:rsid w:val="00F84E38"/>
    <w:rsid w:val="00F8597F"/>
    <w:rsid w:val="00F85A69"/>
    <w:rsid w:val="00F86751"/>
    <w:rsid w:val="00F869E3"/>
    <w:rsid w:val="00F86F57"/>
    <w:rsid w:val="00F86FFA"/>
    <w:rsid w:val="00F87493"/>
    <w:rsid w:val="00F90996"/>
    <w:rsid w:val="00F910BE"/>
    <w:rsid w:val="00F91130"/>
    <w:rsid w:val="00F91398"/>
    <w:rsid w:val="00F9166B"/>
    <w:rsid w:val="00F9214A"/>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B02"/>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819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sid w:val="007A235D"/>
    <w:pPr>
      <w:spacing w:after="120"/>
    </w:pPr>
    <w:rPr>
      <w:sz w:val="22"/>
      <w:szCs w:val="20"/>
    </w:rPr>
  </w:style>
  <w:style w:type="character" w:styleId="FootnoteReference">
    <w:name w:val="footnote reference"/>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8D6E6-9A65-4441-9452-566EDF44D09A}"/>
</file>

<file path=customXml/itemProps2.xml><?xml version="1.0" encoding="utf-8"?>
<ds:datastoreItem xmlns:ds="http://schemas.openxmlformats.org/officeDocument/2006/customXml" ds:itemID="{64E66EF3-0078-44AD-B4B2-1E89F5693DBB}"/>
</file>

<file path=customXml/itemProps3.xml><?xml version="1.0" encoding="utf-8"?>
<ds:datastoreItem xmlns:ds="http://schemas.openxmlformats.org/officeDocument/2006/customXml" ds:itemID="{B5AB6DBE-79BE-4FAA-A28C-FC3D7A092C09}"/>
</file>

<file path=customXml/itemProps4.xml><?xml version="1.0" encoding="utf-8"?>
<ds:datastoreItem xmlns:ds="http://schemas.openxmlformats.org/officeDocument/2006/customXml" ds:itemID="{8927A3B5-BF75-4F3B-BD9B-4926E362846C}"/>
</file>

<file path=customXml/itemProps5.xml><?xml version="1.0" encoding="utf-8"?>
<ds:datastoreItem xmlns:ds="http://schemas.openxmlformats.org/officeDocument/2006/customXml" ds:itemID="{D79D68A9-183E-4E45-A442-EAD8257E573B}"/>
</file>

<file path=docProps/app.xml><?xml version="1.0" encoding="utf-8"?>
<Properties xmlns="http://schemas.openxmlformats.org/officeDocument/2006/extended-properties" xmlns:vt="http://schemas.openxmlformats.org/officeDocument/2006/docPropsVTypes">
  <Template>Normal</Template>
  <TotalTime>0</TotalTime>
  <Pages>13</Pages>
  <Words>2882</Words>
  <Characters>15402</Characters>
  <Application>Microsoft Office Word</Application>
  <DocSecurity>0</DocSecurity>
  <Lines>128</Lines>
  <Paragraphs>36</Paragraphs>
  <ScaleCrop>false</ScaleCrop>
  <LinksUpToDate>false</LinksUpToDate>
  <CharactersWithSpaces>18248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2014-11-03T18:10:00Z</dcterms:created>
  <dcterms:modified xsi:type="dcterms:W3CDTF">2014-11-03T18:10:00Z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