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074223" w:rsidP="00A14C27">
      <w:pPr>
        <w:pStyle w:val="Venue"/>
      </w:pPr>
      <w:bookmarkStart w:id="0" w:name="SWILT6LEVEL"/>
      <w:bookmarkStart w:id="1" w:name="_GoBack"/>
      <w:bookmarkEnd w:id="1"/>
    </w:p>
    <w:p w:rsidR="00074223" w:rsidP="00A14C27">
      <w:pPr>
        <w:pStyle w:val="Venue"/>
      </w:pPr>
    </w:p>
    <w:p w:rsidR="00074223" w:rsidP="00A14C27">
      <w:pPr>
        <w:pStyle w:val="Venue"/>
      </w:pPr>
    </w:p>
    <w:p w:rsidR="00074223" w:rsidP="00A14C27">
      <w:pPr>
        <w:pStyle w:val="Venue"/>
      </w:pPr>
    </w:p>
    <w:p w:rsidR="00074223" w:rsidP="00A14C27">
      <w:pPr>
        <w:pStyle w:val="Venue"/>
      </w:pPr>
    </w:p>
    <w:p w:rsidR="00074223" w:rsidP="00A14C27">
      <w:pPr>
        <w:pStyle w:val="Venue"/>
      </w:pPr>
    </w:p>
    <w:p w:rsidR="00074223" w:rsidP="00A14C27">
      <w:pPr>
        <w:pStyle w:val="Venue"/>
      </w:pPr>
    </w:p>
    <w:p w:rsidR="00A14C27" w:rsidRPr="00CC2609" w:rsidP="00A14C27">
      <w:pPr>
        <w:pStyle w:val="Venue"/>
      </w:pPr>
      <w:r w:rsidRPr="00CC2609">
        <w:t>BEFORE THE WASHINGTON UTILITIES AND TRANSPORTATION COMMISSION</w:t>
      </w:r>
    </w:p>
    <w:p w:rsidR="00A14C27" w:rsidRPr="00CC2609" w:rsidP="00A14C27">
      <w:bookmarkEnd w:id="0"/>
    </w:p>
    <w:tbl>
      <w:tblPr>
        <w:tblW w:w="9360" w:type="dxa"/>
        <w:tblLayout w:type="fixed"/>
        <w:tblCellMar>
          <w:left w:w="0" w:type="dxa"/>
          <w:right w:w="0" w:type="dxa"/>
        </w:tblCellMar>
        <w:tblLook w:val="0000"/>
      </w:tblPr>
      <w:tblGrid>
        <w:gridCol w:w="4680"/>
        <w:gridCol w:w="180"/>
        <w:gridCol w:w="4500"/>
      </w:tblGrid>
      <w:tr w:rsidTr="00A14C27">
        <w:tblPrEx>
          <w:tblW w:w="9360" w:type="dxa"/>
          <w:tblLayout w:type="fixed"/>
          <w:tblCellMar>
            <w:left w:w="0" w:type="dxa"/>
            <w:right w:w="0" w:type="dxa"/>
          </w:tblCellMar>
          <w:tblLook w:val="0000"/>
        </w:tblPrEx>
        <w:trPr>
          <w:trHeight w:hRule="exact" w:val="20"/>
        </w:trPr>
        <w:tc>
          <w:tcPr>
            <w:tcW w:w="4680" w:type="dxa"/>
            <w:shd w:val="clear" w:color="auto" w:fill="auto"/>
          </w:tcPr>
          <w:p w:rsidR="00A14C27" w:rsidRPr="00CC2609" w:rsidP="00A14C27">
            <w:pPr>
              <w:pStyle w:val="PartyContents"/>
              <w:spacing w:after="20"/>
            </w:pPr>
            <w:bookmarkStart w:id="2" w:name="zZTable"/>
            <w:bookmarkStart w:id="3" w:name="swiTable"/>
            <w:bookmarkStart w:id="4" w:name="cusCaptionVer20" w:colFirst="0" w:colLast="0"/>
          </w:p>
        </w:tc>
        <w:tc>
          <w:tcPr>
            <w:tcW w:w="180" w:type="dxa"/>
            <w:shd w:val="clear" w:color="auto" w:fill="auto"/>
          </w:tcPr>
          <w:p w:rsidR="00A14C27" w:rsidRPr="00CC2609" w:rsidP="00A14C27">
            <w:pPr>
              <w:spacing w:after="20"/>
            </w:pPr>
          </w:p>
        </w:tc>
        <w:tc>
          <w:tcPr>
            <w:tcW w:w="4500" w:type="dxa"/>
            <w:shd w:val="clear" w:color="auto" w:fill="auto"/>
          </w:tcPr>
          <w:p w:rsidR="00A14C27" w:rsidRPr="00CC2609" w:rsidP="00A14C27">
            <w:pPr>
              <w:pStyle w:val="Caption"/>
              <w:spacing w:after="20"/>
              <w:ind w:left="180"/>
            </w:pPr>
          </w:p>
        </w:tc>
      </w:tr>
      <w:tr w:rsidTr="00A14C27">
        <w:tblPrEx>
          <w:tblW w:w="9360" w:type="dxa"/>
          <w:tblLayout w:type="fixed"/>
          <w:tblCellMar>
            <w:left w:w="0" w:type="dxa"/>
            <w:right w:w="0" w:type="dxa"/>
          </w:tblCellMar>
          <w:tblLook w:val="0000"/>
        </w:tblPrEx>
        <w:tc>
          <w:tcPr>
            <w:tcW w:w="4680" w:type="dxa"/>
            <w:tcBorders>
              <w:right w:val="single" w:sz="4" w:space="0" w:color="auto"/>
            </w:tcBorders>
            <w:shd w:val="clear" w:color="auto" w:fill="auto"/>
          </w:tcPr>
          <w:sdt>
            <w:sdtPr>
              <w:alias w:val="Edit field"/>
              <w:tag w:val="SWILI1ContentsA"/>
              <w:id w:val="-1755817282"/>
              <w:placeholder>
                <w:docPart w:val="71DD9AF869EE4B668775A56C548A95BB"/>
              </w:placeholder>
              <w:richText/>
            </w:sdtPr>
            <w:sdtContent>
              <w:p w:rsidR="00A14C27" w:rsidRPr="00CC2609" w:rsidP="00A14C27">
                <w:pPr>
                  <w:pStyle w:val="PartyContents"/>
                </w:pPr>
                <w:bookmarkEnd w:id="4"/>
                <w:bookmarkStart w:id="5" w:name="cusCaptionBox"/>
                <w:r w:rsidRPr="00CC2609">
                  <w:t xml:space="preserve">In re Application of </w:t>
                </w:r>
              </w:p>
              <w:p w:rsidR="00A14C27" w:rsidRPr="00CC2609" w:rsidP="00A14C27">
                <w:pPr>
                  <w:pStyle w:val="PartyContents"/>
                </w:pPr>
              </w:p>
              <w:p w:rsidR="00A14C27" w:rsidRPr="00CC2609" w:rsidP="00A14C27">
                <w:pPr>
                  <w:pStyle w:val="PartyContents"/>
                </w:pPr>
                <w:r w:rsidRPr="00CC2609">
                  <w:t xml:space="preserve">MEI NORTHWEST LLC </w:t>
                </w:r>
              </w:p>
              <w:p w:rsidR="00A14C27" w:rsidRPr="00CC2609" w:rsidP="00A14C27">
                <w:pPr>
                  <w:pStyle w:val="PartyContents"/>
                </w:pPr>
              </w:p>
              <w:p w:rsidR="00A14C27" w:rsidRPr="00CC2609" w:rsidP="00A14C27">
                <w:pPr>
                  <w:pStyle w:val="PartyContents"/>
                </w:pPr>
                <w:r w:rsidRPr="00CC2609">
                  <w:t>For a Certificate of Public Convenience and Necessity to Operate Vessels in Furnishing Passenger Ferry Service</w:t>
                </w:r>
              </w:p>
            </w:sdtContent>
          </w:sdt>
          <w:p w:rsidR="00A14C27" w:rsidRPr="00CC2609" w:rsidP="00A14C27">
            <w:pPr>
              <w:pStyle w:val="Caption"/>
            </w:pPr>
          </w:p>
          <w:p w:rsidR="00A14C27" w:rsidRPr="00CC2609" w:rsidP="00A14C27">
            <w:pPr>
              <w:pStyle w:val="Caption"/>
            </w:pPr>
          </w:p>
          <w:p w:rsidR="00A14C27" w:rsidRPr="00CC2609" w:rsidP="00074223">
            <w:pPr>
              <w:pStyle w:val="Versus"/>
            </w:pPr>
            <w:sdt>
              <w:sdtPr>
                <w:alias w:val="Edit field"/>
                <w:tag w:val="SWILI1VersusA"/>
                <w:id w:val="-2090613240"/>
                <w:placeholder>
                  <w:docPart w:val="51214F6782F044D382832034D04C4F3F"/>
                </w:placeholder>
                <w:showingPlcHdr/>
                <w:comboBox>
                  <w:listItem w:value="v." w:displayText="v."/>
                  <w:listItem w:value="vs." w:displayText="vs."/>
                  <w:listItem w:value="versus" w:displayText="versus"/>
                  <w:listItem w:value="against" w:displayText="against"/>
                  <w:listItem w:value="-against-" w:displayText="-against-"/>
                </w:comboBox>
              </w:sdtPr>
              <w:sdtContent/>
            </w:sdt>
            <w:r w:rsidRPr="00CC2609" w:rsidR="0009476F">
              <w:t xml:space="preserve"> </w:t>
            </w:r>
            <w:sdt>
              <w:sdtPr>
                <w:alias w:val="Edit field"/>
                <w:tag w:val="SWILI1ContentsB"/>
                <w:id w:val="-664007552"/>
                <w:placeholder>
                  <w:docPart w:val="5906226ABAFC4CF19AABD35502E96E84"/>
                </w:placeholder>
                <w:showingPlcHdr/>
                <w:richText/>
              </w:sdtPr>
              <w:sdtContent/>
            </w:sdt>
          </w:p>
        </w:tc>
        <w:tc>
          <w:tcPr>
            <w:tcW w:w="180" w:type="dxa"/>
            <w:tcBorders>
              <w:left w:val="single" w:sz="4" w:space="0" w:color="auto"/>
            </w:tcBorders>
            <w:shd w:val="clear" w:color="auto" w:fill="auto"/>
          </w:tcPr>
          <w:p w:rsidR="00A14C27" w:rsidRPr="00CC2609" w:rsidP="00A14C27">
            <w:pPr>
              <w:spacing w:after="20"/>
            </w:pPr>
          </w:p>
        </w:tc>
        <w:tc>
          <w:tcPr>
            <w:tcW w:w="4500" w:type="dxa"/>
            <w:shd w:val="clear" w:color="auto" w:fill="auto"/>
          </w:tcPr>
          <w:p w:rsidR="00A14C27" w:rsidRPr="00CC2609" w:rsidP="00A14C27">
            <w:pPr>
              <w:pStyle w:val="Caption"/>
              <w:ind w:left="180"/>
            </w:pPr>
            <w:bookmarkStart w:id="6" w:name="txtCaseNo"/>
          </w:p>
          <w:p w:rsidR="00A14C27" w:rsidRPr="00CC2609" w:rsidP="00A14C27">
            <w:pPr>
              <w:pStyle w:val="Caption"/>
              <w:ind w:left="180"/>
            </w:pPr>
            <w:r w:rsidRPr="00CC2609">
              <w:t>Docket TS-160479</w:t>
            </w:r>
            <w:bookmarkStart w:id="7" w:name="swiLT7Level"/>
            <w:bookmarkEnd w:id="6"/>
          </w:p>
          <w:p w:rsidR="00A14C27" w:rsidRPr="00CC2609" w:rsidP="00A14C27">
            <w:bookmarkEnd w:id="7"/>
          </w:p>
          <w:p w:rsidR="00A14C27" w:rsidRPr="00182D19" w:rsidP="00F23EB9">
            <w:pPr>
              <w:pStyle w:val="Title"/>
              <w:rPr>
                <w:b/>
              </w:rPr>
            </w:pPr>
            <w:bookmarkStart w:id="8" w:name="TXTTITLE"/>
            <w:bookmarkEnd w:id="8"/>
            <w:r>
              <w:rPr>
                <w:b/>
              </w:rPr>
              <w:t xml:space="preserve">RESPONSE </w:t>
            </w:r>
            <w:r w:rsidR="00222FC0">
              <w:rPr>
                <w:b/>
              </w:rPr>
              <w:t xml:space="preserve">OF ARROW LAUNCH SERVICE, INC. </w:t>
            </w:r>
            <w:r>
              <w:rPr>
                <w:b/>
              </w:rPr>
              <w:t>TO MEI NORTHWEST LLC’S MOTION TO STRIKE PORTIONS OF THE PREFILED SURREBUTTAL TESTIMONY OF JACK HARMON FILED JANUARY 26, 2017 (EXHIBIT NO. ___(JLH-10T).</w:t>
            </w:r>
          </w:p>
        </w:tc>
      </w:tr>
      <w:tr w:rsidTr="00A14C27">
        <w:tblPrEx>
          <w:tblW w:w="9360" w:type="dxa"/>
          <w:tblLayout w:type="fixed"/>
          <w:tblCellMar>
            <w:left w:w="0" w:type="dxa"/>
            <w:right w:w="0" w:type="dxa"/>
          </w:tblCellMar>
          <w:tblLook w:val="0000"/>
        </w:tblPrEx>
        <w:trPr>
          <w:trHeight w:hRule="exact" w:val="20"/>
        </w:trPr>
        <w:tc>
          <w:tcPr>
            <w:tcW w:w="4680" w:type="dxa"/>
            <w:tcBorders>
              <w:bottom w:val="single" w:sz="4" w:space="0" w:color="auto"/>
            </w:tcBorders>
            <w:shd w:val="clear" w:color="auto" w:fill="auto"/>
          </w:tcPr>
          <w:p w:rsidR="00A14C27" w:rsidRPr="00CC2609" w:rsidP="00A14C27">
            <w:pPr>
              <w:pStyle w:val="PartyContents"/>
              <w:spacing w:after="20"/>
            </w:pPr>
            <w:bookmarkStart w:id="9" w:name="swiLastCellLeft" w:colFirst="0" w:colLast="0"/>
          </w:p>
        </w:tc>
        <w:tc>
          <w:tcPr>
            <w:tcW w:w="180" w:type="dxa"/>
            <w:shd w:val="clear" w:color="auto" w:fill="auto"/>
          </w:tcPr>
          <w:p w:rsidR="00A14C27" w:rsidRPr="00CC2609" w:rsidP="00A14C27">
            <w:pPr>
              <w:spacing w:after="20"/>
            </w:pPr>
          </w:p>
        </w:tc>
        <w:tc>
          <w:tcPr>
            <w:tcW w:w="4500" w:type="dxa"/>
            <w:shd w:val="clear" w:color="auto" w:fill="auto"/>
          </w:tcPr>
          <w:p w:rsidR="00A14C27" w:rsidRPr="00CC2609" w:rsidP="00A14C27">
            <w:pPr>
              <w:pStyle w:val="Caption"/>
              <w:spacing w:after="20"/>
              <w:ind w:left="180"/>
            </w:pPr>
          </w:p>
        </w:tc>
      </w:tr>
    </w:tbl>
    <w:p w:rsidR="00182D19" w:rsidP="00A14C27">
      <w:pPr>
        <w:spacing w:line="240" w:lineRule="auto"/>
        <w:rPr>
          <w:b/>
        </w:rPr>
      </w:pPr>
      <w:bookmarkEnd w:id="2"/>
      <w:bookmarkEnd w:id="3"/>
      <w:bookmarkEnd w:id="9"/>
      <w:bookmarkEnd w:id="5"/>
    </w:p>
    <w:p w:rsidR="00346743" w:rsidRPr="00346743" w:rsidP="00346743">
      <w:pPr>
        <w:pStyle w:val="Heading1"/>
        <w:rPr>
          <w:b/>
        </w:rPr>
      </w:pPr>
      <w:r>
        <w:rPr>
          <w:b/>
        </w:rPr>
        <w:t>INTRODUCTION</w:t>
      </w:r>
    </w:p>
    <w:p w:rsidR="008E0347" w:rsidP="008E0347">
      <w:pPr>
        <w:pStyle w:val="ListParagraph"/>
        <w:numPr>
          <w:ilvl w:val="0"/>
          <w:numId w:val="37"/>
        </w:numPr>
        <w:spacing w:line="480" w:lineRule="auto"/>
      </w:pPr>
      <w:r>
        <w:tab/>
      </w:r>
      <w:r w:rsidR="00777CF8">
        <w:t xml:space="preserve">On February 1, 2017, </w:t>
      </w:r>
      <w:r>
        <w:t>MEI Northwest LLC</w:t>
      </w:r>
      <w:r w:rsidR="00F975A2">
        <w:t xml:space="preserve"> (“MEI”)</w:t>
      </w:r>
      <w:r>
        <w:t xml:space="preserve"> moved to strike po</w:t>
      </w:r>
      <w:r w:rsidR="00AC14B8">
        <w:t>r</w:t>
      </w:r>
      <w:r>
        <w:t>tions of the Surrebuttal testimony of Jack L. Harmon filed January 26, 2017 which it alleges are not limited to the “content of the shipper support statement.”</w:t>
      </w:r>
      <w:r>
        <w:rPr>
          <w:rStyle w:val="FootnoteReference"/>
        </w:rPr>
        <w:footnoteReference w:id="2"/>
      </w:r>
      <w:r>
        <w:t xml:space="preserve">  MEI’s Motion misconstrues the Administrative Law Judge’s </w:t>
      </w:r>
      <w:r w:rsidR="00777CF8">
        <w:t>December 23 ruling</w:t>
      </w:r>
      <w:r>
        <w:t>, which rather than striking the late-fi</w:t>
      </w:r>
      <w:r w:rsidR="00C95EBD">
        <w:t>le</w:t>
      </w:r>
      <w:r>
        <w:t>d shipper support statement and r</w:t>
      </w:r>
      <w:r>
        <w:t>elated testimony of Randy S</w:t>
      </w:r>
      <w:r w:rsidR="00222FC0">
        <w:t>. Esch</w:t>
      </w:r>
      <w:r>
        <w:t xml:space="preserve"> as requested by Arrow Launch Service, Inc. (“Arrow”), permitted Arrow to provide surrebuttal testimony instead.  </w:t>
      </w:r>
      <w:r w:rsidR="00EF4D55">
        <w:t xml:space="preserve">As authorized by the Administrative Law Judge, </w:t>
      </w:r>
      <w:r>
        <w:t xml:space="preserve">Mr. Harmon’s surrebuttal testimony was appropriately limited to the content of the shipper support statement and the testimony of Mr. Esch which </w:t>
      </w:r>
      <w:r w:rsidR="00EF4D55">
        <w:t>related to the</w:t>
      </w:r>
      <w:r w:rsidR="00F975A2">
        <w:t xml:space="preserve"> shipper support statement. MEI’s Motion to Strike should </w:t>
      </w:r>
      <w:r w:rsidR="00EF4D55">
        <w:t xml:space="preserve">therefore </w:t>
      </w:r>
      <w:r w:rsidR="00F975A2">
        <w:t>be denied.</w:t>
      </w:r>
    </w:p>
    <w:p w:rsidR="008E0347" w:rsidP="008E0347">
      <w:pPr>
        <w:spacing w:line="480" w:lineRule="auto"/>
      </w:pPr>
    </w:p>
    <w:p w:rsidR="005C6D40" w:rsidP="005F0607">
      <w:pPr>
        <w:pStyle w:val="Heading1"/>
        <w:rPr>
          <w:b/>
        </w:rPr>
      </w:pPr>
      <w:r>
        <w:rPr>
          <w:b/>
        </w:rPr>
        <w:t xml:space="preserve">relevant </w:t>
      </w:r>
      <w:r w:rsidRPr="005F0607" w:rsidR="00D014AB">
        <w:rPr>
          <w:b/>
        </w:rPr>
        <w:t>PROCEDURAL BACKGROUND</w:t>
      </w:r>
    </w:p>
    <w:p w:rsidR="00ED61AC" w:rsidP="00ED61AC">
      <w:pPr>
        <w:pStyle w:val="BodyText2"/>
        <w:numPr>
          <w:ilvl w:val="0"/>
          <w:numId w:val="37"/>
        </w:numPr>
      </w:pPr>
      <w:r>
        <w:tab/>
        <w:t xml:space="preserve">Arrow filed its Motion to Strike Portions of the Rebuttal Testimony of Randy S. Esch </w:t>
      </w:r>
      <w:r w:rsidR="00777CF8">
        <w:t>of</w:t>
      </w:r>
      <w:r>
        <w:t xml:space="preserve"> December 5, 2016 and Exhibit No. ___(RSE-8) on December 8, 2016.  That motion asserted that the </w:t>
      </w:r>
      <w:r w:rsidR="00777CF8">
        <w:t xml:space="preserve">form </w:t>
      </w:r>
      <w:r>
        <w:t xml:space="preserve">shipper support statement of Marc Aikin filed as Exhibit No. ___ (RSE-8) </w:t>
      </w:r>
      <w:r w:rsidR="00AC14B8">
        <w:t>was</w:t>
      </w:r>
      <w:r w:rsidR="0056073F">
        <w:t xml:space="preserve"> </w:t>
      </w:r>
      <w:r>
        <w:t xml:space="preserve">not rebuttal, but </w:t>
      </w:r>
      <w:r w:rsidR="0056073F">
        <w:t>was i</w:t>
      </w:r>
      <w:r>
        <w:t xml:space="preserve">nstead evidence required to be filed during MEI’s case in chief because </w:t>
      </w:r>
      <w:r w:rsidR="00777CF8">
        <w:t>the Commission</w:t>
      </w:r>
      <w:r>
        <w:t xml:space="preserve"> requires shipper support to issue a Certificate of Public Convenience and Necessity</w:t>
      </w:r>
      <w:r w:rsidR="00AC14B8">
        <w:t>,</w:t>
      </w:r>
      <w:r w:rsidR="00777CF8">
        <w:t xml:space="preserve"> whether the commercial ferry application is opposed or not</w:t>
      </w:r>
      <w:r>
        <w:t xml:space="preserve">.  </w:t>
      </w:r>
    </w:p>
    <w:p w:rsidR="00F975A2" w:rsidP="00ED61AC">
      <w:pPr>
        <w:pStyle w:val="BodyText2"/>
        <w:numPr>
          <w:ilvl w:val="0"/>
          <w:numId w:val="37"/>
        </w:numPr>
      </w:pPr>
      <w:r>
        <w:tab/>
        <w:t xml:space="preserve">Indeed, as </w:t>
      </w:r>
      <w:r w:rsidR="003A2829">
        <w:t xml:space="preserve">has </w:t>
      </w:r>
      <w:r>
        <w:t>Arrow learned through subsequent data</w:t>
      </w:r>
      <w:r w:rsidR="00AC14B8">
        <w:t xml:space="preserve"> request</w:t>
      </w:r>
      <w:r>
        <w:t xml:space="preserve"> responses provided by MEI, the statement of Marc Aikin </w:t>
      </w:r>
      <w:r w:rsidR="00222FC0">
        <w:t xml:space="preserve">should not have been labeled </w:t>
      </w:r>
      <w:r>
        <w:t xml:space="preserve">as </w:t>
      </w:r>
      <w:r w:rsidR="0056073F">
        <w:t>“</w:t>
      </w:r>
      <w:r>
        <w:t>rebuttal</w:t>
      </w:r>
      <w:r w:rsidR="0056073F">
        <w:t>”</w:t>
      </w:r>
      <w:r>
        <w:t xml:space="preserve"> to </w:t>
      </w:r>
      <w:r w:rsidR="00777CF8">
        <w:t xml:space="preserve">Arrow’s </w:t>
      </w:r>
      <w:r>
        <w:t>testimony because it had been prepared in draft form and exchanged between counsel for Crowley and MEI well before Arrow filed the prefiled testimony of Jack L. Harmon, which the statement is</w:t>
      </w:r>
      <w:r w:rsidR="00222FC0">
        <w:t>,</w:t>
      </w:r>
      <w:r>
        <w:t xml:space="preserve"> </w:t>
      </w:r>
      <w:r w:rsidR="0056073F">
        <w:t>again</w:t>
      </w:r>
      <w:r w:rsidR="00222FC0">
        <w:t>,</w:t>
      </w:r>
      <w:r w:rsidR="0056073F">
        <w:t xml:space="preserve"> </w:t>
      </w:r>
      <w:r>
        <w:t>purportedly rebutting, on November 1, 2016.</w:t>
      </w:r>
    </w:p>
    <w:p w:rsidR="00ED61AC" w:rsidRPr="00ED61AC" w:rsidP="00ED61AC">
      <w:pPr>
        <w:pStyle w:val="BodyText2"/>
        <w:numPr>
          <w:ilvl w:val="0"/>
          <w:numId w:val="37"/>
        </w:numPr>
        <w:spacing w:line="480" w:lineRule="auto"/>
        <w:rPr>
          <w:rFonts w:ascii="Courier New" w:hAnsi="Courier New" w:cs="Courier New"/>
        </w:rPr>
      </w:pPr>
      <w:r>
        <w:tab/>
        <w:t xml:space="preserve">On December </w:t>
      </w:r>
      <w:r w:rsidR="00AC14B8">
        <w:t>2</w:t>
      </w:r>
      <w:r>
        <w:t>3, 2016</w:t>
      </w:r>
      <w:r w:rsidR="00EF4D55">
        <w:t>,</w:t>
      </w:r>
      <w:r>
        <w:t xml:space="preserve"> a hearing was held on Arrow’s Motion to Strike.  The Administrative Law Judge denied the motion</w:t>
      </w:r>
      <w:r w:rsidR="00EF4D55">
        <w:t>,</w:t>
      </w:r>
      <w:r>
        <w:t xml:space="preserve"> ruling the new testimony and shipper statement were proper rebuttal, but also orally ruled that Arrow could provide additional testimony in response: </w:t>
      </w:r>
    </w:p>
    <w:p w:rsidR="00ED61AC" w:rsidRPr="007C1C47" w:rsidP="00ED61AC">
      <w:pPr>
        <w:pStyle w:val="PlainText"/>
        <w:spacing w:line="480" w:lineRule="auto"/>
        <w:ind w:left="720" w:right="1267"/>
      </w:pPr>
      <w:r w:rsidRPr="007C1C47">
        <w:t xml:space="preserve">15   </w:t>
      </w:r>
      <w:r w:rsidR="00E558EF">
        <w:t>..</w:t>
      </w:r>
      <w:r w:rsidRPr="007C1C47">
        <w:t>. So in that regard, I'm</w:t>
      </w:r>
    </w:p>
    <w:p w:rsidR="00ED61AC" w:rsidRPr="007C1C47" w:rsidP="00ED61AC">
      <w:pPr>
        <w:pStyle w:val="PlainText"/>
        <w:spacing w:line="480" w:lineRule="auto"/>
        <w:ind w:left="720" w:right="1267"/>
      </w:pPr>
      <w:r w:rsidRPr="007C1C47">
        <w:t>16   amenable to allowing Arrow Launch the opportunity to</w:t>
      </w:r>
    </w:p>
    <w:p w:rsidR="00ED61AC" w:rsidRPr="007C1C47" w:rsidP="00ED61AC">
      <w:pPr>
        <w:pStyle w:val="PlainText"/>
        <w:spacing w:line="480" w:lineRule="auto"/>
        <w:ind w:left="720" w:right="1267"/>
      </w:pPr>
      <w:r w:rsidRPr="007C1C47">
        <w:t>17   file additional testimony, which would be limited to</w:t>
      </w:r>
    </w:p>
    <w:p w:rsidR="00ED61AC" w:rsidRPr="007C1C47" w:rsidP="00ED61AC">
      <w:pPr>
        <w:pStyle w:val="PlainText"/>
        <w:spacing w:line="480" w:lineRule="auto"/>
        <w:ind w:left="720" w:right="1267"/>
      </w:pPr>
      <w:r w:rsidRPr="007C1C47">
        <w:t>18   replying to Mr. Aikin's shipper support statement in</w:t>
      </w:r>
    </w:p>
    <w:p w:rsidR="00ED61AC" w:rsidRPr="007C1C47" w:rsidP="00ED61AC">
      <w:pPr>
        <w:pStyle w:val="PlainText"/>
        <w:spacing w:line="480" w:lineRule="auto"/>
        <w:ind w:left="720" w:right="1267"/>
      </w:pPr>
      <w:r w:rsidRPr="007C1C47">
        <w:t>19   Exhibit No. RSE-8, and the portions of Exhibit</w:t>
      </w:r>
    </w:p>
    <w:p w:rsidR="00ED61AC" w:rsidRPr="007C1C47" w:rsidP="00ED61AC">
      <w:pPr>
        <w:pStyle w:val="PlainText"/>
        <w:spacing w:line="480" w:lineRule="auto"/>
        <w:ind w:left="720" w:right="1267"/>
      </w:pPr>
      <w:r w:rsidRPr="007C1C47">
        <w:t>20   No. RSE-7T where Mr. Esch discusses Mr. Aikin's</w:t>
      </w:r>
    </w:p>
    <w:p w:rsidR="00ED61AC" w:rsidP="00ED61AC">
      <w:pPr>
        <w:pStyle w:val="PlainText"/>
        <w:spacing w:line="480" w:lineRule="auto"/>
        <w:ind w:left="720" w:right="1267"/>
      </w:pPr>
      <w:r w:rsidRPr="007C1C47">
        <w:t>21   statement.</w:t>
      </w:r>
      <w:r>
        <w:rPr>
          <w:rStyle w:val="FootnoteReference"/>
        </w:rPr>
        <w:footnoteReference w:id="3"/>
      </w:r>
    </w:p>
    <w:p w:rsidR="00ED61AC" w:rsidRPr="00ED61AC" w:rsidP="00ED61AC">
      <w:pPr>
        <w:pStyle w:val="PlainText"/>
        <w:spacing w:line="480" w:lineRule="auto"/>
        <w:ind w:right="1267" w:hanging="720"/>
        <w:rPr>
          <w:rFonts w:ascii="Times New Roman" w:hAnsi="Times New Roman" w:cs="Times New Roman"/>
          <w:sz w:val="24"/>
        </w:rPr>
      </w:pPr>
    </w:p>
    <w:p w:rsidR="00074223" w:rsidP="00074223">
      <w:pPr>
        <w:pStyle w:val="Heading1"/>
        <w:rPr>
          <w:b/>
        </w:rPr>
      </w:pPr>
      <w:r>
        <w:rPr>
          <w:b/>
        </w:rPr>
        <w:t>argument</w:t>
      </w:r>
    </w:p>
    <w:p w:rsidR="00ED61AC" w:rsidP="00AC14B8">
      <w:pPr>
        <w:pStyle w:val="BodyText2"/>
        <w:numPr>
          <w:ilvl w:val="0"/>
          <w:numId w:val="37"/>
        </w:numPr>
        <w:tabs>
          <w:tab w:val="left" w:pos="360"/>
        </w:tabs>
      </w:pPr>
      <w:r>
        <w:tab/>
      </w:r>
      <w:r w:rsidR="00777CF8">
        <w:t xml:space="preserve">As a threshold matter, </w:t>
      </w:r>
      <w:r>
        <w:t xml:space="preserve">Arrow does not disagree with the standards </w:t>
      </w:r>
      <w:r w:rsidR="00C466D5">
        <w:t>outlined in</w:t>
      </w:r>
      <w:r>
        <w:t xml:space="preserve"> MEI’s Motion to Strike set forth in </w:t>
      </w:r>
      <w:r w:rsidR="00AC14B8">
        <w:t>¶¶</w:t>
      </w:r>
      <w:r>
        <w:t xml:space="preserve"> 13-15</w:t>
      </w:r>
      <w:r w:rsidR="00EF4D55">
        <w:t xml:space="preserve"> therein</w:t>
      </w:r>
      <w:r>
        <w:t xml:space="preserve">.  Those same standards </w:t>
      </w:r>
      <w:r w:rsidR="003A2829">
        <w:t xml:space="preserve">apply </w:t>
      </w:r>
      <w:r>
        <w:t>to Exhibit No. ___ (RSE-8) which</w:t>
      </w:r>
      <w:r w:rsidR="00777CF8">
        <w:t xml:space="preserve"> again</w:t>
      </w:r>
      <w:r>
        <w:t xml:space="preserve"> was prepared and exchanged before Arrow ever filed any testimony in this matter</w:t>
      </w:r>
      <w:r w:rsidR="009501F1">
        <w:t>,</w:t>
      </w:r>
      <w:r>
        <w:t xml:space="preserve"> as well as the testimony </w:t>
      </w:r>
      <w:r w:rsidR="00EF4D55">
        <w:t xml:space="preserve">of Randy S. Esch </w:t>
      </w:r>
      <w:r>
        <w:t xml:space="preserve">relating to Exhibit No. ___ (RSE-8). </w:t>
      </w:r>
    </w:p>
    <w:p w:rsidR="00EF4D55" w:rsidP="00ED61AC">
      <w:pPr>
        <w:pStyle w:val="BodyText2"/>
        <w:numPr>
          <w:ilvl w:val="0"/>
          <w:numId w:val="37"/>
        </w:numPr>
      </w:pPr>
      <w:r>
        <w:tab/>
        <w:t xml:space="preserve">However, MEI </w:t>
      </w:r>
      <w:r w:rsidR="00C466D5">
        <w:t xml:space="preserve">also </w:t>
      </w:r>
      <w:r>
        <w:t xml:space="preserve">incorrectly </w:t>
      </w:r>
      <w:r w:rsidR="00777CF8">
        <w:t>characterizes</w:t>
      </w:r>
      <w:r>
        <w:t xml:space="preserve"> the Administrative Law Judge’s oral ruling</w:t>
      </w:r>
      <w:r>
        <w:t xml:space="preserve"> at the December 23, 2016 hearing</w:t>
      </w:r>
      <w:r>
        <w:t>, which is set forth verbatim in paragraph 4, above.  The Administrative Law Judge did not rule</w:t>
      </w:r>
      <w:r>
        <w:t>,</w:t>
      </w:r>
      <w:r>
        <w:t xml:space="preserve"> as MEI contends, that “[t]he scope of the allowable testimony was confined to just the shipper support statement, not to Mr. Esch’s rebuttal testimony filed in conjunction with the Crowley support statement.”</w:t>
      </w:r>
      <w:r>
        <w:rPr>
          <w:rStyle w:val="FootnoteReference"/>
        </w:rPr>
        <w:footnoteReference w:id="4"/>
      </w:r>
      <w:r>
        <w:t xml:space="preserve">  </w:t>
      </w:r>
      <w:r>
        <w:t xml:space="preserve">Instead, as </w:t>
      </w:r>
      <w:r w:rsidR="00AC14B8">
        <w:t xml:space="preserve">quoted </w:t>
      </w:r>
      <w:r>
        <w:t xml:space="preserve">above, the Administrative Law Judge ruled that Arrow could provide additional testimony with respect to the shipper statement and testimony of Esch relating to the statement.  </w:t>
      </w:r>
      <w:r>
        <w:t>Thus, the premise on which MEI bases it</w:t>
      </w:r>
      <w:r>
        <w:t xml:space="preserve">s motion is patently </w:t>
      </w:r>
      <w:r w:rsidR="00AC14B8">
        <w:t>flawed.</w:t>
      </w:r>
    </w:p>
    <w:p w:rsidR="00ED61AC" w:rsidP="00ED61AC">
      <w:pPr>
        <w:pStyle w:val="BodyText2"/>
        <w:numPr>
          <w:ilvl w:val="0"/>
          <w:numId w:val="37"/>
        </w:numPr>
      </w:pPr>
      <w:r>
        <w:tab/>
        <w:t xml:space="preserve">While </w:t>
      </w:r>
      <w:r w:rsidR="00EF4D55">
        <w:t xml:space="preserve">MEI’s </w:t>
      </w:r>
      <w:r w:rsidR="00AC14B8">
        <w:t>misconstruction</w:t>
      </w:r>
      <w:r w:rsidR="00EF4D55">
        <w:t xml:space="preserve"> of the ruling</w:t>
      </w:r>
      <w:r>
        <w:t xml:space="preserve"> could be </w:t>
      </w:r>
      <w:r w:rsidR="00AC14B8">
        <w:t xml:space="preserve">interpreted </w:t>
      </w:r>
      <w:r w:rsidR="00EF4D55">
        <w:t>as a simple mistake</w:t>
      </w:r>
      <w:r>
        <w:t xml:space="preserve"> by which MEI meant that Arrow should not be responding to testimony which does not relate to the shipper support statement filed at Exhibit No. ___ (RSE-8), the testimony MEI moved to strike </w:t>
      </w:r>
      <w:r w:rsidR="00EF4D55">
        <w:t xml:space="preserve">(as is all Arrow’s surrebuttal testimony) </w:t>
      </w:r>
      <w:r>
        <w:t>is squarely related to the</w:t>
      </w:r>
      <w:r w:rsidR="00AC14B8">
        <w:t xml:space="preserve"> October 31</w:t>
      </w:r>
      <w:r>
        <w:t xml:space="preserve"> shipper support statement.</w:t>
      </w:r>
    </w:p>
    <w:p w:rsidR="00ED61AC" w:rsidP="00ED61AC">
      <w:pPr>
        <w:pStyle w:val="BodyText2"/>
        <w:numPr>
          <w:ilvl w:val="0"/>
          <w:numId w:val="37"/>
        </w:numPr>
      </w:pPr>
      <w:r>
        <w:tab/>
      </w:r>
      <w:r w:rsidR="00777CF8">
        <w:t>Specifically</w:t>
      </w:r>
      <w:r w:rsidR="00AC14B8">
        <w:t>,</w:t>
      </w:r>
      <w:r w:rsidR="00777CF8">
        <w:t xml:space="preserve"> </w:t>
      </w:r>
      <w:r>
        <w:t>MEI moved to strike</w:t>
      </w:r>
      <w:r w:rsidR="00222FC0">
        <w:t xml:space="preserve"> the</w:t>
      </w:r>
      <w:r>
        <w:t xml:space="preserve"> surrebuttal testimony of Jack L. Harmon located at p. 5, lines 5-14</w:t>
      </w:r>
      <w:r w:rsidR="00AC14B8">
        <w:t xml:space="preserve"> of the </w:t>
      </w:r>
      <w:r w:rsidR="003471CD">
        <w:t>testimony</w:t>
      </w:r>
      <w:r>
        <w:t xml:space="preserve">.  </w:t>
      </w:r>
      <w:r w:rsidR="00AC14B8">
        <w:t xml:space="preserve">That </w:t>
      </w:r>
      <w:r w:rsidR="003471CD">
        <w:t xml:space="preserve">reference </w:t>
      </w:r>
      <w:r>
        <w:t>is as follows:</w:t>
      </w:r>
    </w:p>
    <w:p w:rsidR="00EF4D55" w:rsidP="00EF4D55">
      <w:pPr>
        <w:pStyle w:val="meitestimony2"/>
        <w:numPr>
          <w:ilvl w:val="0"/>
          <w:numId w:val="0"/>
        </w:numPr>
        <w:spacing w:line="240" w:lineRule="exact"/>
        <w:ind w:left="1440" w:right="1267" w:hanging="720"/>
        <w:contextualSpacing/>
      </w:pPr>
      <w:r>
        <w:t>Q.</w:t>
      </w:r>
      <w:r>
        <w:tab/>
      </w:r>
      <w:r w:rsidRPr="00ED61AC">
        <w:t>Mr. Esch, at Exhibit No. ___ (RSE-7T) p. 13, attempts to buttress his original testimony about service availability alleged limitation while acknowledging the fact your fleet in Anacortes and other areas is far larger than he originally testified.  What is your response to the vessel availability issue on which he expressly doubles down in claiming it “doesn’t change his opinion?”</w:t>
      </w:r>
    </w:p>
    <w:p w:rsidR="00EF4D55" w:rsidRPr="00EF4D55" w:rsidP="00EF4D55">
      <w:pPr>
        <w:pStyle w:val="BodyText2"/>
        <w:spacing w:line="240" w:lineRule="exact"/>
      </w:pPr>
    </w:p>
    <w:p w:rsidR="00ED61AC" w:rsidP="00EF4D55">
      <w:pPr>
        <w:pStyle w:val="meitestimony3"/>
        <w:keepNext w:val="0"/>
        <w:numPr>
          <w:ilvl w:val="0"/>
          <w:numId w:val="0"/>
        </w:numPr>
        <w:spacing w:line="240" w:lineRule="exact"/>
        <w:ind w:left="1440" w:right="1267" w:hanging="720"/>
        <w:contextualSpacing/>
      </w:pPr>
      <w:r>
        <w:t>A.</w:t>
      </w:r>
      <w:r>
        <w:tab/>
      </w:r>
      <w:r w:rsidRPr="00ED61AC">
        <w:t xml:space="preserve">I would doubt the Commission would ever be swayed by an </w:t>
      </w:r>
      <w:r w:rsidRPr="00ED61AC">
        <w:rPr>
          <w:i/>
        </w:rPr>
        <w:t>applicant’s</w:t>
      </w:r>
      <w:r w:rsidRPr="00ED61AC">
        <w:t xml:space="preserve"> testimony on the adequacy of existing service.  We would presume any certificate applicant would never gauge the market “overserved” or even “adequately served” in applying for authority.  Thus, Mr. Esch’s opinion surveying the market should be thoroughly discounted accordingly as self-serving, to say the least.</w:t>
      </w:r>
      <w:r>
        <w:rPr>
          <w:rStyle w:val="FootnoteReference"/>
        </w:rPr>
        <w:footnoteReference w:id="5"/>
      </w:r>
    </w:p>
    <w:p w:rsidR="00EF4D55" w:rsidRPr="00EF4D55" w:rsidP="00EF4D55">
      <w:pPr>
        <w:pStyle w:val="BodyText2"/>
      </w:pPr>
    </w:p>
    <w:p w:rsidR="00ED61AC" w:rsidP="00ED61AC">
      <w:pPr>
        <w:pStyle w:val="BodyText2"/>
        <w:ind w:firstLine="0"/>
      </w:pPr>
      <w:r>
        <w:t xml:space="preserve">When compared to the testimony to which that responded, it is </w:t>
      </w:r>
      <w:r w:rsidR="00AC14B8">
        <w:t>obvious t</w:t>
      </w:r>
      <w:r>
        <w:t xml:space="preserve">hat it is responding to </w:t>
      </w:r>
      <w:r w:rsidR="003471CD">
        <w:t xml:space="preserve">the </w:t>
      </w:r>
      <w:r>
        <w:t>testimony of Mr.</w:t>
      </w:r>
      <w:r w:rsidR="00AC14B8">
        <w:t xml:space="preserve"> Esch which related to the late-</w:t>
      </w:r>
      <w:r>
        <w:t xml:space="preserve">filed shipper support statement.  That testimony, like most of Mr. Esch’s testimony, </w:t>
      </w:r>
      <w:r w:rsidR="00222FC0">
        <w:t xml:space="preserve">intermingles </w:t>
      </w:r>
      <w:r>
        <w:t>the Exhibit No. ___(RSE-8) into his rebuttal testimony</w:t>
      </w:r>
      <w:r w:rsidR="00FA7DCC">
        <w:t>, for instance</w:t>
      </w:r>
      <w:r>
        <w:t>:</w:t>
      </w:r>
    </w:p>
    <w:p w:rsidR="00ED61AC" w:rsidP="00ED61AC">
      <w:pPr>
        <w:pStyle w:val="BodyText"/>
        <w:ind w:left="720" w:right="1267"/>
        <w:jc w:val="both"/>
      </w:pPr>
      <w:r>
        <w:rPr>
          <w:b/>
        </w:rPr>
        <w:t>Q:  Mr. Harmon has testified that he has more boats serving the region than you initially believed.  Does this fact cause you to change your belief that Arrow is underserving the region?</w:t>
      </w:r>
    </w:p>
    <w:p w:rsidR="00ED61AC" w:rsidP="00ED61AC">
      <w:pPr>
        <w:pStyle w:val="BodyText"/>
        <w:ind w:left="720" w:right="1267"/>
        <w:jc w:val="both"/>
      </w:pPr>
      <w:r>
        <w:t xml:space="preserve">A:  No.  Even though Arrow testifies that it has 4 boats in three different regions at any given time, this does not change my opinion.  It is clear to me that Arrow still is underserving the region.  </w:t>
      </w:r>
      <w:r w:rsidRPr="00ED61AC">
        <w:rPr>
          <w:u w:val="single"/>
        </w:rPr>
        <w:t>As I stated before, my customers have told me so and Crowley’s shipper support statement further backs this point up.  Crowley stated that they often need to hire multiple vessels at the same time to service their oil clients and that their need is not currently being met.  Exhibit No. ___ (RSE-8).</w:t>
      </w:r>
      <w:r>
        <w:t xml:space="preserve">  So the fact that Arrow has more boats than I originally believed doesn’t change my opinion at all—they are still underserving their customers.</w:t>
      </w:r>
      <w:r>
        <w:rPr>
          <w:rStyle w:val="FootnoteReference"/>
        </w:rPr>
        <w:footnoteReference w:id="6"/>
      </w:r>
      <w:r>
        <w:t xml:space="preserve">  </w:t>
      </w:r>
    </w:p>
    <w:p w:rsidR="00ED61AC" w:rsidP="00ED61AC">
      <w:pPr>
        <w:pStyle w:val="BodyText2"/>
        <w:ind w:firstLine="0"/>
      </w:pPr>
      <w:r>
        <w:t>As</w:t>
      </w:r>
      <w:r w:rsidR="00FA7DCC">
        <w:t xml:space="preserve"> demonstrated above, </w:t>
      </w:r>
      <w:r>
        <w:t xml:space="preserve">Mr. Esch’s testimony explicitly </w:t>
      </w:r>
      <w:r w:rsidR="00FA7DCC">
        <w:t>incorporates</w:t>
      </w:r>
      <w:r>
        <w:t xml:space="preserve"> the late</w:t>
      </w:r>
      <w:r w:rsidR="00AC14B8">
        <w:t>-</w:t>
      </w:r>
      <w:r w:rsidR="003471CD">
        <w:t>filed shipper statement in</w:t>
      </w:r>
      <w:r>
        <w:t xml:space="preserve"> supporting </w:t>
      </w:r>
      <w:r w:rsidR="00222FC0">
        <w:t xml:space="preserve">these </w:t>
      </w:r>
      <w:r>
        <w:t>conclusions.  By now attempting to argue Mr. Harmon was not permitted to respond</w:t>
      </w:r>
      <w:r w:rsidR="00EF4D55">
        <w:t xml:space="preserve"> to those conclusions</w:t>
      </w:r>
      <w:r>
        <w:t>, despite the Administrative Law Judge’s express ruling</w:t>
      </w:r>
      <w:r w:rsidR="00AC14B8">
        <w:t xml:space="preserve"> to the contrary, M</w:t>
      </w:r>
      <w:r w:rsidR="00FA7DCC">
        <w:t>E</w:t>
      </w:r>
      <w:r w:rsidR="00AC14B8">
        <w:t>I</w:t>
      </w:r>
      <w:r w:rsidR="00FA7DCC">
        <w:t xml:space="preserve"> again </w:t>
      </w:r>
      <w:r w:rsidR="00C466D5">
        <w:t>tries</w:t>
      </w:r>
      <w:r>
        <w:t xml:space="preserve"> to </w:t>
      </w:r>
      <w:r w:rsidR="00FA7DCC">
        <w:t xml:space="preserve">preempt </w:t>
      </w:r>
      <w:r>
        <w:t xml:space="preserve">Arrow by filing evidence out of order and </w:t>
      </w:r>
      <w:r w:rsidR="00222FC0">
        <w:t>then attempts</w:t>
      </w:r>
      <w:r w:rsidR="00EF4D55">
        <w:t xml:space="preserve"> to deny Arrow an opportunity to provide an </w:t>
      </w:r>
      <w:r>
        <w:t>appropriate response.</w:t>
      </w:r>
    </w:p>
    <w:p w:rsidR="00ED61AC" w:rsidP="00ED61AC">
      <w:pPr>
        <w:pStyle w:val="BodyText2"/>
        <w:numPr>
          <w:ilvl w:val="0"/>
          <w:numId w:val="37"/>
        </w:numPr>
      </w:pPr>
      <w:r>
        <w:tab/>
      </w:r>
      <w:r>
        <w:t xml:space="preserve">The same tactic is </w:t>
      </w:r>
      <w:r w:rsidR="00FA7DCC">
        <w:t xml:space="preserve">employed </w:t>
      </w:r>
      <w:r>
        <w:t>by MEI with respect to the testimony of Jack Harmon located on page</w:t>
      </w:r>
      <w:r w:rsidR="003471CD">
        <w:t>s</w:t>
      </w:r>
      <w:r>
        <w:t xml:space="preserve"> 6</w:t>
      </w:r>
      <w:r>
        <w:t xml:space="preserve"> and 7</w:t>
      </w:r>
      <w:r w:rsidR="00FA7DCC">
        <w:t xml:space="preserve"> which it </w:t>
      </w:r>
      <w:r w:rsidR="00AC14B8">
        <w:t xml:space="preserve">also </w:t>
      </w:r>
      <w:r w:rsidR="00FA7DCC">
        <w:t>asks be stricken</w:t>
      </w:r>
      <w:r>
        <w:t>.  In that testimony, Mr. Harmon addresses Mr. Esch’s testimony about “untapped potential”</w:t>
      </w:r>
      <w:r>
        <w:t xml:space="preserve"> </w:t>
      </w:r>
      <w:r w:rsidR="00AC14B8">
        <w:t xml:space="preserve">upon </w:t>
      </w:r>
      <w:r>
        <w:t>which he bases</w:t>
      </w:r>
      <w:r w:rsidR="003471CD">
        <w:t>,</w:t>
      </w:r>
      <w:r>
        <w:t xml:space="preserve"> in part</w:t>
      </w:r>
      <w:r w:rsidR="003471CD">
        <w:t>,</w:t>
      </w:r>
      <w:r>
        <w:t xml:space="preserve"> the shipper support statement.</w:t>
      </w:r>
      <w:r>
        <w:t xml:space="preserve">  That testimony is as follows:</w:t>
      </w:r>
    </w:p>
    <w:p w:rsidR="00ED61AC" w:rsidP="00ED61AC">
      <w:pPr>
        <w:pStyle w:val="BodyText"/>
        <w:ind w:left="720" w:right="1267"/>
        <w:jc w:val="both"/>
      </w:pPr>
      <w:r>
        <w:rPr>
          <w:b/>
        </w:rPr>
        <w:t>Q:  Well what makes you believe that this shows anything other than Arrow maximizing the market?  That is, why do you think that this shows the Puget Sound can support, and that the Puget Sound public needs, another launch provider?</w:t>
      </w:r>
    </w:p>
    <w:p w:rsidR="00ED61AC" w:rsidP="00ED61AC">
      <w:pPr>
        <w:pStyle w:val="BodyText"/>
        <w:ind w:left="720" w:right="1267"/>
        <w:jc w:val="both"/>
      </w:pPr>
      <w:r>
        <w:t xml:space="preserve">A:  First I think that this shows that the Puget Sound is still a vibrant market.  Arrow has significantly increased its gross revenues and continued to add boats to its fleet over the years.  Second, there is untapped potential in the market.  As I discussed in my direct testimony, I have had numerous clients that I work with in California tell me that they are being underserved in the Puget Sound.  </w:t>
      </w:r>
      <w:r w:rsidRPr="00ED61AC">
        <w:rPr>
          <w:u w:val="single"/>
        </w:rPr>
        <w:t>And Crowley’s support statement speaks to this as well.  In Crowley’s statement</w:t>
      </w:r>
      <w:r>
        <w:t xml:space="preserve">, Crowley makes the point that “[t]here is currently only one service provider for passenger ferry and freight service in the Puget Sound.  This has created timing and reliability issues for us as our customers (i.e., major oil companies) work on a tight schedule.  The lack of competition reduces our ability to meet the needs of our customers.”  Exhibit No. ___ (RSE-8).  </w:t>
      </w:r>
    </w:p>
    <w:p w:rsidR="00EF4D55" w:rsidP="00ED61AC">
      <w:pPr>
        <w:pStyle w:val="BodyText2"/>
        <w:spacing w:line="240" w:lineRule="exact"/>
        <w:ind w:left="720" w:right="1267"/>
      </w:pPr>
      <w:r>
        <w:t xml:space="preserve">This shows that one of the major shipping customers in the Puget Sound believes that there is currently an untapped market that another provider could take advantage of.  Arrow’s inability to provide reliable, around-the-clock service to its customers helps illustrate that the Puget Sound could indeed support another full-time provider.  </w:t>
      </w:r>
      <w:r w:rsidRPr="00ED61AC">
        <w:rPr>
          <w:u w:val="single"/>
        </w:rPr>
        <w:t>Crowley further states in its support statement</w:t>
      </w:r>
      <w:r>
        <w:t xml:space="preserve"> that if MEI’s application were denied, Crowley “would be less able to provide reliable, timely, and cost-effective service for [its] major oil customers.”  I believe that this illustrates that there is a currently unmet need for services and that allowing another service provider to enter the region will help meet the needs.</w:t>
      </w:r>
    </w:p>
    <w:p w:rsidR="00EF4D55" w:rsidP="00ED61AC">
      <w:pPr>
        <w:pStyle w:val="BodyText2"/>
        <w:spacing w:line="240" w:lineRule="exact"/>
        <w:ind w:left="720" w:right="1267"/>
      </w:pPr>
    </w:p>
    <w:p w:rsidR="00ED61AC" w:rsidRPr="00ED61AC" w:rsidP="00EF4D55">
      <w:pPr>
        <w:pStyle w:val="BodyText"/>
        <w:ind w:left="720" w:right="1267"/>
        <w:jc w:val="both"/>
      </w:pPr>
      <w:r>
        <w:t>Further, the UTC Staff also determined that other shipping customers in the area support the entry of another provider into the marketplace.  The UTC Staff apparently conducted an informal survey of shipping companies in the Puget Sound that are current customers of Arrow Launch.  Six customers were interviewed.  Of those 6, 1 customer was dissatisfied and 3 supported competition in the area.  Exhibit No. ___ (SS-1T), 7:1-8.  That means a total of 66% of the polled customers support an additional service provider in the Puget Sound.  This supports what I have been hearing from my customers in the region.</w:t>
      </w:r>
      <w:r>
        <w:rPr>
          <w:rStyle w:val="FootnoteReference"/>
        </w:rPr>
        <w:footnoteReference w:id="7"/>
      </w:r>
    </w:p>
    <w:p w:rsidR="00EF4D55" w:rsidP="00EF4D55">
      <w:pPr>
        <w:pStyle w:val="BodyText2"/>
        <w:ind w:hanging="720"/>
      </w:pPr>
      <w:r>
        <w:rPr>
          <w:i/>
        </w:rPr>
        <w:t>10</w:t>
      </w:r>
      <w:r>
        <w:rPr>
          <w:i/>
        </w:rPr>
        <w:tab/>
      </w:r>
      <w:r>
        <w:rPr>
          <w:i/>
        </w:rPr>
        <w:tab/>
      </w:r>
      <w:r>
        <w:t xml:space="preserve">The testimony to which Mr. Harmon </w:t>
      </w:r>
      <w:r w:rsidR="00FA7DCC">
        <w:t xml:space="preserve">thus </w:t>
      </w:r>
      <w:r>
        <w:t xml:space="preserve">responded not only </w:t>
      </w:r>
      <w:r w:rsidR="003471CD">
        <w:t xml:space="preserve">expressly </w:t>
      </w:r>
      <w:r>
        <w:t xml:space="preserve">references the shipper </w:t>
      </w:r>
      <w:r w:rsidR="00AC14B8">
        <w:t xml:space="preserve">support </w:t>
      </w:r>
      <w:r>
        <w:t xml:space="preserve">statement, it directly quotes from it.  Mr. Esch </w:t>
      </w:r>
      <w:r w:rsidR="00E558EF">
        <w:t>obviously</w:t>
      </w:r>
      <w:r>
        <w:t xml:space="preserve"> interweaves the statement into his multi-faceted testimony and conclusions.  In turn, Mr. Harmon’s responsive testimony </w:t>
      </w:r>
      <w:r w:rsidR="00143C65">
        <w:t>answered</w:t>
      </w:r>
      <w:r>
        <w:t xml:space="preserve"> testimony which related to the shipper support statement, regardless of whether that testimony was a direct quote or a conclusion </w:t>
      </w:r>
      <w:r w:rsidR="003471CD">
        <w:t>extrapolated</w:t>
      </w:r>
      <w:r>
        <w:t xml:space="preserve"> from multiple sources</w:t>
      </w:r>
      <w:r w:rsidR="00143C65">
        <w:t xml:space="preserve"> including that statement</w:t>
      </w:r>
      <w:r>
        <w:t xml:space="preserve">.  </w:t>
      </w:r>
    </w:p>
    <w:p w:rsidR="004125BE" w:rsidP="004125BE">
      <w:pPr>
        <w:pStyle w:val="Heading1"/>
        <w:rPr>
          <w:b/>
        </w:rPr>
      </w:pPr>
      <w:r w:rsidRPr="004125BE">
        <w:rPr>
          <w:b/>
        </w:rPr>
        <w:t>CONCLUSION</w:t>
      </w:r>
      <w:r w:rsidR="00AC14B8">
        <w:rPr>
          <w:b/>
        </w:rPr>
        <w:t>/PRAYER FOR RELIEF</w:t>
      </w:r>
    </w:p>
    <w:p w:rsidR="002E5EE4" w:rsidRPr="004125BE" w:rsidP="00F975A2">
      <w:pPr>
        <w:pStyle w:val="BodyText2"/>
        <w:ind w:firstLine="0"/>
      </w:pPr>
      <w:r>
        <w:tab/>
        <w:t xml:space="preserve">It is </w:t>
      </w:r>
      <w:r w:rsidR="003471CD">
        <w:t>again</w:t>
      </w:r>
      <w:r w:rsidR="00FA7DCC">
        <w:t xml:space="preserve"> </w:t>
      </w:r>
      <w:r>
        <w:t xml:space="preserve">unfortunate that MEI </w:t>
      </w:r>
      <w:r w:rsidR="00FA7DCC">
        <w:t>opted</w:t>
      </w:r>
      <w:r>
        <w:t xml:space="preserve"> to wait to request shipper support for the instant application proceeding, misrepresented the statement as rebuttal wh</w:t>
      </w:r>
      <w:r w:rsidR="00AC14B8">
        <w:t>en it was requested and prepar</w:t>
      </w:r>
      <w:r w:rsidR="0056073F">
        <w:t>ed</w:t>
      </w:r>
      <w:r>
        <w:t xml:space="preserve"> in draft before there was any testimony to rebut, and </w:t>
      </w:r>
      <w:r w:rsidR="003471CD">
        <w:t>now</w:t>
      </w:r>
      <w:r>
        <w:t xml:space="preserve"> </w:t>
      </w:r>
      <w:r w:rsidR="00222FC0">
        <w:t>advances</w:t>
      </w:r>
      <w:r w:rsidR="00FA7DCC">
        <w:t xml:space="preserve"> </w:t>
      </w:r>
      <w:r>
        <w:t xml:space="preserve">this unfounded attempt to prevent Arrow from providing </w:t>
      </w:r>
      <w:r w:rsidR="003A2829">
        <w:t>a</w:t>
      </w:r>
      <w:r>
        <w:t xml:space="preserve"> </w:t>
      </w:r>
      <w:r w:rsidR="003471CD">
        <w:t xml:space="preserve">full </w:t>
      </w:r>
      <w:r>
        <w:t xml:space="preserve">response </w:t>
      </w:r>
      <w:r w:rsidR="00222FC0">
        <w:t xml:space="preserve">which </w:t>
      </w:r>
      <w:r>
        <w:t xml:space="preserve">Arrow should have </w:t>
      </w:r>
      <w:r w:rsidR="003471CD">
        <w:t>had the opportunity</w:t>
      </w:r>
      <w:r w:rsidR="0056073F">
        <w:t xml:space="preserve"> </w:t>
      </w:r>
      <w:r>
        <w:t xml:space="preserve">to provide when it filed </w:t>
      </w:r>
      <w:r w:rsidR="00FA7DCC">
        <w:t xml:space="preserve">original </w:t>
      </w:r>
      <w:r>
        <w:t xml:space="preserve">testimony on November 1, 2016.  </w:t>
      </w:r>
      <w:r w:rsidR="00FD3E83">
        <w:t>If Arrow were denied th</w:t>
      </w:r>
      <w:r w:rsidR="00222FC0">
        <w:t xml:space="preserve">e </w:t>
      </w:r>
      <w:r w:rsidR="00FD3E83">
        <w:t xml:space="preserve">opportunity to respond to all testimony relating to the shipper support statement, including the conclusions and opinions drawn from it by </w:t>
      </w:r>
      <w:r w:rsidR="003471CD">
        <w:t xml:space="preserve">Mr. </w:t>
      </w:r>
      <w:r w:rsidR="00FD3E83">
        <w:t>Esch, it would</w:t>
      </w:r>
      <w:r w:rsidR="00FA7DCC">
        <w:t xml:space="preserve"> simply exacerbate the ellipsis of proof sequence described above and hinder the orderly presentation of evidence</w:t>
      </w:r>
      <w:r w:rsidR="0056073F">
        <w:t xml:space="preserve"> in this record</w:t>
      </w:r>
      <w:r w:rsidR="00FD3E83">
        <w:t>.</w:t>
      </w:r>
      <w:r w:rsidR="00FA7DCC">
        <w:t xml:space="preserve"> </w:t>
      </w:r>
      <w:r w:rsidR="00FD3E83">
        <w:t xml:space="preserve"> </w:t>
      </w:r>
      <w:r w:rsidR="00AC14B8">
        <w:t>Finally</w:t>
      </w:r>
      <w:r w:rsidR="00FD3E83">
        <w:t>, t</w:t>
      </w:r>
      <w:r>
        <w:t>he Administrative Law Judge’s oral order expr</w:t>
      </w:r>
      <w:r w:rsidR="003471CD">
        <w:t xml:space="preserve">essly authorized </w:t>
      </w:r>
      <w:r>
        <w:t xml:space="preserve">Arrow to provide additional testimony responding to the shipper support statement </w:t>
      </w:r>
      <w:r w:rsidRPr="003471CD">
        <w:rPr>
          <w:i/>
        </w:rPr>
        <w:t>and</w:t>
      </w:r>
      <w:r>
        <w:t xml:space="preserve"> Mr. Esch’s testimony relating to that statement.  Arrow’s surrebuttal was limited</w:t>
      </w:r>
      <w:r w:rsidR="00E02980">
        <w:t xml:space="preserve"> to those subjects</w:t>
      </w:r>
      <w:r>
        <w:t>.  Thus, Arrow Launch Service, Inc. respectfully requests that MEI Northwest LLC’s Motion to Strike be denied in its entirety.</w:t>
      </w:r>
    </w:p>
    <w:p w:rsidR="00182D19" w:rsidRPr="00AF0736" w:rsidP="005F0607">
      <w:pPr>
        <w:spacing w:line="480" w:lineRule="auto"/>
        <w:ind w:left="720"/>
      </w:pPr>
      <w:r w:rsidRPr="00AF0736">
        <w:t>D</w:t>
      </w:r>
      <w:r w:rsidRPr="00AF0736">
        <w:rPr>
          <w:szCs w:val="24"/>
        </w:rPr>
        <w:t>ATED this ____</w:t>
      </w:r>
      <w:r w:rsidRPr="00AF0736">
        <w:t xml:space="preserve">day of </w:t>
      </w:r>
      <w:r w:rsidR="004159C1">
        <w:t>February, 2017</w:t>
      </w:r>
      <w:r w:rsidRPr="00AF0736">
        <w:t>.</w:t>
      </w:r>
      <w:r w:rsidRPr="00AF0736">
        <w:rPr>
          <w:rStyle w:val="FootnoteReference"/>
        </w:rPr>
        <w:t xml:space="preserve"> </w:t>
      </w:r>
    </w:p>
    <w:p w:rsidR="00182D19" w:rsidRPr="00757D1F" w:rsidP="00182D19">
      <w:pPr>
        <w:ind w:left="720"/>
      </w:pPr>
    </w:p>
    <w:tbl>
      <w:tblPr>
        <w:tblW w:w="0" w:type="auto"/>
        <w:tblLayout w:type="fixed"/>
        <w:tblLook w:val="0000"/>
      </w:tblPr>
      <w:tblGrid>
        <w:gridCol w:w="4698"/>
        <w:gridCol w:w="4860"/>
      </w:tblGrid>
      <w:tr w:rsidTr="005B46E9">
        <w:tblPrEx>
          <w:tblW w:w="0" w:type="auto"/>
          <w:tblLayout w:type="fixed"/>
          <w:tblLook w:val="0000"/>
        </w:tblPrEx>
        <w:trPr>
          <w:cantSplit/>
        </w:trPr>
        <w:tc>
          <w:tcPr>
            <w:tcW w:w="4698" w:type="dxa"/>
          </w:tcPr>
          <w:p w:rsidR="00182D19" w:rsidRPr="00712413" w:rsidP="005B46E9">
            <w:pPr>
              <w:keepNext/>
              <w:tabs>
                <w:tab w:val="left" w:pos="432"/>
              </w:tabs>
              <w:rPr>
                <w:sz w:val="20"/>
              </w:rPr>
            </w:pPr>
          </w:p>
        </w:tc>
        <w:tc>
          <w:tcPr>
            <w:tcW w:w="4860" w:type="dxa"/>
          </w:tcPr>
          <w:p w:rsidR="00182D19" w:rsidRPr="005646AC" w:rsidP="005B46E9">
            <w:pPr>
              <w:keepNext/>
              <w:rPr>
                <w:caps/>
                <w:sz w:val="23"/>
                <w:szCs w:val="23"/>
              </w:rPr>
            </w:pPr>
            <w:r w:rsidRPr="005646AC">
              <w:rPr>
                <w:caps/>
                <w:sz w:val="23"/>
                <w:szCs w:val="23"/>
              </w:rPr>
              <w:t>RESPECTFULLY sUBMITTED,</w:t>
            </w:r>
          </w:p>
          <w:p w:rsidR="00182D19" w:rsidRPr="005646AC" w:rsidP="005B46E9">
            <w:pPr>
              <w:keepNext/>
              <w:rPr>
                <w:caps/>
                <w:sz w:val="23"/>
                <w:szCs w:val="23"/>
              </w:rPr>
            </w:pPr>
          </w:p>
          <w:p w:rsidR="00182D19" w:rsidRPr="005646AC" w:rsidP="005B46E9">
            <w:pPr>
              <w:keepNext/>
              <w:rPr>
                <w:caps/>
                <w:sz w:val="23"/>
                <w:szCs w:val="23"/>
              </w:rPr>
            </w:pPr>
          </w:p>
          <w:p w:rsidR="00182D19" w:rsidRPr="005646AC" w:rsidP="00182D19">
            <w:pPr>
              <w:keepNext/>
              <w:tabs>
                <w:tab w:val="right" w:pos="4572"/>
              </w:tabs>
              <w:rPr>
                <w:sz w:val="23"/>
                <w:szCs w:val="23"/>
                <w:u w:val="single"/>
              </w:rPr>
            </w:pPr>
            <w:r w:rsidRPr="005646AC">
              <w:rPr>
                <w:sz w:val="23"/>
                <w:szCs w:val="23"/>
              </w:rPr>
              <w:t xml:space="preserve">By </w:t>
            </w:r>
            <w:r w:rsidRPr="005646AC">
              <w:rPr>
                <w:sz w:val="23"/>
                <w:szCs w:val="23"/>
                <w:u w:val="single"/>
              </w:rPr>
              <w:tab/>
            </w:r>
          </w:p>
          <w:p w:rsidR="00182D19" w:rsidRPr="005646AC" w:rsidP="00182D19">
            <w:pPr>
              <w:keepNext/>
              <w:tabs>
                <w:tab w:val="left" w:pos="342"/>
                <w:tab w:val="right" w:pos="4572"/>
              </w:tabs>
              <w:rPr>
                <w:sz w:val="23"/>
                <w:szCs w:val="23"/>
              </w:rPr>
            </w:pPr>
            <w:r w:rsidRPr="005646AC">
              <w:rPr>
                <w:sz w:val="23"/>
                <w:szCs w:val="23"/>
              </w:rPr>
              <w:tab/>
              <w:t>David W. Wiley, WSBA #08614</w:t>
            </w:r>
          </w:p>
          <w:p w:rsidR="00182D19" w:rsidRPr="005646AC" w:rsidP="00182D19">
            <w:pPr>
              <w:keepNext/>
              <w:tabs>
                <w:tab w:val="left" w:pos="342"/>
                <w:tab w:val="right" w:pos="4572"/>
              </w:tabs>
              <w:rPr>
                <w:sz w:val="23"/>
                <w:szCs w:val="23"/>
              </w:rPr>
            </w:pPr>
            <w:r w:rsidRPr="005646AC">
              <w:rPr>
                <w:sz w:val="23"/>
                <w:szCs w:val="23"/>
              </w:rPr>
              <w:tab/>
              <w:t>Blair I. Fassburg, WSBA #41207</w:t>
            </w:r>
            <w:r w:rsidRPr="005646AC">
              <w:rPr>
                <w:sz w:val="23"/>
                <w:szCs w:val="23"/>
              </w:rPr>
              <w:tab/>
            </w:r>
          </w:p>
          <w:p w:rsidR="00182D19" w:rsidRPr="005646AC" w:rsidP="00182D19">
            <w:pPr>
              <w:keepNext/>
              <w:tabs>
                <w:tab w:val="left" w:pos="342"/>
                <w:tab w:val="left" w:pos="432"/>
                <w:tab w:val="right" w:pos="4932"/>
              </w:tabs>
              <w:rPr>
                <w:rStyle w:val="Hyperlink"/>
                <w:color w:val="auto"/>
                <w:sz w:val="23"/>
                <w:szCs w:val="23"/>
                <w:u w:val="none"/>
              </w:rPr>
            </w:pPr>
            <w:r w:rsidRPr="005646AC">
              <w:rPr>
                <w:sz w:val="23"/>
                <w:szCs w:val="23"/>
              </w:rPr>
              <w:t xml:space="preserve">      </w:t>
            </w:r>
            <w:r w:rsidRPr="005646AC">
              <w:rPr>
                <w:rStyle w:val="DefaultParagraphFont"/>
                <w:color w:val="auto"/>
                <w:sz w:val="23"/>
                <w:szCs w:val="23"/>
                <w:u w:val="none"/>
              </w:rPr>
              <w:t>dwiley@williamskastner.com</w:t>
            </w:r>
          </w:p>
          <w:p w:rsidR="00182D19" w:rsidRPr="005646AC" w:rsidP="00182D19">
            <w:pPr>
              <w:keepNext/>
              <w:tabs>
                <w:tab w:val="left" w:pos="342"/>
                <w:tab w:val="left" w:pos="432"/>
                <w:tab w:val="right" w:pos="4932"/>
              </w:tabs>
              <w:rPr>
                <w:rStyle w:val="Hyperlink"/>
                <w:sz w:val="23"/>
                <w:szCs w:val="23"/>
                <w:u w:val="none"/>
              </w:rPr>
            </w:pPr>
            <w:r w:rsidRPr="005646AC">
              <w:rPr>
                <w:rStyle w:val="DefaultParagraphFont"/>
                <w:color w:val="auto"/>
                <w:sz w:val="23"/>
                <w:szCs w:val="23"/>
                <w:u w:val="none"/>
              </w:rPr>
              <w:tab/>
            </w:r>
            <w:r w:rsidRPr="005646AC">
              <w:rPr>
                <w:rStyle w:val="DefaultParagraphFont"/>
                <w:color w:val="auto"/>
                <w:sz w:val="23"/>
                <w:szCs w:val="23"/>
                <w:u w:val="none"/>
              </w:rPr>
              <w:t>bfassburg@williamskastner.com</w:t>
            </w:r>
          </w:p>
          <w:p w:rsidR="00182D19" w:rsidRPr="00712413" w:rsidP="00AD14AB">
            <w:pPr>
              <w:keepNext/>
              <w:tabs>
                <w:tab w:val="left" w:pos="432"/>
                <w:tab w:val="right" w:pos="4932"/>
              </w:tabs>
            </w:pPr>
            <w:r w:rsidRPr="005646AC">
              <w:rPr>
                <w:sz w:val="23"/>
                <w:szCs w:val="23"/>
              </w:rPr>
              <w:t>Attorneys for Arrow Launch Service, Inc.</w:t>
            </w:r>
          </w:p>
        </w:tc>
      </w:tr>
    </w:tbl>
    <w:p w:rsidR="00222FC0" w:rsidP="009501F1">
      <w:pPr>
        <w:spacing w:after="240"/>
        <w:ind w:left="720"/>
        <w:rPr>
          <w:szCs w:val="24"/>
        </w:rPr>
      </w:pPr>
      <w:r>
        <w:rPr>
          <w:szCs w:val="24"/>
        </w:rPr>
        <w:br w:type="page"/>
      </w:r>
    </w:p>
    <w:p w:rsidR="009501F1" w:rsidRPr="002D328A" w:rsidP="009501F1">
      <w:pPr>
        <w:tabs>
          <w:tab w:val="center" w:pos="4680"/>
        </w:tabs>
        <w:jc w:val="center"/>
        <w:rPr>
          <w:szCs w:val="24"/>
        </w:rPr>
      </w:pPr>
      <w:r w:rsidRPr="002D328A">
        <w:rPr>
          <w:szCs w:val="24"/>
        </w:rPr>
        <w:t>Docket TS-160479</w:t>
      </w:r>
    </w:p>
    <w:p w:rsidR="009501F1" w:rsidRPr="002D328A" w:rsidP="009501F1">
      <w:pPr>
        <w:tabs>
          <w:tab w:val="center" w:pos="4680"/>
        </w:tabs>
        <w:jc w:val="center"/>
        <w:rPr>
          <w:szCs w:val="24"/>
        </w:rPr>
      </w:pPr>
      <w:r w:rsidRPr="002D328A">
        <w:rPr>
          <w:szCs w:val="24"/>
        </w:rPr>
        <w:t>CERTIFICATE OF SERVICE</w:t>
      </w:r>
    </w:p>
    <w:p w:rsidR="009501F1" w:rsidRPr="007A5469" w:rsidP="009501F1">
      <w:pPr>
        <w:jc w:val="center"/>
        <w:rPr>
          <w:sz w:val="20"/>
          <w:szCs w:val="24"/>
        </w:rPr>
      </w:pPr>
    </w:p>
    <w:p w:rsidR="009501F1" w:rsidRPr="007A5469" w:rsidP="009501F1">
      <w:pPr>
        <w:spacing w:line="500" w:lineRule="exact"/>
        <w:ind w:firstLine="720"/>
        <w:jc w:val="both"/>
        <w:rPr>
          <w:sz w:val="22"/>
          <w:szCs w:val="24"/>
        </w:rPr>
      </w:pPr>
      <w:r w:rsidRPr="002D328A">
        <w:rPr>
          <w:szCs w:val="24"/>
        </w:rPr>
        <w:t xml:space="preserve">I certify that on </w:t>
      </w:r>
      <w:r>
        <w:rPr>
          <w:szCs w:val="24"/>
        </w:rPr>
        <w:t>February</w:t>
      </w:r>
      <w:r w:rsidRPr="002D328A">
        <w:rPr>
          <w:szCs w:val="24"/>
        </w:rPr>
        <w:t xml:space="preserve"> </w:t>
      </w:r>
      <w:r>
        <w:rPr>
          <w:szCs w:val="24"/>
        </w:rPr>
        <w:t>___</w:t>
      </w:r>
      <w:r w:rsidRPr="002D328A">
        <w:rPr>
          <w:szCs w:val="24"/>
        </w:rPr>
        <w:t xml:space="preserve">, </w:t>
      </w:r>
      <w:r>
        <w:rPr>
          <w:szCs w:val="24"/>
        </w:rPr>
        <w:t>2017</w:t>
      </w:r>
      <w:r w:rsidRPr="002D328A">
        <w:rPr>
          <w:szCs w:val="24"/>
        </w:rPr>
        <w:t xml:space="preserve">, I caused to be served the original </w:t>
      </w:r>
      <w:r w:rsidR="00222FC0">
        <w:rPr>
          <w:szCs w:val="24"/>
        </w:rPr>
        <w:t xml:space="preserve">and one copy </w:t>
      </w:r>
      <w:r w:rsidRPr="002D328A">
        <w:rPr>
          <w:szCs w:val="24"/>
        </w:rPr>
        <w:t>of the foregoing document to the following address via FedEx to:</w:t>
      </w:r>
    </w:p>
    <w:p w:rsidR="009501F1" w:rsidRPr="00222FC0" w:rsidP="009501F1">
      <w:pPr>
        <w:ind w:left="720"/>
        <w:rPr>
          <w:sz w:val="23"/>
          <w:szCs w:val="23"/>
        </w:rPr>
      </w:pPr>
      <w:r w:rsidRPr="00222FC0">
        <w:rPr>
          <w:sz w:val="23"/>
          <w:szCs w:val="23"/>
        </w:rPr>
        <w:t>Steven V. King, Executive Director and Secretary</w:t>
      </w:r>
    </w:p>
    <w:p w:rsidR="009501F1" w:rsidRPr="00222FC0" w:rsidP="009501F1">
      <w:pPr>
        <w:ind w:left="720"/>
        <w:rPr>
          <w:sz w:val="23"/>
          <w:szCs w:val="23"/>
        </w:rPr>
      </w:pPr>
      <w:r w:rsidRPr="00222FC0">
        <w:rPr>
          <w:sz w:val="23"/>
          <w:szCs w:val="23"/>
        </w:rPr>
        <w:t>Washington Utilities and Transportation Commission</w:t>
      </w:r>
    </w:p>
    <w:p w:rsidR="009501F1" w:rsidRPr="00222FC0" w:rsidP="009501F1">
      <w:pPr>
        <w:ind w:left="720"/>
        <w:rPr>
          <w:sz w:val="23"/>
          <w:szCs w:val="23"/>
        </w:rPr>
      </w:pPr>
      <w:r w:rsidRPr="00222FC0">
        <w:rPr>
          <w:sz w:val="23"/>
          <w:szCs w:val="23"/>
        </w:rPr>
        <w:t>Attn: Records Center</w:t>
      </w:r>
    </w:p>
    <w:p w:rsidR="009501F1" w:rsidRPr="00222FC0" w:rsidP="009501F1">
      <w:pPr>
        <w:ind w:left="720"/>
        <w:rPr>
          <w:sz w:val="23"/>
          <w:szCs w:val="23"/>
        </w:rPr>
      </w:pPr>
      <w:r w:rsidRPr="00222FC0">
        <w:rPr>
          <w:sz w:val="23"/>
          <w:szCs w:val="23"/>
        </w:rPr>
        <w:t>PO Box 47250</w:t>
      </w:r>
    </w:p>
    <w:p w:rsidR="009501F1" w:rsidRPr="00222FC0" w:rsidP="009501F1">
      <w:pPr>
        <w:ind w:left="720"/>
        <w:rPr>
          <w:sz w:val="23"/>
          <w:szCs w:val="23"/>
        </w:rPr>
      </w:pPr>
      <w:r w:rsidRPr="00222FC0">
        <w:rPr>
          <w:sz w:val="23"/>
          <w:szCs w:val="23"/>
        </w:rPr>
        <w:t>1300 S. Evergreen Park Dr. SW</w:t>
      </w:r>
    </w:p>
    <w:p w:rsidR="009501F1" w:rsidRPr="00222FC0" w:rsidP="009501F1">
      <w:pPr>
        <w:ind w:left="720"/>
        <w:rPr>
          <w:sz w:val="23"/>
          <w:szCs w:val="23"/>
        </w:rPr>
      </w:pPr>
      <w:r w:rsidRPr="00222FC0">
        <w:rPr>
          <w:sz w:val="23"/>
          <w:szCs w:val="23"/>
        </w:rPr>
        <w:t>Olympia, WA 98504-7250</w:t>
      </w:r>
    </w:p>
    <w:p w:rsidR="009501F1" w:rsidRPr="00222FC0" w:rsidP="009501F1">
      <w:pPr>
        <w:ind w:left="720"/>
        <w:rPr>
          <w:sz w:val="20"/>
          <w:szCs w:val="24"/>
        </w:rPr>
      </w:pPr>
    </w:p>
    <w:p w:rsidR="009501F1" w:rsidRPr="002D328A" w:rsidP="009501F1">
      <w:pPr>
        <w:spacing w:line="500" w:lineRule="exact"/>
        <w:ind w:firstLine="720"/>
        <w:jc w:val="both"/>
        <w:rPr>
          <w:b/>
          <w:bCs/>
          <w:szCs w:val="24"/>
        </w:rPr>
      </w:pPr>
      <w:r w:rsidRPr="002D328A">
        <w:rPr>
          <w:szCs w:val="24"/>
        </w:rPr>
        <w:t>I further certify that I have also provided to the Washington Utilities and Transportation Commission’s Secretary an official electronic file containing the foregoing document via the WUTC web portal; and served a copy via email to the following parties:</w:t>
      </w:r>
    </w:p>
    <w:tbl>
      <w:tblPr>
        <w:tblStyle w:val="TableGrid"/>
        <w:tblpPr w:leftFromText="180" w:rightFromText="180" w:vertAnchor="text" w:horzAnchor="margin" w:tblpY="10"/>
        <w:tblW w:w="0" w:type="auto"/>
        <w:tblLook w:val="04A0"/>
      </w:tblPr>
      <w:tblGrid>
        <w:gridCol w:w="4692"/>
        <w:gridCol w:w="4711"/>
      </w:tblGrid>
      <w:tr w:rsidTr="0096535F">
        <w:tblPrEx>
          <w:tblW w:w="0" w:type="auto"/>
          <w:tblLook w:val="04A0"/>
        </w:tblPrEx>
        <w:tc>
          <w:tcPr>
            <w:tcW w:w="4788" w:type="dxa"/>
          </w:tcPr>
          <w:p w:rsidR="009501F1" w:rsidRPr="007A5469" w:rsidP="0096535F">
            <w:pPr>
              <w:rPr>
                <w:sz w:val="23"/>
                <w:szCs w:val="23"/>
              </w:rPr>
            </w:pPr>
            <w:r w:rsidRPr="007A5469">
              <w:rPr>
                <w:b/>
                <w:i/>
                <w:sz w:val="23"/>
                <w:szCs w:val="23"/>
              </w:rPr>
              <w:t>For Washington Utilities and Transportation Commission Staff:</w:t>
            </w:r>
          </w:p>
          <w:p w:rsidR="009501F1" w:rsidRPr="007A5469" w:rsidP="0096535F">
            <w:pPr>
              <w:rPr>
                <w:sz w:val="23"/>
                <w:szCs w:val="23"/>
              </w:rPr>
            </w:pPr>
            <w:r w:rsidRPr="007A5469">
              <w:rPr>
                <w:sz w:val="23"/>
                <w:szCs w:val="23"/>
              </w:rPr>
              <w:t>Julian Beattie</w:t>
            </w:r>
          </w:p>
          <w:p w:rsidR="009501F1" w:rsidRPr="007A5469" w:rsidP="0096535F">
            <w:pPr>
              <w:rPr>
                <w:sz w:val="23"/>
                <w:szCs w:val="23"/>
              </w:rPr>
            </w:pPr>
            <w:r w:rsidRPr="007A5469">
              <w:rPr>
                <w:sz w:val="23"/>
                <w:szCs w:val="23"/>
              </w:rPr>
              <w:t>Office of the Attorney General</w:t>
            </w:r>
          </w:p>
          <w:p w:rsidR="009501F1" w:rsidRPr="007A5469" w:rsidP="0096535F">
            <w:pPr>
              <w:rPr>
                <w:sz w:val="23"/>
                <w:szCs w:val="23"/>
              </w:rPr>
            </w:pPr>
            <w:r w:rsidRPr="007A5469">
              <w:rPr>
                <w:sz w:val="23"/>
                <w:szCs w:val="23"/>
              </w:rPr>
              <w:t>Utilities and Transportation Division</w:t>
            </w:r>
          </w:p>
          <w:p w:rsidR="009501F1" w:rsidRPr="007A5469" w:rsidP="0096535F">
            <w:pPr>
              <w:rPr>
                <w:sz w:val="23"/>
                <w:szCs w:val="23"/>
              </w:rPr>
            </w:pPr>
            <w:r w:rsidRPr="007A5469">
              <w:rPr>
                <w:sz w:val="23"/>
                <w:szCs w:val="23"/>
              </w:rPr>
              <w:t>1400 S. Evergreen Park Drive SW</w:t>
            </w:r>
          </w:p>
          <w:p w:rsidR="009501F1" w:rsidRPr="007A5469" w:rsidP="0096535F">
            <w:pPr>
              <w:rPr>
                <w:sz w:val="23"/>
                <w:szCs w:val="23"/>
              </w:rPr>
            </w:pPr>
            <w:r w:rsidRPr="007A5469">
              <w:rPr>
                <w:sz w:val="23"/>
                <w:szCs w:val="23"/>
              </w:rPr>
              <w:t>P.O. Box 40128</w:t>
            </w:r>
          </w:p>
          <w:p w:rsidR="009501F1" w:rsidRPr="007A5469" w:rsidP="0096535F">
            <w:pPr>
              <w:rPr>
                <w:sz w:val="23"/>
                <w:szCs w:val="23"/>
              </w:rPr>
            </w:pPr>
            <w:r w:rsidRPr="007A5469">
              <w:rPr>
                <w:sz w:val="23"/>
                <w:szCs w:val="23"/>
              </w:rPr>
              <w:t>Olympia, WA 98504-0128</w:t>
            </w:r>
          </w:p>
          <w:p w:rsidR="009501F1" w:rsidRPr="007A5469" w:rsidP="0096535F">
            <w:pPr>
              <w:rPr>
                <w:sz w:val="23"/>
                <w:szCs w:val="23"/>
              </w:rPr>
            </w:pPr>
            <w:r w:rsidRPr="007A5469">
              <w:rPr>
                <w:sz w:val="23"/>
                <w:szCs w:val="23"/>
              </w:rPr>
              <w:t>Phone:  (360) 664-1225</w:t>
            </w:r>
          </w:p>
          <w:p w:rsidR="009501F1" w:rsidRPr="007A5469" w:rsidP="0096535F">
            <w:pPr>
              <w:rPr>
                <w:sz w:val="23"/>
                <w:szCs w:val="23"/>
              </w:rPr>
            </w:pPr>
            <w:r w:rsidRPr="007A5469">
              <w:rPr>
                <w:sz w:val="23"/>
                <w:szCs w:val="23"/>
              </w:rPr>
              <w:t xml:space="preserve">Email:  </w:t>
            </w:r>
            <w:r w:rsidRPr="007A5469">
              <w:rPr>
                <w:color w:val="0000FF"/>
                <w:sz w:val="23"/>
                <w:szCs w:val="23"/>
                <w:u w:val="single"/>
              </w:rPr>
              <w:t>jbeattie@utc.wa.gov</w:t>
            </w:r>
          </w:p>
        </w:tc>
        <w:tc>
          <w:tcPr>
            <w:tcW w:w="4788" w:type="dxa"/>
          </w:tcPr>
          <w:p w:rsidR="009501F1" w:rsidRPr="007A5469" w:rsidP="0096535F">
            <w:pPr>
              <w:rPr>
                <w:b/>
                <w:i/>
                <w:sz w:val="23"/>
                <w:szCs w:val="23"/>
              </w:rPr>
            </w:pPr>
            <w:r w:rsidRPr="007A5469">
              <w:rPr>
                <w:b/>
                <w:i/>
                <w:sz w:val="23"/>
                <w:szCs w:val="23"/>
              </w:rPr>
              <w:t>For MEI Northwest, LLC:</w:t>
            </w:r>
          </w:p>
          <w:p w:rsidR="009501F1" w:rsidRPr="007A5469" w:rsidP="0096535F">
            <w:pPr>
              <w:rPr>
                <w:sz w:val="23"/>
                <w:szCs w:val="23"/>
              </w:rPr>
            </w:pPr>
            <w:r w:rsidRPr="007A5469">
              <w:rPr>
                <w:sz w:val="23"/>
                <w:szCs w:val="23"/>
              </w:rPr>
              <w:t>Mr. Dan Bentson</w:t>
            </w:r>
          </w:p>
          <w:p w:rsidR="009501F1" w:rsidRPr="007A5469" w:rsidP="0096535F">
            <w:pPr>
              <w:rPr>
                <w:sz w:val="23"/>
                <w:szCs w:val="23"/>
              </w:rPr>
            </w:pPr>
            <w:r w:rsidRPr="007A5469">
              <w:rPr>
                <w:sz w:val="23"/>
                <w:szCs w:val="23"/>
              </w:rPr>
              <w:t>Bullivant, Houser, Bailey, PC</w:t>
            </w:r>
          </w:p>
          <w:p w:rsidR="009501F1" w:rsidRPr="007A5469" w:rsidP="0096535F">
            <w:pPr>
              <w:rPr>
                <w:sz w:val="23"/>
                <w:szCs w:val="23"/>
              </w:rPr>
            </w:pPr>
            <w:r w:rsidRPr="007A5469">
              <w:rPr>
                <w:sz w:val="23"/>
                <w:szCs w:val="23"/>
              </w:rPr>
              <w:t>1700 Seventh Ave, Suite 1810</w:t>
            </w:r>
          </w:p>
          <w:p w:rsidR="009501F1" w:rsidRPr="007A5469" w:rsidP="0096535F">
            <w:pPr>
              <w:rPr>
                <w:sz w:val="23"/>
                <w:szCs w:val="23"/>
              </w:rPr>
            </w:pPr>
            <w:r w:rsidRPr="007A5469">
              <w:rPr>
                <w:sz w:val="23"/>
                <w:szCs w:val="23"/>
              </w:rPr>
              <w:t>Seattle, WA 98101</w:t>
            </w:r>
          </w:p>
          <w:p w:rsidR="009501F1" w:rsidRPr="007A5469" w:rsidP="0096535F">
            <w:pPr>
              <w:rPr>
                <w:sz w:val="23"/>
                <w:szCs w:val="23"/>
              </w:rPr>
            </w:pPr>
            <w:r w:rsidRPr="007A5469">
              <w:rPr>
                <w:sz w:val="23"/>
                <w:szCs w:val="23"/>
              </w:rPr>
              <w:t xml:space="preserve">Email:  </w:t>
            </w:r>
            <w:r w:rsidRPr="007A5469">
              <w:rPr>
                <w:color w:val="0000FF"/>
                <w:sz w:val="23"/>
                <w:szCs w:val="23"/>
                <w:u w:val="single"/>
              </w:rPr>
              <w:t>dan.bentson@bullivant.com</w:t>
            </w:r>
          </w:p>
          <w:p w:rsidR="009501F1" w:rsidRPr="007A5469" w:rsidP="0096535F">
            <w:pPr>
              <w:tabs>
                <w:tab w:val="center" w:pos="4680"/>
              </w:tabs>
              <w:jc w:val="center"/>
              <w:rPr>
                <w:sz w:val="23"/>
                <w:szCs w:val="23"/>
              </w:rPr>
            </w:pPr>
          </w:p>
        </w:tc>
      </w:tr>
      <w:tr w:rsidTr="0096535F">
        <w:tblPrEx>
          <w:tblW w:w="0" w:type="auto"/>
          <w:tblLook w:val="04A0"/>
        </w:tblPrEx>
        <w:tc>
          <w:tcPr>
            <w:tcW w:w="4788" w:type="dxa"/>
          </w:tcPr>
          <w:p w:rsidR="009501F1" w:rsidRPr="007A5469" w:rsidP="0096535F">
            <w:pPr>
              <w:rPr>
                <w:b/>
                <w:i/>
                <w:sz w:val="23"/>
                <w:szCs w:val="23"/>
              </w:rPr>
            </w:pPr>
            <w:r w:rsidRPr="007A5469">
              <w:rPr>
                <w:b/>
                <w:i/>
                <w:sz w:val="23"/>
                <w:szCs w:val="23"/>
              </w:rPr>
              <w:t>For Pacific Cruises Northwest, LLC:</w:t>
            </w:r>
          </w:p>
          <w:p w:rsidR="009501F1" w:rsidP="0096535F">
            <w:pPr>
              <w:spacing w:line="250" w:lineRule="exact"/>
              <w:rPr>
                <w:sz w:val="23"/>
                <w:szCs w:val="23"/>
              </w:rPr>
            </w:pPr>
            <w:r>
              <w:rPr>
                <w:sz w:val="23"/>
                <w:szCs w:val="23"/>
              </w:rPr>
              <w:t>Judy Endejan</w:t>
            </w:r>
          </w:p>
          <w:p w:rsidR="00AC14B8" w:rsidP="0096535F">
            <w:pPr>
              <w:spacing w:line="250" w:lineRule="exact"/>
              <w:rPr>
                <w:sz w:val="23"/>
                <w:szCs w:val="23"/>
              </w:rPr>
            </w:pPr>
            <w:r>
              <w:rPr>
                <w:sz w:val="23"/>
                <w:szCs w:val="23"/>
              </w:rPr>
              <w:t>Garvey, Schubert, Barer</w:t>
            </w:r>
          </w:p>
          <w:p w:rsidR="00AC14B8" w:rsidP="0096535F">
            <w:pPr>
              <w:spacing w:line="250" w:lineRule="exact"/>
              <w:rPr>
                <w:sz w:val="23"/>
                <w:szCs w:val="23"/>
              </w:rPr>
            </w:pPr>
            <w:r>
              <w:rPr>
                <w:sz w:val="23"/>
                <w:szCs w:val="23"/>
              </w:rPr>
              <w:t>Second &amp;</w:t>
            </w:r>
            <w:r>
              <w:rPr>
                <w:sz w:val="23"/>
                <w:szCs w:val="23"/>
              </w:rPr>
              <w:t xml:space="preserve"> Seneca Building</w:t>
            </w:r>
          </w:p>
          <w:p w:rsidR="00AC14B8" w:rsidP="0096535F">
            <w:pPr>
              <w:spacing w:line="250" w:lineRule="exact"/>
              <w:rPr>
                <w:sz w:val="23"/>
                <w:szCs w:val="23"/>
              </w:rPr>
            </w:pPr>
            <w:r>
              <w:rPr>
                <w:sz w:val="23"/>
                <w:szCs w:val="23"/>
              </w:rPr>
              <w:t>1191 Second Avenue</w:t>
            </w:r>
          </w:p>
          <w:p w:rsidR="00AC14B8" w:rsidP="0096535F">
            <w:pPr>
              <w:spacing w:line="250" w:lineRule="exact"/>
              <w:rPr>
                <w:sz w:val="23"/>
                <w:szCs w:val="23"/>
              </w:rPr>
            </w:pPr>
            <w:r>
              <w:rPr>
                <w:sz w:val="23"/>
                <w:szCs w:val="23"/>
              </w:rPr>
              <w:t>18</w:t>
            </w:r>
            <w:r w:rsidRPr="00AC14B8">
              <w:rPr>
                <w:sz w:val="23"/>
                <w:szCs w:val="23"/>
                <w:vertAlign w:val="superscript"/>
              </w:rPr>
              <w:t>th</w:t>
            </w:r>
            <w:r>
              <w:rPr>
                <w:sz w:val="23"/>
                <w:szCs w:val="23"/>
              </w:rPr>
              <w:t xml:space="preserve"> Floor</w:t>
            </w:r>
          </w:p>
          <w:p w:rsidR="00AC14B8" w:rsidP="0096535F">
            <w:pPr>
              <w:spacing w:line="250" w:lineRule="exact"/>
              <w:rPr>
                <w:sz w:val="23"/>
                <w:szCs w:val="23"/>
              </w:rPr>
            </w:pPr>
            <w:r>
              <w:rPr>
                <w:sz w:val="23"/>
                <w:szCs w:val="23"/>
              </w:rPr>
              <w:t>Seattle, WA 98101-2939</w:t>
            </w:r>
          </w:p>
          <w:p w:rsidR="00AC14B8" w:rsidP="0096535F">
            <w:pPr>
              <w:spacing w:line="250" w:lineRule="exact"/>
              <w:rPr>
                <w:sz w:val="23"/>
                <w:szCs w:val="23"/>
              </w:rPr>
            </w:pPr>
            <w:r>
              <w:rPr>
                <w:sz w:val="23"/>
                <w:szCs w:val="23"/>
              </w:rPr>
              <w:t>Phone: 206-816-1351</w:t>
            </w:r>
          </w:p>
          <w:p w:rsidR="00AC14B8" w:rsidRPr="007A5469" w:rsidP="0056073F">
            <w:pPr>
              <w:spacing w:line="250" w:lineRule="exact"/>
              <w:rPr>
                <w:sz w:val="23"/>
                <w:szCs w:val="23"/>
              </w:rPr>
            </w:pPr>
            <w:r>
              <w:rPr>
                <w:sz w:val="23"/>
                <w:szCs w:val="23"/>
              </w:rPr>
              <w:t xml:space="preserve">Email: </w:t>
            </w:r>
            <w:r w:rsidRPr="00C044DB">
              <w:rPr>
                <w:rStyle w:val="DefaultParagraphFont"/>
                <w:sz w:val="23"/>
                <w:szCs w:val="23"/>
              </w:rPr>
              <w:t>jendejan@gsblaw.com</w:t>
            </w:r>
          </w:p>
        </w:tc>
        <w:tc>
          <w:tcPr>
            <w:tcW w:w="4788" w:type="dxa"/>
          </w:tcPr>
          <w:p w:rsidR="009501F1" w:rsidRPr="007A5469" w:rsidP="0096535F">
            <w:pPr>
              <w:rPr>
                <w:b/>
                <w:i/>
                <w:sz w:val="23"/>
                <w:szCs w:val="23"/>
              </w:rPr>
            </w:pPr>
            <w:r w:rsidRPr="007A5469">
              <w:rPr>
                <w:b/>
                <w:i/>
                <w:sz w:val="23"/>
                <w:szCs w:val="23"/>
              </w:rPr>
              <w:t>Administrative</w:t>
            </w:r>
            <w:r w:rsidRPr="007A5469">
              <w:rPr>
                <w:sz w:val="23"/>
                <w:szCs w:val="23"/>
              </w:rPr>
              <w:t xml:space="preserve"> </w:t>
            </w:r>
            <w:r w:rsidRPr="007A5469">
              <w:rPr>
                <w:b/>
                <w:i/>
                <w:sz w:val="23"/>
                <w:szCs w:val="23"/>
              </w:rPr>
              <w:t>Law Judge</w:t>
            </w:r>
          </w:p>
          <w:p w:rsidR="009501F1" w:rsidRPr="007A5469" w:rsidP="0096535F">
            <w:pPr>
              <w:rPr>
                <w:sz w:val="23"/>
                <w:szCs w:val="23"/>
              </w:rPr>
            </w:pPr>
            <w:r w:rsidRPr="007A5469">
              <w:rPr>
                <w:sz w:val="23"/>
                <w:szCs w:val="23"/>
              </w:rPr>
              <w:t>Judge Marguerite E. Friedlander</w:t>
            </w:r>
          </w:p>
          <w:p w:rsidR="009501F1" w:rsidRPr="007A5469" w:rsidP="0096535F">
            <w:pPr>
              <w:rPr>
                <w:sz w:val="23"/>
                <w:szCs w:val="23"/>
              </w:rPr>
            </w:pPr>
            <w:r w:rsidRPr="007A5469">
              <w:rPr>
                <w:sz w:val="23"/>
                <w:szCs w:val="23"/>
              </w:rPr>
              <w:t>WUTC</w:t>
            </w:r>
          </w:p>
          <w:p w:rsidR="009501F1" w:rsidRPr="007A5469" w:rsidP="0096535F">
            <w:pPr>
              <w:rPr>
                <w:sz w:val="23"/>
                <w:szCs w:val="23"/>
              </w:rPr>
            </w:pPr>
            <w:r w:rsidRPr="007A5469">
              <w:rPr>
                <w:sz w:val="23"/>
                <w:szCs w:val="23"/>
              </w:rPr>
              <w:t>1300 S. Evergreen Park Dr. SW</w:t>
            </w:r>
          </w:p>
          <w:p w:rsidR="009501F1" w:rsidRPr="007A5469" w:rsidP="0096535F">
            <w:pPr>
              <w:rPr>
                <w:sz w:val="23"/>
                <w:szCs w:val="23"/>
              </w:rPr>
            </w:pPr>
            <w:r w:rsidRPr="007A5469">
              <w:rPr>
                <w:sz w:val="23"/>
                <w:szCs w:val="23"/>
              </w:rPr>
              <w:t>PO Box 47250-7250</w:t>
            </w:r>
          </w:p>
          <w:p w:rsidR="009501F1" w:rsidRPr="007A5469" w:rsidP="0096535F">
            <w:pPr>
              <w:rPr>
                <w:sz w:val="23"/>
                <w:szCs w:val="23"/>
              </w:rPr>
            </w:pPr>
            <w:r w:rsidRPr="007A5469">
              <w:rPr>
                <w:sz w:val="23"/>
                <w:szCs w:val="23"/>
              </w:rPr>
              <w:t>Olympia, WA 98504</w:t>
            </w:r>
          </w:p>
          <w:p w:rsidR="009501F1" w:rsidP="0096535F">
            <w:pPr>
              <w:rPr>
                <w:sz w:val="23"/>
                <w:szCs w:val="23"/>
              </w:rPr>
            </w:pPr>
            <w:r w:rsidRPr="007A5469">
              <w:rPr>
                <w:sz w:val="23"/>
                <w:szCs w:val="23"/>
              </w:rPr>
              <w:t xml:space="preserve">Email: </w:t>
            </w:r>
            <w:r w:rsidRPr="00C044DB" w:rsidR="00AC14B8">
              <w:rPr>
                <w:rStyle w:val="DefaultParagraphFont"/>
                <w:sz w:val="23"/>
                <w:szCs w:val="23"/>
              </w:rPr>
              <w:t>mfriedla@utc.wa.gov</w:t>
            </w:r>
          </w:p>
          <w:p w:rsidR="00AC14B8" w:rsidRPr="007A5469" w:rsidP="0096535F">
            <w:pPr>
              <w:rPr>
                <w:sz w:val="23"/>
                <w:szCs w:val="23"/>
              </w:rPr>
            </w:pPr>
          </w:p>
          <w:p w:rsidR="009501F1" w:rsidRPr="007A5469" w:rsidP="0096535F">
            <w:pPr>
              <w:rPr>
                <w:b/>
                <w:i/>
                <w:sz w:val="23"/>
                <w:szCs w:val="23"/>
              </w:rPr>
            </w:pPr>
          </w:p>
        </w:tc>
      </w:tr>
    </w:tbl>
    <w:p w:rsidR="009501F1" w:rsidRPr="0056073F" w:rsidP="009501F1">
      <w:pPr>
        <w:ind w:left="720"/>
        <w:rPr>
          <w:sz w:val="16"/>
          <w:szCs w:val="24"/>
        </w:rPr>
      </w:pPr>
    </w:p>
    <w:p w:rsidR="009501F1" w:rsidP="009501F1">
      <w:pPr>
        <w:spacing w:after="240"/>
        <w:ind w:left="720"/>
        <w:rPr>
          <w:szCs w:val="24"/>
        </w:rPr>
      </w:pPr>
      <w:r w:rsidRPr="002D328A">
        <w:rPr>
          <w:szCs w:val="24"/>
        </w:rPr>
        <w:t xml:space="preserve">Signed at Seattle, Washington this </w:t>
      </w:r>
      <w:r>
        <w:rPr>
          <w:szCs w:val="24"/>
        </w:rPr>
        <w:t>___</w:t>
      </w:r>
      <w:r w:rsidRPr="007A5469">
        <w:rPr>
          <w:szCs w:val="24"/>
          <w:vertAlign w:val="superscript"/>
        </w:rPr>
        <w:t>th</w:t>
      </w:r>
      <w:r>
        <w:rPr>
          <w:szCs w:val="24"/>
        </w:rPr>
        <w:t xml:space="preserve"> </w:t>
      </w:r>
      <w:r w:rsidRPr="002D328A">
        <w:rPr>
          <w:szCs w:val="24"/>
        </w:rPr>
        <w:t xml:space="preserve">day of </w:t>
      </w:r>
      <w:r>
        <w:rPr>
          <w:szCs w:val="24"/>
        </w:rPr>
        <w:t>February</w:t>
      </w:r>
      <w:r w:rsidRPr="002D328A">
        <w:rPr>
          <w:szCs w:val="24"/>
        </w:rPr>
        <w:t xml:space="preserve"> 201</w:t>
      </w:r>
      <w:r>
        <w:rPr>
          <w:szCs w:val="24"/>
        </w:rPr>
        <w:t>7</w:t>
      </w:r>
    </w:p>
    <w:tbl>
      <w:tblPr>
        <w:tblpPr w:leftFromText="180" w:rightFromText="180" w:vertAnchor="text" w:horzAnchor="margin" w:tblpX="108" w:tblpY="122"/>
        <w:tblW w:w="9360" w:type="dxa"/>
        <w:tblLook w:val="01E0"/>
      </w:tblPr>
      <w:tblGrid>
        <w:gridCol w:w="4680"/>
        <w:gridCol w:w="4680"/>
      </w:tblGrid>
      <w:tr w:rsidTr="0056073F">
        <w:tblPrEx>
          <w:tblW w:w="9360" w:type="dxa"/>
          <w:tblLook w:val="01E0"/>
        </w:tblPrEx>
        <w:trPr>
          <w:trHeight w:val="1260"/>
        </w:trPr>
        <w:tc>
          <w:tcPr>
            <w:tcW w:w="4680" w:type="dxa"/>
            <w:shd w:val="clear" w:color="auto" w:fill="auto"/>
          </w:tcPr>
          <w:p w:rsidR="009501F1" w:rsidRPr="00F65BBB" w:rsidP="0096535F"/>
        </w:tc>
        <w:tc>
          <w:tcPr>
            <w:tcW w:w="4680" w:type="dxa"/>
            <w:shd w:val="clear" w:color="auto" w:fill="auto"/>
          </w:tcPr>
          <w:p w:rsidR="009501F1" w:rsidRPr="00F65BBB" w:rsidP="0096535F">
            <w:pPr>
              <w:tabs>
                <w:tab w:val="left" w:pos="432"/>
                <w:tab w:val="right" w:pos="4482"/>
              </w:tabs>
              <w:rPr>
                <w:u w:val="single"/>
              </w:rPr>
            </w:pPr>
            <w:r w:rsidRPr="00F65BBB">
              <w:rPr>
                <w:u w:val="single"/>
              </w:rPr>
              <w:t>___________________________________</w:t>
            </w:r>
          </w:p>
          <w:p w:rsidR="009501F1" w:rsidRPr="0056073F" w:rsidP="0096535F">
            <w:pPr>
              <w:ind w:left="806" w:hanging="806"/>
              <w:rPr>
                <w:sz w:val="23"/>
                <w:szCs w:val="23"/>
              </w:rPr>
            </w:pPr>
            <w:r w:rsidRPr="0056073F">
              <w:rPr>
                <w:sz w:val="23"/>
                <w:szCs w:val="23"/>
              </w:rPr>
              <w:t>Maggi Gruber</w:t>
            </w:r>
          </w:p>
          <w:p w:rsidR="009501F1" w:rsidRPr="0056073F" w:rsidP="0096535F">
            <w:pPr>
              <w:ind w:left="806" w:hanging="806"/>
              <w:rPr>
                <w:sz w:val="23"/>
                <w:szCs w:val="23"/>
              </w:rPr>
            </w:pPr>
            <w:r w:rsidRPr="0056073F">
              <w:rPr>
                <w:sz w:val="23"/>
                <w:szCs w:val="23"/>
              </w:rPr>
              <w:t>Legal Assistant</w:t>
            </w:r>
          </w:p>
          <w:p w:rsidR="009501F1" w:rsidRPr="0056073F" w:rsidP="0096535F">
            <w:pPr>
              <w:ind w:left="806" w:hanging="806"/>
              <w:rPr>
                <w:sz w:val="23"/>
                <w:szCs w:val="23"/>
              </w:rPr>
            </w:pPr>
            <w:r w:rsidRPr="0056073F">
              <w:rPr>
                <w:sz w:val="23"/>
                <w:szCs w:val="23"/>
              </w:rPr>
              <w:t>Williams Kastner &amp; Gibbs PLLC</w:t>
            </w:r>
          </w:p>
          <w:p w:rsidR="009501F1" w:rsidRPr="00F65BBB" w:rsidP="0096535F">
            <w:pPr>
              <w:ind w:left="806" w:hanging="806"/>
            </w:pPr>
            <w:r w:rsidRPr="0056073F">
              <w:rPr>
                <w:sz w:val="23"/>
                <w:szCs w:val="23"/>
              </w:rPr>
              <w:t>mgruber@williamskastner.com</w:t>
            </w:r>
          </w:p>
        </w:tc>
      </w:tr>
    </w:tbl>
    <w:p w:rsidR="009501F1" w:rsidRPr="002D328A" w:rsidP="00222FC0">
      <w:pPr>
        <w:spacing w:after="240"/>
        <w:rPr>
          <w:szCs w:val="24"/>
        </w:rPr>
      </w:pPr>
    </w:p>
    <w:sectPr w:rsidSect="00BC0504">
      <w:footerReference w:type="default" r:id="rId5"/>
      <w:footerReference w:type="first" r:id="rId6"/>
      <w:pgSz w:w="12240" w:h="15840" w:code="1"/>
      <w:pgMar w:top="1440" w:right="1512" w:bottom="1800" w:left="1541" w:header="720" w:footer="576" w:gutter="0"/>
      <w:paperSrc w:first="261" w:other="26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666" w:type="dxa"/>
      <w:tblBorders>
        <w:top w:val="nil"/>
        <w:left w:val="nil"/>
        <w:bottom w:val="nil"/>
        <w:right w:val="nil"/>
        <w:insideH w:val="nil"/>
        <w:insideV w:val="nil"/>
      </w:tblBorders>
      <w:tblLayout w:type="fixed"/>
      <w:tblLook w:val="01E0"/>
    </w:tblPr>
    <w:tblGrid>
      <w:gridCol w:w="6019"/>
      <w:gridCol w:w="236"/>
      <w:gridCol w:w="3411"/>
    </w:tblGrid>
    <w:tr>
      <w:tblPrEx>
        <w:tblW w:w="9666" w:type="dxa"/>
        <w:tblBorders>
          <w:top w:val="nil"/>
          <w:left w:val="nil"/>
          <w:bottom w:val="nil"/>
          <w:right w:val="nil"/>
          <w:insideH w:val="nil"/>
          <w:insideV w:val="nil"/>
        </w:tblBorders>
        <w:tblLayout w:type="fixed"/>
        <w:tblLook w:val="01E0"/>
      </w:tblPrEx>
      <w:tc>
        <w:tcPr>
          <w:tcW w:w="6019" w:type="dxa"/>
        </w:tcPr>
        <w:p w:rsidR="00A14C27">
          <w:pPr>
            <w:pStyle w:val="Footer"/>
            <w:spacing w:before="100"/>
            <w:rPr>
              <w:rStyle w:val="PageNumber"/>
            </w:rPr>
          </w:pPr>
          <w:r>
            <w:fldChar w:fldCharType="begin"/>
          </w:r>
          <w:r>
            <w:instrText xml:space="preserve"> STYLEREF  Title  \* MERGEFORMAT </w:instrText>
          </w:r>
          <w:r>
            <w:fldChar w:fldCharType="separate"/>
          </w:r>
          <w:r>
            <w:rPr>
              <w:noProof/>
              <w:sz w:val="20"/>
              <w:lang w:val="en-US" w:eastAsia="en-US" w:bidi="ar-SA"/>
            </w:rPr>
            <w:t>RESPONSE OF ARROW LAUNCH SERVICE, INC. TO MEI NORTHWEST LLC’S MOTION TO STRIKE PORTIONS OF THE PREFILED SURREBUTTAL TESTIMONY OF JACK HARMON FILED JANUARY 26, 2017 (EXHIBIT NO. ___(JLH-10T).</w:t>
          </w:r>
          <w:r>
            <w:rPr>
              <w:noProof/>
            </w:rPr>
            <w:fldChar w:fldCharType="end"/>
          </w:r>
          <w:r w:rsidR="0009476F">
            <w:t xml:space="preserve"> - </w:t>
          </w:r>
          <w:r w:rsidR="0009476F">
            <w:rPr>
              <w:rStyle w:val="PageNumber"/>
            </w:rPr>
            <w:fldChar w:fldCharType="begin"/>
          </w:r>
          <w:r w:rsidR="0009476F">
            <w:rPr>
              <w:rStyle w:val="PageNumber"/>
            </w:rPr>
            <w:instrText xml:space="preserve"> PAGE </w:instrText>
          </w:r>
          <w:r w:rsidR="0009476F">
            <w:rPr>
              <w:rStyle w:val="PageNumber"/>
            </w:rPr>
            <w:fldChar w:fldCharType="separate"/>
          </w:r>
          <w:r w:rsidR="0009476F">
            <w:rPr>
              <w:rStyle w:val="PageNumber"/>
            </w:rPr>
            <w:t>7</w:t>
          </w:r>
          <w:r w:rsidR="0009476F">
            <w:rPr>
              <w:rStyle w:val="PageNumber"/>
            </w:rPr>
            <w:fldChar w:fldCharType="end"/>
          </w:r>
        </w:p>
        <w:p w:rsidR="00A14C27">
          <w:pPr>
            <w:pStyle w:val="Footer"/>
          </w:pPr>
        </w:p>
      </w:tc>
      <w:tc>
        <w:tcPr>
          <w:tcW w:w="236" w:type="dxa"/>
        </w:tcPr>
        <w:p w:rsidR="00A14C27">
          <w:pPr>
            <w:pStyle w:val="Footer"/>
          </w:pPr>
        </w:p>
      </w:tc>
      <w:tc>
        <w:tcPr>
          <w:tcW w:w="3411" w:type="dxa"/>
        </w:tcPr>
        <w:p w:rsidR="00A14C27">
          <w:pPr>
            <w:pStyle w:val="FirmName"/>
            <w:spacing w:before="100"/>
            <w:ind w:left="-14"/>
            <w:rPr>
              <w:b/>
            </w:rPr>
          </w:pPr>
          <w:r>
            <w:rPr>
              <w:b/>
            </w:rPr>
            <w:t>Williams, Kastner &amp; Gibbs PLLC</w:t>
          </w:r>
        </w:p>
        <w:p w:rsidR="00A14C27">
          <w:pPr>
            <w:pStyle w:val="FirmName"/>
          </w:pPr>
          <w:bookmarkStart w:id="10" w:name="AddressInFooter"/>
          <w:bookmarkStart w:id="11" w:name="Seattle"/>
          <w:bookmarkEnd w:id="10"/>
          <w:r>
            <w:t>601 Union Street, Suite 4100</w:t>
          </w:r>
        </w:p>
        <w:p w:rsidR="00A14C27">
          <w:pPr>
            <w:pStyle w:val="FirmName"/>
          </w:pPr>
          <w:r>
            <w:t>Seattle, Washington 98101-2380</w:t>
          </w:r>
        </w:p>
        <w:p w:rsidR="00A14C27">
          <w:pPr>
            <w:pStyle w:val="FirmName"/>
            <w:ind w:left="-14"/>
          </w:pPr>
          <w:r>
            <w:tab/>
            <w:t>(206) 628-6600</w:t>
          </w:r>
          <w:bookmarkEnd w:id="11"/>
        </w:p>
      </w:tc>
    </w:tr>
  </w:tbl>
  <w:p w:rsidR="00A14C27" w:rsidP="00A813F3">
    <w:pPr>
      <w:pStyle w:val="Footer"/>
      <w:spacing w:line="160" w:lineRule="exact"/>
      <w:rPr>
        <w:sz w:val="16"/>
        <w:szCs w:val="18"/>
      </w:rPr>
    </w:pPr>
    <w:r>
      <w:rPr>
        <w:sz w:val="16"/>
        <w:szCs w:val="18"/>
      </w:rPr>
      <w:fldChar w:fldCharType="begin"/>
    </w:r>
    <w:r>
      <w:rPr>
        <w:sz w:val="16"/>
        <w:szCs w:val="18"/>
      </w:rPr>
      <w:instrText xml:space="preserve"> </w:instrText>
    </w:r>
    <w:r w:rsidRPr="00A813F3">
      <w:rPr>
        <w:sz w:val="16"/>
        <w:szCs w:val="18"/>
      </w:rPr>
      <w:instrText>IF "</w:instrText>
    </w:r>
    <w:r w:rsidRPr="00A813F3">
      <w:rPr>
        <w:sz w:val="16"/>
        <w:szCs w:val="18"/>
      </w:rPr>
      <w:instrText>1</w:instrText>
    </w:r>
    <w:r w:rsidRPr="00A813F3">
      <w:rPr>
        <w:sz w:val="16"/>
        <w:szCs w:val="18"/>
      </w:rPr>
      <w:instrText>" = "1" "</w:instrText>
    </w:r>
    <w:r w:rsidRPr="00A813F3">
      <w:rPr>
        <w:sz w:val="16"/>
        <w:szCs w:val="18"/>
      </w:rPr>
      <w:fldChar w:fldCharType="begin"/>
    </w:r>
    <w:r w:rsidRPr="00A813F3">
      <w:rPr>
        <w:sz w:val="16"/>
        <w:szCs w:val="18"/>
      </w:rPr>
      <w:instrText xml:space="preserve"> DOCPROPERTY "SWDocID" </w:instrText>
    </w:r>
    <w:r w:rsidRPr="00A813F3">
      <w:rPr>
        <w:sz w:val="16"/>
        <w:szCs w:val="18"/>
      </w:rPr>
      <w:fldChar w:fldCharType="separate"/>
    </w:r>
    <w:r w:rsidRPr="00A813F3">
      <w:rPr>
        <w:sz w:val="16"/>
        <w:szCs w:val="18"/>
      </w:rPr>
      <w:instrText xml:space="preserve"> 5979553.2</w:instrText>
    </w:r>
    <w:r w:rsidRPr="00A813F3">
      <w:rPr>
        <w:sz w:val="16"/>
        <w:szCs w:val="18"/>
      </w:rPr>
      <w:fldChar w:fldCharType="end"/>
    </w:r>
    <w:r w:rsidRPr="00A813F3">
      <w:rPr>
        <w:sz w:val="16"/>
        <w:szCs w:val="18"/>
      </w:rPr>
      <w:instrText>" ""</w:instrText>
    </w:r>
    <w:r>
      <w:rPr>
        <w:sz w:val="16"/>
        <w:szCs w:val="18"/>
      </w:rPr>
      <w:instrText xml:space="preserve"> </w:instrText>
    </w:r>
    <w:r>
      <w:rPr>
        <w:sz w:val="16"/>
        <w:szCs w:val="18"/>
      </w:rPr>
      <w:fldChar w:fldCharType="separate"/>
    </w:r>
    <w:r w:rsidRPr="00A813F3">
      <w:rPr>
        <w:sz w:val="16"/>
        <w:szCs w:val="18"/>
      </w:rPr>
      <w:t xml:space="preserve"> 5979553.2</w:t>
    </w:r>
    <w:r>
      <w:rPr>
        <w:sz w:val="16"/>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666" w:type="dxa"/>
      <w:tblBorders>
        <w:top w:val="nil"/>
        <w:left w:val="nil"/>
        <w:bottom w:val="nil"/>
        <w:right w:val="nil"/>
        <w:insideH w:val="nil"/>
        <w:insideV w:val="nil"/>
      </w:tblBorders>
      <w:tblLayout w:type="fixed"/>
      <w:tblLook w:val="01E0"/>
    </w:tblPr>
    <w:tblGrid>
      <w:gridCol w:w="6019"/>
      <w:gridCol w:w="236"/>
      <w:gridCol w:w="3411"/>
    </w:tblGrid>
    <w:tr w:rsidTr="00CC7FD9">
      <w:tblPrEx>
        <w:tblW w:w="9666" w:type="dxa"/>
        <w:tblBorders>
          <w:top w:val="nil"/>
          <w:left w:val="nil"/>
          <w:bottom w:val="nil"/>
          <w:right w:val="nil"/>
          <w:insideH w:val="nil"/>
          <w:insideV w:val="nil"/>
        </w:tblBorders>
        <w:tblLayout w:type="fixed"/>
        <w:tblLook w:val="01E0"/>
      </w:tblPrEx>
      <w:tc>
        <w:tcPr>
          <w:tcW w:w="6019" w:type="dxa"/>
        </w:tcPr>
        <w:p w:rsidR="00DB0782" w:rsidP="00CC7FD9">
          <w:pPr>
            <w:pStyle w:val="Footer"/>
            <w:spacing w:before="100"/>
            <w:rPr>
              <w:rStyle w:val="PageNumber"/>
            </w:rPr>
          </w:pPr>
          <w:r>
            <w:fldChar w:fldCharType="begin"/>
          </w:r>
          <w:r>
            <w:instrText xml:space="preserve"> STYLEREF  Title  \* MERGEFORMAT </w:instrText>
          </w:r>
          <w:r>
            <w:fldChar w:fldCharType="separate"/>
          </w:r>
          <w:r>
            <w:rPr>
              <w:noProof/>
              <w:sz w:val="20"/>
              <w:lang w:val="en-US" w:eastAsia="en-US" w:bidi="ar-SA"/>
            </w:rPr>
            <w:t>RESPONSE OF ARROW LAUNCH SERVICE, INC. TO MEI NORTHWEST LLC’S MOTION TO STRIKE PORTIONS OF THE PREFILED SURREBUTTAL TESTIMONY OF JACK HARMON FILED JANUARY 26, 2017 (EXHIBIT NO. ___(JLH-10T).</w:t>
          </w:r>
          <w:r>
            <w:rPr>
              <w:noProof/>
            </w:rPr>
            <w:fldChar w:fldCharType="end"/>
          </w:r>
          <w:r>
            <w:t xml:space="preserve"> -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DB0782" w:rsidP="00CC7FD9">
          <w:pPr>
            <w:pStyle w:val="Footer"/>
          </w:pPr>
        </w:p>
      </w:tc>
      <w:tc>
        <w:tcPr>
          <w:tcW w:w="236" w:type="dxa"/>
        </w:tcPr>
        <w:p w:rsidR="00DB0782" w:rsidP="00CC7FD9">
          <w:pPr>
            <w:pStyle w:val="Footer"/>
          </w:pPr>
        </w:p>
      </w:tc>
      <w:tc>
        <w:tcPr>
          <w:tcW w:w="3411" w:type="dxa"/>
        </w:tcPr>
        <w:p w:rsidR="00DB0782" w:rsidP="00CC7FD9">
          <w:pPr>
            <w:pStyle w:val="FirmName"/>
            <w:spacing w:before="100"/>
            <w:ind w:left="-14"/>
            <w:rPr>
              <w:b/>
            </w:rPr>
          </w:pPr>
          <w:r>
            <w:rPr>
              <w:b/>
            </w:rPr>
            <w:t>Williams, Kastner &amp; Gibbs PLLC</w:t>
          </w:r>
        </w:p>
        <w:p w:rsidR="00DB0782" w:rsidP="00CC7FD9">
          <w:pPr>
            <w:pStyle w:val="FirmName"/>
          </w:pPr>
          <w:r>
            <w:t>601 Union Street, Suite 4100</w:t>
          </w:r>
        </w:p>
        <w:p w:rsidR="00DB0782" w:rsidP="00CC7FD9">
          <w:pPr>
            <w:pStyle w:val="FirmName"/>
          </w:pPr>
          <w:r>
            <w:t>Seattle, Washington 98101-2380</w:t>
          </w:r>
        </w:p>
        <w:p w:rsidR="00DB0782" w:rsidP="00CC7FD9">
          <w:pPr>
            <w:pStyle w:val="FirmName"/>
            <w:ind w:left="-14"/>
          </w:pPr>
          <w:r>
            <w:tab/>
            <w:t>(206) 628-6600</w:t>
          </w:r>
        </w:p>
      </w:tc>
    </w:tr>
  </w:tbl>
  <w:p w:rsidR="00A14C27" w:rsidP="00A813F3">
    <w:pPr>
      <w:pStyle w:val="Footer"/>
    </w:pPr>
    <w:r>
      <w:rPr>
        <w:sz w:val="16"/>
      </w:rPr>
      <w:fldChar w:fldCharType="begin"/>
    </w:r>
    <w:r>
      <w:rPr>
        <w:sz w:val="16"/>
      </w:rPr>
      <w:instrText xml:space="preserve"> </w:instrText>
    </w:r>
    <w:r w:rsidRPr="00A813F3">
      <w:rPr>
        <w:sz w:val="16"/>
      </w:rPr>
      <w:instrText>IF "</w:instrText>
    </w:r>
    <w:r w:rsidRPr="00A813F3">
      <w:rPr>
        <w:sz w:val="16"/>
      </w:rPr>
      <w:instrText>1</w:instrText>
    </w:r>
    <w:r w:rsidRPr="00A813F3">
      <w:rPr>
        <w:sz w:val="16"/>
      </w:rPr>
      <w:instrText>" = "1" "</w:instrText>
    </w:r>
    <w:r w:rsidRPr="00A813F3">
      <w:rPr>
        <w:sz w:val="16"/>
      </w:rPr>
      <w:fldChar w:fldCharType="begin"/>
    </w:r>
    <w:r w:rsidRPr="00A813F3">
      <w:rPr>
        <w:sz w:val="16"/>
      </w:rPr>
      <w:instrText xml:space="preserve"> DOCPROPERTY "SWDocID" </w:instrText>
    </w:r>
    <w:r w:rsidRPr="00A813F3">
      <w:rPr>
        <w:sz w:val="16"/>
      </w:rPr>
      <w:fldChar w:fldCharType="separate"/>
    </w:r>
    <w:r w:rsidRPr="00A813F3">
      <w:rPr>
        <w:sz w:val="16"/>
      </w:rPr>
      <w:instrText xml:space="preserve"> 5979553.2</w:instrText>
    </w:r>
    <w:r w:rsidRPr="00A813F3">
      <w:rPr>
        <w:sz w:val="16"/>
      </w:rPr>
      <w:fldChar w:fldCharType="end"/>
    </w:r>
    <w:r w:rsidRPr="00A813F3">
      <w:rPr>
        <w:sz w:val="16"/>
      </w:rPr>
      <w:instrText>" ""</w:instrText>
    </w:r>
    <w:r>
      <w:rPr>
        <w:sz w:val="16"/>
      </w:rPr>
      <w:instrText xml:space="preserve"> </w:instrText>
    </w:r>
    <w:r>
      <w:rPr>
        <w:sz w:val="16"/>
      </w:rPr>
      <w:fldChar w:fldCharType="separate"/>
    </w:r>
    <w:r w:rsidRPr="00A813F3">
      <w:rPr>
        <w:sz w:val="16"/>
      </w:rPr>
      <w:t xml:space="preserve"> 5979553.2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9476F">
      <w:pPr>
        <w:spacing w:line="240" w:lineRule="auto"/>
      </w:pPr>
      <w:r>
        <w:separator/>
      </w:r>
    </w:p>
  </w:footnote>
  <w:footnote w:type="continuationSeparator" w:id="1">
    <w:p w:rsidR="0009476F">
      <w:pPr>
        <w:spacing w:line="240" w:lineRule="auto"/>
      </w:pPr>
      <w:r>
        <w:continuationSeparator/>
      </w:r>
    </w:p>
  </w:footnote>
  <w:footnote w:id="2">
    <w:p w:rsidR="008E0347">
      <w:pPr>
        <w:pStyle w:val="FootnoteText"/>
      </w:pPr>
      <w:r>
        <w:rPr>
          <w:rStyle w:val="FootnoteReference"/>
        </w:rPr>
        <w:footnoteRef/>
      </w:r>
      <w:r>
        <w:t xml:space="preserve"> MEI’s Motion to Strike, ¶11.</w:t>
      </w:r>
    </w:p>
  </w:footnote>
  <w:footnote w:id="3">
    <w:p w:rsidR="00ED61AC">
      <w:pPr>
        <w:pStyle w:val="FootnoteText"/>
      </w:pPr>
      <w:r>
        <w:rPr>
          <w:rStyle w:val="FootnoteReference"/>
        </w:rPr>
        <w:footnoteRef/>
      </w:r>
      <w:r>
        <w:t xml:space="preserve"> Hearing transcript, 35: 15-21.</w:t>
      </w:r>
    </w:p>
  </w:footnote>
  <w:footnote w:id="4">
    <w:p w:rsidR="00ED61AC">
      <w:pPr>
        <w:pStyle w:val="FootnoteText"/>
      </w:pPr>
      <w:r>
        <w:rPr>
          <w:rStyle w:val="FootnoteReference"/>
        </w:rPr>
        <w:footnoteRef/>
      </w:r>
      <w:r>
        <w:t xml:space="preserve"> MEI’s Motion to Strike, ¶ 17.</w:t>
      </w:r>
    </w:p>
  </w:footnote>
  <w:footnote w:id="5">
    <w:p w:rsidR="00E558EF">
      <w:pPr>
        <w:pStyle w:val="FootnoteText"/>
      </w:pPr>
      <w:r>
        <w:rPr>
          <w:rStyle w:val="FootnoteReference"/>
        </w:rPr>
        <w:footnoteRef/>
      </w:r>
      <w:r>
        <w:t xml:space="preserve"> Emphasis in original.</w:t>
      </w:r>
    </w:p>
  </w:footnote>
  <w:footnote w:id="6">
    <w:p w:rsidR="00ED61AC">
      <w:pPr>
        <w:pStyle w:val="FootnoteText"/>
      </w:pPr>
      <w:r>
        <w:rPr>
          <w:rStyle w:val="FootnoteReference"/>
        </w:rPr>
        <w:footnoteRef/>
      </w:r>
      <w:r>
        <w:t xml:space="preserve"> Rebuttal Testimony of Randy S. Esch (Exhibit No. ___(RSE-7T)), p. 13 (emphasis added).</w:t>
      </w:r>
    </w:p>
  </w:footnote>
  <w:footnote w:id="7">
    <w:p w:rsidR="00ED61AC" w:rsidRPr="00ED61AC">
      <w:pPr>
        <w:pStyle w:val="FootnoteText"/>
      </w:pPr>
      <w:r>
        <w:rPr>
          <w:rStyle w:val="FootnoteReference"/>
        </w:rPr>
        <w:footnoteRef/>
      </w:r>
      <w:r>
        <w:t xml:space="preserve"> </w:t>
      </w:r>
      <w:r>
        <w:rPr>
          <w:i/>
        </w:rPr>
        <w:t>Id.</w:t>
      </w:r>
      <w:r>
        <w:t xml:space="preserve"> at p. 15</w:t>
      </w:r>
      <w:r w:rsidR="00EF4D55">
        <w:t xml:space="preserve">: 3- p. 16: 4. </w:t>
      </w:r>
      <w:r>
        <w:t xml:space="preserve"> (emphasis added).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B8777E"/>
    <w:multiLevelType w:val="multilevel"/>
    <w:tmpl w:val="EC007A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62F4BC7"/>
    <w:multiLevelType w:val="hybridMultilevel"/>
    <w:tmpl w:val="9BB4CD42"/>
    <w:lvl w:ilvl="0">
      <w:start w:val="4"/>
      <w:numFmt w:val="decimal"/>
      <w:lvlText w:val="%1"/>
      <w:lvlJc w:val="left"/>
      <w:pPr>
        <w:ind w:left="0" w:hanging="720"/>
      </w:pPr>
      <w:rPr>
        <w:rFonts w:hint="default"/>
        <w:b w:val="0"/>
        <w: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2187C20"/>
    <w:multiLevelType w:val="multilevel"/>
    <w:tmpl w:val="C6542B36"/>
    <w:lvl w:ilvl="0">
      <w:start w:val="1"/>
      <w:numFmt w:val="upperRoman"/>
      <w:pStyle w:val="meitestimony1"/>
      <w:suff w:val="nothing"/>
      <w:lvlText w:val="%1.  "/>
      <w:lvlJc w:val="left"/>
      <w:pPr>
        <w:tabs>
          <w:tab w:val="num" w:pos="0"/>
        </w:tabs>
        <w:ind w:left="0" w:firstLine="0"/>
      </w:pPr>
      <w:rPr>
        <w:rFonts w:ascii="Times New Roman" w:hAnsi="Times New Roman" w:cs="Times New Roman"/>
        <w:b/>
        <w:i w:val="0"/>
        <w:caps/>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none"/>
      <w:pStyle w:val="meitestimony2"/>
      <w:lvlText w:val="Q:%2"/>
      <w:lvlJc w:val="left"/>
      <w:pPr>
        <w:tabs>
          <w:tab w:val="num" w:pos="0"/>
        </w:tabs>
        <w:ind w:left="720" w:hanging="720"/>
      </w:pPr>
      <w:rPr>
        <w:rFonts w:ascii="Times New Roman" w:hAnsi="Times New Roman" w:cs="Times New Roman"/>
        <w:b/>
        <w:i w:val="0"/>
        <w:caps/>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none"/>
      <w:pStyle w:val="meitestimony3"/>
      <w:lvlText w:val="A:%3"/>
      <w:lvlJc w:val="left"/>
      <w:pPr>
        <w:tabs>
          <w:tab w:val="num" w:pos="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none"/>
      <w:pStyle w:val="meitestimony4"/>
      <w:suff w:val="nothing"/>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meitestimony5"/>
      <w:suff w:val="nothing"/>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meitestimony6"/>
      <w:suff w:val="nothing"/>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meitestimony7"/>
      <w:suff w:val="nothing"/>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meitestimony8"/>
      <w:suff w:val="nothing"/>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meitestimony9"/>
      <w:suff w:val="nothing"/>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15">
    <w:nsid w:val="37765641"/>
    <w:multiLevelType w:val="multilevel"/>
    <w:tmpl w:val="3858025A"/>
    <w:lvl w:ilvl="0">
      <w:start w:val="1"/>
      <w:numFmt w:val="upperRoman"/>
      <w:pStyle w:val="Heading1"/>
      <w:suff w:val="nothing"/>
      <w:lvlText w:val="%1.  "/>
      <w:lvlJc w:val="left"/>
      <w:pPr>
        <w:ind w:left="270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cap="rnd">
          <w14:noFill/>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cap="rnd">
          <w14:noFill/>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cap="rnd">
          <w14:noFill/>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cap="rnd">
          <w14:noFill/>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cap="rnd">
          <w14:noFill/>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cap="rnd">
          <w14:noFill/>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cap="rnd">
          <w14:noFill/>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cap="rnd">
          <w14:noFill/>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cap="rnd">
          <w14:noFill/>
          <w14:bevel/>
        </w14:textOutline>
      </w:rPr>
    </w:lvl>
  </w:abstractNum>
  <w:abstractNum w:abstractNumId="16">
    <w:nsid w:val="37E505F7"/>
    <w:multiLevelType w:val="hybridMultilevel"/>
    <w:tmpl w:val="130ABD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DCC72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9929D0"/>
    <w:multiLevelType w:val="hybridMultilevel"/>
    <w:tmpl w:val="5ABC343E"/>
    <w:lvl w:ilvl="0">
      <w:start w:val="1"/>
      <w:numFmt w:val="decimal"/>
      <w:lvlText w:val="%1"/>
      <w:lvlJc w:val="left"/>
      <w:pPr>
        <w:ind w:left="0" w:hanging="720"/>
      </w:pPr>
      <w:rPr>
        <w:rFonts w:hint="default"/>
        <w:b w:val="0"/>
        <w:i/>
      </w:rPr>
    </w:lvl>
    <w:lvl w:ilvl="1">
      <w:start w:val="1"/>
      <w:numFmt w:val="lowerLetter"/>
      <w:lvlText w:val="%2."/>
      <w:lvlJc w:val="left"/>
      <w:pPr>
        <w:ind w:left="360" w:hanging="360"/>
      </w:pPr>
    </w:lvl>
    <w:lvl w:ilvl="2">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9">
    <w:nsid w:val="6B4D43AC"/>
    <w:multiLevelType w:val="hybridMultilevel"/>
    <w:tmpl w:val="622CCF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0"/>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5"/>
  </w:num>
  <w:num w:numId="15">
    <w:abstractNumId w:val="17"/>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6"/>
  </w:num>
  <w:num w:numId="24">
    <w:abstractNumId w:val="14"/>
  </w:num>
  <w:num w:numId="25">
    <w:abstractNumId w:val="14"/>
  </w:num>
  <w:num w:numId="26">
    <w:abstractNumId w:val="10"/>
  </w:num>
  <w:num w:numId="27">
    <w:abstractNumId w:val="19"/>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8" w:allStyles="0" w:alternateStyleNames="0" w:clearFormatting="0" w:customStyles="0" w:directFormattingOnNumbering="0" w:directFormattingOnParagraphs="0" w:directFormattingOnRuns="0" w:directFormattingOnTables="0" w:headingStyles="0" w:latentStyles="0" w:numberingStyles="0" w:stylesInUse="1" w:tableStyles="0" w:top3HeadingStyles="0" w:visibleStyles="0"/>
  <w:defaultTabStop w:val="720"/>
  <w:characterSpacingControl w:val="doNotCompress"/>
  <w:doNotEmbedSmartTags/>
  <w:footnotePr>
    <w:footnote w:id="0"/>
    <w:footnote w:id="1"/>
  </w:foot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Title" w:qFormat="1"/>
    <w:lsdException w:name="Body Text" w:qFormat="1"/>
    <w:lsdException w:name="Body Text 2" w:qFormat="1"/>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ind w:left="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1">
    <w:name w:val="Note Heading1"/>
    <w:basedOn w:val="Normal"/>
    <w:next w:val="Normal"/>
    <w:semiHidden/>
  </w:style>
  <w:style w:type="character" w:styleId="PageNumber">
    <w:name w:val="page number"/>
    <w:basedOn w:val="DefaultParagraphFont"/>
    <w:semiHidden/>
  </w:style>
  <w:style w:type="paragraph" w:styleId="PlainText">
    <w:name w:val="Plain Text"/>
    <w:basedOn w:val="Normal"/>
    <w:link w:val="PlainTextChar"/>
    <w:uiPriority w:val="99"/>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DE26C3"/>
    <w:rPr>
      <w:color w:val="808080"/>
    </w:rPr>
  </w:style>
  <w:style w:type="paragraph" w:styleId="ListParagraph">
    <w:name w:val="List Paragraph"/>
    <w:basedOn w:val="Normal"/>
    <w:uiPriority w:val="34"/>
    <w:rsid w:val="0032692F"/>
    <w:pPr>
      <w:ind w:left="720"/>
      <w:contextualSpacing/>
    </w:pPr>
  </w:style>
  <w:style w:type="paragraph" w:customStyle="1" w:styleId="Pre-FiledQuestion">
    <w:name w:val="Pre-Filed Question"/>
    <w:basedOn w:val="BodyText2"/>
    <w:link w:val="Pre-FiledQuestionChar"/>
    <w:rsid w:val="00443C11"/>
    <w:pPr>
      <w:spacing w:line="240" w:lineRule="exact"/>
      <w:ind w:left="734" w:hanging="547"/>
    </w:pPr>
    <w:rPr>
      <w:b/>
    </w:rPr>
  </w:style>
  <w:style w:type="paragraph" w:customStyle="1" w:styleId="Pre-filedAnswer">
    <w:name w:val="Pre-filed Answer"/>
    <w:basedOn w:val="BodyText2"/>
    <w:link w:val="Pre-filedAnswerChar"/>
    <w:qFormat/>
    <w:rsid w:val="00443C11"/>
    <w:pPr>
      <w:ind w:left="734" w:hanging="547"/>
    </w:pPr>
  </w:style>
  <w:style w:type="character" w:customStyle="1" w:styleId="BodyText2Char">
    <w:name w:val="Body Text 2 Char"/>
    <w:basedOn w:val="DefaultParagraphFont"/>
    <w:link w:val="BodyText2"/>
    <w:rsid w:val="00443C11"/>
    <w:rPr>
      <w:sz w:val="24"/>
    </w:rPr>
  </w:style>
  <w:style w:type="character" w:customStyle="1" w:styleId="Pre-FiledQuestionChar">
    <w:name w:val="Pre-Filed Question Char"/>
    <w:basedOn w:val="BodyText2Char"/>
    <w:link w:val="Pre-FiledQuestion"/>
    <w:rsid w:val="00443C11"/>
    <w:rPr>
      <w:b/>
      <w:sz w:val="24"/>
    </w:rPr>
  </w:style>
  <w:style w:type="paragraph" w:customStyle="1" w:styleId="Pre-filedanswer0">
    <w:name w:val="Pre-filed answer"/>
    <w:basedOn w:val="Pre-filedAnswer"/>
    <w:link w:val="Pre-filedanswerChar0"/>
    <w:qFormat/>
    <w:rsid w:val="003E5AA5"/>
    <w:pPr>
      <w:ind w:hanging="734"/>
    </w:pPr>
  </w:style>
  <w:style w:type="character" w:customStyle="1" w:styleId="Pre-filedAnswerChar">
    <w:name w:val="Pre-filed Answer Char"/>
    <w:basedOn w:val="BodyText2Char"/>
    <w:link w:val="Pre-filedAnswer"/>
    <w:rsid w:val="00443C11"/>
    <w:rPr>
      <w:sz w:val="24"/>
    </w:rPr>
  </w:style>
  <w:style w:type="paragraph" w:customStyle="1" w:styleId="Pre-Filedquestion0">
    <w:name w:val="Pre-Filed question"/>
    <w:basedOn w:val="Pre-filedanswer0"/>
    <w:link w:val="Pre-FiledquestionChar0"/>
    <w:qFormat/>
    <w:rsid w:val="003E5AA5"/>
    <w:rPr>
      <w:b/>
    </w:rPr>
  </w:style>
  <w:style w:type="character" w:customStyle="1" w:styleId="Pre-filedanswerChar0">
    <w:name w:val="Pre-filed answer Char"/>
    <w:basedOn w:val="Pre-filedAnswerChar"/>
    <w:link w:val="Pre-filedanswer0"/>
    <w:rsid w:val="003E5AA5"/>
    <w:rPr>
      <w:sz w:val="24"/>
    </w:rPr>
  </w:style>
  <w:style w:type="character" w:customStyle="1" w:styleId="Pre-FiledquestionChar0">
    <w:name w:val="Pre-Filed question Char"/>
    <w:basedOn w:val="Pre-filedanswerChar0"/>
    <w:link w:val="Pre-Filedquestion0"/>
    <w:rsid w:val="003E5AA5"/>
    <w:rPr>
      <w:b/>
      <w:sz w:val="24"/>
    </w:rPr>
  </w:style>
  <w:style w:type="paragraph" w:styleId="BalloonText">
    <w:name w:val="Balloon Text"/>
    <w:basedOn w:val="Normal"/>
    <w:link w:val="BalloonTextChar"/>
    <w:rsid w:val="006B36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B3644"/>
    <w:rPr>
      <w:rFonts w:ascii="Tahoma" w:hAnsi="Tahoma" w:cs="Tahoma"/>
      <w:sz w:val="16"/>
      <w:szCs w:val="16"/>
    </w:rPr>
  </w:style>
  <w:style w:type="paragraph" w:customStyle="1" w:styleId="meitestimony1">
    <w:name w:val="mei testimony 1"/>
    <w:basedOn w:val="Normal"/>
    <w:next w:val="BodyText2"/>
    <w:rsid w:val="00A44B9F"/>
    <w:pPr>
      <w:keepNext/>
      <w:numPr>
        <w:numId w:val="16"/>
      </w:numPr>
      <w:tabs>
        <w:tab w:val="clear" w:pos="0"/>
      </w:tabs>
      <w:spacing w:after="240" w:line="240" w:lineRule="auto"/>
      <w:jc w:val="center"/>
      <w:outlineLvl w:val="0"/>
    </w:pPr>
    <w:rPr>
      <w:b/>
      <w:caps/>
    </w:rPr>
  </w:style>
  <w:style w:type="paragraph" w:customStyle="1" w:styleId="meitestimony2">
    <w:name w:val="mei testimony 2"/>
    <w:basedOn w:val="Normal"/>
    <w:next w:val="BodyText2"/>
    <w:link w:val="meitestimony2Char"/>
    <w:rsid w:val="000325BE"/>
    <w:pPr>
      <w:numPr>
        <w:ilvl w:val="1"/>
        <w:numId w:val="16"/>
      </w:numPr>
      <w:spacing w:line="480" w:lineRule="exact"/>
      <w:outlineLvl w:val="1"/>
    </w:pPr>
    <w:rPr>
      <w:b/>
    </w:rPr>
  </w:style>
  <w:style w:type="character" w:customStyle="1" w:styleId="meitestimony2Char">
    <w:name w:val="mei testimony 2 Char"/>
    <w:basedOn w:val="DefaultParagraphFont"/>
    <w:link w:val="meitestimony2"/>
    <w:rsid w:val="000325BE"/>
    <w:rPr>
      <w:b/>
      <w:sz w:val="24"/>
    </w:rPr>
  </w:style>
  <w:style w:type="paragraph" w:customStyle="1" w:styleId="meitestimony3">
    <w:name w:val="mei testimony 3"/>
    <w:basedOn w:val="Normal"/>
    <w:next w:val="BodyText2"/>
    <w:link w:val="meitestimony3Char"/>
    <w:rsid w:val="000325BE"/>
    <w:pPr>
      <w:keepNext/>
      <w:numPr>
        <w:ilvl w:val="2"/>
        <w:numId w:val="16"/>
      </w:numPr>
      <w:spacing w:line="480" w:lineRule="exact"/>
      <w:outlineLvl w:val="2"/>
    </w:pPr>
  </w:style>
  <w:style w:type="character" w:customStyle="1" w:styleId="meitestimony3Char">
    <w:name w:val="mei testimony 3 Char"/>
    <w:basedOn w:val="DefaultParagraphFont"/>
    <w:link w:val="meitestimony3"/>
    <w:rsid w:val="000325BE"/>
    <w:rPr>
      <w:sz w:val="24"/>
    </w:rPr>
  </w:style>
  <w:style w:type="paragraph" w:customStyle="1" w:styleId="meitestimony4">
    <w:name w:val="mei testimony 4"/>
    <w:basedOn w:val="Normal"/>
    <w:next w:val="BodyText2"/>
    <w:rsid w:val="00A44B9F"/>
    <w:pPr>
      <w:keepNext/>
      <w:numPr>
        <w:ilvl w:val="3"/>
        <w:numId w:val="16"/>
      </w:numPr>
      <w:tabs>
        <w:tab w:val="clear" w:pos="0"/>
      </w:tabs>
      <w:spacing w:before="240" w:after="60" w:line="240" w:lineRule="auto"/>
      <w:outlineLvl w:val="3"/>
    </w:pPr>
    <w:rPr>
      <w:b/>
      <w:sz w:val="28"/>
    </w:rPr>
  </w:style>
  <w:style w:type="paragraph" w:customStyle="1" w:styleId="meitestimony5">
    <w:name w:val="mei testimony 5"/>
    <w:basedOn w:val="Normal"/>
    <w:next w:val="BodyText2"/>
    <w:rsid w:val="00A44B9F"/>
    <w:pPr>
      <w:numPr>
        <w:ilvl w:val="4"/>
        <w:numId w:val="16"/>
      </w:numPr>
      <w:tabs>
        <w:tab w:val="clear" w:pos="0"/>
      </w:tabs>
      <w:spacing w:before="240" w:after="60" w:line="240" w:lineRule="auto"/>
      <w:outlineLvl w:val="4"/>
    </w:pPr>
    <w:rPr>
      <w:b/>
      <w:i/>
      <w:sz w:val="26"/>
    </w:rPr>
  </w:style>
  <w:style w:type="paragraph" w:customStyle="1" w:styleId="meitestimony6">
    <w:name w:val="mei testimony 6"/>
    <w:basedOn w:val="Normal"/>
    <w:next w:val="BodyText2"/>
    <w:rsid w:val="00A44B9F"/>
    <w:pPr>
      <w:numPr>
        <w:ilvl w:val="5"/>
        <w:numId w:val="16"/>
      </w:numPr>
      <w:tabs>
        <w:tab w:val="clear" w:pos="0"/>
      </w:tabs>
      <w:spacing w:before="240" w:after="60" w:line="240" w:lineRule="auto"/>
      <w:outlineLvl w:val="5"/>
    </w:pPr>
    <w:rPr>
      <w:b/>
      <w:sz w:val="22"/>
    </w:rPr>
  </w:style>
  <w:style w:type="paragraph" w:customStyle="1" w:styleId="meitestimony7">
    <w:name w:val="mei testimony 7"/>
    <w:basedOn w:val="Normal"/>
    <w:next w:val="BodyText2"/>
    <w:rsid w:val="00A44B9F"/>
    <w:pPr>
      <w:numPr>
        <w:ilvl w:val="6"/>
        <w:numId w:val="16"/>
      </w:numPr>
      <w:tabs>
        <w:tab w:val="clear" w:pos="0"/>
      </w:tabs>
      <w:spacing w:before="240" w:after="60" w:line="240" w:lineRule="auto"/>
      <w:outlineLvl w:val="6"/>
    </w:pPr>
  </w:style>
  <w:style w:type="paragraph" w:customStyle="1" w:styleId="meitestimony8">
    <w:name w:val="mei testimony 8"/>
    <w:basedOn w:val="Normal"/>
    <w:next w:val="BodyText2"/>
    <w:rsid w:val="00A44B9F"/>
    <w:pPr>
      <w:numPr>
        <w:ilvl w:val="7"/>
        <w:numId w:val="16"/>
      </w:numPr>
      <w:tabs>
        <w:tab w:val="clear" w:pos="0"/>
      </w:tabs>
      <w:spacing w:before="240" w:after="60" w:line="240" w:lineRule="auto"/>
      <w:outlineLvl w:val="7"/>
    </w:pPr>
    <w:rPr>
      <w:i/>
    </w:rPr>
  </w:style>
  <w:style w:type="paragraph" w:customStyle="1" w:styleId="meitestimony9">
    <w:name w:val="mei testimony 9"/>
    <w:basedOn w:val="Normal"/>
    <w:next w:val="BodyText2"/>
    <w:rsid w:val="00A44B9F"/>
    <w:pPr>
      <w:numPr>
        <w:ilvl w:val="8"/>
        <w:numId w:val="16"/>
      </w:numPr>
      <w:tabs>
        <w:tab w:val="clear" w:pos="0"/>
      </w:tabs>
      <w:spacing w:before="240" w:after="60" w:line="240" w:lineRule="auto"/>
      <w:outlineLvl w:val="8"/>
    </w:pPr>
    <w:rPr>
      <w:rFonts w:ascii="Arial" w:hAnsi="Arial" w:cs="Arial"/>
      <w:sz w:val="22"/>
    </w:rPr>
  </w:style>
  <w:style w:type="character" w:styleId="CommentReference">
    <w:name w:val="annotation reference"/>
    <w:basedOn w:val="DefaultParagraphFont"/>
    <w:rsid w:val="0061639F"/>
    <w:rPr>
      <w:sz w:val="16"/>
      <w:szCs w:val="16"/>
    </w:rPr>
  </w:style>
  <w:style w:type="paragraph" w:styleId="CommentText">
    <w:name w:val="annotation text"/>
    <w:basedOn w:val="Normal"/>
    <w:link w:val="CommentTextChar"/>
    <w:rsid w:val="0061639F"/>
    <w:pPr>
      <w:spacing w:line="240" w:lineRule="auto"/>
    </w:pPr>
    <w:rPr>
      <w:sz w:val="20"/>
    </w:rPr>
  </w:style>
  <w:style w:type="character" w:customStyle="1" w:styleId="CommentTextChar">
    <w:name w:val="Comment Text Char"/>
    <w:basedOn w:val="DefaultParagraphFont"/>
    <w:link w:val="CommentText"/>
    <w:rsid w:val="0061639F"/>
  </w:style>
  <w:style w:type="paragraph" w:styleId="CommentSubject">
    <w:name w:val="annotation subject"/>
    <w:basedOn w:val="CommentText"/>
    <w:next w:val="CommentText"/>
    <w:link w:val="CommentSubjectChar"/>
    <w:rsid w:val="0061639F"/>
    <w:rPr>
      <w:b/>
      <w:bCs/>
    </w:rPr>
  </w:style>
  <w:style w:type="character" w:customStyle="1" w:styleId="CommentSubjectChar">
    <w:name w:val="Comment Subject Char"/>
    <w:basedOn w:val="CommentTextChar"/>
    <w:link w:val="CommentSubject"/>
    <w:rsid w:val="0061639F"/>
    <w:rPr>
      <w:b/>
      <w:bCs/>
    </w:rPr>
  </w:style>
  <w:style w:type="paragraph" w:styleId="Revision">
    <w:name w:val="Revision"/>
    <w:hidden/>
    <w:uiPriority w:val="99"/>
    <w:semiHidden/>
    <w:rsid w:val="0061639F"/>
    <w:rPr>
      <w:sz w:val="24"/>
    </w:rPr>
  </w:style>
  <w:style w:type="paragraph" w:styleId="Bibliography">
    <w:name w:val="Bibliography"/>
    <w:basedOn w:val="Normal"/>
    <w:next w:val="Normal"/>
    <w:uiPriority w:val="37"/>
    <w:semiHidden/>
    <w:unhideWhenUsed/>
    <w:rsid w:val="00F7430C"/>
  </w:style>
  <w:style w:type="character" w:customStyle="1" w:styleId="PlainTextChar">
    <w:name w:val="Plain Text Char"/>
    <w:basedOn w:val="DefaultParagraphFont"/>
    <w:link w:val="PlainText"/>
    <w:uiPriority w:val="99"/>
    <w:rsid w:val="00893AE9"/>
    <w:rPr>
      <w:rFonts w:ascii="Courier New" w:hAnsi="Courier New" w:cs="Courier New"/>
    </w:rPr>
  </w:style>
  <w:style w:type="paragraph" w:customStyle="1" w:styleId="SingleSpaced">
    <w:name w:val="Single Spaced"/>
    <w:basedOn w:val="Normal"/>
    <w:rsid w:val="00A07A12"/>
    <w:pPr>
      <w:spacing w:line="250" w:lineRule="exact"/>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glossaryDocument" Target="glossary/document.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footer" Target="footer2.xml"/><Relationship Id="rId11" Type="http://schemas.openxmlformats.org/officeDocument/2006/relationships/customXml" Target="../customXml/item1.xml"/><Relationship Id="rId5" Type="http://schemas.openxmlformats.org/officeDocument/2006/relationships/footer" Target="foot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customXml" Target="../customXml/item4.xml"/></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1214F6782F044D382832034D04C4F3F"/>
        <w:category>
          <w:name w:val="General"/>
          <w:gallery w:val="placeholder"/>
        </w:category>
        <w:types>
          <w:type w:val="bbPlcHdr"/>
        </w:types>
        <w:behaviors>
          <w:behavior w:val="content"/>
        </w:behaviors>
        <w:guid w:val="{3DCE64CA-9109-4B50-94EF-F574776372D0}"/>
      </w:docPartPr>
      <w:docPartBody>
        <w:p w:rsidR="00BE2A6C"/>
      </w:docPartBody>
    </w:docPart>
    <w:docPart>
      <w:docPartPr>
        <w:name w:val="5906226ABAFC4CF19AABD35502E96E84"/>
        <w:category>
          <w:name w:val="General"/>
          <w:gallery w:val="placeholder"/>
        </w:category>
        <w:types>
          <w:type w:val="bbPlcHdr"/>
        </w:types>
        <w:behaviors>
          <w:behavior w:val="content"/>
        </w:behaviors>
        <w:guid w:val="{3EC47F36-B4EE-4706-A4F7-906C2E2ADDE7}"/>
      </w:docPartPr>
      <w:docPartBody>
        <w:p w:rsidR="00BE2A6C"/>
      </w:docPartBody>
    </w:docPart>
    <w:docPart>
      <w:docPartPr>
        <w:name w:val="71DD9AF869EE4B668775A56C548A95BB"/>
        <w:category>
          <w:name w:val="General"/>
          <w:gallery w:val="placeholder"/>
        </w:category>
        <w:types>
          <w:type w:val="bbPlcHdr"/>
        </w:types>
        <w:behaviors>
          <w:behavior w:val="content"/>
        </w:behaviors>
        <w:guid w:val="{75B6DE46-69EA-4185-917B-4C14F437B399}"/>
      </w:docPartPr>
      <w:docPartBody>
        <w:p w:rsidR="00BE2A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3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Response</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2017-02-08T08:00:00+00:00</Date1>
    <IsDocumentOrder xmlns="dc463f71-b30c-4ab2-9473-d307f9d35888" xsi:nil="true"/>
    <IsHighlyConfidential xmlns="dc463f71-b30c-4ab2-9473-d307f9d35888">false</IsHighlyConfidential>
    <CaseCompanyNames xmlns="dc463f71-b30c-4ab2-9473-d307f9d35888">MEI Northwest LLC</CaseCompanyNames>
    <Nickname xmlns="http://schemas.microsoft.com/sharepoint/v3" xsi:nil="true"/>
    <DocketNumber xmlns="dc463f71-b30c-4ab2-9473-d307f9d35888">160479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070F15C-0433-45D2-9133-F1F115CBF161}"/>
</file>

<file path=customXml/itemProps2.xml><?xml version="1.0" encoding="utf-8"?>
<ds:datastoreItem xmlns:ds="http://schemas.openxmlformats.org/officeDocument/2006/customXml" ds:itemID="{B719078D-A5CB-4B70-98C1-7444F851A431}"/>
</file>

<file path=customXml/itemProps3.xml><?xml version="1.0" encoding="utf-8"?>
<ds:datastoreItem xmlns:ds="http://schemas.openxmlformats.org/officeDocument/2006/customXml" ds:itemID="{A9438A1F-2A0D-405E-8E2A-BEEBC7990881}"/>
</file>

<file path=customXml/itemProps4.xml><?xml version="1.0" encoding="utf-8"?>
<ds:datastoreItem xmlns:ds="http://schemas.openxmlformats.org/officeDocument/2006/customXml" ds:itemID="{28D4B5AA-2A7F-441A-8567-A0320744D827}"/>
</file>

<file path=docProps/app.xml><?xml version="1.0" encoding="utf-8"?>
<Properties xmlns="http://schemas.openxmlformats.org/officeDocument/2006/extended-properties" xmlns:vt="http://schemas.openxmlformats.org/officeDocument/2006/docPropsVTypes">
  <Template>Normal.dotm</Template>
  <TotalTime>0</TotalTime>
  <Pages>7</Pages>
  <Words>2024</Words>
  <Characters>10898</Characters>
  <Application>Microsoft Office Word</Application>
  <DocSecurity>0</DocSecurity>
  <Lines>261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2017-02-09T00:35:12Z</dcterms:created>
  <dcterms:modified xsi:type="dcterms:W3CDTF">2017-02-09T00:35:12Z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5979553.2</vt:lpwstr>
  </property>
  <property fmtid="{D5CDD505-2E9C-101B-9397-08002B2CF9AE}" pid="3" name="ContentTypeId">
    <vt:lpwstr>0x0101006E56B4D1795A2E4DB2F0B01679ED314A00E2DCAF503A5C8E4C9B6E2E02067B9A1D</vt:lpwstr>
  </property>
  <property fmtid="{D5CDD505-2E9C-101B-9397-08002B2CF9AE}" pid="4" name="_docset_NoMedatataSyncRequired">
    <vt:lpwstr>False</vt:lpwstr>
  </property>
  <property fmtid="{D5CDD505-2E9C-101B-9397-08002B2CF9AE}" pid="5" name="IsEFSEC">
    <vt:bool>false</vt:bool>
  </property>
</Properties>
</file>