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6F4" w:rsidRPr="00672F5A" w:rsidRDefault="002866F4" w:rsidP="003813A9">
      <w:pPr>
        <w:pStyle w:val="Style1"/>
        <w:suppressLineNumbers/>
        <w:kinsoku w:val="0"/>
        <w:autoSpaceDE/>
        <w:autoSpaceDN/>
        <w:adjustRightInd/>
        <w:jc w:val="center"/>
        <w:rPr>
          <w:rStyle w:val="CharacterStyle1"/>
          <w:b/>
          <w:bCs/>
          <w:w w:val="105"/>
          <w:sz w:val="24"/>
          <w:szCs w:val="24"/>
        </w:rPr>
      </w:pPr>
      <w:r w:rsidRPr="00672F5A">
        <w:rPr>
          <w:rStyle w:val="CharacterStyle1"/>
          <w:b/>
          <w:bCs/>
          <w:w w:val="105"/>
          <w:sz w:val="24"/>
          <w:szCs w:val="24"/>
        </w:rPr>
        <w:t>BEFORE THE</w:t>
      </w:r>
    </w:p>
    <w:p w:rsidR="002866F4" w:rsidRDefault="002866F4" w:rsidP="003813A9">
      <w:pPr>
        <w:pStyle w:val="Style1"/>
        <w:suppressLineNumbers/>
        <w:kinsoku w:val="0"/>
        <w:autoSpaceDE/>
        <w:autoSpaceDN/>
        <w:adjustRightInd/>
        <w:jc w:val="center"/>
        <w:rPr>
          <w:rStyle w:val="CharacterStyle1"/>
          <w:b/>
          <w:bCs/>
          <w:spacing w:val="-6"/>
          <w:w w:val="105"/>
          <w:sz w:val="24"/>
          <w:szCs w:val="24"/>
        </w:rPr>
      </w:pPr>
      <w:r>
        <w:rPr>
          <w:rStyle w:val="CharacterStyle1"/>
          <w:b/>
          <w:bCs/>
          <w:spacing w:val="-6"/>
          <w:w w:val="105"/>
          <w:sz w:val="24"/>
          <w:szCs w:val="24"/>
        </w:rPr>
        <w:t>WASHINGTON UTILITIES AND</w:t>
      </w:r>
    </w:p>
    <w:p w:rsidR="002866F4" w:rsidRDefault="002866F4" w:rsidP="003813A9">
      <w:pPr>
        <w:pStyle w:val="Style1"/>
        <w:suppressLineNumbers/>
        <w:kinsoku w:val="0"/>
        <w:autoSpaceDE/>
        <w:autoSpaceDN/>
        <w:adjustRightInd/>
        <w:jc w:val="center"/>
        <w:rPr>
          <w:rStyle w:val="CharacterStyle1"/>
          <w:b/>
          <w:bCs/>
          <w:spacing w:val="-6"/>
          <w:w w:val="105"/>
          <w:sz w:val="24"/>
          <w:szCs w:val="24"/>
        </w:rPr>
      </w:pPr>
      <w:r>
        <w:rPr>
          <w:rStyle w:val="CharacterStyle1"/>
          <w:b/>
          <w:bCs/>
          <w:spacing w:val="-6"/>
          <w:w w:val="105"/>
          <w:sz w:val="24"/>
          <w:szCs w:val="24"/>
        </w:rPr>
        <w:t>TRANSPORTATION COMMISSION</w:t>
      </w:r>
    </w:p>
    <w:p w:rsidR="00E7348C" w:rsidRDefault="00E7348C" w:rsidP="003813A9">
      <w:pPr>
        <w:pStyle w:val="Style1"/>
        <w:suppressLineNumbers/>
        <w:kinsoku w:val="0"/>
        <w:autoSpaceDE/>
        <w:autoSpaceDN/>
        <w:adjustRightInd/>
        <w:jc w:val="center"/>
        <w:rPr>
          <w:rStyle w:val="CharacterStyle1"/>
          <w:b/>
          <w:bCs/>
          <w:spacing w:val="-6"/>
          <w:w w:val="105"/>
          <w:sz w:val="24"/>
          <w:szCs w:val="24"/>
        </w:rPr>
      </w:pPr>
    </w:p>
    <w:p w:rsidR="002866F4" w:rsidRPr="002866F4" w:rsidRDefault="002866F4" w:rsidP="003813A9">
      <w:pPr>
        <w:pStyle w:val="Style1"/>
        <w:suppressLineNumbers/>
        <w:kinsoku w:val="0"/>
        <w:autoSpaceDE/>
        <w:autoSpaceDN/>
        <w:adjustRightInd/>
        <w:jc w:val="center"/>
        <w:rPr>
          <w:rStyle w:val="CharacterStyle1"/>
          <w:bCs/>
          <w:spacing w:val="-6"/>
          <w:w w:val="10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450"/>
        <w:gridCol w:w="4068"/>
      </w:tblGrid>
      <w:tr w:rsidR="002866F4" w:rsidTr="00F42C4D">
        <w:tc>
          <w:tcPr>
            <w:tcW w:w="5058" w:type="dxa"/>
            <w:tcBorders>
              <w:bottom w:val="single" w:sz="4" w:space="0" w:color="auto"/>
            </w:tcBorders>
          </w:tcPr>
          <w:p w:rsidR="002866F4" w:rsidRDefault="002866F4" w:rsidP="003813A9">
            <w:pPr>
              <w:pStyle w:val="Style1"/>
              <w:suppressLineNumbers/>
              <w:kinsoku w:val="0"/>
              <w:ind w:firstLine="0"/>
              <w:rPr>
                <w:rStyle w:val="CharacterStyle1"/>
                <w:spacing w:val="-8"/>
                <w:w w:val="110"/>
                <w:sz w:val="24"/>
                <w:szCs w:val="24"/>
              </w:rPr>
            </w:pPr>
            <w:r w:rsidRPr="002866F4">
              <w:rPr>
                <w:rStyle w:val="CharacterStyle1"/>
                <w:spacing w:val="-8"/>
                <w:w w:val="110"/>
                <w:sz w:val="24"/>
                <w:szCs w:val="24"/>
              </w:rPr>
              <w:t xml:space="preserve">Re: Rulemaking to Consider Modifications to, or Elimination of, the Requirement Related to </w:t>
            </w:r>
            <w:r>
              <w:rPr>
                <w:rStyle w:val="CharacterStyle1"/>
                <w:spacing w:val="-8"/>
                <w:w w:val="110"/>
                <w:sz w:val="24"/>
                <w:szCs w:val="24"/>
              </w:rPr>
              <w:t>Distribution of Telephone Books in</w:t>
            </w:r>
          </w:p>
          <w:p w:rsidR="002866F4" w:rsidRDefault="002866F4" w:rsidP="003813A9">
            <w:pPr>
              <w:pStyle w:val="Style1"/>
              <w:suppressLineNumbers/>
              <w:kinsoku w:val="0"/>
              <w:ind w:firstLine="0"/>
              <w:rPr>
                <w:rStyle w:val="CharacterStyle1"/>
                <w:spacing w:val="-8"/>
                <w:w w:val="110"/>
                <w:sz w:val="24"/>
                <w:szCs w:val="24"/>
              </w:rPr>
            </w:pPr>
            <w:r w:rsidRPr="002866F4">
              <w:rPr>
                <w:rStyle w:val="CharacterStyle1"/>
                <w:spacing w:val="-8"/>
                <w:w w:val="110"/>
                <w:sz w:val="24"/>
                <w:szCs w:val="24"/>
              </w:rPr>
              <w:t>WAC 480-120-251</w:t>
            </w:r>
          </w:p>
          <w:p w:rsidR="002866F4" w:rsidRPr="002866F4" w:rsidRDefault="002866F4" w:rsidP="003813A9">
            <w:pPr>
              <w:pStyle w:val="Style1"/>
              <w:suppressLineNumbers/>
              <w:kinsoku w:val="0"/>
              <w:ind w:firstLine="0"/>
              <w:rPr>
                <w:rStyle w:val="CharacterStyle1"/>
                <w:spacing w:val="-8"/>
                <w:w w:val="110"/>
                <w:sz w:val="24"/>
                <w:szCs w:val="24"/>
              </w:rPr>
            </w:pPr>
          </w:p>
          <w:p w:rsidR="002866F4" w:rsidRDefault="002866F4" w:rsidP="003813A9">
            <w:pPr>
              <w:pStyle w:val="Style1"/>
              <w:suppressLineNumbers/>
              <w:kinsoku w:val="0"/>
              <w:autoSpaceDE/>
              <w:autoSpaceDN/>
              <w:adjustRightInd/>
              <w:ind w:right="432" w:firstLine="0"/>
              <w:rPr>
                <w:rStyle w:val="CharacterStyle1"/>
                <w:spacing w:val="-10"/>
                <w:w w:val="110"/>
                <w:sz w:val="24"/>
                <w:szCs w:val="24"/>
              </w:rPr>
            </w:pPr>
            <w:r>
              <w:rPr>
                <w:rStyle w:val="CharacterStyle1"/>
                <w:spacing w:val="-10"/>
                <w:w w:val="110"/>
                <w:sz w:val="24"/>
                <w:szCs w:val="24"/>
              </w:rPr>
              <w:t>Notice of Opportunity to File Written Comments</w:t>
            </w:r>
            <w:r w:rsidR="00DD36E5">
              <w:rPr>
                <w:rStyle w:val="CharacterStyle1"/>
                <w:spacing w:val="-10"/>
                <w:w w:val="110"/>
                <w:sz w:val="24"/>
                <w:szCs w:val="24"/>
              </w:rPr>
              <w:t xml:space="preserve"> Issue</w:t>
            </w:r>
            <w:r w:rsidR="00E7348C">
              <w:rPr>
                <w:rStyle w:val="CharacterStyle1"/>
                <w:spacing w:val="-10"/>
                <w:w w:val="110"/>
                <w:sz w:val="24"/>
                <w:szCs w:val="24"/>
              </w:rPr>
              <w:t>d</w:t>
            </w:r>
            <w:r w:rsidR="00DD36E5">
              <w:rPr>
                <w:rStyle w:val="CharacterStyle1"/>
                <w:spacing w:val="-10"/>
                <w:w w:val="110"/>
                <w:sz w:val="24"/>
                <w:szCs w:val="24"/>
              </w:rPr>
              <w:t xml:space="preserve"> </w:t>
            </w:r>
            <w:r w:rsidR="00B24BB6">
              <w:rPr>
                <w:rStyle w:val="CharacterStyle1"/>
                <w:spacing w:val="-10"/>
                <w:w w:val="110"/>
                <w:sz w:val="24"/>
                <w:szCs w:val="24"/>
              </w:rPr>
              <w:t>March 1, 2013</w:t>
            </w:r>
          </w:p>
          <w:p w:rsidR="002866F4" w:rsidRDefault="002866F4" w:rsidP="003813A9">
            <w:pPr>
              <w:suppressLineNumbers/>
              <w:ind w:firstLine="0"/>
            </w:pPr>
          </w:p>
        </w:tc>
        <w:tc>
          <w:tcPr>
            <w:tcW w:w="450" w:type="dxa"/>
          </w:tcPr>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Default="00F42C4D" w:rsidP="003813A9">
            <w:pPr>
              <w:suppressLineNumbers/>
              <w:ind w:firstLine="0"/>
            </w:pPr>
            <w:r w:rsidRPr="00250866">
              <w:t>)</w:t>
            </w:r>
          </w:p>
          <w:p w:rsidR="00791CFE" w:rsidRPr="00250866" w:rsidRDefault="00791CFE" w:rsidP="003813A9">
            <w:pPr>
              <w:suppressLineNumbers/>
              <w:ind w:firstLine="0"/>
            </w:pPr>
            <w:r>
              <w:t>)</w:t>
            </w:r>
          </w:p>
        </w:tc>
        <w:tc>
          <w:tcPr>
            <w:tcW w:w="4068" w:type="dxa"/>
          </w:tcPr>
          <w:p w:rsidR="00F42C4D" w:rsidRDefault="00F42C4D" w:rsidP="003813A9">
            <w:pPr>
              <w:suppressLineNumbers/>
              <w:ind w:firstLine="0"/>
            </w:pPr>
          </w:p>
          <w:p w:rsidR="0050208A" w:rsidRDefault="0050208A" w:rsidP="0050208A">
            <w:pPr>
              <w:suppressLineNumbers/>
              <w:ind w:firstLine="0"/>
              <w:rPr>
                <w:rStyle w:val="CharacterStyle1"/>
                <w:spacing w:val="-8"/>
                <w:w w:val="110"/>
                <w:sz w:val="24"/>
                <w:szCs w:val="24"/>
              </w:rPr>
            </w:pPr>
            <w:r w:rsidRPr="00F42C4D">
              <w:rPr>
                <w:rStyle w:val="CharacterStyle1"/>
                <w:spacing w:val="-8"/>
                <w:w w:val="110"/>
                <w:sz w:val="24"/>
                <w:szCs w:val="24"/>
              </w:rPr>
              <w:t>Docket UT-120451</w:t>
            </w:r>
          </w:p>
          <w:p w:rsidR="00F42C4D" w:rsidRDefault="00F42C4D" w:rsidP="003813A9">
            <w:pPr>
              <w:suppressLineNumbers/>
              <w:ind w:firstLine="0"/>
            </w:pPr>
          </w:p>
          <w:p w:rsidR="00F42C4D" w:rsidRDefault="0050208A" w:rsidP="003813A9">
            <w:pPr>
              <w:suppressLineNumbers/>
              <w:ind w:firstLine="0"/>
            </w:pPr>
            <w:r>
              <w:t xml:space="preserve">SUPPLEMENTAL </w:t>
            </w:r>
          </w:p>
          <w:p w:rsidR="00791CFE" w:rsidRDefault="00E72858" w:rsidP="003813A9">
            <w:pPr>
              <w:suppressLineNumbers/>
              <w:ind w:firstLine="0"/>
              <w:rPr>
                <w:rStyle w:val="CharacterStyle1"/>
                <w:spacing w:val="-8"/>
                <w:w w:val="110"/>
                <w:sz w:val="24"/>
                <w:szCs w:val="24"/>
              </w:rPr>
            </w:pPr>
            <w:r w:rsidRPr="00791CFE">
              <w:rPr>
                <w:szCs w:val="24"/>
              </w:rPr>
              <w:t>COMMENTS OF DEX ONE CORPORATION</w:t>
            </w:r>
            <w:r>
              <w:rPr>
                <w:szCs w:val="24"/>
              </w:rPr>
              <w:t xml:space="preserve"> RE </w:t>
            </w:r>
            <w:r w:rsidR="000754CA">
              <w:rPr>
                <w:szCs w:val="24"/>
              </w:rPr>
              <w:t xml:space="preserve">SECOND </w:t>
            </w:r>
            <w:r w:rsidR="00450075">
              <w:rPr>
                <w:szCs w:val="24"/>
              </w:rPr>
              <w:t>SUPPLE</w:t>
            </w:r>
            <w:r>
              <w:rPr>
                <w:szCs w:val="24"/>
              </w:rPr>
              <w:t>MENTAL CR-</w:t>
            </w:r>
            <w:r w:rsidR="000754CA">
              <w:rPr>
                <w:szCs w:val="24"/>
              </w:rPr>
              <w:t>102</w:t>
            </w:r>
          </w:p>
          <w:p w:rsidR="00791CFE" w:rsidRPr="00F42C4D" w:rsidRDefault="00791CFE" w:rsidP="00E72858">
            <w:pPr>
              <w:suppressLineNumbers/>
              <w:ind w:firstLine="0"/>
              <w:rPr>
                <w:szCs w:val="24"/>
              </w:rPr>
            </w:pPr>
          </w:p>
        </w:tc>
      </w:tr>
    </w:tbl>
    <w:p w:rsidR="002866F4" w:rsidRDefault="002866F4" w:rsidP="003813A9">
      <w:pPr>
        <w:suppressLineNumbers/>
        <w:spacing w:after="0"/>
      </w:pPr>
    </w:p>
    <w:p w:rsidR="00F42C4D" w:rsidRDefault="0050208A" w:rsidP="00DB0830">
      <w:pPr>
        <w:suppressLineNumbers/>
        <w:spacing w:before="100" w:beforeAutospacing="1" w:after="100" w:afterAutospacing="1" w:line="480" w:lineRule="auto"/>
        <w:ind w:firstLine="0"/>
        <w:contextualSpacing/>
        <w:jc w:val="center"/>
      </w:pPr>
      <w:r>
        <w:rPr>
          <w:b/>
          <w:u w:val="single"/>
        </w:rPr>
        <w:t xml:space="preserve">SUPPLEMENTAL </w:t>
      </w:r>
      <w:r w:rsidR="00F42C4D" w:rsidRPr="00F42C4D">
        <w:rPr>
          <w:b/>
          <w:u w:val="single"/>
        </w:rPr>
        <w:t>COMMENTS OF DEX ONE CORPORATION</w:t>
      </w:r>
    </w:p>
    <w:p w:rsidR="00C47DDF" w:rsidRDefault="00DD36E5" w:rsidP="00C47DDF">
      <w:pPr>
        <w:spacing w:before="100" w:beforeAutospacing="1" w:after="100" w:afterAutospacing="1" w:line="480" w:lineRule="auto"/>
        <w:contextualSpacing/>
      </w:pPr>
      <w:r>
        <w:t xml:space="preserve">Dex One Corporation </w:t>
      </w:r>
      <w:r w:rsidR="00F42C4D">
        <w:t>(“Dex</w:t>
      </w:r>
      <w:r w:rsidR="00A305B0">
        <w:t xml:space="preserve"> One</w:t>
      </w:r>
      <w:r w:rsidR="00F42C4D">
        <w:t xml:space="preserve">”) </w:t>
      </w:r>
      <w:r w:rsidR="00E7348C">
        <w:t>files these</w:t>
      </w:r>
      <w:r w:rsidR="00F42C4D">
        <w:t xml:space="preserve"> </w:t>
      </w:r>
      <w:r w:rsidR="0050208A">
        <w:t xml:space="preserve">supplemental </w:t>
      </w:r>
      <w:r w:rsidR="00F42C4D">
        <w:t>comment</w:t>
      </w:r>
      <w:r w:rsidR="00E7348C">
        <w:t>s</w:t>
      </w:r>
      <w:r w:rsidR="00F42C4D">
        <w:t xml:space="preserve"> </w:t>
      </w:r>
      <w:r w:rsidR="0050208A">
        <w:t xml:space="preserve">in </w:t>
      </w:r>
      <w:r w:rsidR="00C47DDF">
        <w:t xml:space="preserve">support of the proposed rule amendments and in </w:t>
      </w:r>
      <w:r w:rsidR="005F7336">
        <w:t xml:space="preserve">brief </w:t>
      </w:r>
      <w:r w:rsidR="0050208A">
        <w:t xml:space="preserve">response </w:t>
      </w:r>
      <w:r w:rsidR="00B24BB6">
        <w:t xml:space="preserve">to the </w:t>
      </w:r>
      <w:r w:rsidR="00C47DDF">
        <w:t xml:space="preserve">comments filed by CenturyLink, Frontier, and WITA on March 29, 2013.  </w:t>
      </w:r>
      <w:r w:rsidR="005F7336">
        <w:t xml:space="preserve">Frontier and WITA both express concerns about the intended scope of the listings that LECs must make available on their websites under Subsection (2) of the proposed amended rule and—if interpreted broadly—the ability of LECs to obtain access to listings of neighboring LECs where local calling areas cover multiple LECs service areas.  Each </w:t>
      </w:r>
      <w:r w:rsidR="00EF53A5">
        <w:t xml:space="preserve">commenter </w:t>
      </w:r>
      <w:r w:rsidR="005F7336">
        <w:t>proposed further revisions to the proposed rule to address the potential practical concerns.</w:t>
      </w:r>
    </w:p>
    <w:p w:rsidR="0012014C" w:rsidRDefault="005F7336" w:rsidP="00C47DDF">
      <w:pPr>
        <w:spacing w:before="100" w:beforeAutospacing="1" w:after="100" w:afterAutospacing="1" w:line="480" w:lineRule="auto"/>
        <w:contextualSpacing/>
      </w:pPr>
      <w:r>
        <w:t xml:space="preserve">Dex One is not unsympathetic to the LECs’ concerns and is not opposed in principle to a minor clarification of the subsection.  However, Dex One would be opposed to any action that would delay adoption of the final rule for yet a third time for the reasons discussed in its March 29, 2013 comments.  </w:t>
      </w:r>
      <w:r w:rsidR="00EF53A5">
        <w:t xml:space="preserve">While it may be the case, </w:t>
      </w:r>
      <w:r>
        <w:t xml:space="preserve">Dex One does not presume the rule would be interpreted as the LECs suggest, that the LECs would be unable to readily comply, or that they could not obtain waivers to the extent they faced any compliance issues.  </w:t>
      </w:r>
    </w:p>
    <w:p w:rsidR="005F7336" w:rsidRDefault="0012014C" w:rsidP="00C47DDF">
      <w:pPr>
        <w:spacing w:before="100" w:beforeAutospacing="1" w:after="100" w:afterAutospacing="1" w:line="480" w:lineRule="auto"/>
        <w:contextualSpacing/>
      </w:pPr>
      <w:r>
        <w:lastRenderedPageBreak/>
        <w:t>While the need for further revisions to the proposed rule is not clearly established, and therefore should not delay final rule adoption, Dex One could nevertheless support a minor clarification so long as it does not require a further supplemental CR-102 notice.  Frontier’s proposal comes closest to the type of clarification that should not require a further notice.  Dex suggests a minor addition to provide additional clarity:</w:t>
      </w:r>
    </w:p>
    <w:p w:rsidR="00346345" w:rsidRDefault="00346345" w:rsidP="00346345">
      <w:pPr>
        <w:spacing w:after="0"/>
      </w:pPr>
      <w:r>
        <w:t>A LEC must ensure that its basic local exchange service</w:t>
      </w:r>
    </w:p>
    <w:p w:rsidR="00346345" w:rsidRDefault="00346345" w:rsidP="00346345">
      <w:pPr>
        <w:spacing w:after="0"/>
      </w:pPr>
      <w:r>
        <w:t xml:space="preserve">customers have access to directory listings </w:t>
      </w:r>
      <w:r w:rsidRPr="00787A15">
        <w:rPr>
          <w:strike/>
        </w:rPr>
        <w:t xml:space="preserve">for the </w:t>
      </w:r>
      <w:r w:rsidRPr="00787A15">
        <w:rPr>
          <w:u w:val="single"/>
        </w:rPr>
        <w:t xml:space="preserve">of its </w:t>
      </w:r>
      <w:r>
        <w:t>customers</w:t>
      </w:r>
      <w:r w:rsidRPr="00787A15">
        <w:rPr>
          <w:strike/>
        </w:rPr>
        <w:t>'</w:t>
      </w:r>
    </w:p>
    <w:p w:rsidR="00346345" w:rsidRDefault="00346345" w:rsidP="00346345">
      <w:pPr>
        <w:spacing w:after="0"/>
      </w:pPr>
      <w:r w:rsidRPr="00787A15">
        <w:rPr>
          <w:u w:val="single"/>
        </w:rPr>
        <w:t xml:space="preserve">for their </w:t>
      </w:r>
      <w:r>
        <w:t>local calling area</w:t>
      </w:r>
      <w:r w:rsidRPr="00787A15">
        <w:rPr>
          <w:u w:val="single"/>
        </w:rPr>
        <w:t>s</w:t>
      </w:r>
      <w:r>
        <w:t xml:space="preserve"> by making those listings available</w:t>
      </w:r>
    </w:p>
    <w:p w:rsidR="00346345" w:rsidRDefault="00346345" w:rsidP="00346345">
      <w:pPr>
        <w:spacing w:after="0"/>
      </w:pPr>
      <w:r>
        <w:t>electronically via a document, data base, or link on the LEC's web</w:t>
      </w:r>
    </w:p>
    <w:p w:rsidR="00346345" w:rsidRDefault="00346345" w:rsidP="00346345">
      <w:pPr>
        <w:spacing w:after="0"/>
      </w:pPr>
      <w:r>
        <w:t>site. The LEC also must distribute or arrange to distribute</w:t>
      </w:r>
    </w:p>
    <w:p w:rsidR="00346345" w:rsidRDefault="00346345" w:rsidP="00346345">
      <w:pPr>
        <w:spacing w:after="0"/>
      </w:pPr>
      <w:r>
        <w:t>printed directory listings to all of the LEC's customers who</w:t>
      </w:r>
    </w:p>
    <w:p w:rsidR="00346345" w:rsidRDefault="00346345" w:rsidP="00346345">
      <w:pPr>
        <w:spacing w:after="0"/>
      </w:pPr>
      <w:r>
        <w:t>request a printed directory. A LEC is not otherwise required to</w:t>
      </w:r>
    </w:p>
    <w:p w:rsidR="00346345" w:rsidRPr="00787A15" w:rsidRDefault="00346345" w:rsidP="00346345">
      <w:pPr>
        <w:spacing w:after="0"/>
      </w:pPr>
      <w:r>
        <w:t>distribute a printed directory.</w:t>
      </w:r>
    </w:p>
    <w:p w:rsidR="00346345" w:rsidRDefault="00346345" w:rsidP="00C47DDF">
      <w:pPr>
        <w:spacing w:before="100" w:beforeAutospacing="1" w:after="100" w:afterAutospacing="1" w:line="480" w:lineRule="auto"/>
        <w:contextualSpacing/>
      </w:pPr>
    </w:p>
    <w:p w:rsidR="00C05185" w:rsidRDefault="0012014C" w:rsidP="005962FC">
      <w:pPr>
        <w:spacing w:before="100" w:beforeAutospacing="1" w:after="100" w:afterAutospacing="1" w:line="480" w:lineRule="auto"/>
        <w:ind w:firstLine="0"/>
        <w:contextualSpacing/>
      </w:pPr>
      <w:r>
        <w:t>Under Dex One’s proposal, LECs</w:t>
      </w:r>
      <w:r w:rsidR="005962FC">
        <w:t xml:space="preserve"> would not have to post listings of other LECs.  Instead, the LECs</w:t>
      </w:r>
      <w:r>
        <w:t xml:space="preserve">—and the public—could rely on the fact </w:t>
      </w:r>
      <w:r w:rsidRPr="0012014C">
        <w:rPr>
          <w:b/>
          <w:i/>
        </w:rPr>
        <w:t>all</w:t>
      </w:r>
      <w:r>
        <w:t xml:space="preserve"> the listings in the state</w:t>
      </w:r>
      <w:r>
        <w:rPr>
          <w:rStyle w:val="FootnoteReference"/>
        </w:rPr>
        <w:footnoteReference w:id="1"/>
      </w:r>
      <w:r>
        <w:t xml:space="preserve"> would</w:t>
      </w:r>
      <w:r w:rsidR="00B24BB6">
        <w:t xml:space="preserve"> be</w:t>
      </w:r>
      <w:r>
        <w:t xml:space="preserve"> posted on the website </w:t>
      </w:r>
      <w:r w:rsidR="005962FC">
        <w:t xml:space="preserve">under the rule </w:t>
      </w:r>
      <w:r>
        <w:t>by at least the serving LEC.</w:t>
      </w:r>
      <w:r>
        <w:rPr>
          <w:rStyle w:val="FootnoteReference"/>
        </w:rPr>
        <w:footnoteReference w:id="2"/>
      </w:r>
      <w:r>
        <w:t xml:space="preserve">  </w:t>
      </w:r>
    </w:p>
    <w:p w:rsidR="006E6638" w:rsidRDefault="006E6638" w:rsidP="00C05185">
      <w:pPr>
        <w:spacing w:before="100" w:beforeAutospacing="1" w:after="100" w:afterAutospacing="1" w:line="480" w:lineRule="auto"/>
        <w:contextualSpacing/>
      </w:pPr>
      <w:r>
        <w:t>CenturyLink’s comments are irrelevant and unfounded.  First, so long as CenturyLink complies with the law and does not provide unlisted or non-published information of its customers to Dex One and other directory publishers, the publishers will not be able to put that information online.</w:t>
      </w:r>
      <w:r>
        <w:rPr>
          <w:rStyle w:val="FootnoteReference"/>
        </w:rPr>
        <w:footnoteReference w:id="3"/>
      </w:r>
      <w:r>
        <w:t xml:space="preserve">  </w:t>
      </w:r>
      <w:r w:rsidR="003F0420">
        <w:t>CenturyLink’s second comment about businesses relying on business white pages as a source of revenue is confusing.  To the extent business white pages are generating</w:t>
      </w:r>
      <w:r w:rsidR="004F196C">
        <w:t xml:space="preserve"> revenue for advertisers, that reflects there </w:t>
      </w:r>
      <w:r w:rsidR="003F0420">
        <w:t>is still usage and t</w:t>
      </w:r>
      <w:r w:rsidR="004F196C">
        <w:t xml:space="preserve">herefore market demand for them.  It </w:t>
      </w:r>
      <w:r w:rsidR="004F196C">
        <w:lastRenderedPageBreak/>
        <w:t>is for precisely this reason that Dex One plans to continue to distribute business white pages co-bound with the yellow pages for the foreseeable future.</w:t>
      </w:r>
    </w:p>
    <w:p w:rsidR="00166CFA" w:rsidRPr="00DB0830" w:rsidRDefault="00166CFA" w:rsidP="00C05185">
      <w:pPr>
        <w:spacing w:before="100" w:beforeAutospacing="1" w:after="100" w:afterAutospacing="1" w:line="480" w:lineRule="auto"/>
        <w:ind w:firstLine="0"/>
        <w:contextualSpacing/>
        <w:jc w:val="center"/>
        <w:rPr>
          <w:b/>
          <w:u w:val="single"/>
        </w:rPr>
      </w:pPr>
      <w:r w:rsidRPr="00DB0830">
        <w:rPr>
          <w:b/>
          <w:u w:val="single"/>
        </w:rPr>
        <w:t>Conclusion</w:t>
      </w:r>
    </w:p>
    <w:p w:rsidR="00166CFA" w:rsidRPr="00166CFA" w:rsidRDefault="00C05185" w:rsidP="00C05185">
      <w:pPr>
        <w:spacing w:before="100" w:beforeAutospacing="1" w:after="100" w:afterAutospacing="1" w:line="480" w:lineRule="auto"/>
        <w:contextualSpacing/>
      </w:pPr>
      <w:r w:rsidRPr="00115C75">
        <w:t>For the foregoing reasons and the reasons set fo</w:t>
      </w:r>
      <w:r w:rsidR="00A73A4B" w:rsidRPr="00115C75">
        <w:t>rth in</w:t>
      </w:r>
      <w:r w:rsidRPr="00115C75">
        <w:t xml:space="preserve"> its prior comments</w:t>
      </w:r>
      <w:r w:rsidR="00A73A4B" w:rsidRPr="00115C75">
        <w:t xml:space="preserve"> in this docket</w:t>
      </w:r>
      <w:r w:rsidRPr="00115C75">
        <w:t xml:space="preserve">, Dex One urges the </w:t>
      </w:r>
      <w:r w:rsidR="00733765" w:rsidRPr="00115C75">
        <w:t>Commission to</w:t>
      </w:r>
      <w:r w:rsidR="003E4E59" w:rsidRPr="00115C75">
        <w:t xml:space="preserve"> adopt </w:t>
      </w:r>
      <w:r w:rsidR="00733765" w:rsidRPr="00115C75">
        <w:t xml:space="preserve">the </w:t>
      </w:r>
      <w:r w:rsidR="003E4E59" w:rsidRPr="00115C75">
        <w:t xml:space="preserve">Proposed Rule </w:t>
      </w:r>
      <w:r w:rsidR="003B3F6C" w:rsidRPr="00115C75">
        <w:t xml:space="preserve">as published with the Notice </w:t>
      </w:r>
      <w:r w:rsidR="00115C75" w:rsidRPr="00115C75">
        <w:t xml:space="preserve">or with the revisions suggested above </w:t>
      </w:r>
      <w:r w:rsidR="003B3F6C" w:rsidRPr="00115C75">
        <w:t>by no later than April 11, 2013</w:t>
      </w:r>
      <w:r w:rsidR="00B24BB6">
        <w:t>.</w:t>
      </w:r>
    </w:p>
    <w:p w:rsidR="00617D7D" w:rsidRDefault="00617D7D" w:rsidP="00267B92">
      <w:pPr>
        <w:keepNext/>
        <w:keepLines/>
        <w:suppressLineNumbers/>
        <w:spacing w:after="0" w:line="240" w:lineRule="auto"/>
      </w:pPr>
      <w:r>
        <w:tab/>
      </w:r>
      <w:r>
        <w:tab/>
      </w:r>
      <w:r>
        <w:tab/>
      </w:r>
      <w:r>
        <w:tab/>
        <w:t>Respectfully submitted,</w:t>
      </w:r>
    </w:p>
    <w:p w:rsidR="00DF09E3" w:rsidRDefault="00DF09E3" w:rsidP="00267B92">
      <w:pPr>
        <w:keepNext/>
        <w:keepLines/>
        <w:suppressLineNumbers/>
        <w:spacing w:after="0" w:line="240" w:lineRule="auto"/>
      </w:pPr>
    </w:p>
    <w:p w:rsidR="00EE7C98" w:rsidRDefault="006468E5" w:rsidP="00267B92">
      <w:pPr>
        <w:keepNext/>
        <w:keepLines/>
        <w:suppressLineNumbers/>
        <w:spacing w:after="0" w:line="240" w:lineRule="auto"/>
      </w:pPr>
      <w:r>
        <w:tab/>
      </w:r>
      <w:r>
        <w:tab/>
      </w:r>
      <w:r>
        <w:tab/>
      </w:r>
      <w:r>
        <w:tab/>
      </w:r>
      <w:r w:rsidR="00B24BB6" w:rsidRPr="00B24BB6">
        <w:drawing>
          <wp:inline distT="0" distB="0" distL="0" distR="0">
            <wp:extent cx="1937385" cy="391795"/>
            <wp:effectExtent l="19050" t="0" r="5715" b="0"/>
            <wp:docPr id="2" name="Picture 2" descr="K:\WP\JSM\Admin\Firm Docs\Digital Signature - 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P\JSM\Admin\Firm Docs\Digital Signature - BEH.png"/>
                    <pic:cNvPicPr>
                      <a:picLocks noChangeAspect="1" noChangeArrowheads="1"/>
                    </pic:cNvPicPr>
                  </pic:nvPicPr>
                  <pic:blipFill>
                    <a:blip r:embed="rId8" cstate="print"/>
                    <a:srcRect/>
                    <a:stretch>
                      <a:fillRect/>
                    </a:stretch>
                  </pic:blipFill>
                  <pic:spPr bwMode="auto">
                    <a:xfrm>
                      <a:off x="0" y="0"/>
                      <a:ext cx="1937385" cy="391795"/>
                    </a:xfrm>
                    <a:prstGeom prst="rect">
                      <a:avLst/>
                    </a:prstGeom>
                    <a:noFill/>
                    <a:ln w="9525">
                      <a:noFill/>
                      <a:miter lim="800000"/>
                      <a:headEnd/>
                      <a:tailEnd/>
                    </a:ln>
                  </pic:spPr>
                </pic:pic>
              </a:graphicData>
            </a:graphic>
          </wp:inline>
        </w:drawing>
      </w:r>
    </w:p>
    <w:p w:rsidR="00DF09E3" w:rsidRDefault="00617D7D" w:rsidP="00267B92">
      <w:pPr>
        <w:keepNext/>
        <w:keepLines/>
        <w:suppressLineNumbers/>
        <w:spacing w:line="240" w:lineRule="auto"/>
      </w:pPr>
      <w:r>
        <w:tab/>
      </w:r>
      <w:r>
        <w:tab/>
      </w:r>
      <w:r>
        <w:tab/>
      </w:r>
      <w:r>
        <w:tab/>
        <w:t>______________________________</w:t>
      </w:r>
      <w:r>
        <w:br/>
      </w:r>
      <w:r>
        <w:tab/>
      </w:r>
      <w:r>
        <w:tab/>
      </w:r>
      <w:r>
        <w:tab/>
      </w:r>
      <w:r>
        <w:tab/>
      </w:r>
      <w:r>
        <w:tab/>
        <w:t>Brooks E. Harlow</w:t>
      </w:r>
      <w:r>
        <w:br/>
      </w:r>
      <w:r>
        <w:tab/>
      </w:r>
      <w:r>
        <w:tab/>
      </w:r>
      <w:r>
        <w:tab/>
      </w:r>
      <w:r>
        <w:tab/>
      </w:r>
      <w:r>
        <w:tab/>
        <w:t>Lukas, Nace, Gutierrez &amp; Sachs, LLP</w:t>
      </w:r>
      <w:r>
        <w:br/>
      </w:r>
      <w:r>
        <w:tab/>
      </w:r>
      <w:r>
        <w:tab/>
      </w:r>
      <w:r>
        <w:tab/>
      </w:r>
      <w:r>
        <w:tab/>
      </w:r>
      <w:r>
        <w:tab/>
        <w:t>8300 Greensboro Drive, Suite 1200</w:t>
      </w:r>
      <w:r>
        <w:br/>
      </w:r>
      <w:r>
        <w:tab/>
      </w:r>
      <w:r>
        <w:tab/>
      </w:r>
      <w:r>
        <w:tab/>
      </w:r>
      <w:r>
        <w:tab/>
      </w:r>
      <w:r>
        <w:tab/>
        <w:t>McLean, VA 22102</w:t>
      </w:r>
      <w:r w:rsidR="00B24BB6">
        <w:br/>
      </w:r>
      <w:r w:rsidR="00B24BB6">
        <w:tab/>
      </w:r>
      <w:r w:rsidR="00B24BB6">
        <w:tab/>
      </w:r>
      <w:r w:rsidR="00B24BB6">
        <w:tab/>
      </w:r>
      <w:r w:rsidR="00B24BB6">
        <w:tab/>
      </w:r>
      <w:r w:rsidR="00B24BB6">
        <w:tab/>
        <w:t>Tel: (703) 584-8680</w:t>
      </w:r>
      <w:r w:rsidR="00B24BB6">
        <w:br/>
      </w:r>
      <w:r w:rsidR="00B24BB6">
        <w:tab/>
      </w:r>
      <w:r w:rsidR="00B24BB6">
        <w:tab/>
      </w:r>
      <w:r w:rsidR="00B24BB6">
        <w:tab/>
      </w:r>
      <w:r w:rsidR="00B24BB6">
        <w:tab/>
      </w:r>
      <w:r w:rsidR="00B24BB6">
        <w:tab/>
        <w:t>Fax (703) 584-8696</w:t>
      </w:r>
    </w:p>
    <w:p w:rsidR="00A73A4B" w:rsidRDefault="00DF09E3" w:rsidP="00A73A4B">
      <w:pPr>
        <w:keepNext/>
        <w:keepLines/>
        <w:suppressLineNumbers/>
        <w:spacing w:line="240" w:lineRule="auto"/>
      </w:pPr>
      <w:r>
        <w:tab/>
      </w:r>
      <w:r>
        <w:tab/>
      </w:r>
      <w:r>
        <w:tab/>
      </w:r>
      <w:r>
        <w:tab/>
      </w:r>
      <w:r>
        <w:rPr>
          <w:i/>
        </w:rPr>
        <w:t>Counsel for Dex One Corporation</w:t>
      </w:r>
      <w:r w:rsidR="00617D7D">
        <w:br/>
      </w:r>
    </w:p>
    <w:p w:rsidR="00450075" w:rsidRPr="00450075" w:rsidRDefault="00115C75" w:rsidP="00450075">
      <w:pPr>
        <w:keepNext/>
        <w:keepLines/>
        <w:suppressLineNumbers/>
        <w:spacing w:line="240" w:lineRule="auto"/>
      </w:pPr>
      <w:r>
        <w:t>April 2</w:t>
      </w:r>
      <w:r w:rsidR="00A73A4B">
        <w:t>, 2013</w:t>
      </w:r>
    </w:p>
    <w:sectPr w:rsidR="00450075" w:rsidRPr="00450075" w:rsidSect="00964AD2">
      <w:pgSz w:w="12240" w:h="15840"/>
      <w:pgMar w:top="1440" w:right="1440" w:bottom="1440" w:left="1440" w:header="720" w:footer="9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54F" w:rsidRDefault="0076654F" w:rsidP="00F42C4D">
      <w:pPr>
        <w:spacing w:after="0" w:line="240" w:lineRule="auto"/>
      </w:pPr>
      <w:r>
        <w:separator/>
      </w:r>
    </w:p>
  </w:endnote>
  <w:endnote w:type="continuationSeparator" w:id="0">
    <w:p w:rsidR="0076654F" w:rsidRDefault="0076654F" w:rsidP="00F42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54F" w:rsidRDefault="0076654F" w:rsidP="00F42C4D">
      <w:pPr>
        <w:spacing w:after="0" w:line="240" w:lineRule="auto"/>
      </w:pPr>
      <w:r>
        <w:separator/>
      </w:r>
    </w:p>
  </w:footnote>
  <w:footnote w:type="continuationSeparator" w:id="0">
    <w:p w:rsidR="0076654F" w:rsidRDefault="0076654F" w:rsidP="00F42C4D">
      <w:pPr>
        <w:spacing w:after="0" w:line="240" w:lineRule="auto"/>
      </w:pPr>
      <w:r>
        <w:continuationSeparator/>
      </w:r>
    </w:p>
  </w:footnote>
  <w:footnote w:id="1">
    <w:p w:rsidR="0012014C" w:rsidRDefault="0012014C">
      <w:pPr>
        <w:pStyle w:val="FootnoteText"/>
      </w:pPr>
      <w:r>
        <w:rPr>
          <w:rStyle w:val="FootnoteReference"/>
        </w:rPr>
        <w:footnoteRef/>
      </w:r>
      <w:r>
        <w:t xml:space="preserve"> Except for listings of customers requesting non-published listing service.</w:t>
      </w:r>
    </w:p>
  </w:footnote>
  <w:footnote w:id="2">
    <w:p w:rsidR="0012014C" w:rsidRDefault="0012014C">
      <w:pPr>
        <w:pStyle w:val="FootnoteText"/>
      </w:pPr>
      <w:r>
        <w:rPr>
          <w:rStyle w:val="FootnoteReference"/>
        </w:rPr>
        <w:footnoteRef/>
      </w:r>
      <w:r>
        <w:t xml:space="preserve"> If a customer did not initially find a local listing on their own LEC’s website, a Bing, Google, or other search for the name would quickly pull up the listing of another LEC or a non-telco affiliated listing</w:t>
      </w:r>
      <w:r w:rsidR="00115C75">
        <w:t>s website</w:t>
      </w:r>
      <w:r>
        <w:t xml:space="preserve">, of which there are many.  </w:t>
      </w:r>
    </w:p>
  </w:footnote>
  <w:footnote w:id="3">
    <w:p w:rsidR="006E6638" w:rsidRDefault="006E6638">
      <w:pPr>
        <w:pStyle w:val="FootnoteText"/>
      </w:pPr>
      <w:r>
        <w:rPr>
          <w:rStyle w:val="FootnoteReference"/>
        </w:rPr>
        <w:footnoteRef/>
      </w:r>
      <w:r>
        <w:t xml:space="preserve"> Websites do acquire and publish data from numerous sources other than LECs, which may in some</w:t>
      </w:r>
      <w:r w:rsidR="00EF53A5">
        <w:t xml:space="preserve"> cases include</w:t>
      </w:r>
      <w:r>
        <w:t xml:space="preserve"> the same information that the LEC treats as unlisted or non-published.  These other, non-LEC, information sources and websites are, of course, outside the Commission’s jurisdiction</w:t>
      </w:r>
      <w:r w:rsidR="005962FC">
        <w:t xml:space="preserve"> in any event</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43704"/>
    <w:multiLevelType w:val="multilevel"/>
    <w:tmpl w:val="7DD613F2"/>
    <w:lvl w:ilvl="0">
      <w:start w:val="1"/>
      <w:numFmt w:val="upperLetter"/>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39331B76"/>
    <w:multiLevelType w:val="hybridMultilevel"/>
    <w:tmpl w:val="36222476"/>
    <w:lvl w:ilvl="0" w:tplc="39E8CB80">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55154"/>
    <w:multiLevelType w:val="hybridMultilevel"/>
    <w:tmpl w:val="7480D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0BD376C"/>
    <w:multiLevelType w:val="hybridMultilevel"/>
    <w:tmpl w:val="C27A758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79D6EA7"/>
    <w:multiLevelType w:val="hybridMultilevel"/>
    <w:tmpl w:val="FDC8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B75AEB"/>
    <w:multiLevelType w:val="hybridMultilevel"/>
    <w:tmpl w:val="781A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
  </w:num>
  <w:num w:numId="11">
    <w:abstractNumId w:val="5"/>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4033"/>
  </w:hdrShapeDefaults>
  <w:footnotePr>
    <w:footnote w:id="-1"/>
    <w:footnote w:id="0"/>
  </w:footnotePr>
  <w:endnotePr>
    <w:endnote w:id="-1"/>
    <w:endnote w:id="0"/>
  </w:endnotePr>
  <w:compat/>
  <w:rsids>
    <w:rsidRoot w:val="002866F4"/>
    <w:rsid w:val="000138A6"/>
    <w:rsid w:val="00032645"/>
    <w:rsid w:val="000442E8"/>
    <w:rsid w:val="00045361"/>
    <w:rsid w:val="00067944"/>
    <w:rsid w:val="0007060D"/>
    <w:rsid w:val="000754CA"/>
    <w:rsid w:val="00093D75"/>
    <w:rsid w:val="00095FCC"/>
    <w:rsid w:val="000B0784"/>
    <w:rsid w:val="000F05FE"/>
    <w:rsid w:val="000F116B"/>
    <w:rsid w:val="00115C75"/>
    <w:rsid w:val="0012014C"/>
    <w:rsid w:val="00123298"/>
    <w:rsid w:val="001321A4"/>
    <w:rsid w:val="00166CFA"/>
    <w:rsid w:val="00175778"/>
    <w:rsid w:val="00197CC5"/>
    <w:rsid w:val="001C0946"/>
    <w:rsid w:val="001C1B03"/>
    <w:rsid w:val="001C3D38"/>
    <w:rsid w:val="001D32C5"/>
    <w:rsid w:val="001E0459"/>
    <w:rsid w:val="001F2067"/>
    <w:rsid w:val="001F4939"/>
    <w:rsid w:val="00221EE4"/>
    <w:rsid w:val="00232647"/>
    <w:rsid w:val="002459D3"/>
    <w:rsid w:val="00250866"/>
    <w:rsid w:val="002558DE"/>
    <w:rsid w:val="00267B92"/>
    <w:rsid w:val="002866F4"/>
    <w:rsid w:val="002B5253"/>
    <w:rsid w:val="002D726D"/>
    <w:rsid w:val="002E123F"/>
    <w:rsid w:val="00310A67"/>
    <w:rsid w:val="00313217"/>
    <w:rsid w:val="00323B17"/>
    <w:rsid w:val="00335F0A"/>
    <w:rsid w:val="00346345"/>
    <w:rsid w:val="00354245"/>
    <w:rsid w:val="0037396A"/>
    <w:rsid w:val="003813A9"/>
    <w:rsid w:val="003818C1"/>
    <w:rsid w:val="00396339"/>
    <w:rsid w:val="003A7158"/>
    <w:rsid w:val="003A7DE4"/>
    <w:rsid w:val="003B3F6C"/>
    <w:rsid w:val="003E0A07"/>
    <w:rsid w:val="003E4E59"/>
    <w:rsid w:val="003F0420"/>
    <w:rsid w:val="003F2AE1"/>
    <w:rsid w:val="003F2FEA"/>
    <w:rsid w:val="004040CA"/>
    <w:rsid w:val="004075FB"/>
    <w:rsid w:val="004226F5"/>
    <w:rsid w:val="0043786A"/>
    <w:rsid w:val="00443A33"/>
    <w:rsid w:val="00450075"/>
    <w:rsid w:val="004939B4"/>
    <w:rsid w:val="004A7636"/>
    <w:rsid w:val="004B50A4"/>
    <w:rsid w:val="004B60BC"/>
    <w:rsid w:val="004D2EF0"/>
    <w:rsid w:val="004F196C"/>
    <w:rsid w:val="004F7FD4"/>
    <w:rsid w:val="0050208A"/>
    <w:rsid w:val="00512BE6"/>
    <w:rsid w:val="00515C59"/>
    <w:rsid w:val="00517B4F"/>
    <w:rsid w:val="0055184F"/>
    <w:rsid w:val="00554C7C"/>
    <w:rsid w:val="00556891"/>
    <w:rsid w:val="00586C69"/>
    <w:rsid w:val="005962FC"/>
    <w:rsid w:val="005A02CD"/>
    <w:rsid w:val="005C0007"/>
    <w:rsid w:val="005D78EE"/>
    <w:rsid w:val="005E59F0"/>
    <w:rsid w:val="005F7336"/>
    <w:rsid w:val="00613459"/>
    <w:rsid w:val="00617D7D"/>
    <w:rsid w:val="00646272"/>
    <w:rsid w:val="006468E5"/>
    <w:rsid w:val="00651D6F"/>
    <w:rsid w:val="006651A9"/>
    <w:rsid w:val="00666B0C"/>
    <w:rsid w:val="0067428C"/>
    <w:rsid w:val="006753F3"/>
    <w:rsid w:val="00684DC8"/>
    <w:rsid w:val="00686615"/>
    <w:rsid w:val="006970F9"/>
    <w:rsid w:val="006A4BA6"/>
    <w:rsid w:val="006B3896"/>
    <w:rsid w:val="006C1338"/>
    <w:rsid w:val="006C3E6D"/>
    <w:rsid w:val="006E6638"/>
    <w:rsid w:val="00701AA1"/>
    <w:rsid w:val="007161C6"/>
    <w:rsid w:val="00733765"/>
    <w:rsid w:val="00756F19"/>
    <w:rsid w:val="0076654F"/>
    <w:rsid w:val="00781DB5"/>
    <w:rsid w:val="00791AEB"/>
    <w:rsid w:val="00791CFE"/>
    <w:rsid w:val="007B7C9E"/>
    <w:rsid w:val="007D35FA"/>
    <w:rsid w:val="007F3F45"/>
    <w:rsid w:val="007F5DD3"/>
    <w:rsid w:val="007F5F71"/>
    <w:rsid w:val="008118B5"/>
    <w:rsid w:val="00826A43"/>
    <w:rsid w:val="0084113E"/>
    <w:rsid w:val="00851A30"/>
    <w:rsid w:val="00876845"/>
    <w:rsid w:val="008B4EC1"/>
    <w:rsid w:val="008B6D56"/>
    <w:rsid w:val="008C7C46"/>
    <w:rsid w:val="008E0C06"/>
    <w:rsid w:val="008E0F4F"/>
    <w:rsid w:val="008E2B27"/>
    <w:rsid w:val="008F415D"/>
    <w:rsid w:val="00912106"/>
    <w:rsid w:val="00916139"/>
    <w:rsid w:val="00920EB2"/>
    <w:rsid w:val="00964AD2"/>
    <w:rsid w:val="00990F49"/>
    <w:rsid w:val="009A62C6"/>
    <w:rsid w:val="009D5527"/>
    <w:rsid w:val="009E22A4"/>
    <w:rsid w:val="00A13C9F"/>
    <w:rsid w:val="00A305B0"/>
    <w:rsid w:val="00A47444"/>
    <w:rsid w:val="00A64A57"/>
    <w:rsid w:val="00A73A4B"/>
    <w:rsid w:val="00AA7E00"/>
    <w:rsid w:val="00AB561C"/>
    <w:rsid w:val="00AC59AF"/>
    <w:rsid w:val="00AE2C92"/>
    <w:rsid w:val="00AF6090"/>
    <w:rsid w:val="00B234A5"/>
    <w:rsid w:val="00B24BB6"/>
    <w:rsid w:val="00B44D93"/>
    <w:rsid w:val="00B45E28"/>
    <w:rsid w:val="00B531E3"/>
    <w:rsid w:val="00B555DD"/>
    <w:rsid w:val="00B62062"/>
    <w:rsid w:val="00BB357C"/>
    <w:rsid w:val="00C05185"/>
    <w:rsid w:val="00C065A8"/>
    <w:rsid w:val="00C47DDF"/>
    <w:rsid w:val="00C51C85"/>
    <w:rsid w:val="00C608F5"/>
    <w:rsid w:val="00C63559"/>
    <w:rsid w:val="00C85EC7"/>
    <w:rsid w:val="00CB4A24"/>
    <w:rsid w:val="00CB6B4F"/>
    <w:rsid w:val="00CC70EA"/>
    <w:rsid w:val="00CF1298"/>
    <w:rsid w:val="00CF71DD"/>
    <w:rsid w:val="00D009FA"/>
    <w:rsid w:val="00D220C9"/>
    <w:rsid w:val="00D31281"/>
    <w:rsid w:val="00D375BD"/>
    <w:rsid w:val="00D808CF"/>
    <w:rsid w:val="00D85D9A"/>
    <w:rsid w:val="00D93DB4"/>
    <w:rsid w:val="00DB0830"/>
    <w:rsid w:val="00DB5977"/>
    <w:rsid w:val="00DD00EA"/>
    <w:rsid w:val="00DD36E5"/>
    <w:rsid w:val="00DE372F"/>
    <w:rsid w:val="00DF09E3"/>
    <w:rsid w:val="00E03898"/>
    <w:rsid w:val="00E23FFC"/>
    <w:rsid w:val="00E24170"/>
    <w:rsid w:val="00E271FA"/>
    <w:rsid w:val="00E406B2"/>
    <w:rsid w:val="00E72858"/>
    <w:rsid w:val="00E72D92"/>
    <w:rsid w:val="00E7348C"/>
    <w:rsid w:val="00E75573"/>
    <w:rsid w:val="00E85778"/>
    <w:rsid w:val="00E90B38"/>
    <w:rsid w:val="00E94480"/>
    <w:rsid w:val="00E94A1F"/>
    <w:rsid w:val="00EC4E43"/>
    <w:rsid w:val="00ED02D8"/>
    <w:rsid w:val="00EE7B59"/>
    <w:rsid w:val="00EE7C98"/>
    <w:rsid w:val="00EF46D3"/>
    <w:rsid w:val="00EF53A5"/>
    <w:rsid w:val="00F42C4D"/>
    <w:rsid w:val="00F63711"/>
    <w:rsid w:val="00F67DD5"/>
    <w:rsid w:val="00FA5978"/>
    <w:rsid w:val="00FB30CF"/>
    <w:rsid w:val="00FC4DD9"/>
    <w:rsid w:val="00FE37C3"/>
    <w:rsid w:val="00FE776D"/>
    <w:rsid w:val="00FF35C1"/>
    <w:rsid w:val="00FF4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866"/>
    <w:pPr>
      <w:ind w:firstLine="720"/>
    </w:pPr>
    <w:rPr>
      <w:rFonts w:cstheme="minorBidi"/>
      <w:szCs w:val="22"/>
    </w:rPr>
  </w:style>
  <w:style w:type="paragraph" w:styleId="Heading1">
    <w:name w:val="heading 1"/>
    <w:basedOn w:val="Normal"/>
    <w:next w:val="Normal"/>
    <w:link w:val="Heading1Char"/>
    <w:uiPriority w:val="9"/>
    <w:qFormat/>
    <w:rsid w:val="00791CFE"/>
    <w:pPr>
      <w:keepNext/>
      <w:numPr>
        <w:numId w:val="9"/>
      </w:numPr>
      <w:spacing w:line="480" w:lineRule="auto"/>
      <w:outlineLvl w:val="0"/>
    </w:pPr>
    <w:rPr>
      <w:b/>
      <w:u w:val="single"/>
    </w:rPr>
  </w:style>
  <w:style w:type="paragraph" w:styleId="Heading2">
    <w:name w:val="heading 2"/>
    <w:basedOn w:val="Normal"/>
    <w:next w:val="Normal"/>
    <w:link w:val="Heading2Char"/>
    <w:uiPriority w:val="9"/>
    <w:unhideWhenUsed/>
    <w:qFormat/>
    <w:rsid w:val="00517B4F"/>
    <w:pPr>
      <w:numPr>
        <w:numId w:val="2"/>
      </w:numPr>
      <w:spacing w:after="240" w:line="240" w:lineRule="auto"/>
      <w:outlineLvl w:val="1"/>
    </w:pPr>
    <w:rPr>
      <w:b/>
      <w:u w:val="single"/>
    </w:rPr>
  </w:style>
  <w:style w:type="paragraph" w:styleId="Heading3">
    <w:name w:val="heading 3"/>
    <w:basedOn w:val="Normal"/>
    <w:next w:val="Normal"/>
    <w:link w:val="Heading3Char"/>
    <w:uiPriority w:val="9"/>
    <w:unhideWhenUsed/>
    <w:qFormat/>
    <w:rsid w:val="00517B4F"/>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7B4F"/>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7B4F"/>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7B4F"/>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7B4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7B4F"/>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17B4F"/>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CFE"/>
    <w:rPr>
      <w:rFonts w:cstheme="minorBidi"/>
      <w:b/>
      <w:szCs w:val="22"/>
      <w:u w:val="single"/>
    </w:rPr>
  </w:style>
  <w:style w:type="character" w:customStyle="1" w:styleId="Heading2Char">
    <w:name w:val="Heading 2 Char"/>
    <w:basedOn w:val="DefaultParagraphFont"/>
    <w:link w:val="Heading2"/>
    <w:uiPriority w:val="9"/>
    <w:rsid w:val="00517B4F"/>
    <w:rPr>
      <w:b/>
      <w:u w:val="single"/>
    </w:rPr>
  </w:style>
  <w:style w:type="character" w:customStyle="1" w:styleId="Heading3Char">
    <w:name w:val="Heading 3 Char"/>
    <w:basedOn w:val="DefaultParagraphFont"/>
    <w:link w:val="Heading3"/>
    <w:uiPriority w:val="9"/>
    <w:rsid w:val="00517B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17B4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17B4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17B4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17B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7B4F"/>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517B4F"/>
    <w:rPr>
      <w:rFonts w:asciiTheme="majorHAnsi" w:eastAsiaTheme="majorEastAsia" w:hAnsiTheme="majorHAnsi" w:cstheme="majorBidi"/>
      <w:i/>
      <w:iCs/>
      <w:color w:val="404040" w:themeColor="text1" w:themeTint="BF"/>
      <w:sz w:val="20"/>
    </w:rPr>
  </w:style>
  <w:style w:type="paragraph" w:styleId="NoSpacing">
    <w:name w:val="No Spacing"/>
    <w:uiPriority w:val="1"/>
    <w:qFormat/>
    <w:rsid w:val="00517B4F"/>
    <w:pPr>
      <w:widowControl w:val="0"/>
      <w:spacing w:after="0" w:line="240" w:lineRule="auto"/>
    </w:pPr>
    <w:rPr>
      <w:rFonts w:ascii="Calibri" w:eastAsia="Calibri" w:hAnsi="Calibri"/>
      <w:sz w:val="22"/>
      <w:szCs w:val="22"/>
    </w:rPr>
  </w:style>
  <w:style w:type="paragraph" w:styleId="ListParagraph">
    <w:name w:val="List Paragraph"/>
    <w:basedOn w:val="Normal"/>
    <w:uiPriority w:val="34"/>
    <w:qFormat/>
    <w:rsid w:val="00517B4F"/>
    <w:pPr>
      <w:spacing w:after="0" w:line="240" w:lineRule="auto"/>
      <w:ind w:left="720"/>
      <w:contextualSpacing/>
    </w:pPr>
    <w:rPr>
      <w:szCs w:val="24"/>
      <w:lang w:eastAsia="zh-CN"/>
    </w:rPr>
  </w:style>
  <w:style w:type="paragraph" w:customStyle="1" w:styleId="Style1">
    <w:name w:val="Style 1"/>
    <w:basedOn w:val="Normal"/>
    <w:uiPriority w:val="99"/>
    <w:rsid w:val="002866F4"/>
    <w:pPr>
      <w:widowControl w:val="0"/>
      <w:autoSpaceDE w:val="0"/>
      <w:autoSpaceDN w:val="0"/>
      <w:adjustRightInd w:val="0"/>
      <w:spacing w:after="0" w:line="240" w:lineRule="auto"/>
    </w:pPr>
    <w:rPr>
      <w:rFonts w:eastAsiaTheme="minorEastAsia" w:cs="Times New Roman"/>
      <w:sz w:val="20"/>
      <w:szCs w:val="20"/>
    </w:rPr>
  </w:style>
  <w:style w:type="character" w:customStyle="1" w:styleId="CharacterStyle1">
    <w:name w:val="Character Style 1"/>
    <w:uiPriority w:val="99"/>
    <w:rsid w:val="002866F4"/>
    <w:rPr>
      <w:sz w:val="20"/>
      <w:szCs w:val="20"/>
    </w:rPr>
  </w:style>
  <w:style w:type="table" w:styleId="TableGrid">
    <w:name w:val="Table Grid"/>
    <w:basedOn w:val="TableNormal"/>
    <w:uiPriority w:val="59"/>
    <w:rsid w:val="00286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42C4D"/>
    <w:rPr>
      <w:color w:val="0000FF"/>
      <w:u w:val="single"/>
    </w:rPr>
  </w:style>
  <w:style w:type="paragraph" w:styleId="FootnoteText">
    <w:name w:val="footnote text"/>
    <w:basedOn w:val="Normal"/>
    <w:link w:val="FootnoteTextChar"/>
    <w:uiPriority w:val="99"/>
    <w:semiHidden/>
    <w:unhideWhenUsed/>
    <w:rsid w:val="00F42C4D"/>
    <w:pPr>
      <w:spacing w:after="0" w:line="240" w:lineRule="auto"/>
    </w:pPr>
    <w:rPr>
      <w:rFonts w:ascii="Times" w:eastAsia="Times" w:hAnsi="Times" w:cs="Times New Roman"/>
      <w:sz w:val="20"/>
      <w:szCs w:val="20"/>
    </w:rPr>
  </w:style>
  <w:style w:type="character" w:customStyle="1" w:styleId="FootnoteTextChar">
    <w:name w:val="Footnote Text Char"/>
    <w:basedOn w:val="DefaultParagraphFont"/>
    <w:link w:val="FootnoteText"/>
    <w:uiPriority w:val="99"/>
    <w:semiHidden/>
    <w:rsid w:val="00F42C4D"/>
    <w:rPr>
      <w:rFonts w:ascii="Times" w:eastAsia="Times" w:hAnsi="Times"/>
      <w:sz w:val="20"/>
    </w:rPr>
  </w:style>
  <w:style w:type="character" w:styleId="FootnoteReference">
    <w:name w:val="footnote reference"/>
    <w:basedOn w:val="DefaultParagraphFont"/>
    <w:uiPriority w:val="99"/>
    <w:semiHidden/>
    <w:unhideWhenUsed/>
    <w:rsid w:val="00F42C4D"/>
    <w:rPr>
      <w:vertAlign w:val="superscript"/>
    </w:rPr>
  </w:style>
  <w:style w:type="paragraph" w:styleId="Header">
    <w:name w:val="header"/>
    <w:basedOn w:val="Normal"/>
    <w:link w:val="HeaderChar"/>
    <w:uiPriority w:val="99"/>
    <w:semiHidden/>
    <w:unhideWhenUsed/>
    <w:rsid w:val="002508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0866"/>
    <w:rPr>
      <w:rFonts w:cstheme="minorBidi"/>
      <w:szCs w:val="22"/>
    </w:rPr>
  </w:style>
  <w:style w:type="paragraph" w:styleId="Footer">
    <w:name w:val="footer"/>
    <w:basedOn w:val="Normal"/>
    <w:link w:val="FooterChar"/>
    <w:uiPriority w:val="99"/>
    <w:unhideWhenUsed/>
    <w:rsid w:val="00250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866"/>
    <w:rPr>
      <w:rFonts w:cstheme="minorBidi"/>
      <w:szCs w:val="22"/>
    </w:rPr>
  </w:style>
  <w:style w:type="paragraph" w:styleId="DocumentMap">
    <w:name w:val="Document Map"/>
    <w:basedOn w:val="Normal"/>
    <w:link w:val="DocumentMapChar"/>
    <w:uiPriority w:val="99"/>
    <w:semiHidden/>
    <w:unhideWhenUsed/>
    <w:rsid w:val="00B234A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234A5"/>
    <w:rPr>
      <w:rFonts w:ascii="Tahoma" w:hAnsi="Tahoma" w:cs="Tahoma"/>
      <w:sz w:val="16"/>
      <w:szCs w:val="16"/>
    </w:rPr>
  </w:style>
  <w:style w:type="paragraph" w:customStyle="1" w:styleId="Default">
    <w:name w:val="Default"/>
    <w:basedOn w:val="Normal"/>
    <w:rsid w:val="00617D7D"/>
    <w:pPr>
      <w:autoSpaceDE w:val="0"/>
      <w:autoSpaceDN w:val="0"/>
      <w:spacing w:after="0" w:line="240" w:lineRule="auto"/>
      <w:ind w:firstLine="0"/>
    </w:pPr>
    <w:rPr>
      <w:rFonts w:eastAsia="Calibri" w:cs="Times New Roman"/>
      <w:color w:val="000000"/>
      <w:szCs w:val="24"/>
    </w:rPr>
  </w:style>
  <w:style w:type="paragraph" w:styleId="BalloonText">
    <w:name w:val="Balloon Text"/>
    <w:basedOn w:val="Normal"/>
    <w:link w:val="BalloonTextChar"/>
    <w:uiPriority w:val="99"/>
    <w:semiHidden/>
    <w:unhideWhenUsed/>
    <w:rsid w:val="00BB3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57C"/>
    <w:rPr>
      <w:rFonts w:ascii="Tahoma" w:hAnsi="Tahoma" w:cs="Tahoma"/>
      <w:sz w:val="16"/>
      <w:szCs w:val="16"/>
    </w:rPr>
  </w:style>
  <w:style w:type="character" w:styleId="LineNumber">
    <w:name w:val="line number"/>
    <w:basedOn w:val="DefaultParagraphFont"/>
    <w:uiPriority w:val="99"/>
    <w:semiHidden/>
    <w:unhideWhenUsed/>
    <w:rsid w:val="003813A9"/>
  </w:style>
  <w:style w:type="character" w:styleId="CommentReference">
    <w:name w:val="annotation reference"/>
    <w:basedOn w:val="DefaultParagraphFont"/>
    <w:uiPriority w:val="99"/>
    <w:semiHidden/>
    <w:unhideWhenUsed/>
    <w:rsid w:val="003F2FEA"/>
    <w:rPr>
      <w:sz w:val="16"/>
      <w:szCs w:val="16"/>
    </w:rPr>
  </w:style>
  <w:style w:type="paragraph" w:styleId="CommentText">
    <w:name w:val="annotation text"/>
    <w:basedOn w:val="Normal"/>
    <w:link w:val="CommentTextChar"/>
    <w:uiPriority w:val="99"/>
    <w:semiHidden/>
    <w:unhideWhenUsed/>
    <w:rsid w:val="003F2FEA"/>
    <w:pPr>
      <w:spacing w:line="240" w:lineRule="auto"/>
    </w:pPr>
    <w:rPr>
      <w:sz w:val="20"/>
      <w:szCs w:val="20"/>
    </w:rPr>
  </w:style>
  <w:style w:type="character" w:customStyle="1" w:styleId="CommentTextChar">
    <w:name w:val="Comment Text Char"/>
    <w:basedOn w:val="DefaultParagraphFont"/>
    <w:link w:val="CommentText"/>
    <w:uiPriority w:val="99"/>
    <w:semiHidden/>
    <w:rsid w:val="003F2FEA"/>
    <w:rPr>
      <w:rFonts w:cstheme="minorBidi"/>
      <w:sz w:val="20"/>
    </w:rPr>
  </w:style>
  <w:style w:type="paragraph" w:styleId="CommentSubject">
    <w:name w:val="annotation subject"/>
    <w:basedOn w:val="CommentText"/>
    <w:next w:val="CommentText"/>
    <w:link w:val="CommentSubjectChar"/>
    <w:uiPriority w:val="99"/>
    <w:semiHidden/>
    <w:unhideWhenUsed/>
    <w:rsid w:val="003F2FEA"/>
    <w:rPr>
      <w:b/>
      <w:bCs/>
    </w:rPr>
  </w:style>
  <w:style w:type="character" w:customStyle="1" w:styleId="CommentSubjectChar">
    <w:name w:val="Comment Subject Char"/>
    <w:basedOn w:val="CommentTextChar"/>
    <w:link w:val="CommentSubject"/>
    <w:uiPriority w:val="99"/>
    <w:semiHidden/>
    <w:rsid w:val="003F2FEA"/>
    <w:rPr>
      <w:b/>
      <w:bCs/>
    </w:rPr>
  </w:style>
</w:styles>
</file>

<file path=word/webSettings.xml><?xml version="1.0" encoding="utf-8"?>
<w:webSettings xmlns:r="http://schemas.openxmlformats.org/officeDocument/2006/relationships" xmlns:w="http://schemas.openxmlformats.org/wordprocessingml/2006/main">
  <w:divs>
    <w:div w:id="1042829133">
      <w:bodyDiv w:val="1"/>
      <w:marLeft w:val="0"/>
      <w:marRight w:val="0"/>
      <w:marTop w:val="0"/>
      <w:marBottom w:val="0"/>
      <w:divBdr>
        <w:top w:val="none" w:sz="0" w:space="0" w:color="auto"/>
        <w:left w:val="none" w:sz="0" w:space="0" w:color="auto"/>
        <w:bottom w:val="none" w:sz="0" w:space="0" w:color="auto"/>
        <w:right w:val="none" w:sz="0" w:space="0" w:color="auto"/>
      </w:divBdr>
    </w:div>
    <w:div w:id="1228800619">
      <w:bodyDiv w:val="1"/>
      <w:marLeft w:val="0"/>
      <w:marRight w:val="0"/>
      <w:marTop w:val="0"/>
      <w:marBottom w:val="0"/>
      <w:divBdr>
        <w:top w:val="none" w:sz="0" w:space="0" w:color="auto"/>
        <w:left w:val="none" w:sz="0" w:space="0" w:color="auto"/>
        <w:bottom w:val="none" w:sz="0" w:space="0" w:color="auto"/>
        <w:right w:val="none" w:sz="0" w:space="0" w:color="auto"/>
      </w:divBdr>
      <w:divsChild>
        <w:div w:id="801387335">
          <w:marLeft w:val="90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2013-04-02T07:00:00+00:00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F325C41-F458-4B0B-AC95-29DB9658342F}"/>
</file>

<file path=customXml/itemProps2.xml><?xml version="1.0" encoding="utf-8"?>
<ds:datastoreItem xmlns:ds="http://schemas.openxmlformats.org/officeDocument/2006/customXml" ds:itemID="{F94BD774-B09A-4035-A58F-7BA80587F3E6}"/>
</file>

<file path=customXml/itemProps3.xml><?xml version="1.0" encoding="utf-8"?>
<ds:datastoreItem xmlns:ds="http://schemas.openxmlformats.org/officeDocument/2006/customXml" ds:itemID="{D6B7E3BB-7FFF-457D-84CC-0DA2CA13A466}"/>
</file>

<file path=customXml/itemProps4.xml><?xml version="1.0" encoding="utf-8"?>
<ds:datastoreItem xmlns:ds="http://schemas.openxmlformats.org/officeDocument/2006/customXml" ds:itemID="{BAC46ACF-4556-4030-9938-6FDBFB732F97}"/>
</file>

<file path=customXml/itemProps5.xml><?xml version="1.0" encoding="utf-8"?>
<ds:datastoreItem xmlns:ds="http://schemas.openxmlformats.org/officeDocument/2006/customXml" ds:itemID="{D56D0E22-049D-41D3-8B4E-52EE63D5421D}"/>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2013-04-02T17:19:00Z</dcterms:created>
  <dcterms:modified xsi:type="dcterms:W3CDTF">2013-04-02T17:25:00Z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