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1B5F8D" w:rsidRDefault="001B5F8D" w:rsidP="00C514E0">
      <w:pPr>
        <w:rPr>
          <w:sz w:val="24"/>
          <w:szCs w:val="24"/>
        </w:rPr>
      </w:pPr>
    </w:p>
    <w:p w:rsidR="003F14E0" w:rsidRPr="0042351E" w:rsidRDefault="0042351E" w:rsidP="00C514E0">
      <w:pPr>
        <w:rPr>
          <w:sz w:val="24"/>
          <w:szCs w:val="24"/>
        </w:rPr>
      </w:pPr>
      <w:r w:rsidRPr="0042351E">
        <w:rPr>
          <w:sz w:val="24"/>
          <w:szCs w:val="24"/>
        </w:rPr>
        <w:t>August 9, 2016</w:t>
      </w:r>
    </w:p>
    <w:p w:rsidR="0042351E" w:rsidRDefault="0042351E" w:rsidP="00C514E0">
      <w:pPr>
        <w:rPr>
          <w:sz w:val="24"/>
          <w:szCs w:val="24"/>
        </w:rPr>
      </w:pPr>
    </w:p>
    <w:p w:rsidR="001B5F8D" w:rsidRDefault="001B5F8D" w:rsidP="00C514E0">
      <w:pPr>
        <w:rPr>
          <w:sz w:val="24"/>
          <w:szCs w:val="24"/>
        </w:rPr>
      </w:pPr>
    </w:p>
    <w:p w:rsidR="0042351E" w:rsidRPr="0042351E" w:rsidRDefault="0042351E" w:rsidP="0042351E">
      <w:pPr>
        <w:rPr>
          <w:b/>
          <w:i/>
          <w:sz w:val="24"/>
          <w:szCs w:val="24"/>
        </w:rPr>
      </w:pPr>
      <w:r w:rsidRPr="0042351E">
        <w:rPr>
          <w:b/>
          <w:i/>
          <w:sz w:val="24"/>
          <w:szCs w:val="24"/>
        </w:rPr>
        <w:t>Via Web Portal and Overnight Mail</w:t>
      </w:r>
    </w:p>
    <w:p w:rsidR="0042351E" w:rsidRPr="0042351E" w:rsidRDefault="0042351E" w:rsidP="00C514E0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Mr. Steven V. King, Executive Director and Secretary</w:t>
      </w: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Washington Utilities and Transportation Commission</w:t>
      </w: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P.O. Box 47250</w:t>
      </w: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Olympia, WA 98504-7250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b/>
          <w:sz w:val="24"/>
          <w:szCs w:val="24"/>
        </w:rPr>
      </w:pPr>
      <w:r w:rsidRPr="0042351E"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</w:r>
      <w:r w:rsidRPr="0042351E">
        <w:rPr>
          <w:b/>
          <w:sz w:val="24"/>
          <w:szCs w:val="24"/>
        </w:rPr>
        <w:t>Docket No. UE-132043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 w:rsidRPr="0042351E">
        <w:rPr>
          <w:b/>
          <w:sz w:val="24"/>
          <w:szCs w:val="24"/>
        </w:rPr>
        <w:t xml:space="preserve">Replacement </w:t>
      </w:r>
      <w:r>
        <w:rPr>
          <w:b/>
          <w:sz w:val="24"/>
          <w:szCs w:val="24"/>
        </w:rPr>
        <w:t>P</w:t>
      </w:r>
      <w:r w:rsidRPr="0042351E">
        <w:rPr>
          <w:b/>
          <w:sz w:val="24"/>
          <w:szCs w:val="24"/>
        </w:rPr>
        <w:t>ages for 2014-2015 Biennial Conservation Report</w:t>
      </w:r>
    </w:p>
    <w:p w:rsidR="0042351E" w:rsidRPr="0042351E" w:rsidRDefault="0042351E" w:rsidP="0042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2351E">
        <w:rPr>
          <w:b/>
          <w:sz w:val="24"/>
          <w:szCs w:val="24"/>
        </w:rPr>
        <w:t>Attachment 2: Department of Commerce EIA Report</w:t>
      </w:r>
    </w:p>
    <w:p w:rsidR="0042351E" w:rsidRPr="0042351E" w:rsidRDefault="0042351E" w:rsidP="0042351E">
      <w:pPr>
        <w:tabs>
          <w:tab w:val="left" w:pos="4119"/>
        </w:tabs>
        <w:rPr>
          <w:sz w:val="24"/>
          <w:szCs w:val="24"/>
        </w:rPr>
      </w:pPr>
      <w:r w:rsidRPr="0042351E">
        <w:rPr>
          <w:sz w:val="24"/>
          <w:szCs w:val="24"/>
        </w:rPr>
        <w:tab/>
      </w: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Dear Mr. King,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Enclosed are an original and three copies o</w:t>
      </w:r>
      <w:r w:rsidR="001B5F8D">
        <w:rPr>
          <w:sz w:val="24"/>
          <w:szCs w:val="24"/>
        </w:rPr>
        <w:t>f Puget Sound Energy’s (“PSE’s”</w:t>
      </w:r>
      <w:r w:rsidRPr="0042351E">
        <w:rPr>
          <w:sz w:val="24"/>
          <w:szCs w:val="24"/>
        </w:rPr>
        <w:t xml:space="preserve">) Attachment 2: </w:t>
      </w:r>
      <w:r w:rsidR="001B5F8D">
        <w:rPr>
          <w:sz w:val="24"/>
          <w:szCs w:val="24"/>
        </w:rPr>
        <w:br/>
      </w:r>
      <w:r w:rsidRPr="0042351E">
        <w:rPr>
          <w:i/>
          <w:sz w:val="24"/>
          <w:szCs w:val="24"/>
        </w:rPr>
        <w:t xml:space="preserve">WA Department of Commerce EIA Workbook – Conservation </w:t>
      </w:r>
      <w:r w:rsidR="001B5F8D">
        <w:rPr>
          <w:i/>
          <w:sz w:val="24"/>
          <w:szCs w:val="24"/>
        </w:rPr>
        <w:t>Content</w:t>
      </w:r>
      <w:r w:rsidRPr="0042351E">
        <w:rPr>
          <w:i/>
          <w:sz w:val="24"/>
          <w:szCs w:val="24"/>
        </w:rPr>
        <w:t>,</w:t>
      </w:r>
      <w:r w:rsidRPr="0042351E">
        <w:rPr>
          <w:sz w:val="24"/>
          <w:szCs w:val="24"/>
        </w:rPr>
        <w:t xml:space="preserve"> of its 2014-2015 Biennial Conservation Report.  Attachment 2 is a copy of the Department of Commerce’s EIA form,</w:t>
      </w:r>
      <w:r w:rsidRPr="0042351E">
        <w:rPr>
          <w:rStyle w:val="FootnoteReference"/>
          <w:sz w:val="24"/>
          <w:szCs w:val="24"/>
        </w:rPr>
        <w:footnoteReference w:id="1"/>
      </w:r>
      <w:r w:rsidRPr="0042351E">
        <w:rPr>
          <w:sz w:val="24"/>
          <w:szCs w:val="24"/>
        </w:rPr>
        <w:t xml:space="preserve"> and is updated in this replacement filing to reflect PSE’s overall </w:t>
      </w:r>
      <w:r w:rsidR="00DA2BD1">
        <w:rPr>
          <w:sz w:val="24"/>
          <w:szCs w:val="24"/>
        </w:rPr>
        <w:t>p</w:t>
      </w:r>
      <w:r w:rsidRPr="0042351E">
        <w:rPr>
          <w:sz w:val="24"/>
          <w:szCs w:val="24"/>
        </w:rPr>
        <w:t>ortfolio tar</w:t>
      </w:r>
      <w:r w:rsidR="001B5F8D">
        <w:rPr>
          <w:sz w:val="24"/>
          <w:szCs w:val="24"/>
        </w:rPr>
        <w:t xml:space="preserve">get of 621,120 </w:t>
      </w:r>
      <w:r w:rsidRPr="0042351E">
        <w:rPr>
          <w:sz w:val="24"/>
          <w:szCs w:val="24"/>
        </w:rPr>
        <w:t>MWh, versus the originally-reported 485,770 MWh.  The intention is to provide a higher degree of consistency with other Washington state utility reporting practices.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In its originally-filed report, PSE indicated that the “Target” value (cell G8 of the Microsoft® Excel™ spreadsheet) of 485,770 MWh represent</w:t>
      </w:r>
      <w:r w:rsidR="00DA2BD1">
        <w:rPr>
          <w:sz w:val="24"/>
          <w:szCs w:val="24"/>
        </w:rPr>
        <w:t>ed the Commission-approve</w:t>
      </w:r>
      <w:bookmarkStart w:id="0" w:name="_GoBack"/>
      <w:bookmarkEnd w:id="0"/>
      <w:r w:rsidR="00DA2BD1">
        <w:rPr>
          <w:sz w:val="24"/>
          <w:szCs w:val="24"/>
        </w:rPr>
        <w:t>d EIA t</w:t>
      </w:r>
      <w:r w:rsidRPr="0042351E">
        <w:rPr>
          <w:sz w:val="24"/>
          <w:szCs w:val="24"/>
        </w:rPr>
        <w:t xml:space="preserve">arget, set in Order 01 of Docket No. </w:t>
      </w:r>
      <w:proofErr w:type="gramStart"/>
      <w:r w:rsidRPr="0042351E">
        <w:rPr>
          <w:sz w:val="24"/>
          <w:szCs w:val="24"/>
        </w:rPr>
        <w:t>UE-132043.</w:t>
      </w:r>
      <w:proofErr w:type="gramEnd"/>
      <w:r w:rsidRPr="00423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351E">
        <w:rPr>
          <w:sz w:val="24"/>
          <w:szCs w:val="24"/>
        </w:rPr>
        <w:t xml:space="preserve">The revised report’s updated target amount of 621,120 </w:t>
      </w:r>
      <w:proofErr w:type="gramStart"/>
      <w:r w:rsidRPr="0042351E">
        <w:rPr>
          <w:sz w:val="24"/>
          <w:szCs w:val="24"/>
        </w:rPr>
        <w:t>MWh,</w:t>
      </w:r>
      <w:proofErr w:type="gramEnd"/>
      <w:r w:rsidRPr="0042351E">
        <w:rPr>
          <w:sz w:val="24"/>
          <w:szCs w:val="24"/>
        </w:rPr>
        <w:t xml:space="preserve"> represents the overall </w:t>
      </w:r>
      <w:r w:rsidR="00DA2BD1">
        <w:rPr>
          <w:sz w:val="24"/>
          <w:szCs w:val="24"/>
        </w:rPr>
        <w:t>p</w:t>
      </w:r>
      <w:r w:rsidRPr="0042351E">
        <w:rPr>
          <w:sz w:val="24"/>
          <w:szCs w:val="24"/>
        </w:rPr>
        <w:t xml:space="preserve">ortfolio savings goal, without excluding programs or initiatives that did not comprise the Commission-approved EIA </w:t>
      </w:r>
      <w:r w:rsidR="00DA2BD1">
        <w:rPr>
          <w:sz w:val="24"/>
          <w:szCs w:val="24"/>
        </w:rPr>
        <w:t>t</w:t>
      </w:r>
      <w:r w:rsidRPr="0042351E">
        <w:rPr>
          <w:sz w:val="24"/>
          <w:szCs w:val="24"/>
        </w:rPr>
        <w:t>arget of 485,770 MWh.  PSE agree</w:t>
      </w:r>
      <w:r>
        <w:rPr>
          <w:sz w:val="24"/>
          <w:szCs w:val="24"/>
        </w:rPr>
        <w:t>s</w:t>
      </w:r>
      <w:r w:rsidRPr="0042351E">
        <w:rPr>
          <w:sz w:val="24"/>
          <w:szCs w:val="24"/>
        </w:rPr>
        <w:t xml:space="preserve"> with Commission Staff that this updated figure better represents the overall electric conservation achievement to which PSE’s </w:t>
      </w:r>
      <w:r w:rsidR="0055338B">
        <w:rPr>
          <w:sz w:val="24"/>
          <w:szCs w:val="24"/>
        </w:rPr>
        <w:t>customers</w:t>
      </w:r>
      <w:r w:rsidRPr="0042351E">
        <w:rPr>
          <w:sz w:val="24"/>
          <w:szCs w:val="24"/>
        </w:rPr>
        <w:t xml:space="preserve"> contributed, and that the revision provides a more direct comparison of actual </w:t>
      </w:r>
      <w:r w:rsidR="00DA2BD1">
        <w:rPr>
          <w:sz w:val="24"/>
          <w:szCs w:val="24"/>
        </w:rPr>
        <w:t>p</w:t>
      </w:r>
      <w:r w:rsidRPr="0042351E">
        <w:rPr>
          <w:sz w:val="24"/>
          <w:szCs w:val="24"/>
        </w:rPr>
        <w:t xml:space="preserve">ortfolio achievement relative to the targets. 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>PSE also adopted Commission Staff-suggested language in the report’s N</w:t>
      </w:r>
      <w:r>
        <w:rPr>
          <w:sz w:val="24"/>
          <w:szCs w:val="24"/>
        </w:rPr>
        <w:t>otes</w:t>
      </w:r>
      <w:r w:rsidRPr="0042351E">
        <w:rPr>
          <w:sz w:val="24"/>
          <w:szCs w:val="24"/>
        </w:rPr>
        <w:t xml:space="preserve"> section to provide updated discussions that more thoroughly discuss the creation of the different sets of targets, and the calculation of achieved savings relative to those targets.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lastRenderedPageBreak/>
        <w:t>The attached document (a copy of the Department of Commerce form and the accompanying title page) is intended to replace the existing Attachment 2 of PSE’s 2014-2015 Biennial Conservation Report in its entirety.</w:t>
      </w:r>
    </w:p>
    <w:p w:rsidR="0042351E" w:rsidRPr="0042351E" w:rsidRDefault="0042351E" w:rsidP="0042351E">
      <w:pPr>
        <w:rPr>
          <w:sz w:val="24"/>
          <w:szCs w:val="24"/>
        </w:rPr>
      </w:pPr>
    </w:p>
    <w:p w:rsidR="0042351E" w:rsidRPr="0042351E" w:rsidRDefault="0042351E" w:rsidP="0042351E">
      <w:pPr>
        <w:rPr>
          <w:sz w:val="24"/>
          <w:szCs w:val="24"/>
        </w:rPr>
      </w:pPr>
      <w:r w:rsidRPr="0042351E">
        <w:rPr>
          <w:sz w:val="24"/>
          <w:szCs w:val="24"/>
        </w:rPr>
        <w:t xml:space="preserve">Please contact </w:t>
      </w:r>
      <w:r>
        <w:rPr>
          <w:sz w:val="24"/>
          <w:szCs w:val="24"/>
        </w:rPr>
        <w:t xml:space="preserve">Andy Hemstreet </w:t>
      </w:r>
      <w:r w:rsidRPr="0042351E">
        <w:rPr>
          <w:sz w:val="24"/>
          <w:szCs w:val="24"/>
        </w:rPr>
        <w:t xml:space="preserve">at </w:t>
      </w:r>
      <w:r w:rsidRPr="0042351E">
        <w:rPr>
          <w:color w:val="000000"/>
          <w:sz w:val="24"/>
          <w:szCs w:val="24"/>
        </w:rPr>
        <w:t>425-424-6918</w:t>
      </w:r>
      <w:r w:rsidRPr="0042351E">
        <w:rPr>
          <w:sz w:val="24"/>
          <w:szCs w:val="24"/>
        </w:rPr>
        <w:t xml:space="preserve"> or </w:t>
      </w:r>
      <w:r>
        <w:rPr>
          <w:sz w:val="24"/>
          <w:szCs w:val="24"/>
        </w:rPr>
        <w:t>andrew.hemstreet</w:t>
      </w:r>
      <w:r w:rsidRPr="0042351E">
        <w:rPr>
          <w:sz w:val="24"/>
          <w:szCs w:val="24"/>
        </w:rPr>
        <w:t>@pse.com for additional information about this filing.  If you have any other questions, please contact me at (425) 456-2110.</w:t>
      </w:r>
    </w:p>
    <w:p w:rsidR="0042351E" w:rsidRPr="0042351E" w:rsidRDefault="0042351E" w:rsidP="0042351E">
      <w:pPr>
        <w:rPr>
          <w:sz w:val="24"/>
          <w:szCs w:val="24"/>
        </w:rPr>
      </w:pPr>
    </w:p>
    <w:p w:rsidR="00BE3468" w:rsidRPr="0042351E" w:rsidRDefault="00BE3468" w:rsidP="00BE3468">
      <w:pPr>
        <w:ind w:left="2880" w:firstLine="720"/>
        <w:rPr>
          <w:sz w:val="24"/>
          <w:szCs w:val="24"/>
        </w:rPr>
      </w:pPr>
      <w:r w:rsidRPr="0042351E">
        <w:rPr>
          <w:sz w:val="24"/>
          <w:szCs w:val="24"/>
        </w:rPr>
        <w:t>Sincerely,</w:t>
      </w:r>
    </w:p>
    <w:p w:rsidR="00BE3468" w:rsidRPr="0042351E" w:rsidRDefault="00BE3468" w:rsidP="00BE3468">
      <w:pPr>
        <w:rPr>
          <w:sz w:val="24"/>
          <w:szCs w:val="24"/>
        </w:rPr>
      </w:pPr>
    </w:p>
    <w:p w:rsidR="00BE3468" w:rsidRDefault="00BE3468" w:rsidP="00BE3468">
      <w:pPr>
        <w:rPr>
          <w:sz w:val="24"/>
          <w:szCs w:val="24"/>
        </w:rPr>
      </w:pPr>
    </w:p>
    <w:p w:rsidR="00DA2BD1" w:rsidRPr="0042351E" w:rsidRDefault="00DA2BD1" w:rsidP="00BE3468">
      <w:pPr>
        <w:rPr>
          <w:sz w:val="24"/>
          <w:szCs w:val="24"/>
        </w:rPr>
      </w:pPr>
    </w:p>
    <w:p w:rsidR="00BE3468" w:rsidRPr="0042351E" w:rsidRDefault="00BE3468" w:rsidP="00BE3468">
      <w:pPr>
        <w:ind w:left="2880" w:firstLine="720"/>
        <w:outlineLvl w:val="0"/>
        <w:rPr>
          <w:sz w:val="24"/>
          <w:szCs w:val="24"/>
        </w:rPr>
      </w:pPr>
      <w:r w:rsidRPr="0042351E">
        <w:rPr>
          <w:sz w:val="24"/>
          <w:szCs w:val="24"/>
        </w:rPr>
        <w:t>Ken Johnson</w:t>
      </w:r>
    </w:p>
    <w:p w:rsidR="00BE3468" w:rsidRPr="0042351E" w:rsidRDefault="00BE3468" w:rsidP="00BE3468">
      <w:pPr>
        <w:ind w:left="2880" w:firstLine="720"/>
        <w:rPr>
          <w:sz w:val="24"/>
          <w:szCs w:val="24"/>
        </w:rPr>
      </w:pPr>
      <w:r w:rsidRPr="0042351E">
        <w:rPr>
          <w:sz w:val="24"/>
          <w:szCs w:val="24"/>
        </w:rPr>
        <w:t>Director, State Regulatory Affairs</w:t>
      </w:r>
    </w:p>
    <w:p w:rsidR="003123F2" w:rsidRPr="0042351E" w:rsidRDefault="003123F2" w:rsidP="00BE3468">
      <w:pPr>
        <w:ind w:left="2880" w:firstLine="720"/>
        <w:rPr>
          <w:sz w:val="24"/>
          <w:szCs w:val="24"/>
        </w:rPr>
      </w:pPr>
    </w:p>
    <w:p w:rsidR="00BE3468" w:rsidRPr="00BE3468" w:rsidRDefault="008E4770" w:rsidP="00BE3468">
      <w:pPr>
        <w:rPr>
          <w:sz w:val="24"/>
          <w:szCs w:val="24"/>
        </w:rPr>
      </w:pPr>
      <w:r>
        <w:rPr>
          <w:sz w:val="24"/>
          <w:szCs w:val="24"/>
        </w:rPr>
        <w:t>Attachment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</w:r>
      <w:r w:rsidR="00DA2BD1">
        <w:rPr>
          <w:sz w:val="24"/>
          <w:szCs w:val="24"/>
        </w:rPr>
        <w:t xml:space="preserve">Lisa </w:t>
      </w:r>
      <w:proofErr w:type="spellStart"/>
      <w:r w:rsidR="00DA2BD1">
        <w:rPr>
          <w:sz w:val="24"/>
          <w:szCs w:val="24"/>
        </w:rPr>
        <w:t>Gafken</w:t>
      </w:r>
      <w:proofErr w:type="spellEnd"/>
      <w:r w:rsidR="00DA2BD1">
        <w:rPr>
          <w:sz w:val="24"/>
          <w:szCs w:val="24"/>
        </w:rPr>
        <w:t>, P</w:t>
      </w:r>
      <w:r w:rsidR="003123F2">
        <w:rPr>
          <w:sz w:val="24"/>
          <w:szCs w:val="24"/>
        </w:rPr>
        <w:t>ublic Counsel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ab/>
        <w:t>Sheree Carson, Perkins Coie</w:t>
      </w:r>
    </w:p>
    <w:sectPr w:rsidR="00BE3468" w:rsidRPr="00BE3468" w:rsidSect="0016581A">
      <w:headerReference w:type="default" r:id="rId12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5B" w:rsidRDefault="00DB735B">
      <w:r>
        <w:separator/>
      </w:r>
    </w:p>
  </w:endnote>
  <w:endnote w:type="continuationSeparator" w:id="0">
    <w:p w:rsidR="00DB735B" w:rsidRDefault="00D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5B" w:rsidRDefault="00DB735B">
      <w:r>
        <w:separator/>
      </w:r>
    </w:p>
  </w:footnote>
  <w:footnote w:type="continuationSeparator" w:id="0">
    <w:p w:rsidR="00DB735B" w:rsidRDefault="00DB735B">
      <w:r>
        <w:continuationSeparator/>
      </w:r>
    </w:p>
  </w:footnote>
  <w:footnote w:id="1">
    <w:p w:rsidR="0042351E" w:rsidRPr="00D04523" w:rsidRDefault="0042351E" w:rsidP="0042351E">
      <w:pPr>
        <w:pStyle w:val="FootnoteText"/>
        <w:spacing w:after="120"/>
      </w:pPr>
      <w:r w:rsidRPr="00D04523">
        <w:rPr>
          <w:rStyle w:val="FootnoteReference"/>
        </w:rPr>
        <w:footnoteRef/>
      </w:r>
      <w:r w:rsidRPr="00D04523">
        <w:t xml:space="preserve"> Specifically, PSE’s Energy Efficiency department provides the conservation-specific spreadsheet of Commerce’s overall EIA reporting workbook. Energy Efficiency files this worksheet as a part of its Biennial Conservation Report separately from the overall workbook.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Pr="00DA2BD1" w:rsidRDefault="00BE3468" w:rsidP="00BE3468">
    <w:pPr>
      <w:rPr>
        <w:sz w:val="24"/>
        <w:szCs w:val="24"/>
      </w:rPr>
    </w:pPr>
    <w:r w:rsidRPr="00DA2BD1">
      <w:rPr>
        <w:sz w:val="24"/>
        <w:szCs w:val="24"/>
      </w:rPr>
      <w:t>Mr. Steven V. King, Executive Director and Secretary</w:t>
    </w:r>
  </w:p>
  <w:p w:rsidR="00BE3468" w:rsidRPr="00DA2BD1" w:rsidRDefault="0042351E" w:rsidP="00BE3468">
    <w:pPr>
      <w:pStyle w:val="Header"/>
      <w:rPr>
        <w:sz w:val="24"/>
        <w:szCs w:val="24"/>
      </w:rPr>
    </w:pPr>
    <w:r w:rsidRPr="00DA2BD1">
      <w:rPr>
        <w:sz w:val="24"/>
        <w:szCs w:val="24"/>
      </w:rPr>
      <w:t>August 9</w:t>
    </w:r>
    <w:r w:rsidR="00BE3468" w:rsidRPr="00DA2BD1">
      <w:rPr>
        <w:sz w:val="24"/>
        <w:szCs w:val="24"/>
      </w:rPr>
      <w:t>, 2016</w:t>
    </w:r>
  </w:p>
  <w:p w:rsidR="00BE3468" w:rsidRPr="00DA2BD1" w:rsidRDefault="00BE3468" w:rsidP="00BE3468">
    <w:pPr>
      <w:pStyle w:val="Header"/>
      <w:rPr>
        <w:sz w:val="24"/>
        <w:szCs w:val="24"/>
      </w:rPr>
    </w:pPr>
    <w:r w:rsidRPr="00DA2BD1">
      <w:rPr>
        <w:sz w:val="24"/>
        <w:szCs w:val="24"/>
      </w:rPr>
      <w:t xml:space="preserve">Page </w:t>
    </w:r>
    <w:r w:rsidRPr="00DA2BD1">
      <w:rPr>
        <w:sz w:val="24"/>
        <w:szCs w:val="24"/>
      </w:rPr>
      <w:fldChar w:fldCharType="begin"/>
    </w:r>
    <w:r w:rsidRPr="00DA2BD1">
      <w:rPr>
        <w:sz w:val="24"/>
        <w:szCs w:val="24"/>
      </w:rPr>
      <w:instrText xml:space="preserve"> PAGE  \* Arabic  \* MERGEFORMAT </w:instrText>
    </w:r>
    <w:r w:rsidRPr="00DA2BD1">
      <w:rPr>
        <w:sz w:val="24"/>
        <w:szCs w:val="24"/>
      </w:rPr>
      <w:fldChar w:fldCharType="separate"/>
    </w:r>
    <w:r w:rsidR="001B5F8D">
      <w:rPr>
        <w:noProof/>
        <w:sz w:val="24"/>
        <w:szCs w:val="24"/>
      </w:rPr>
      <w:t>2</w:t>
    </w:r>
    <w:r w:rsidRPr="00DA2BD1">
      <w:rPr>
        <w:sz w:val="24"/>
        <w:szCs w:val="24"/>
      </w:rPr>
      <w:fldChar w:fldCharType="end"/>
    </w:r>
    <w:r w:rsidRPr="00DA2BD1">
      <w:rPr>
        <w:sz w:val="24"/>
        <w:szCs w:val="24"/>
      </w:rPr>
      <w:t xml:space="preserve"> of </w:t>
    </w:r>
    <w:r w:rsidR="009D4EE3" w:rsidRPr="00DA2BD1">
      <w:rPr>
        <w:sz w:val="24"/>
        <w:szCs w:val="24"/>
      </w:rPr>
      <w:fldChar w:fldCharType="begin"/>
    </w:r>
    <w:r w:rsidR="009D4EE3" w:rsidRPr="00DA2BD1">
      <w:rPr>
        <w:sz w:val="24"/>
        <w:szCs w:val="24"/>
      </w:rPr>
      <w:instrText xml:space="preserve"> NUMPAGES  \* Arabic  \* MERGEFORMAT </w:instrText>
    </w:r>
    <w:r w:rsidR="009D4EE3" w:rsidRPr="00DA2BD1">
      <w:rPr>
        <w:sz w:val="24"/>
        <w:szCs w:val="24"/>
      </w:rPr>
      <w:fldChar w:fldCharType="separate"/>
    </w:r>
    <w:r w:rsidR="001B5F8D">
      <w:rPr>
        <w:noProof/>
        <w:sz w:val="24"/>
        <w:szCs w:val="24"/>
      </w:rPr>
      <w:t>2</w:t>
    </w:r>
    <w:r w:rsidR="009D4EE3" w:rsidRPr="00DA2BD1">
      <w:rPr>
        <w:noProof/>
        <w:sz w:val="24"/>
        <w:szCs w:val="24"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37A89"/>
    <w:rsid w:val="000853D9"/>
    <w:rsid w:val="001042A2"/>
    <w:rsid w:val="0015165F"/>
    <w:rsid w:val="0016581A"/>
    <w:rsid w:val="00175FBA"/>
    <w:rsid w:val="001A000A"/>
    <w:rsid w:val="001B0D31"/>
    <w:rsid w:val="001B5F8D"/>
    <w:rsid w:val="001C422C"/>
    <w:rsid w:val="001D4CB6"/>
    <w:rsid w:val="001D745D"/>
    <w:rsid w:val="0021119A"/>
    <w:rsid w:val="0021605E"/>
    <w:rsid w:val="002215F8"/>
    <w:rsid w:val="002438A7"/>
    <w:rsid w:val="002D3393"/>
    <w:rsid w:val="002E1A97"/>
    <w:rsid w:val="002E383D"/>
    <w:rsid w:val="00303D3C"/>
    <w:rsid w:val="0030517C"/>
    <w:rsid w:val="003123F2"/>
    <w:rsid w:val="00345041"/>
    <w:rsid w:val="00347F38"/>
    <w:rsid w:val="003678D9"/>
    <w:rsid w:val="003A76AC"/>
    <w:rsid w:val="003C2111"/>
    <w:rsid w:val="003E13F9"/>
    <w:rsid w:val="003F14E0"/>
    <w:rsid w:val="003F5DB7"/>
    <w:rsid w:val="00407A34"/>
    <w:rsid w:val="0042351E"/>
    <w:rsid w:val="004600AC"/>
    <w:rsid w:val="004969C7"/>
    <w:rsid w:val="004D46D3"/>
    <w:rsid w:val="0050006D"/>
    <w:rsid w:val="005017E8"/>
    <w:rsid w:val="00510AE0"/>
    <w:rsid w:val="00531B58"/>
    <w:rsid w:val="0055338B"/>
    <w:rsid w:val="00567029"/>
    <w:rsid w:val="00572303"/>
    <w:rsid w:val="00575AF1"/>
    <w:rsid w:val="005800A0"/>
    <w:rsid w:val="005B22FC"/>
    <w:rsid w:val="00643713"/>
    <w:rsid w:val="0068589D"/>
    <w:rsid w:val="006908A4"/>
    <w:rsid w:val="006D2397"/>
    <w:rsid w:val="006D7C39"/>
    <w:rsid w:val="00736CCE"/>
    <w:rsid w:val="007405F2"/>
    <w:rsid w:val="00785ACB"/>
    <w:rsid w:val="00790114"/>
    <w:rsid w:val="00792E54"/>
    <w:rsid w:val="007E1015"/>
    <w:rsid w:val="00811B8E"/>
    <w:rsid w:val="00822FB4"/>
    <w:rsid w:val="008678BD"/>
    <w:rsid w:val="008A4013"/>
    <w:rsid w:val="008C7B25"/>
    <w:rsid w:val="008E0092"/>
    <w:rsid w:val="008E4770"/>
    <w:rsid w:val="008F252B"/>
    <w:rsid w:val="00922FBD"/>
    <w:rsid w:val="00954C50"/>
    <w:rsid w:val="00985516"/>
    <w:rsid w:val="009D4EE3"/>
    <w:rsid w:val="009E612A"/>
    <w:rsid w:val="00A677BE"/>
    <w:rsid w:val="00AB0205"/>
    <w:rsid w:val="00AB491D"/>
    <w:rsid w:val="00AB6F6A"/>
    <w:rsid w:val="00B14876"/>
    <w:rsid w:val="00B20B45"/>
    <w:rsid w:val="00B35FDE"/>
    <w:rsid w:val="00B40743"/>
    <w:rsid w:val="00B67452"/>
    <w:rsid w:val="00BA18B7"/>
    <w:rsid w:val="00BD2F72"/>
    <w:rsid w:val="00BE3468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96C83"/>
    <w:rsid w:val="00DA2BD1"/>
    <w:rsid w:val="00DB735B"/>
    <w:rsid w:val="00DF5CCE"/>
    <w:rsid w:val="00E050F0"/>
    <w:rsid w:val="00E55FE0"/>
    <w:rsid w:val="00E80F47"/>
    <w:rsid w:val="00EA3F86"/>
    <w:rsid w:val="00EE6A6C"/>
    <w:rsid w:val="00F51AA6"/>
    <w:rsid w:val="00F642D5"/>
    <w:rsid w:val="00FA2F11"/>
    <w:rsid w:val="00FC576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E7E9FD-EA5C-4B2D-B16C-8A0BA367490E}"/>
</file>

<file path=customXml/itemProps2.xml><?xml version="1.0" encoding="utf-8"?>
<ds:datastoreItem xmlns:ds="http://schemas.openxmlformats.org/officeDocument/2006/customXml" ds:itemID="{35B2B1B7-6848-4F30-A99A-2C4E06E00D38}"/>
</file>

<file path=customXml/itemProps3.xml><?xml version="1.0" encoding="utf-8"?>
<ds:datastoreItem xmlns:ds="http://schemas.openxmlformats.org/officeDocument/2006/customXml" ds:itemID="{B1B6E9C1-E796-406F-A5A0-FD7B013673BF}"/>
</file>

<file path=customXml/itemProps4.xml><?xml version="1.0" encoding="utf-8"?>
<ds:datastoreItem xmlns:ds="http://schemas.openxmlformats.org/officeDocument/2006/customXml" ds:itemID="{35B2B1B7-6848-4F30-A99A-2C4E06E00D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CFB9A9-6FDD-4627-992F-AEF7B16C2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2401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4</cp:revision>
  <cp:lastPrinted>2016-06-01T22:13:00Z</cp:lastPrinted>
  <dcterms:created xsi:type="dcterms:W3CDTF">2016-08-09T17:48:00Z</dcterms:created>
  <dcterms:modified xsi:type="dcterms:W3CDTF">2016-08-09T18:27:00Z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