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72B60" w:rsidP="00AF2EA9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>I certify that I have served 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Affidavit of William R. Easton in Support of CenturyLink’s Motion to Dismiss Sprint as an </w:t>
      </w:r>
      <w:proofErr w:type="spellStart"/>
      <w:r w:rsidR="00AF2EA9">
        <w:rPr>
          <w:szCs w:val="24"/>
        </w:rPr>
        <w:t>Intervenor</w:t>
      </w:r>
      <w:proofErr w:type="spellEnd"/>
      <w:r w:rsidR="00AF2EA9">
        <w:rPr>
          <w:szCs w:val="24"/>
        </w:rPr>
        <w:t xml:space="preserve"> in this Docket</w:t>
      </w:r>
      <w:r>
        <w:rPr>
          <w:szCs w:val="24"/>
        </w:rPr>
        <w:t xml:space="preserve"> via email and UPS delivery on the following parties:  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32701" w:rsidRDefault="00AF2EA9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1" w:history="1">
              <w:r w:rsidR="00072B60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rPr>
                <w:szCs w:val="24"/>
              </w:rPr>
            </w:pP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 w:rsidR="00032701" w:rsidRDefault="00AF2EA9" w:rsidP="00AF2EA9"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kyle.j.smith124.civ@mail.mil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</w:tr>
    </w:tbl>
    <w:p w:rsidR="00032701" w:rsidRDefault="00032701" w:rsidP="00AF2EA9">
      <w:pPr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AF2EA9">
        <w:rPr>
          <w:szCs w:val="24"/>
          <w:u w:val="single"/>
        </w:rPr>
        <w:t>14</w:t>
      </w:r>
      <w:r w:rsidR="00B70A1C">
        <w:rPr>
          <w:szCs w:val="24"/>
          <w:u w:val="single"/>
        </w:rPr>
        <w:t>th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B619FC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B619FC">
        <w:rPr>
          <w:szCs w:val="24"/>
        </w:rPr>
        <w:fldChar w:fldCharType="separate"/>
      </w:r>
      <w:r w:rsidR="00AF2EA9">
        <w:rPr>
          <w:noProof/>
          <w:szCs w:val="24"/>
        </w:rPr>
        <w:t>August 2013</w:t>
      </w:r>
      <w:r w:rsidR="00B619FC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A9" w:rsidRDefault="00AF2EA9">
      <w:pPr>
        <w:spacing w:line="20" w:lineRule="exact"/>
      </w:pPr>
    </w:p>
  </w:endnote>
  <w:endnote w:type="continuationSeparator" w:id="0">
    <w:p w:rsidR="00AF2EA9" w:rsidRDefault="00AF2EA9">
      <w:r>
        <w:t xml:space="preserve"> </w:t>
      </w:r>
    </w:p>
  </w:endnote>
  <w:endnote w:type="continuationNotice" w:id="1">
    <w:p w:rsidR="00AF2EA9" w:rsidRDefault="00AF2EA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A9" w:rsidRDefault="00AF2EA9">
    <w:pPr>
      <w:pStyle w:val="Footer"/>
    </w:pPr>
  </w:p>
  <w:p w:rsidR="00AF2EA9" w:rsidRDefault="00AF2EA9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A9" w:rsidRDefault="00AF2EA9">
      <w:r>
        <w:separator/>
      </w:r>
    </w:p>
  </w:footnote>
  <w:footnote w:type="continuationSeparator" w:id="0">
    <w:p w:rsidR="00AF2EA9" w:rsidRDefault="00AF2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336472"/>
    <w:rsid w:val="00345047"/>
    <w:rsid w:val="003B6795"/>
    <w:rsid w:val="003D1F3E"/>
    <w:rsid w:val="00A446A2"/>
    <w:rsid w:val="00AF2EA9"/>
    <w:rsid w:val="00B619FC"/>
    <w:rsid w:val="00B70A1C"/>
    <w:rsid w:val="00E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kyle.j.smith124.civ@mail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B758EC-5AF6-420F-B20C-66D24AE171F1}"/>
</file>

<file path=customXml/itemProps2.xml><?xml version="1.0" encoding="utf-8"?>
<ds:datastoreItem xmlns:ds="http://schemas.openxmlformats.org/officeDocument/2006/customXml" ds:itemID="{4B93BB95-CAA0-4346-A29D-F6870F896773}"/>
</file>

<file path=customXml/itemProps3.xml><?xml version="1.0" encoding="utf-8"?>
<ds:datastoreItem xmlns:ds="http://schemas.openxmlformats.org/officeDocument/2006/customXml" ds:itemID="{55F3DB64-AC1C-4228-A046-CA2B24506D50}"/>
</file>

<file path=customXml/itemProps4.xml><?xml version="1.0" encoding="utf-8"?>
<ds:datastoreItem xmlns:ds="http://schemas.openxmlformats.org/officeDocument/2006/customXml" ds:itemID="{1D7381B5-C530-455B-BBE5-EAEB737FE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2013-08-14T16:47:00Z</cp:lastPrinted>
  <dcterms:created xsi:type="dcterms:W3CDTF">2013-08-14T20:54:00Z</dcterms:created>
  <dcterms:modified xsi:type="dcterms:W3CDTF">2013-08-14T20:54:00Z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