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57" w:rsidRDefault="00E454BB" w:rsidP="00967AF6">
      <w:pPr>
        <w:spacing w:after="0" w:line="240" w:lineRule="auto"/>
        <w:jc w:val="center"/>
        <w:rPr>
          <w:rFonts w:ascii="Times New Roman" w:hAnsi="Times New Roman"/>
          <w:b/>
          <w:sz w:val="24"/>
          <w:szCs w:val="24"/>
        </w:rPr>
      </w:pPr>
      <w:r>
        <w:rPr>
          <w:rFonts w:ascii="Times New Roman" w:hAnsi="Times New Roman"/>
          <w:b/>
          <w:sz w:val="24"/>
          <w:szCs w:val="24"/>
        </w:rPr>
        <w:t xml:space="preserve">Washington </w:t>
      </w:r>
    </w:p>
    <w:p w:rsidR="00E454BB" w:rsidRDefault="00D42357" w:rsidP="00967AF6">
      <w:pPr>
        <w:spacing w:after="0" w:line="240" w:lineRule="auto"/>
        <w:jc w:val="center"/>
        <w:rPr>
          <w:rFonts w:ascii="Times New Roman" w:hAnsi="Times New Roman"/>
          <w:b/>
          <w:sz w:val="24"/>
          <w:szCs w:val="24"/>
        </w:rPr>
      </w:pPr>
      <w:r>
        <w:rPr>
          <w:rFonts w:ascii="Times New Roman" w:hAnsi="Times New Roman"/>
          <w:b/>
          <w:sz w:val="24"/>
          <w:szCs w:val="24"/>
        </w:rPr>
        <w:t>Advanced Notification of the Rearrangement of Major Network Components</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w:t>
      </w:r>
      <w:r w:rsidR="00213907">
        <w:rPr>
          <w:rFonts w:ascii="Times New Roman" w:hAnsi="Times New Roman"/>
          <w:b/>
          <w:sz w:val="24"/>
          <w:szCs w:val="24"/>
        </w:rPr>
        <w:t>-</w:t>
      </w:r>
      <w:r>
        <w:rPr>
          <w:rFonts w:ascii="Times New Roman" w:hAnsi="Times New Roman"/>
          <w:b/>
          <w:sz w:val="24"/>
          <w:szCs w:val="24"/>
        </w:rPr>
        <w: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w:t>
      </w:r>
      <w:r w:rsidR="00D42357">
        <w:rPr>
          <w:rFonts w:ascii="Times New Roman" w:hAnsi="Times New Roman"/>
          <w:b/>
          <w:sz w:val="24"/>
          <w:szCs w:val="24"/>
        </w:rPr>
        <w:t>4</w:t>
      </w:r>
    </w:p>
    <w:p w:rsidR="00E454BB" w:rsidRPr="001A2197" w:rsidRDefault="00B30B59" w:rsidP="00967AF6">
      <w:pPr>
        <w:spacing w:after="0" w:line="240" w:lineRule="auto"/>
        <w:jc w:val="center"/>
        <w:rPr>
          <w:rFonts w:ascii="Times New Roman" w:hAnsi="Times New Roman"/>
          <w:b/>
          <w:sz w:val="24"/>
          <w:szCs w:val="24"/>
        </w:rPr>
      </w:pPr>
      <w:r>
        <w:rPr>
          <w:rFonts w:ascii="Times New Roman" w:hAnsi="Times New Roman"/>
          <w:b/>
          <w:sz w:val="24"/>
          <w:szCs w:val="24"/>
        </w:rPr>
        <w:t>July 30</w:t>
      </w:r>
      <w:r w:rsidR="004038F4">
        <w:rPr>
          <w:rFonts w:ascii="Times New Roman" w:hAnsi="Times New Roman"/>
          <w:b/>
          <w:sz w:val="24"/>
          <w:szCs w:val="24"/>
        </w:rPr>
        <w:t xml:space="preserve">, </w:t>
      </w:r>
      <w:r w:rsidR="00E454BB" w:rsidRPr="001A2197">
        <w:rPr>
          <w:rFonts w:ascii="Times New Roman" w:hAnsi="Times New Roman"/>
          <w:b/>
          <w:sz w:val="24"/>
          <w:szCs w:val="24"/>
        </w:rPr>
        <w:t>201</w:t>
      </w:r>
      <w:r>
        <w:rPr>
          <w:rFonts w:ascii="Times New Roman" w:hAnsi="Times New Roman"/>
          <w:b/>
          <w:sz w:val="24"/>
          <w:szCs w:val="24"/>
        </w:rPr>
        <w:t>2</w:t>
      </w:r>
    </w:p>
    <w:p w:rsidR="004E6649" w:rsidRDefault="004E6649" w:rsidP="004E6649">
      <w:pPr>
        <w:spacing w:after="0"/>
        <w:rPr>
          <w:rFonts w:ascii="Times New Roman" w:hAnsi="Times New Roman"/>
          <w:b/>
          <w:sz w:val="24"/>
          <w:szCs w:val="24"/>
          <w:u w:val="single"/>
        </w:rPr>
      </w:pPr>
    </w:p>
    <w:p w:rsidR="006D3021" w:rsidRPr="006D3021" w:rsidRDefault="006D3021" w:rsidP="006D3021">
      <w:pPr>
        <w:rPr>
          <w:rFonts w:ascii="Times New Roman" w:hAnsi="Times New Roman"/>
          <w:sz w:val="24"/>
          <w:szCs w:val="24"/>
        </w:rPr>
      </w:pPr>
      <w:r w:rsidRPr="006D3021">
        <w:rPr>
          <w:rFonts w:ascii="Times New Roman" w:hAnsi="Times New Roman"/>
          <w:sz w:val="24"/>
          <w:szCs w:val="24"/>
        </w:rPr>
        <w:t>Condition 2</w:t>
      </w:r>
      <w:r w:rsidR="00D42357">
        <w:rPr>
          <w:rFonts w:ascii="Times New Roman" w:hAnsi="Times New Roman"/>
          <w:sz w:val="24"/>
          <w:szCs w:val="24"/>
        </w:rPr>
        <w:t>4</w:t>
      </w:r>
      <w:r w:rsidRPr="006D3021">
        <w:rPr>
          <w:rFonts w:ascii="Times New Roman" w:hAnsi="Times New Roman"/>
          <w:sz w:val="24"/>
          <w:szCs w:val="24"/>
        </w:rPr>
        <w:t xml:space="preserve"> of the settlement agreement between CenturyLink/Qwest, the WUTC Staff and the Public Counsel, approved by the Commission in Order 14 in Docket UT100820, requires CenturyLink to </w:t>
      </w:r>
      <w:r w:rsidR="00D42357">
        <w:rPr>
          <w:rFonts w:ascii="Times New Roman" w:hAnsi="Times New Roman"/>
          <w:sz w:val="24"/>
          <w:szCs w:val="24"/>
        </w:rPr>
        <w:t xml:space="preserve">provide advanced notification to the Commission of the rearrangement of major network components, including engineering </w:t>
      </w:r>
      <w:r w:rsidR="00967AF6">
        <w:rPr>
          <w:rFonts w:ascii="Times New Roman" w:hAnsi="Times New Roman"/>
          <w:sz w:val="24"/>
          <w:szCs w:val="24"/>
        </w:rPr>
        <w:t xml:space="preserve">and outside plant records </w:t>
      </w:r>
      <w:r w:rsidR="00D42357">
        <w:rPr>
          <w:rFonts w:ascii="Times New Roman" w:hAnsi="Times New Roman"/>
          <w:sz w:val="24"/>
          <w:szCs w:val="24"/>
        </w:rPr>
        <w:t xml:space="preserve">systems.  </w:t>
      </w:r>
      <w:r w:rsidRPr="006D3021">
        <w:rPr>
          <w:rFonts w:ascii="Times New Roman" w:hAnsi="Times New Roman"/>
          <w:sz w:val="24"/>
          <w:szCs w:val="24"/>
        </w:rPr>
        <w:t>The full text of the condition is stated below:</w:t>
      </w:r>
    </w:p>
    <w:p w:rsidR="00D42357" w:rsidRPr="00D42357" w:rsidRDefault="00D42357" w:rsidP="00D42357">
      <w:pPr>
        <w:pStyle w:val="ListParagraph"/>
        <w:numPr>
          <w:ilvl w:val="0"/>
          <w:numId w:val="1"/>
        </w:numPr>
        <w:tabs>
          <w:tab w:val="clear" w:pos="1080"/>
          <w:tab w:val="left" w:pos="360"/>
          <w:tab w:val="num" w:pos="720"/>
        </w:tabs>
        <w:spacing w:after="0" w:line="240" w:lineRule="auto"/>
        <w:ind w:left="720"/>
        <w:contextualSpacing/>
        <w:rPr>
          <w:rFonts w:ascii="Times New Roman" w:hAnsi="Times New Roman"/>
          <w:b/>
          <w:sz w:val="24"/>
          <w:szCs w:val="24"/>
        </w:rPr>
      </w:pPr>
      <w:r w:rsidRPr="00D42357">
        <w:rPr>
          <w:rFonts w:ascii="Times New Roman" w:hAnsi="Times New Roman"/>
          <w:b/>
          <w:sz w:val="24"/>
          <w:szCs w:val="24"/>
        </w:rPr>
        <w:t>Network Integration</w:t>
      </w:r>
    </w:p>
    <w:p w:rsidR="00D42357" w:rsidRPr="00D42357" w:rsidRDefault="00D42357" w:rsidP="00D42357">
      <w:pPr>
        <w:pStyle w:val="ListParagraph"/>
        <w:tabs>
          <w:tab w:val="left" w:pos="360"/>
        </w:tabs>
        <w:spacing w:after="0" w:line="240" w:lineRule="auto"/>
        <w:rPr>
          <w:rFonts w:ascii="Times New Roman" w:hAnsi="Times New Roman"/>
          <w:b/>
          <w:sz w:val="24"/>
          <w:szCs w:val="24"/>
        </w:rPr>
      </w:pPr>
    </w:p>
    <w:p w:rsidR="00D42357" w:rsidRPr="00D42357" w:rsidRDefault="00D42357" w:rsidP="00D42357">
      <w:pPr>
        <w:spacing w:after="0" w:line="240" w:lineRule="auto"/>
        <w:ind w:left="720"/>
        <w:rPr>
          <w:rFonts w:ascii="Times New Roman" w:hAnsi="Times New Roman"/>
          <w:sz w:val="24"/>
          <w:szCs w:val="24"/>
        </w:rPr>
      </w:pPr>
      <w:r w:rsidRPr="00D42357">
        <w:rPr>
          <w:rFonts w:ascii="Times New Roman" w:hAnsi="Times New Roman"/>
          <w:sz w:val="24"/>
          <w:szCs w:val="24"/>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call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repair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 xml:space="preserve">E911 systems </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Maintenance systems that monitor central office and transport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Engineering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Outside plant record systems</w:t>
      </w:r>
    </w:p>
    <w:p w:rsidR="00D42357" w:rsidRDefault="00D42357" w:rsidP="00D42357">
      <w:pPr>
        <w:spacing w:after="0"/>
        <w:rPr>
          <w:rFonts w:ascii="Times New Roman" w:hAnsi="Times New Roman"/>
          <w:sz w:val="24"/>
          <w:szCs w:val="24"/>
        </w:rPr>
      </w:pPr>
    </w:p>
    <w:p w:rsidR="006D3021" w:rsidRDefault="006D3021" w:rsidP="00D42357">
      <w:pPr>
        <w:spacing w:after="0"/>
      </w:pPr>
      <w:r w:rsidRPr="006D3021">
        <w:rPr>
          <w:rFonts w:ascii="Times New Roman" w:hAnsi="Times New Roman"/>
          <w:sz w:val="24"/>
          <w:szCs w:val="24"/>
        </w:rPr>
        <w:t xml:space="preserve">In compliance with this condition, CenturyLink hereby provides </w:t>
      </w:r>
      <w:r w:rsidR="00D42357">
        <w:rPr>
          <w:rFonts w:ascii="Times New Roman" w:hAnsi="Times New Roman"/>
          <w:sz w:val="24"/>
          <w:szCs w:val="24"/>
        </w:rPr>
        <w:t xml:space="preserve">90 days advanced notification of the planned </w:t>
      </w:r>
      <w:r w:rsidR="00B30B59">
        <w:rPr>
          <w:rFonts w:ascii="Times New Roman" w:hAnsi="Times New Roman"/>
          <w:sz w:val="24"/>
          <w:szCs w:val="24"/>
        </w:rPr>
        <w:t>changes to the workforce management system</w:t>
      </w:r>
      <w:r>
        <w:rPr>
          <w:rFonts w:ascii="Times New Roman" w:hAnsi="Times New Roman"/>
          <w:sz w:val="24"/>
          <w:szCs w:val="24"/>
        </w:rPr>
        <w:t>.</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B30B59" w:rsidRPr="00391F54" w:rsidRDefault="00B30B59" w:rsidP="00B30B59">
      <w:pPr>
        <w:autoSpaceDE w:val="0"/>
        <w:autoSpaceDN w:val="0"/>
        <w:adjustRightInd w:val="0"/>
        <w:rPr>
          <w:rFonts w:ascii="Times New Roman" w:eastAsia="Times New Roman" w:hAnsi="Times New Roman"/>
          <w:sz w:val="24"/>
          <w:szCs w:val="24"/>
        </w:rPr>
      </w:pPr>
      <w:r w:rsidRPr="00391F54">
        <w:rPr>
          <w:rFonts w:ascii="Times New Roman" w:eastAsia="Times New Roman" w:hAnsi="Times New Roman"/>
          <w:sz w:val="24"/>
          <w:szCs w:val="24"/>
        </w:rPr>
        <w:t>The legacy CenturyLink workforce management system will be enhanced with a newly created forecast, plan and load control module, “CTL Service”, that is similar to the existing legacy Qwest systems.  This system upgrade will allow customer appointments to be better aligned with the actual technician availability. The upgrade will also introduce a broader range of appointment options and advanced forecasting, planning and intake controls to improve customer responsiveness. Further, this enhancement will facilitate the further integration of the legacy CenturyLink and Qwest workforce management systems at a future date. Phase 1 of the project will entail the development of the new control module and is anticipated to complete in November 2012.  Phase 2, planned for March 2013, will integrate the new “CTL Service” module into the Legacy CenturyLink workforce management system.</w:t>
      </w:r>
    </w:p>
    <w:p w:rsidR="007672B2" w:rsidRDefault="007672B2"/>
    <w:sectPr w:rsidR="007672B2" w:rsidSect="00AE4AC6">
      <w:headerReference w:type="default" r:id="rId7"/>
      <w:footerReference w:type="default" r:id="rId8"/>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770" w:rsidRDefault="00C11770" w:rsidP="00E454BB">
      <w:pPr>
        <w:spacing w:after="0" w:line="240" w:lineRule="auto"/>
      </w:pPr>
      <w:r>
        <w:separator/>
      </w:r>
    </w:p>
  </w:endnote>
  <w:endnote w:type="continuationSeparator" w:id="0">
    <w:p w:rsidR="00C11770" w:rsidRDefault="00C11770"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6E16A3">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213907">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770" w:rsidRDefault="00C11770" w:rsidP="00E454BB">
      <w:pPr>
        <w:spacing w:after="0" w:line="240" w:lineRule="auto"/>
      </w:pPr>
      <w:r>
        <w:separator/>
      </w:r>
    </w:p>
  </w:footnote>
  <w:footnote w:type="continuationSeparator" w:id="0">
    <w:p w:rsidR="00C11770" w:rsidRDefault="00C11770" w:rsidP="00E45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sidR="00D42357">
      <w:rPr>
        <w:sz w:val="16"/>
        <w:szCs w:val="16"/>
      </w:rPr>
      <w:t>4</w:t>
    </w:r>
  </w:p>
  <w:p w:rsidR="00A043FA" w:rsidRPr="00CC15C0" w:rsidRDefault="00741707" w:rsidP="00A043FA">
    <w:pPr>
      <w:pStyle w:val="Header"/>
      <w:spacing w:after="0" w:line="240" w:lineRule="auto"/>
      <w:jc w:val="right"/>
      <w:rPr>
        <w:sz w:val="16"/>
        <w:szCs w:val="16"/>
      </w:rPr>
    </w:pPr>
    <w:r>
      <w:rPr>
        <w:sz w:val="16"/>
        <w:szCs w:val="16"/>
      </w:rPr>
      <w:t>July 23</w:t>
    </w:r>
    <w:r w:rsidR="00A043FA" w:rsidRPr="00CC15C0">
      <w:rPr>
        <w:sz w:val="16"/>
        <w:szCs w:val="16"/>
      </w:rPr>
      <w:t>, 201</w:t>
    </w:r>
    <w:r w:rsidR="00B30B59">
      <w:rPr>
        <w:sz w:val="16"/>
        <w:szCs w:val="16"/>
      </w:rPr>
      <w:t>2</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B09E14BA"/>
    <w:lvl w:ilvl="0" w:tplc="13AACF14">
      <w:start w:val="24"/>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E7E2E"/>
    <w:rsid w:val="000F04B6"/>
    <w:rsid w:val="000F2DC3"/>
    <w:rsid w:val="000F4037"/>
    <w:rsid w:val="000F4765"/>
    <w:rsid w:val="000F47F7"/>
    <w:rsid w:val="000F524A"/>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8A9"/>
    <w:rsid w:val="001C4C48"/>
    <w:rsid w:val="001C66FF"/>
    <w:rsid w:val="001C6E04"/>
    <w:rsid w:val="001C79C5"/>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3907"/>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06"/>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61342"/>
    <w:rsid w:val="00662316"/>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B7D1D"/>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E0210"/>
    <w:rsid w:val="006E071E"/>
    <w:rsid w:val="006E1323"/>
    <w:rsid w:val="006E1575"/>
    <w:rsid w:val="006E15E2"/>
    <w:rsid w:val="006E16A3"/>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707"/>
    <w:rsid w:val="00741B49"/>
    <w:rsid w:val="007449D9"/>
    <w:rsid w:val="00745317"/>
    <w:rsid w:val="00745324"/>
    <w:rsid w:val="00746F7E"/>
    <w:rsid w:val="00750EA8"/>
    <w:rsid w:val="007516A8"/>
    <w:rsid w:val="00752033"/>
    <w:rsid w:val="00752386"/>
    <w:rsid w:val="00752B34"/>
    <w:rsid w:val="007532CA"/>
    <w:rsid w:val="007543CC"/>
    <w:rsid w:val="00755E22"/>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48E3"/>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DA6"/>
    <w:rsid w:val="00934893"/>
    <w:rsid w:val="009349B8"/>
    <w:rsid w:val="00934A13"/>
    <w:rsid w:val="00935916"/>
    <w:rsid w:val="00935C7B"/>
    <w:rsid w:val="00935C9A"/>
    <w:rsid w:val="009364D0"/>
    <w:rsid w:val="009367F6"/>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3EA2"/>
    <w:rsid w:val="00964A20"/>
    <w:rsid w:val="00964FAA"/>
    <w:rsid w:val="00967AF6"/>
    <w:rsid w:val="00971CD9"/>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182"/>
    <w:rsid w:val="00A43238"/>
    <w:rsid w:val="00A432A8"/>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4CD"/>
    <w:rsid w:val="00A9651C"/>
    <w:rsid w:val="00A96B73"/>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D5B3A"/>
    <w:rsid w:val="00AE1F1D"/>
    <w:rsid w:val="00AE475E"/>
    <w:rsid w:val="00AE4AC6"/>
    <w:rsid w:val="00AE570F"/>
    <w:rsid w:val="00AE5E35"/>
    <w:rsid w:val="00AE6431"/>
    <w:rsid w:val="00AE6EAE"/>
    <w:rsid w:val="00AE71C7"/>
    <w:rsid w:val="00AE776C"/>
    <w:rsid w:val="00AE7886"/>
    <w:rsid w:val="00AF0302"/>
    <w:rsid w:val="00AF1890"/>
    <w:rsid w:val="00AF1933"/>
    <w:rsid w:val="00AF1BA9"/>
    <w:rsid w:val="00AF26C7"/>
    <w:rsid w:val="00AF2FA9"/>
    <w:rsid w:val="00AF4DE1"/>
    <w:rsid w:val="00AF6E98"/>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B59"/>
    <w:rsid w:val="00B30F78"/>
    <w:rsid w:val="00B32C73"/>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7"/>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1770"/>
    <w:rsid w:val="00C12F0F"/>
    <w:rsid w:val="00C12F3E"/>
    <w:rsid w:val="00C1340D"/>
    <w:rsid w:val="00C13947"/>
    <w:rsid w:val="00C13DC5"/>
    <w:rsid w:val="00C15454"/>
    <w:rsid w:val="00C1556A"/>
    <w:rsid w:val="00C16777"/>
    <w:rsid w:val="00C16AAD"/>
    <w:rsid w:val="00C16CDB"/>
    <w:rsid w:val="00C17319"/>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13F"/>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2357"/>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729"/>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61"/>
    <w:rsid w:val="00FC7145"/>
    <w:rsid w:val="00FC7E45"/>
    <w:rsid w:val="00FD0D6D"/>
    <w:rsid w:val="00FD0DF1"/>
    <w:rsid w:val="00FD154B"/>
    <w:rsid w:val="00FD1D4E"/>
    <w:rsid w:val="00FD1F70"/>
    <w:rsid w:val="00FD3886"/>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99"/>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paragraph" w:styleId="BalloonText">
    <w:name w:val="Balloon Text"/>
    <w:basedOn w:val="Normal"/>
    <w:link w:val="BalloonTextChar"/>
    <w:uiPriority w:val="99"/>
    <w:semiHidden/>
    <w:unhideWhenUsed/>
    <w:rsid w:val="00BF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D8CCC8-453B-47FD-8E22-87F8347D5469}"/>
</file>

<file path=customXml/itemProps2.xml><?xml version="1.0" encoding="utf-8"?>
<ds:datastoreItem xmlns:ds="http://schemas.openxmlformats.org/officeDocument/2006/customXml" ds:itemID="{134F50B4-FCA6-4C9C-A715-4885D2B8A4F7}"/>
</file>

<file path=customXml/itemProps3.xml><?xml version="1.0" encoding="utf-8"?>
<ds:datastoreItem xmlns:ds="http://schemas.openxmlformats.org/officeDocument/2006/customXml" ds:itemID="{2ACF610B-CE49-4935-B149-EB9303061159}"/>
</file>

<file path=customXml/itemProps4.xml><?xml version="1.0" encoding="utf-8"?>
<ds:datastoreItem xmlns:ds="http://schemas.openxmlformats.org/officeDocument/2006/customXml" ds:itemID="{B3C10C71-6BCF-4F1D-BC0F-C021030763F9}"/>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3</cp:revision>
  <cp:lastPrinted>2012-07-23T16:54:00Z</cp:lastPrinted>
  <dcterms:created xsi:type="dcterms:W3CDTF">2012-07-23T16:54:00Z</dcterms:created>
  <dcterms:modified xsi:type="dcterms:W3CDTF">2012-07-23T16:55:00Z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