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5CA2A" w14:textId="77777777" w:rsidR="0005692F" w:rsidRPr="00DA5DBB" w:rsidRDefault="0005692F" w:rsidP="0005692F">
      <w:pPr>
        <w:pStyle w:val="BodyText"/>
        <w:rPr>
          <w:b/>
          <w:bCs/>
          <w:sz w:val="25"/>
          <w:szCs w:val="25"/>
        </w:rPr>
      </w:pPr>
      <w:bookmarkStart w:id="0" w:name="_GoBack"/>
      <w:bookmarkEnd w:id="0"/>
      <w:r>
        <w:rPr>
          <w:b/>
          <w:bCs/>
          <w:sz w:val="25"/>
          <w:szCs w:val="25"/>
        </w:rPr>
        <w:t>B</w:t>
      </w:r>
      <w:r w:rsidRPr="00DA5DBB">
        <w:rPr>
          <w:b/>
          <w:bCs/>
          <w:sz w:val="25"/>
          <w:szCs w:val="25"/>
        </w:rPr>
        <w:t>EFORE THE WASHINGTON</w:t>
      </w:r>
    </w:p>
    <w:p w14:paraId="23297B1C" w14:textId="77777777" w:rsidR="0005692F" w:rsidRPr="00DA5DBB" w:rsidRDefault="0005692F" w:rsidP="0005692F">
      <w:pPr>
        <w:pStyle w:val="BodyText"/>
        <w:rPr>
          <w:b/>
          <w:bCs/>
          <w:sz w:val="25"/>
          <w:szCs w:val="25"/>
        </w:rPr>
      </w:pPr>
      <w:r w:rsidRPr="00DA5DBB">
        <w:rPr>
          <w:b/>
          <w:bCs/>
          <w:sz w:val="25"/>
          <w:szCs w:val="25"/>
        </w:rPr>
        <w:t>UTILITIES AND TRANSPORTATION COMMISSION</w:t>
      </w:r>
    </w:p>
    <w:p w14:paraId="76D1E5FE" w14:textId="77777777" w:rsidR="0005692F" w:rsidRPr="00DA5DBB" w:rsidRDefault="0005692F" w:rsidP="0005692F">
      <w:pPr>
        <w:rPr>
          <w:sz w:val="25"/>
          <w:szCs w:val="25"/>
        </w:rPr>
      </w:pPr>
    </w:p>
    <w:tbl>
      <w:tblPr>
        <w:tblW w:w="8896" w:type="dxa"/>
        <w:tblBorders>
          <w:insideH w:val="single" w:sz="4" w:space="0" w:color="auto"/>
        </w:tblBorders>
        <w:tblLook w:val="0000" w:firstRow="0" w:lastRow="0" w:firstColumn="0" w:lastColumn="0" w:noHBand="0" w:noVBand="0"/>
      </w:tblPr>
      <w:tblGrid>
        <w:gridCol w:w="4308"/>
        <w:gridCol w:w="300"/>
        <w:gridCol w:w="4288"/>
      </w:tblGrid>
      <w:tr w:rsidR="0005692F" w:rsidRPr="00DA5DBB" w14:paraId="73CF96C3" w14:textId="77777777" w:rsidTr="00A8775C">
        <w:tc>
          <w:tcPr>
            <w:tcW w:w="4308" w:type="dxa"/>
          </w:tcPr>
          <w:p w14:paraId="6D7146A5" w14:textId="77777777" w:rsidR="0005692F" w:rsidRDefault="0005692F" w:rsidP="00A8775C">
            <w:pPr>
              <w:rPr>
                <w:sz w:val="25"/>
                <w:szCs w:val="25"/>
              </w:rPr>
            </w:pPr>
            <w:smartTag w:uri="urn:schemas-microsoft-com:office:smarttags" w:element="State">
              <w:smartTag w:uri="urn:schemas-microsoft-com:office:smarttags" w:element="place">
                <w:r w:rsidRPr="00DA5DBB">
                  <w:rPr>
                    <w:sz w:val="25"/>
                    <w:szCs w:val="25"/>
                  </w:rPr>
                  <w:t>WASHINGTON</w:t>
                </w:r>
              </w:smartTag>
            </w:smartTag>
            <w:r w:rsidRPr="00DA5DBB">
              <w:rPr>
                <w:sz w:val="25"/>
                <w:szCs w:val="25"/>
              </w:rPr>
              <w:t xml:space="preserve"> UTILITIES AND TRANSPORTATION COMMISSION,</w:t>
            </w:r>
          </w:p>
          <w:p w14:paraId="2DB00E12" w14:textId="77777777" w:rsidR="0005692F" w:rsidRPr="00DA5DBB" w:rsidRDefault="0005692F" w:rsidP="00A8775C">
            <w:pPr>
              <w:rPr>
                <w:sz w:val="25"/>
                <w:szCs w:val="25"/>
              </w:rPr>
            </w:pPr>
          </w:p>
          <w:p w14:paraId="56189231" w14:textId="77777777" w:rsidR="0005692F" w:rsidRPr="00DA5DBB" w:rsidRDefault="0005692F" w:rsidP="00A8775C">
            <w:pPr>
              <w:rPr>
                <w:sz w:val="25"/>
                <w:szCs w:val="25"/>
              </w:rPr>
            </w:pPr>
            <w:r w:rsidRPr="00DA5DBB">
              <w:rPr>
                <w:sz w:val="25"/>
                <w:szCs w:val="25"/>
              </w:rPr>
              <w:t xml:space="preserve">                           </w:t>
            </w:r>
            <w:r>
              <w:rPr>
                <w:sz w:val="25"/>
                <w:szCs w:val="25"/>
              </w:rPr>
              <w:t xml:space="preserve">             </w:t>
            </w:r>
            <w:r w:rsidRPr="00DA5DBB">
              <w:rPr>
                <w:sz w:val="25"/>
                <w:szCs w:val="25"/>
              </w:rPr>
              <w:t>Complainant,</w:t>
            </w:r>
          </w:p>
          <w:p w14:paraId="07AD50D9" w14:textId="77777777" w:rsidR="0005692F" w:rsidRPr="00DA5DBB" w:rsidRDefault="0005692F" w:rsidP="00A8775C">
            <w:pPr>
              <w:rPr>
                <w:sz w:val="25"/>
                <w:szCs w:val="25"/>
              </w:rPr>
            </w:pPr>
          </w:p>
          <w:p w14:paraId="1F034FA7" w14:textId="77777777" w:rsidR="0005692F" w:rsidRPr="00DA5DBB" w:rsidRDefault="0005692F" w:rsidP="005276AD">
            <w:pPr>
              <w:jc w:val="center"/>
              <w:rPr>
                <w:sz w:val="25"/>
                <w:szCs w:val="25"/>
              </w:rPr>
            </w:pPr>
            <w:r w:rsidRPr="00DA5DBB">
              <w:rPr>
                <w:sz w:val="25"/>
                <w:szCs w:val="25"/>
              </w:rPr>
              <w:t>v.</w:t>
            </w:r>
          </w:p>
          <w:p w14:paraId="5D1383B2" w14:textId="77777777" w:rsidR="0005692F" w:rsidRPr="00DA5DBB" w:rsidRDefault="0005692F" w:rsidP="00A8775C">
            <w:pPr>
              <w:rPr>
                <w:sz w:val="25"/>
                <w:szCs w:val="25"/>
              </w:rPr>
            </w:pPr>
          </w:p>
          <w:p w14:paraId="50B02F2F" w14:textId="77777777" w:rsidR="0005692F" w:rsidRPr="00DA5DBB" w:rsidRDefault="00E30306" w:rsidP="00A8775C">
            <w:pPr>
              <w:rPr>
                <w:sz w:val="25"/>
                <w:szCs w:val="25"/>
              </w:rPr>
            </w:pPr>
            <w:r>
              <w:rPr>
                <w:sz w:val="25"/>
                <w:szCs w:val="25"/>
              </w:rPr>
              <w:t>WASHINGTON EXCHANGE CARRIER ASSOCIATION</w:t>
            </w:r>
            <w:r w:rsidR="0005692F">
              <w:rPr>
                <w:sz w:val="25"/>
                <w:szCs w:val="25"/>
              </w:rPr>
              <w:t>,</w:t>
            </w:r>
          </w:p>
          <w:p w14:paraId="120F1104" w14:textId="77777777" w:rsidR="0005692F" w:rsidRPr="00DA5DBB" w:rsidRDefault="0005692F" w:rsidP="00A8775C">
            <w:pPr>
              <w:rPr>
                <w:b/>
                <w:bCs/>
                <w:sz w:val="25"/>
                <w:szCs w:val="25"/>
              </w:rPr>
            </w:pPr>
          </w:p>
          <w:p w14:paraId="670C925A" w14:textId="77777777" w:rsidR="0005692F" w:rsidRPr="00DA5DBB" w:rsidRDefault="0005692F" w:rsidP="00A8775C">
            <w:pPr>
              <w:rPr>
                <w:sz w:val="25"/>
                <w:szCs w:val="25"/>
              </w:rPr>
            </w:pPr>
            <w:r w:rsidRPr="00DA5DBB">
              <w:rPr>
                <w:sz w:val="25"/>
                <w:szCs w:val="25"/>
              </w:rPr>
              <w:t xml:space="preserve">                          </w:t>
            </w:r>
            <w:r>
              <w:rPr>
                <w:sz w:val="25"/>
                <w:szCs w:val="25"/>
              </w:rPr>
              <w:t xml:space="preserve">             </w:t>
            </w:r>
            <w:r w:rsidRPr="00DA5DBB">
              <w:rPr>
                <w:sz w:val="25"/>
                <w:szCs w:val="25"/>
              </w:rPr>
              <w:t xml:space="preserve"> Respondent.</w:t>
            </w:r>
          </w:p>
          <w:p w14:paraId="685786F8" w14:textId="77777777" w:rsidR="0005692F" w:rsidRDefault="0005692F" w:rsidP="00A8775C">
            <w:pPr>
              <w:rPr>
                <w:sz w:val="25"/>
                <w:szCs w:val="25"/>
              </w:rPr>
            </w:pPr>
          </w:p>
          <w:p w14:paraId="00E1D71A" w14:textId="77777777" w:rsidR="0005692F" w:rsidRPr="00DA5DBB" w:rsidRDefault="0005692F" w:rsidP="00A8775C">
            <w:pPr>
              <w:rPr>
                <w:sz w:val="25"/>
                <w:szCs w:val="25"/>
              </w:rPr>
            </w:pPr>
            <w:r w:rsidRPr="00DA5DBB">
              <w:rPr>
                <w:sz w:val="25"/>
                <w:szCs w:val="25"/>
              </w:rPr>
              <w:t xml:space="preserve">. . . . . . . . . . . . . . . . . . . . . . . . . . . . . . . . . </w:t>
            </w:r>
          </w:p>
        </w:tc>
        <w:tc>
          <w:tcPr>
            <w:tcW w:w="300" w:type="dxa"/>
          </w:tcPr>
          <w:p w14:paraId="7305AF59" w14:textId="77777777" w:rsidR="0005692F" w:rsidRPr="00DA5DBB" w:rsidRDefault="0005692F" w:rsidP="00A8775C">
            <w:pPr>
              <w:rPr>
                <w:sz w:val="25"/>
                <w:szCs w:val="25"/>
              </w:rPr>
            </w:pPr>
            <w:r w:rsidRPr="00DA5DBB">
              <w:rPr>
                <w:sz w:val="25"/>
                <w:szCs w:val="25"/>
              </w:rPr>
              <w:t>)</w:t>
            </w:r>
          </w:p>
          <w:p w14:paraId="3C24DE4C" w14:textId="77777777" w:rsidR="0005692F" w:rsidRPr="00DA5DBB" w:rsidRDefault="0005692F" w:rsidP="00A8775C">
            <w:pPr>
              <w:rPr>
                <w:sz w:val="25"/>
                <w:szCs w:val="25"/>
              </w:rPr>
            </w:pPr>
            <w:r w:rsidRPr="00DA5DBB">
              <w:rPr>
                <w:sz w:val="25"/>
                <w:szCs w:val="25"/>
              </w:rPr>
              <w:t>)</w:t>
            </w:r>
          </w:p>
          <w:p w14:paraId="6D70DD4D" w14:textId="77777777" w:rsidR="0005692F" w:rsidRPr="00DA5DBB" w:rsidRDefault="0005692F" w:rsidP="00A8775C">
            <w:pPr>
              <w:rPr>
                <w:sz w:val="25"/>
                <w:szCs w:val="25"/>
              </w:rPr>
            </w:pPr>
            <w:r w:rsidRPr="00DA5DBB">
              <w:rPr>
                <w:sz w:val="25"/>
                <w:szCs w:val="25"/>
              </w:rPr>
              <w:t>)</w:t>
            </w:r>
          </w:p>
          <w:p w14:paraId="1DE6CF0E" w14:textId="77777777" w:rsidR="0005692F" w:rsidRPr="00DA5DBB" w:rsidRDefault="0005692F" w:rsidP="00A8775C">
            <w:pPr>
              <w:rPr>
                <w:sz w:val="25"/>
                <w:szCs w:val="25"/>
              </w:rPr>
            </w:pPr>
            <w:r w:rsidRPr="00DA5DBB">
              <w:rPr>
                <w:sz w:val="25"/>
                <w:szCs w:val="25"/>
              </w:rPr>
              <w:t>)</w:t>
            </w:r>
          </w:p>
          <w:p w14:paraId="3AA21E22" w14:textId="77777777" w:rsidR="0005692F" w:rsidRPr="00DA5DBB" w:rsidRDefault="0005692F" w:rsidP="00A8775C">
            <w:pPr>
              <w:rPr>
                <w:sz w:val="25"/>
                <w:szCs w:val="25"/>
              </w:rPr>
            </w:pPr>
            <w:r w:rsidRPr="00DA5DBB">
              <w:rPr>
                <w:sz w:val="25"/>
                <w:szCs w:val="25"/>
              </w:rPr>
              <w:t>)</w:t>
            </w:r>
          </w:p>
          <w:p w14:paraId="786AD437" w14:textId="77777777" w:rsidR="0005692F" w:rsidRPr="00DA5DBB" w:rsidRDefault="0005692F" w:rsidP="00A8775C">
            <w:pPr>
              <w:rPr>
                <w:sz w:val="25"/>
                <w:szCs w:val="25"/>
              </w:rPr>
            </w:pPr>
            <w:r w:rsidRPr="00DA5DBB">
              <w:rPr>
                <w:sz w:val="25"/>
                <w:szCs w:val="25"/>
              </w:rPr>
              <w:t>)</w:t>
            </w:r>
          </w:p>
          <w:p w14:paraId="355C4854" w14:textId="77777777" w:rsidR="0005692F" w:rsidRPr="00DA5DBB" w:rsidRDefault="0005692F" w:rsidP="00A8775C">
            <w:pPr>
              <w:rPr>
                <w:sz w:val="25"/>
                <w:szCs w:val="25"/>
              </w:rPr>
            </w:pPr>
            <w:r w:rsidRPr="00DA5DBB">
              <w:rPr>
                <w:sz w:val="25"/>
                <w:szCs w:val="25"/>
              </w:rPr>
              <w:t>)</w:t>
            </w:r>
          </w:p>
          <w:p w14:paraId="304F8C38" w14:textId="77777777" w:rsidR="0005692F" w:rsidRPr="00DA5DBB" w:rsidRDefault="0005692F" w:rsidP="00A8775C">
            <w:pPr>
              <w:rPr>
                <w:sz w:val="25"/>
                <w:szCs w:val="25"/>
              </w:rPr>
            </w:pPr>
            <w:r w:rsidRPr="00DA5DBB">
              <w:rPr>
                <w:sz w:val="25"/>
                <w:szCs w:val="25"/>
              </w:rPr>
              <w:t>)</w:t>
            </w:r>
          </w:p>
          <w:p w14:paraId="76C301AE" w14:textId="77777777" w:rsidR="0005692F" w:rsidRPr="00DA5DBB" w:rsidRDefault="0005692F" w:rsidP="00A8775C">
            <w:pPr>
              <w:rPr>
                <w:sz w:val="25"/>
                <w:szCs w:val="25"/>
              </w:rPr>
            </w:pPr>
            <w:r w:rsidRPr="00DA5DBB">
              <w:rPr>
                <w:sz w:val="25"/>
                <w:szCs w:val="25"/>
              </w:rPr>
              <w:t>)</w:t>
            </w:r>
          </w:p>
          <w:p w14:paraId="32245909" w14:textId="77777777" w:rsidR="0005692F" w:rsidRPr="00DA5DBB" w:rsidRDefault="0005692F" w:rsidP="00A8775C">
            <w:pPr>
              <w:rPr>
                <w:sz w:val="25"/>
                <w:szCs w:val="25"/>
              </w:rPr>
            </w:pPr>
            <w:r w:rsidRPr="00DA5DBB">
              <w:rPr>
                <w:sz w:val="25"/>
                <w:szCs w:val="25"/>
              </w:rPr>
              <w:t>)</w:t>
            </w:r>
          </w:p>
          <w:p w14:paraId="37788C9B" w14:textId="77777777" w:rsidR="0005692F" w:rsidRDefault="0005692F" w:rsidP="00A8775C">
            <w:pPr>
              <w:rPr>
                <w:sz w:val="25"/>
                <w:szCs w:val="25"/>
              </w:rPr>
            </w:pPr>
            <w:r w:rsidRPr="00DA5DBB">
              <w:rPr>
                <w:sz w:val="25"/>
                <w:szCs w:val="25"/>
              </w:rPr>
              <w:t>)</w:t>
            </w:r>
          </w:p>
          <w:p w14:paraId="26B6E416" w14:textId="77777777" w:rsidR="0005692F" w:rsidRDefault="0005692F" w:rsidP="00A8775C">
            <w:pPr>
              <w:rPr>
                <w:sz w:val="25"/>
                <w:szCs w:val="25"/>
              </w:rPr>
            </w:pPr>
            <w:r>
              <w:rPr>
                <w:sz w:val="25"/>
                <w:szCs w:val="25"/>
              </w:rPr>
              <w:t>)</w:t>
            </w:r>
          </w:p>
          <w:p w14:paraId="5158E84C" w14:textId="77777777" w:rsidR="0005692F" w:rsidRPr="00DA5DBB" w:rsidRDefault="0005692F" w:rsidP="00A8775C">
            <w:pPr>
              <w:rPr>
                <w:sz w:val="25"/>
                <w:szCs w:val="25"/>
              </w:rPr>
            </w:pPr>
            <w:r>
              <w:rPr>
                <w:sz w:val="25"/>
                <w:szCs w:val="25"/>
              </w:rPr>
              <w:t>)</w:t>
            </w:r>
          </w:p>
        </w:tc>
        <w:tc>
          <w:tcPr>
            <w:tcW w:w="4288" w:type="dxa"/>
          </w:tcPr>
          <w:p w14:paraId="5AD49050" w14:textId="77777777" w:rsidR="0005692F" w:rsidRPr="00DA5DBB" w:rsidRDefault="0005692F" w:rsidP="00A8775C">
            <w:pPr>
              <w:ind w:left="192"/>
              <w:rPr>
                <w:sz w:val="25"/>
                <w:szCs w:val="25"/>
              </w:rPr>
            </w:pPr>
            <w:r w:rsidRPr="00DA5DBB">
              <w:rPr>
                <w:sz w:val="25"/>
                <w:szCs w:val="25"/>
              </w:rPr>
              <w:t>DOCKET U</w:t>
            </w:r>
            <w:r w:rsidR="00E30306">
              <w:rPr>
                <w:sz w:val="25"/>
                <w:szCs w:val="25"/>
              </w:rPr>
              <w:t>T</w:t>
            </w:r>
            <w:r w:rsidRPr="00DA5DBB">
              <w:rPr>
                <w:sz w:val="25"/>
                <w:szCs w:val="25"/>
              </w:rPr>
              <w:t>-</w:t>
            </w:r>
            <w:r w:rsidR="00E30306">
              <w:rPr>
                <w:sz w:val="25"/>
                <w:szCs w:val="25"/>
              </w:rPr>
              <w:t>971140</w:t>
            </w:r>
          </w:p>
          <w:p w14:paraId="27B12BB3" w14:textId="77777777" w:rsidR="0005692F" w:rsidRDefault="0005692F" w:rsidP="00A8775C">
            <w:pPr>
              <w:ind w:left="192"/>
              <w:rPr>
                <w:sz w:val="25"/>
                <w:szCs w:val="25"/>
              </w:rPr>
            </w:pPr>
          </w:p>
          <w:p w14:paraId="52E63550" w14:textId="77777777" w:rsidR="0005692F" w:rsidRPr="00DA5DBB" w:rsidRDefault="0005692F" w:rsidP="00A8775C">
            <w:pPr>
              <w:ind w:left="192"/>
              <w:rPr>
                <w:sz w:val="25"/>
                <w:szCs w:val="25"/>
              </w:rPr>
            </w:pPr>
          </w:p>
          <w:p w14:paraId="64981C3F" w14:textId="77777777" w:rsidR="0005692F" w:rsidRPr="00DA5DBB" w:rsidRDefault="0005692F" w:rsidP="00A8775C">
            <w:pPr>
              <w:ind w:left="192"/>
              <w:rPr>
                <w:sz w:val="25"/>
                <w:szCs w:val="25"/>
              </w:rPr>
            </w:pPr>
            <w:r w:rsidRPr="00DA5DBB">
              <w:rPr>
                <w:sz w:val="25"/>
                <w:szCs w:val="25"/>
              </w:rPr>
              <w:t xml:space="preserve">ORDER </w:t>
            </w:r>
            <w:r>
              <w:rPr>
                <w:sz w:val="25"/>
                <w:szCs w:val="25"/>
              </w:rPr>
              <w:t>1</w:t>
            </w:r>
            <w:r w:rsidR="00E30306">
              <w:rPr>
                <w:sz w:val="25"/>
                <w:szCs w:val="25"/>
              </w:rPr>
              <w:t>0</w:t>
            </w:r>
          </w:p>
          <w:p w14:paraId="3A808317" w14:textId="77777777" w:rsidR="0005692F" w:rsidRPr="00DA5DBB" w:rsidRDefault="0005692F" w:rsidP="00A8775C">
            <w:pPr>
              <w:ind w:left="192"/>
              <w:rPr>
                <w:sz w:val="25"/>
                <w:szCs w:val="25"/>
              </w:rPr>
            </w:pPr>
          </w:p>
          <w:p w14:paraId="6F31D9E7" w14:textId="77777777" w:rsidR="0005692F" w:rsidRDefault="0005692F" w:rsidP="00A8775C">
            <w:pPr>
              <w:ind w:left="192"/>
              <w:rPr>
                <w:b/>
                <w:bCs/>
                <w:sz w:val="25"/>
                <w:szCs w:val="25"/>
              </w:rPr>
            </w:pPr>
          </w:p>
          <w:p w14:paraId="668156DF" w14:textId="77777777" w:rsidR="0005692F" w:rsidRPr="00DA5DBB" w:rsidRDefault="0005692F" w:rsidP="00A8775C">
            <w:pPr>
              <w:ind w:left="192"/>
              <w:rPr>
                <w:b/>
                <w:bCs/>
                <w:sz w:val="25"/>
                <w:szCs w:val="25"/>
              </w:rPr>
            </w:pPr>
          </w:p>
          <w:p w14:paraId="0AEE8EB1" w14:textId="77777777" w:rsidR="0005692F" w:rsidRDefault="0005692F" w:rsidP="00A8775C">
            <w:pPr>
              <w:ind w:left="192"/>
              <w:rPr>
                <w:b/>
                <w:sz w:val="25"/>
                <w:szCs w:val="25"/>
              </w:rPr>
            </w:pPr>
            <w:r>
              <w:rPr>
                <w:sz w:val="25"/>
                <w:szCs w:val="25"/>
              </w:rPr>
              <w:t xml:space="preserve">ORDER </w:t>
            </w:r>
            <w:r w:rsidR="00E30306">
              <w:rPr>
                <w:sz w:val="25"/>
                <w:szCs w:val="25"/>
              </w:rPr>
              <w:t>TERMINATING TRADITIONAL USF FUND</w:t>
            </w:r>
          </w:p>
          <w:p w14:paraId="7CE4E26E" w14:textId="77777777" w:rsidR="0005692F" w:rsidRPr="00603378" w:rsidRDefault="0005692F" w:rsidP="00A8775C">
            <w:pPr>
              <w:ind w:left="192"/>
              <w:rPr>
                <w:b/>
                <w:sz w:val="25"/>
                <w:szCs w:val="25"/>
              </w:rPr>
            </w:pPr>
          </w:p>
        </w:tc>
      </w:tr>
    </w:tbl>
    <w:p w14:paraId="7DD799F7" w14:textId="77777777" w:rsidR="0005692F" w:rsidRDefault="0005692F" w:rsidP="0005692F">
      <w:pPr>
        <w:rPr>
          <w:sz w:val="25"/>
          <w:szCs w:val="25"/>
        </w:rPr>
      </w:pPr>
    </w:p>
    <w:p w14:paraId="0BD5C5E2" w14:textId="77777777" w:rsidR="0005692F" w:rsidRPr="00634B96" w:rsidRDefault="0005692F" w:rsidP="007943D6">
      <w:pPr>
        <w:jc w:val="center"/>
        <w:rPr>
          <w:b/>
          <w:sz w:val="25"/>
          <w:szCs w:val="25"/>
        </w:rPr>
      </w:pPr>
      <w:r>
        <w:rPr>
          <w:b/>
          <w:sz w:val="25"/>
          <w:szCs w:val="25"/>
        </w:rPr>
        <w:t>B</w:t>
      </w:r>
      <w:r w:rsidR="007943D6">
        <w:rPr>
          <w:b/>
          <w:sz w:val="25"/>
          <w:szCs w:val="25"/>
        </w:rPr>
        <w:t>ACKGROUND</w:t>
      </w:r>
    </w:p>
    <w:p w14:paraId="231521E8" w14:textId="77777777" w:rsidR="0005692F" w:rsidRPr="005D31AE" w:rsidRDefault="0005692F" w:rsidP="0005692F">
      <w:pPr>
        <w:rPr>
          <w:i/>
          <w:sz w:val="25"/>
          <w:szCs w:val="25"/>
        </w:rPr>
      </w:pPr>
    </w:p>
    <w:p w14:paraId="7CC27A99" w14:textId="77777777" w:rsidR="0017292F" w:rsidRDefault="004931E2" w:rsidP="008863F8">
      <w:pPr>
        <w:pStyle w:val="FindingsConclusions"/>
        <w:tabs>
          <w:tab w:val="clear" w:pos="1080"/>
          <w:tab w:val="num" w:pos="0"/>
        </w:tabs>
        <w:spacing w:after="240" w:line="288" w:lineRule="auto"/>
        <w:ind w:left="0" w:hanging="720"/>
        <w:rPr>
          <w:sz w:val="25"/>
          <w:szCs w:val="25"/>
        </w:rPr>
      </w:pPr>
      <w:r>
        <w:t>On</w:t>
      </w:r>
      <w:r w:rsidR="00E53807">
        <w:rPr>
          <w:sz w:val="25"/>
          <w:szCs w:val="25"/>
        </w:rPr>
        <w:t xml:space="preserve"> June 28, 2000, the Washington Utilities and Transportation Commission (Commission) entered the Ninth Supplemental Order in this docket approving the Washington Exchange Carrier Association’s (WECA) Washington Carrier Access Plan (Plan).  The Plan covers WECA’s operations in administering three pools of funds derived from rate elements for intrastate </w:t>
      </w:r>
      <w:r w:rsidR="00F168A6">
        <w:rPr>
          <w:sz w:val="25"/>
          <w:szCs w:val="25"/>
        </w:rPr>
        <w:t xml:space="preserve">switched </w:t>
      </w:r>
      <w:r w:rsidR="00E53807">
        <w:rPr>
          <w:sz w:val="25"/>
          <w:szCs w:val="25"/>
        </w:rPr>
        <w:t>access charges, including the “universal service support pool” created in Docket U-85-23 (“Traditional USF”).  Paragraph 4 of the Plan provides, “At such time as the legislature adopts legislation authorizing a new universal service program that applies to WECA’s members and such new universal service plan has been implemented, the Plan shall be reviewed to determine if modifications are appropriate</w:t>
      </w:r>
      <w:r>
        <w:rPr>
          <w:sz w:val="25"/>
          <w:szCs w:val="25"/>
        </w:rPr>
        <w:t>.</w:t>
      </w:r>
      <w:r w:rsidR="00E53807">
        <w:rPr>
          <w:sz w:val="25"/>
          <w:szCs w:val="25"/>
        </w:rPr>
        <w:t>”</w:t>
      </w:r>
    </w:p>
    <w:p w14:paraId="4BE63E10" w14:textId="77777777" w:rsidR="00B60216" w:rsidRDefault="00525AD1" w:rsidP="00E30306">
      <w:pPr>
        <w:pStyle w:val="FindingsConclusions"/>
        <w:tabs>
          <w:tab w:val="clear" w:pos="1080"/>
          <w:tab w:val="num" w:pos="0"/>
        </w:tabs>
        <w:spacing w:after="240" w:line="288" w:lineRule="auto"/>
        <w:ind w:left="0" w:hanging="720"/>
        <w:rPr>
          <w:sz w:val="25"/>
          <w:szCs w:val="25"/>
        </w:rPr>
      </w:pPr>
      <w:r>
        <w:rPr>
          <w:sz w:val="25"/>
          <w:szCs w:val="25"/>
        </w:rPr>
        <w:t>In 2013, the legislature adopted legislation authorizing a state universal communications services program (State USF Program).</w:t>
      </w:r>
      <w:r>
        <w:rPr>
          <w:rStyle w:val="FootnoteReference"/>
          <w:sz w:val="25"/>
          <w:szCs w:val="25"/>
        </w:rPr>
        <w:footnoteReference w:id="1"/>
      </w:r>
      <w:r>
        <w:rPr>
          <w:sz w:val="25"/>
          <w:szCs w:val="25"/>
        </w:rPr>
        <w:t xml:space="preserve">  The Commission has proposed rules in Docket UT-131239 to implement that program beginning July 1, 2014, as the statute requires.  Pursuant to those rules, distributions from th</w:t>
      </w:r>
      <w:r w:rsidR="00F168A6">
        <w:rPr>
          <w:sz w:val="25"/>
          <w:szCs w:val="25"/>
        </w:rPr>
        <w:t>e State USF</w:t>
      </w:r>
      <w:r>
        <w:rPr>
          <w:sz w:val="25"/>
          <w:szCs w:val="25"/>
        </w:rPr>
        <w:t xml:space="preserve"> </w:t>
      </w:r>
      <w:r w:rsidR="00F168A6">
        <w:rPr>
          <w:sz w:val="25"/>
          <w:szCs w:val="25"/>
        </w:rPr>
        <w:t>P</w:t>
      </w:r>
      <w:r>
        <w:rPr>
          <w:sz w:val="25"/>
          <w:szCs w:val="25"/>
        </w:rPr>
        <w:t xml:space="preserve">rogram will include amounts that eligible WECA members otherwise would have received </w:t>
      </w:r>
      <w:r w:rsidR="00F168A6">
        <w:rPr>
          <w:sz w:val="25"/>
          <w:szCs w:val="25"/>
        </w:rPr>
        <w:t>from</w:t>
      </w:r>
      <w:r>
        <w:rPr>
          <w:sz w:val="25"/>
          <w:szCs w:val="25"/>
        </w:rPr>
        <w:t xml:space="preserve"> the Traditional USF</w:t>
      </w:r>
      <w:r w:rsidR="007B0463">
        <w:rPr>
          <w:sz w:val="25"/>
          <w:szCs w:val="25"/>
        </w:rPr>
        <w:t xml:space="preserve">.  </w:t>
      </w:r>
    </w:p>
    <w:p w14:paraId="5AE7B6AA" w14:textId="77777777" w:rsidR="00C5441D" w:rsidRDefault="00292E01" w:rsidP="00BC6A99">
      <w:pPr>
        <w:pStyle w:val="FindingsConclusions"/>
        <w:tabs>
          <w:tab w:val="clear" w:pos="1080"/>
          <w:tab w:val="num" w:pos="0"/>
        </w:tabs>
        <w:spacing w:after="240" w:line="288" w:lineRule="auto"/>
        <w:ind w:left="0" w:hanging="720"/>
        <w:rPr>
          <w:sz w:val="25"/>
          <w:szCs w:val="25"/>
        </w:rPr>
      </w:pPr>
      <w:r>
        <w:rPr>
          <w:sz w:val="25"/>
          <w:szCs w:val="25"/>
        </w:rPr>
        <w:t xml:space="preserve">On April 4, 2014, the Commission issued a notice that it has reviewed the Plan in light of the enactment and implementation of the State USF Program and proposes to </w:t>
      </w:r>
      <w:r>
        <w:rPr>
          <w:sz w:val="25"/>
          <w:szCs w:val="25"/>
        </w:rPr>
        <w:lastRenderedPageBreak/>
        <w:t>modify the Plan to terminate the Traditional USF coincident with the effectiveness of the State USF Program on July 1, 2014.  The Commission requested written comments by May 5, 2014, and scheduled a hearing on the proposal for May 15, 2014</w:t>
      </w:r>
      <w:r w:rsidR="00E70487">
        <w:rPr>
          <w:sz w:val="25"/>
          <w:szCs w:val="25"/>
        </w:rPr>
        <w:t>.</w:t>
      </w:r>
    </w:p>
    <w:p w14:paraId="06578335" w14:textId="77777777" w:rsidR="00783CB6" w:rsidRDefault="00292E01" w:rsidP="004F0810">
      <w:pPr>
        <w:pStyle w:val="FindingsConclusions"/>
        <w:tabs>
          <w:tab w:val="clear" w:pos="1080"/>
          <w:tab w:val="num" w:pos="0"/>
        </w:tabs>
        <w:spacing w:after="240" w:line="288" w:lineRule="auto"/>
        <w:ind w:left="0" w:hanging="720"/>
        <w:rPr>
          <w:sz w:val="25"/>
          <w:szCs w:val="25"/>
        </w:rPr>
      </w:pPr>
      <w:r>
        <w:rPr>
          <w:sz w:val="25"/>
          <w:szCs w:val="25"/>
        </w:rPr>
        <w:t>The Commission received written comment</w:t>
      </w:r>
      <w:r w:rsidR="00186655">
        <w:rPr>
          <w:sz w:val="25"/>
          <w:szCs w:val="25"/>
        </w:rPr>
        <w:t>s</w:t>
      </w:r>
      <w:r>
        <w:rPr>
          <w:sz w:val="25"/>
          <w:szCs w:val="25"/>
        </w:rPr>
        <w:t xml:space="preserve"> from WECA, Frontier Communications</w:t>
      </w:r>
      <w:r w:rsidR="006453E6">
        <w:rPr>
          <w:sz w:val="25"/>
          <w:szCs w:val="25"/>
        </w:rPr>
        <w:t xml:space="preserve"> Northwest Inc.</w:t>
      </w:r>
      <w:r>
        <w:rPr>
          <w:sz w:val="25"/>
          <w:szCs w:val="25"/>
        </w:rPr>
        <w:t>, CenturyLink, and AT&amp;T</w:t>
      </w:r>
      <w:r w:rsidR="006453E6">
        <w:rPr>
          <w:sz w:val="25"/>
          <w:szCs w:val="25"/>
        </w:rPr>
        <w:t xml:space="preserve"> Corp., New Cingular Wireless PCS, LLC, and Teleport Communications America, Inc</w:t>
      </w:r>
      <w:r w:rsidR="00525AD1">
        <w:rPr>
          <w:sz w:val="25"/>
          <w:szCs w:val="25"/>
        </w:rPr>
        <w:t>.</w:t>
      </w:r>
      <w:r>
        <w:rPr>
          <w:sz w:val="25"/>
          <w:szCs w:val="25"/>
        </w:rPr>
        <w:t xml:space="preserve">  All of these commenters support or do not oppose terminating the Traditional USF as the Commission proposes. </w:t>
      </w:r>
    </w:p>
    <w:p w14:paraId="66514DDC" w14:textId="77777777" w:rsidR="00783CB6" w:rsidRDefault="00292E01" w:rsidP="004F0810">
      <w:pPr>
        <w:pStyle w:val="FindingsConclusions"/>
        <w:tabs>
          <w:tab w:val="clear" w:pos="1080"/>
          <w:tab w:val="num" w:pos="0"/>
        </w:tabs>
        <w:spacing w:after="240" w:line="288" w:lineRule="auto"/>
        <w:ind w:left="0" w:hanging="720"/>
        <w:rPr>
          <w:sz w:val="25"/>
          <w:szCs w:val="25"/>
        </w:rPr>
      </w:pPr>
      <w:r>
        <w:rPr>
          <w:sz w:val="25"/>
          <w:szCs w:val="25"/>
        </w:rPr>
        <w:t xml:space="preserve">WECA, however, also </w:t>
      </w:r>
      <w:r w:rsidR="00142F35">
        <w:rPr>
          <w:sz w:val="25"/>
          <w:szCs w:val="25"/>
        </w:rPr>
        <w:t xml:space="preserve">expresses two concerns.  First, WECA observes that there will be a lag between the final payment from the Traditional USF in July and the first payment from the State USF Program in January, resulting in a cash flow problem for its members.  Second, </w:t>
      </w:r>
      <w:r w:rsidR="004C7027">
        <w:rPr>
          <w:sz w:val="25"/>
          <w:szCs w:val="25"/>
        </w:rPr>
        <w:t xml:space="preserve">WECA states that it must undertake a substantial amount of work to close down its administration activities after Commission terminates the Traditional USF, and WECA will need the funds </w:t>
      </w:r>
      <w:r>
        <w:rPr>
          <w:sz w:val="25"/>
          <w:szCs w:val="25"/>
        </w:rPr>
        <w:t xml:space="preserve">to </w:t>
      </w:r>
      <w:r w:rsidR="004C7027">
        <w:rPr>
          <w:sz w:val="25"/>
          <w:szCs w:val="25"/>
        </w:rPr>
        <w:t>complete that work</w:t>
      </w:r>
      <w:r>
        <w:rPr>
          <w:sz w:val="25"/>
          <w:szCs w:val="25"/>
        </w:rPr>
        <w:t xml:space="preserve">.  </w:t>
      </w:r>
    </w:p>
    <w:p w14:paraId="5824E74F" w14:textId="77777777" w:rsidR="00525AD1" w:rsidRPr="004F0810" w:rsidRDefault="00783CB6" w:rsidP="004F0810">
      <w:pPr>
        <w:pStyle w:val="FindingsConclusions"/>
        <w:tabs>
          <w:tab w:val="clear" w:pos="1080"/>
          <w:tab w:val="num" w:pos="0"/>
        </w:tabs>
        <w:spacing w:after="240" w:line="288" w:lineRule="auto"/>
        <w:ind w:left="0" w:hanging="720"/>
        <w:rPr>
          <w:sz w:val="25"/>
          <w:szCs w:val="25"/>
        </w:rPr>
      </w:pPr>
      <w:r>
        <w:t xml:space="preserve">CenturyLink </w:t>
      </w:r>
      <w:r w:rsidR="004C7027">
        <w:t>points out that it draws from, as well as contributes to, th</w:t>
      </w:r>
      <w:r w:rsidR="00A94803">
        <w:t>e Traditional USF</w:t>
      </w:r>
      <w:r w:rsidR="004C7027">
        <w:t xml:space="preserve"> fund and seeks to lessen the adverse impact of </w:t>
      </w:r>
      <w:r w:rsidR="00A94803">
        <w:t>the</w:t>
      </w:r>
      <w:r w:rsidR="004C7027">
        <w:t xml:space="preserve"> loss of that funding.  CenturyLink </w:t>
      </w:r>
      <w:r>
        <w:t>construes the termination of the Traditional USF access pool as an end to the designation of the Traditional USF rate element as a universal service support element.  CenturyLink requests that the Commission find that rate element is an access element</w:t>
      </w:r>
      <w:r w:rsidR="00F402C1">
        <w:t xml:space="preserve">, the revenues from which could then be recovered through the Access Reduction Charge (ARC) </w:t>
      </w:r>
      <w:r>
        <w:t xml:space="preserve">the Federal Communications Commission’s (FCC) </w:t>
      </w:r>
      <w:r w:rsidR="00F402C1">
        <w:t xml:space="preserve">authorized as part of the </w:t>
      </w:r>
      <w:r>
        <w:t xml:space="preserve">phase down of intrastate access charges </w:t>
      </w:r>
      <w:r w:rsidR="00F402C1">
        <w:t>it</w:t>
      </w:r>
      <w:r w:rsidR="00767D21">
        <w:t xml:space="preserve"> required </w:t>
      </w:r>
      <w:r>
        <w:t>in FCC Order No. 11-161</w:t>
      </w:r>
      <w:r w:rsidR="00186655">
        <w:rPr>
          <w:sz w:val="25"/>
          <w:szCs w:val="25"/>
        </w:rPr>
        <w:t>.</w:t>
      </w:r>
    </w:p>
    <w:p w14:paraId="1ACA9B3E" w14:textId="77777777" w:rsidR="008230EE" w:rsidRPr="00E70487" w:rsidRDefault="00E70487" w:rsidP="00E70487">
      <w:pPr>
        <w:spacing w:after="240" w:line="288" w:lineRule="auto"/>
        <w:jc w:val="center"/>
        <w:rPr>
          <w:b/>
          <w:sz w:val="25"/>
          <w:szCs w:val="25"/>
        </w:rPr>
      </w:pPr>
      <w:r>
        <w:rPr>
          <w:b/>
          <w:sz w:val="25"/>
          <w:szCs w:val="25"/>
        </w:rPr>
        <w:t>DISCUSSION</w:t>
      </w:r>
      <w:r w:rsidR="000F4125">
        <w:rPr>
          <w:b/>
          <w:sz w:val="25"/>
          <w:szCs w:val="25"/>
        </w:rPr>
        <w:t xml:space="preserve"> AND DECISION</w:t>
      </w:r>
    </w:p>
    <w:p w14:paraId="69B24F52" w14:textId="77777777" w:rsidR="00E70487" w:rsidRPr="00C0288E" w:rsidRDefault="000F4125" w:rsidP="003A537F">
      <w:pPr>
        <w:numPr>
          <w:ilvl w:val="0"/>
          <w:numId w:val="1"/>
        </w:numPr>
        <w:tabs>
          <w:tab w:val="clear" w:pos="1080"/>
          <w:tab w:val="num" w:pos="0"/>
        </w:tabs>
        <w:spacing w:after="240" w:line="288" w:lineRule="auto"/>
        <w:ind w:left="0" w:hanging="720"/>
        <w:rPr>
          <w:sz w:val="25"/>
          <w:szCs w:val="25"/>
        </w:rPr>
      </w:pPr>
      <w:r>
        <w:rPr>
          <w:sz w:val="25"/>
          <w:szCs w:val="25"/>
        </w:rPr>
        <w:t>The Commission terminates the Traditional USF</w:t>
      </w:r>
      <w:r w:rsidR="00236792">
        <w:rPr>
          <w:sz w:val="25"/>
          <w:szCs w:val="25"/>
        </w:rPr>
        <w:t>.</w:t>
      </w:r>
      <w:r>
        <w:rPr>
          <w:sz w:val="25"/>
          <w:szCs w:val="25"/>
        </w:rPr>
        <w:t xml:space="preserve">  That fund has served the purpose for which it was created, and the legislature has established a replacement mechanism for providing support to small incumbent local exchange carriers (ILECs) to assist them </w:t>
      </w:r>
      <w:r w:rsidR="00B73A78">
        <w:rPr>
          <w:sz w:val="25"/>
          <w:szCs w:val="25"/>
        </w:rPr>
        <w:t xml:space="preserve">as they transition to the </w:t>
      </w:r>
      <w:r w:rsidR="00531F9B">
        <w:rPr>
          <w:sz w:val="25"/>
          <w:szCs w:val="25"/>
        </w:rPr>
        <w:t>modern telecommunications market</w:t>
      </w:r>
      <w:r w:rsidR="00B73A78">
        <w:rPr>
          <w:sz w:val="25"/>
          <w:szCs w:val="25"/>
        </w:rPr>
        <w:t>.</w:t>
      </w:r>
      <w:r w:rsidR="008570C7">
        <w:rPr>
          <w:sz w:val="25"/>
          <w:szCs w:val="25"/>
        </w:rPr>
        <w:t xml:space="preserve"> </w:t>
      </w:r>
      <w:r w:rsidR="00C0288E">
        <w:rPr>
          <w:sz w:val="25"/>
          <w:szCs w:val="25"/>
        </w:rPr>
        <w:t xml:space="preserve"> </w:t>
      </w:r>
      <w:r w:rsidR="00C0288E" w:rsidRPr="00C0288E">
        <w:rPr>
          <w:sz w:val="25"/>
          <w:szCs w:val="25"/>
        </w:rPr>
        <w:t>Th</w:t>
      </w:r>
      <w:r w:rsidR="00531F9B">
        <w:rPr>
          <w:sz w:val="25"/>
          <w:szCs w:val="25"/>
        </w:rPr>
        <w:t>at</w:t>
      </w:r>
      <w:r w:rsidR="00C0288E" w:rsidRPr="00C0288E">
        <w:rPr>
          <w:sz w:val="25"/>
          <w:szCs w:val="25"/>
        </w:rPr>
        <w:t xml:space="preserve"> market has changed dramatically since we approved the Traditional USF.  Access charges assessed to long distance carriers are in decline as telecommunications users increasingly shift to alternative services and technologies to meet their communications requirements.  Consequently, subsidy mechanisms such as the Traditional USF have outlived their purpose and must give way to more explicit </w:t>
      </w:r>
      <w:r w:rsidR="00C0288E" w:rsidRPr="00C0288E">
        <w:rPr>
          <w:sz w:val="25"/>
          <w:szCs w:val="25"/>
        </w:rPr>
        <w:lastRenderedPageBreak/>
        <w:t>funding approaches like the State USF Program</w:t>
      </w:r>
      <w:r w:rsidR="00C0288E">
        <w:rPr>
          <w:sz w:val="25"/>
          <w:szCs w:val="25"/>
        </w:rPr>
        <w:t>.  C</w:t>
      </w:r>
      <w:r w:rsidR="00C0288E" w:rsidRPr="00C0288E">
        <w:rPr>
          <w:sz w:val="25"/>
          <w:szCs w:val="25"/>
        </w:rPr>
        <w:t xml:space="preserve">arriers that have historically been the beneficiaries of such support should increasingly look to their own customers for recovery of a greater portion of their costs.  All stakeholders in this proceeding concede </w:t>
      </w:r>
      <w:r w:rsidR="00C0288E">
        <w:rPr>
          <w:sz w:val="25"/>
          <w:szCs w:val="25"/>
        </w:rPr>
        <w:t xml:space="preserve">that </w:t>
      </w:r>
      <w:r w:rsidR="00C0288E" w:rsidRPr="00C0288E">
        <w:rPr>
          <w:sz w:val="25"/>
          <w:szCs w:val="25"/>
        </w:rPr>
        <w:t>now is the time to terminate the Traditional USF.  We agree.</w:t>
      </w:r>
    </w:p>
    <w:p w14:paraId="7899E6A9" w14:textId="77777777" w:rsidR="00754546" w:rsidRDefault="00C0288E" w:rsidP="003A537F">
      <w:pPr>
        <w:numPr>
          <w:ilvl w:val="0"/>
          <w:numId w:val="1"/>
        </w:numPr>
        <w:tabs>
          <w:tab w:val="clear" w:pos="1080"/>
          <w:tab w:val="num" w:pos="0"/>
        </w:tabs>
        <w:spacing w:after="240" w:line="288" w:lineRule="auto"/>
        <w:ind w:left="0" w:hanging="720"/>
        <w:rPr>
          <w:sz w:val="25"/>
          <w:szCs w:val="25"/>
        </w:rPr>
      </w:pPr>
      <w:r>
        <w:rPr>
          <w:sz w:val="25"/>
          <w:szCs w:val="25"/>
        </w:rPr>
        <w:t xml:space="preserve">Accordingly, we require that WECA </w:t>
      </w:r>
      <w:r w:rsidR="004F0810">
        <w:rPr>
          <w:sz w:val="25"/>
          <w:szCs w:val="25"/>
        </w:rPr>
        <w:t xml:space="preserve">cease collecting </w:t>
      </w:r>
      <w:r w:rsidR="00D62756">
        <w:rPr>
          <w:sz w:val="25"/>
          <w:szCs w:val="25"/>
        </w:rPr>
        <w:t xml:space="preserve">funds to distribute to its members </w:t>
      </w:r>
      <w:r w:rsidR="00754546">
        <w:rPr>
          <w:sz w:val="25"/>
          <w:szCs w:val="25"/>
        </w:rPr>
        <w:t xml:space="preserve">that </w:t>
      </w:r>
      <w:r w:rsidR="005A5EF6">
        <w:rPr>
          <w:sz w:val="25"/>
          <w:szCs w:val="25"/>
        </w:rPr>
        <w:t>are</w:t>
      </w:r>
      <w:r w:rsidR="00754546">
        <w:rPr>
          <w:sz w:val="25"/>
          <w:szCs w:val="25"/>
        </w:rPr>
        <w:t xml:space="preserve"> </w:t>
      </w:r>
      <w:r w:rsidR="00A94803">
        <w:rPr>
          <w:sz w:val="25"/>
          <w:szCs w:val="25"/>
        </w:rPr>
        <w:t>generated from the Traditional USF switched access charge rate element that local exchange carriers (LECs) charge</w:t>
      </w:r>
      <w:r w:rsidR="00754546">
        <w:rPr>
          <w:sz w:val="25"/>
          <w:szCs w:val="25"/>
        </w:rPr>
        <w:t xml:space="preserve"> after June 30, 2014</w:t>
      </w:r>
      <w:r w:rsidR="004C7027">
        <w:rPr>
          <w:sz w:val="25"/>
          <w:szCs w:val="25"/>
        </w:rPr>
        <w:t>.  W</w:t>
      </w:r>
      <w:r w:rsidR="00B73A78">
        <w:rPr>
          <w:sz w:val="25"/>
          <w:szCs w:val="25"/>
        </w:rPr>
        <w:t xml:space="preserve">e </w:t>
      </w:r>
      <w:r w:rsidR="00522A24">
        <w:rPr>
          <w:sz w:val="25"/>
          <w:szCs w:val="25"/>
        </w:rPr>
        <w:t xml:space="preserve">address WECA’s concerns with the resulting cash flow </w:t>
      </w:r>
      <w:r w:rsidR="00C84A52">
        <w:rPr>
          <w:sz w:val="25"/>
          <w:szCs w:val="25"/>
        </w:rPr>
        <w:t xml:space="preserve">issue in our order in Docket UT-131239 adopting the rules governing the State USF.  </w:t>
      </w:r>
    </w:p>
    <w:p w14:paraId="4332D47C" w14:textId="77777777" w:rsidR="00B73A78" w:rsidRDefault="00C84A52" w:rsidP="003A537F">
      <w:pPr>
        <w:numPr>
          <w:ilvl w:val="0"/>
          <w:numId w:val="1"/>
        </w:numPr>
        <w:tabs>
          <w:tab w:val="clear" w:pos="1080"/>
          <w:tab w:val="num" w:pos="0"/>
        </w:tabs>
        <w:spacing w:after="240" w:line="288" w:lineRule="auto"/>
        <w:ind w:left="0" w:hanging="720"/>
        <w:rPr>
          <w:sz w:val="25"/>
          <w:szCs w:val="25"/>
        </w:rPr>
      </w:pPr>
      <w:r>
        <w:rPr>
          <w:sz w:val="25"/>
          <w:szCs w:val="25"/>
        </w:rPr>
        <w:t xml:space="preserve">We </w:t>
      </w:r>
      <w:r w:rsidR="00B73A78">
        <w:rPr>
          <w:sz w:val="25"/>
          <w:szCs w:val="25"/>
        </w:rPr>
        <w:t>agree with WECA</w:t>
      </w:r>
      <w:r w:rsidR="004C7027">
        <w:rPr>
          <w:sz w:val="25"/>
          <w:szCs w:val="25"/>
        </w:rPr>
        <w:t>, however,</w:t>
      </w:r>
      <w:r w:rsidR="00B73A78">
        <w:rPr>
          <w:sz w:val="25"/>
          <w:szCs w:val="25"/>
        </w:rPr>
        <w:t xml:space="preserve"> that it should have the funds necessary to close its administrative operations.</w:t>
      </w:r>
      <w:r w:rsidR="00D62756">
        <w:rPr>
          <w:sz w:val="25"/>
          <w:szCs w:val="25"/>
        </w:rPr>
        <w:t xml:space="preserve">  WECA estimates it will need $180,000 for this purpose</w:t>
      </w:r>
      <w:r w:rsidR="00A94803">
        <w:rPr>
          <w:sz w:val="25"/>
          <w:szCs w:val="25"/>
        </w:rPr>
        <w:t xml:space="preserve"> and that the Traditional USF rate element</w:t>
      </w:r>
      <w:r w:rsidR="003B4925">
        <w:rPr>
          <w:sz w:val="25"/>
          <w:szCs w:val="25"/>
        </w:rPr>
        <w:t xml:space="preserve"> should generate that amount in 30 days</w:t>
      </w:r>
      <w:r w:rsidR="00D62756">
        <w:rPr>
          <w:sz w:val="25"/>
          <w:szCs w:val="25"/>
        </w:rPr>
        <w:t xml:space="preserve">.  Accordingly, we </w:t>
      </w:r>
      <w:r w:rsidR="00A9163A">
        <w:rPr>
          <w:sz w:val="25"/>
          <w:szCs w:val="25"/>
        </w:rPr>
        <w:t xml:space="preserve">require all LECs to continue to collect and remit to </w:t>
      </w:r>
      <w:r w:rsidR="00D62756">
        <w:rPr>
          <w:sz w:val="25"/>
          <w:szCs w:val="25"/>
        </w:rPr>
        <w:t xml:space="preserve">WECA </w:t>
      </w:r>
      <w:r w:rsidR="00A9163A">
        <w:rPr>
          <w:sz w:val="25"/>
          <w:szCs w:val="25"/>
        </w:rPr>
        <w:t>the revenues f</w:t>
      </w:r>
      <w:r w:rsidR="00D62756">
        <w:rPr>
          <w:sz w:val="25"/>
          <w:szCs w:val="25"/>
        </w:rPr>
        <w:t xml:space="preserve">rom the Traditional USF rate element for an additional </w:t>
      </w:r>
      <w:r w:rsidR="003B4925">
        <w:rPr>
          <w:sz w:val="25"/>
          <w:szCs w:val="25"/>
        </w:rPr>
        <w:t>30</w:t>
      </w:r>
      <w:r w:rsidR="00D62756">
        <w:rPr>
          <w:sz w:val="25"/>
          <w:szCs w:val="25"/>
        </w:rPr>
        <w:t xml:space="preserve"> days beyond July 1, 2014, and </w:t>
      </w:r>
      <w:r w:rsidR="00A9163A">
        <w:rPr>
          <w:sz w:val="25"/>
          <w:szCs w:val="25"/>
        </w:rPr>
        <w:t xml:space="preserve">authorize WECA </w:t>
      </w:r>
      <w:r w:rsidR="00D62756">
        <w:rPr>
          <w:sz w:val="25"/>
          <w:szCs w:val="25"/>
        </w:rPr>
        <w:t xml:space="preserve">to retain those funds to </w:t>
      </w:r>
      <w:r w:rsidR="00A94803">
        <w:rPr>
          <w:sz w:val="25"/>
          <w:szCs w:val="25"/>
        </w:rPr>
        <w:t>terminate</w:t>
      </w:r>
      <w:r w:rsidR="00D62756">
        <w:rPr>
          <w:sz w:val="25"/>
          <w:szCs w:val="25"/>
        </w:rPr>
        <w:t xml:space="preserve"> its </w:t>
      </w:r>
      <w:r w:rsidR="00A94803">
        <w:rPr>
          <w:sz w:val="25"/>
          <w:szCs w:val="25"/>
        </w:rPr>
        <w:t>administration of the Plan</w:t>
      </w:r>
      <w:r>
        <w:rPr>
          <w:sz w:val="25"/>
          <w:szCs w:val="25"/>
        </w:rPr>
        <w:t xml:space="preserve">, subject to a true-up </w:t>
      </w:r>
      <w:r w:rsidR="0015452D">
        <w:rPr>
          <w:sz w:val="25"/>
          <w:szCs w:val="25"/>
        </w:rPr>
        <w:t xml:space="preserve">and </w:t>
      </w:r>
      <w:r>
        <w:rPr>
          <w:sz w:val="25"/>
          <w:szCs w:val="25"/>
        </w:rPr>
        <w:t xml:space="preserve">to </w:t>
      </w:r>
      <w:r w:rsidR="00531F9B">
        <w:rPr>
          <w:sz w:val="25"/>
          <w:szCs w:val="25"/>
        </w:rPr>
        <w:t xml:space="preserve">a </w:t>
      </w:r>
      <w:r>
        <w:rPr>
          <w:sz w:val="25"/>
          <w:szCs w:val="25"/>
        </w:rPr>
        <w:t>Staff review and confirmation of the reasonable</w:t>
      </w:r>
      <w:r w:rsidR="00A94803">
        <w:rPr>
          <w:sz w:val="25"/>
          <w:szCs w:val="25"/>
        </w:rPr>
        <w:t>ness of the</w:t>
      </w:r>
      <w:r>
        <w:rPr>
          <w:sz w:val="25"/>
          <w:szCs w:val="25"/>
        </w:rPr>
        <w:t xml:space="preserve"> actual costs WECA incurs for that purpose</w:t>
      </w:r>
      <w:r w:rsidR="00D62756">
        <w:rPr>
          <w:sz w:val="25"/>
          <w:szCs w:val="25"/>
        </w:rPr>
        <w:t xml:space="preserve">.  Effective </w:t>
      </w:r>
      <w:r w:rsidR="004C7027">
        <w:rPr>
          <w:sz w:val="25"/>
          <w:szCs w:val="25"/>
        </w:rPr>
        <w:t xml:space="preserve">August </w:t>
      </w:r>
      <w:r w:rsidR="003B4925">
        <w:rPr>
          <w:sz w:val="25"/>
          <w:szCs w:val="25"/>
        </w:rPr>
        <w:t>1</w:t>
      </w:r>
      <w:r w:rsidR="00D62756">
        <w:rPr>
          <w:sz w:val="25"/>
          <w:szCs w:val="25"/>
        </w:rPr>
        <w:t xml:space="preserve">, 2014, </w:t>
      </w:r>
      <w:r w:rsidR="00F566DB">
        <w:rPr>
          <w:sz w:val="25"/>
          <w:szCs w:val="25"/>
        </w:rPr>
        <w:t>LECs</w:t>
      </w:r>
      <w:r w:rsidR="00A94803">
        <w:rPr>
          <w:sz w:val="25"/>
          <w:szCs w:val="25"/>
        </w:rPr>
        <w:t xml:space="preserve"> will</w:t>
      </w:r>
      <w:r w:rsidR="00D62756">
        <w:rPr>
          <w:sz w:val="25"/>
          <w:szCs w:val="25"/>
        </w:rPr>
        <w:t xml:space="preserve"> no longer </w:t>
      </w:r>
      <w:r w:rsidR="00A94803">
        <w:rPr>
          <w:sz w:val="25"/>
          <w:szCs w:val="25"/>
        </w:rPr>
        <w:t xml:space="preserve">be </w:t>
      </w:r>
      <w:r w:rsidR="00D62756">
        <w:rPr>
          <w:sz w:val="25"/>
          <w:szCs w:val="25"/>
        </w:rPr>
        <w:t>required or authorized to include the Traditional USF rate element in their intrastate access charges.</w:t>
      </w:r>
      <w:r w:rsidR="00B73A78">
        <w:rPr>
          <w:sz w:val="25"/>
          <w:szCs w:val="25"/>
        </w:rPr>
        <w:t xml:space="preserve">   </w:t>
      </w:r>
    </w:p>
    <w:p w14:paraId="100E72E4" w14:textId="77777777" w:rsidR="00C84A52" w:rsidRPr="003A537F" w:rsidRDefault="00C84A52" w:rsidP="003A537F">
      <w:pPr>
        <w:numPr>
          <w:ilvl w:val="0"/>
          <w:numId w:val="1"/>
        </w:numPr>
        <w:tabs>
          <w:tab w:val="clear" w:pos="1080"/>
          <w:tab w:val="num" w:pos="0"/>
        </w:tabs>
        <w:spacing w:after="240" w:line="288" w:lineRule="auto"/>
        <w:ind w:left="0" w:hanging="720"/>
        <w:rPr>
          <w:sz w:val="25"/>
          <w:szCs w:val="25"/>
        </w:rPr>
      </w:pPr>
      <w:r>
        <w:rPr>
          <w:sz w:val="25"/>
          <w:szCs w:val="25"/>
        </w:rPr>
        <w:t xml:space="preserve">We decline to </w:t>
      </w:r>
      <w:proofErr w:type="spellStart"/>
      <w:r w:rsidR="001965A6">
        <w:rPr>
          <w:sz w:val="25"/>
          <w:szCs w:val="25"/>
        </w:rPr>
        <w:t>re</w:t>
      </w:r>
      <w:r>
        <w:rPr>
          <w:sz w:val="25"/>
          <w:szCs w:val="25"/>
        </w:rPr>
        <w:t>characterize</w:t>
      </w:r>
      <w:proofErr w:type="spellEnd"/>
      <w:r>
        <w:rPr>
          <w:sz w:val="25"/>
          <w:szCs w:val="25"/>
        </w:rPr>
        <w:t xml:space="preserve"> the Traditional USF rate element as CenturyLink proposes.  </w:t>
      </w:r>
      <w:r w:rsidR="009137F6">
        <w:rPr>
          <w:sz w:val="25"/>
          <w:szCs w:val="25"/>
        </w:rPr>
        <w:t>T</w:t>
      </w:r>
      <w:r w:rsidR="00583D28">
        <w:rPr>
          <w:sz w:val="25"/>
          <w:szCs w:val="25"/>
        </w:rPr>
        <w:t xml:space="preserve">he sole purpose of that rate element has </w:t>
      </w:r>
      <w:r w:rsidR="009137F6">
        <w:rPr>
          <w:sz w:val="25"/>
          <w:szCs w:val="25"/>
        </w:rPr>
        <w:t xml:space="preserve">always </w:t>
      </w:r>
      <w:r w:rsidR="00583D28">
        <w:rPr>
          <w:sz w:val="25"/>
          <w:szCs w:val="25"/>
        </w:rPr>
        <w:t>been to fund the Traditional USF</w:t>
      </w:r>
      <w:r w:rsidR="00F566DB">
        <w:rPr>
          <w:sz w:val="25"/>
          <w:szCs w:val="25"/>
        </w:rPr>
        <w:t>.</w:t>
      </w:r>
      <w:r w:rsidR="00F56E84">
        <w:rPr>
          <w:sz w:val="25"/>
          <w:szCs w:val="25"/>
        </w:rPr>
        <w:t xml:space="preserve">  We stated less than two years ago that this rate element </w:t>
      </w:r>
      <w:r w:rsidR="009137F6">
        <w:rPr>
          <w:sz w:val="25"/>
          <w:szCs w:val="25"/>
        </w:rPr>
        <w:t>“</w:t>
      </w:r>
      <w:r w:rsidR="00F56E84">
        <w:rPr>
          <w:sz w:val="25"/>
          <w:szCs w:val="25"/>
        </w:rPr>
        <w:t xml:space="preserve">is a universal service </w:t>
      </w:r>
      <w:r w:rsidR="009137F6">
        <w:rPr>
          <w:sz w:val="25"/>
          <w:szCs w:val="25"/>
        </w:rPr>
        <w:t xml:space="preserve">support </w:t>
      </w:r>
      <w:r w:rsidR="00F56E84">
        <w:rPr>
          <w:sz w:val="25"/>
          <w:szCs w:val="25"/>
        </w:rPr>
        <w:t xml:space="preserve">element </w:t>
      </w:r>
      <w:r w:rsidR="009137F6">
        <w:rPr>
          <w:sz w:val="25"/>
          <w:szCs w:val="25"/>
        </w:rPr>
        <w:t xml:space="preserve">. . . and </w:t>
      </w:r>
      <w:r w:rsidR="00F56E84">
        <w:rPr>
          <w:sz w:val="25"/>
          <w:szCs w:val="25"/>
        </w:rPr>
        <w:t>is not an access element that will be terminated or otherwise modified under the FCC’s order No. 11-161.”</w:t>
      </w:r>
      <w:r w:rsidR="009137F6">
        <w:rPr>
          <w:rStyle w:val="FootnoteReference"/>
          <w:sz w:val="25"/>
          <w:szCs w:val="25"/>
        </w:rPr>
        <w:footnoteReference w:id="2"/>
      </w:r>
      <w:r w:rsidR="0015452D">
        <w:rPr>
          <w:sz w:val="25"/>
          <w:szCs w:val="25"/>
        </w:rPr>
        <w:t xml:space="preserve">  The termination of that rate element does not change its nature, and </w:t>
      </w:r>
      <w:r w:rsidR="00531F9B">
        <w:rPr>
          <w:sz w:val="25"/>
          <w:szCs w:val="25"/>
        </w:rPr>
        <w:t xml:space="preserve">we find </w:t>
      </w:r>
      <w:r w:rsidR="0015452D">
        <w:rPr>
          <w:sz w:val="25"/>
          <w:szCs w:val="25"/>
        </w:rPr>
        <w:t>no reasoned basi</w:t>
      </w:r>
      <w:r w:rsidR="001965A6">
        <w:rPr>
          <w:sz w:val="25"/>
          <w:szCs w:val="25"/>
        </w:rPr>
        <w:t>s for altering our prior determination</w:t>
      </w:r>
      <w:r w:rsidR="0015452D">
        <w:rPr>
          <w:sz w:val="25"/>
          <w:szCs w:val="25"/>
        </w:rPr>
        <w:t>.</w:t>
      </w:r>
      <w:r w:rsidR="00F4279C">
        <w:rPr>
          <w:rStyle w:val="FootnoteReference"/>
          <w:sz w:val="25"/>
          <w:szCs w:val="25"/>
        </w:rPr>
        <w:footnoteReference w:id="3"/>
      </w:r>
      <w:r w:rsidR="004B48D7">
        <w:rPr>
          <w:sz w:val="25"/>
          <w:szCs w:val="25"/>
        </w:rPr>
        <w:t xml:space="preserve">  </w:t>
      </w:r>
      <w:proofErr w:type="spellStart"/>
      <w:r w:rsidR="00F4279C">
        <w:rPr>
          <w:sz w:val="25"/>
          <w:szCs w:val="25"/>
        </w:rPr>
        <w:t>Recharacterizing</w:t>
      </w:r>
      <w:proofErr w:type="spellEnd"/>
      <w:r w:rsidR="00F4279C">
        <w:rPr>
          <w:sz w:val="25"/>
          <w:szCs w:val="25"/>
        </w:rPr>
        <w:t xml:space="preserve"> the Traditional USF rate element</w:t>
      </w:r>
      <w:r w:rsidR="004B48D7">
        <w:rPr>
          <w:sz w:val="25"/>
          <w:szCs w:val="25"/>
        </w:rPr>
        <w:t xml:space="preserve">, moreover, would enable every </w:t>
      </w:r>
      <w:r w:rsidR="00A00119">
        <w:rPr>
          <w:sz w:val="25"/>
          <w:szCs w:val="25"/>
        </w:rPr>
        <w:t xml:space="preserve">other Washington </w:t>
      </w:r>
      <w:r w:rsidR="004B48D7">
        <w:rPr>
          <w:sz w:val="25"/>
          <w:szCs w:val="25"/>
        </w:rPr>
        <w:t xml:space="preserve">ILEC to increase its ARC, even </w:t>
      </w:r>
      <w:r w:rsidR="00A00119">
        <w:rPr>
          <w:sz w:val="25"/>
          <w:szCs w:val="25"/>
        </w:rPr>
        <w:t xml:space="preserve">though no other </w:t>
      </w:r>
      <w:r w:rsidR="004B48D7">
        <w:rPr>
          <w:sz w:val="25"/>
          <w:szCs w:val="25"/>
        </w:rPr>
        <w:t>ILEC is losing Traditional USF funding</w:t>
      </w:r>
      <w:r w:rsidR="00A00119">
        <w:rPr>
          <w:sz w:val="25"/>
          <w:szCs w:val="25"/>
        </w:rPr>
        <w:t>, and we have no desire to create such a windfall opportunity</w:t>
      </w:r>
      <w:r w:rsidR="004B48D7">
        <w:rPr>
          <w:sz w:val="25"/>
          <w:szCs w:val="25"/>
        </w:rPr>
        <w:t xml:space="preserve">.  </w:t>
      </w:r>
      <w:r w:rsidR="00105F82">
        <w:rPr>
          <w:sz w:val="25"/>
          <w:szCs w:val="25"/>
        </w:rPr>
        <w:t xml:space="preserve">Our goal is to shift </w:t>
      </w:r>
      <w:r w:rsidR="007937D1">
        <w:rPr>
          <w:sz w:val="25"/>
          <w:szCs w:val="25"/>
        </w:rPr>
        <w:t>state universal service</w:t>
      </w:r>
      <w:r w:rsidR="00B8770C">
        <w:rPr>
          <w:sz w:val="25"/>
          <w:szCs w:val="25"/>
        </w:rPr>
        <w:t xml:space="preserve"> funding from the Traditional USF to the State USF Program, not </w:t>
      </w:r>
      <w:r w:rsidR="00105F82">
        <w:rPr>
          <w:sz w:val="25"/>
          <w:szCs w:val="25"/>
        </w:rPr>
        <w:t xml:space="preserve">to facilitate increases </w:t>
      </w:r>
      <w:r w:rsidR="00B8770C">
        <w:rPr>
          <w:sz w:val="25"/>
          <w:szCs w:val="25"/>
        </w:rPr>
        <w:t xml:space="preserve">to the </w:t>
      </w:r>
      <w:r w:rsidR="007937D1">
        <w:rPr>
          <w:sz w:val="25"/>
          <w:szCs w:val="25"/>
        </w:rPr>
        <w:t>ARC</w:t>
      </w:r>
      <w:r w:rsidR="00B8770C">
        <w:rPr>
          <w:sz w:val="25"/>
          <w:szCs w:val="25"/>
        </w:rPr>
        <w:t>.</w:t>
      </w:r>
    </w:p>
    <w:p w14:paraId="155A4024" w14:textId="77777777" w:rsidR="0005692F" w:rsidRPr="00712B8F" w:rsidRDefault="0005692F" w:rsidP="00E30306">
      <w:pPr>
        <w:pStyle w:val="FindingsConclusions"/>
        <w:numPr>
          <w:ilvl w:val="0"/>
          <w:numId w:val="0"/>
        </w:numPr>
        <w:spacing w:after="240" w:line="288" w:lineRule="auto"/>
        <w:ind w:left="360"/>
        <w:jc w:val="center"/>
        <w:rPr>
          <w:sz w:val="25"/>
          <w:szCs w:val="25"/>
        </w:rPr>
      </w:pPr>
      <w:r w:rsidRPr="00712B8F">
        <w:rPr>
          <w:b/>
          <w:sz w:val="25"/>
          <w:szCs w:val="25"/>
        </w:rPr>
        <w:t>ORDER</w:t>
      </w:r>
    </w:p>
    <w:p w14:paraId="425B581B" w14:textId="77777777" w:rsidR="0005692F" w:rsidRPr="00EE363C" w:rsidRDefault="0005692F" w:rsidP="00712B8F">
      <w:pPr>
        <w:pStyle w:val="FindingsConclusions"/>
        <w:numPr>
          <w:ilvl w:val="0"/>
          <w:numId w:val="0"/>
        </w:numPr>
        <w:spacing w:after="240" w:line="288" w:lineRule="auto"/>
        <w:rPr>
          <w:sz w:val="25"/>
          <w:szCs w:val="25"/>
        </w:rPr>
      </w:pPr>
      <w:r w:rsidRPr="00EE363C">
        <w:rPr>
          <w:sz w:val="25"/>
          <w:szCs w:val="25"/>
        </w:rPr>
        <w:t>THE COMMISSION ORDERS</w:t>
      </w:r>
      <w:r w:rsidR="007B27DC">
        <w:rPr>
          <w:sz w:val="25"/>
          <w:szCs w:val="25"/>
        </w:rPr>
        <w:t xml:space="preserve"> that</w:t>
      </w:r>
      <w:r w:rsidRPr="00EE363C">
        <w:rPr>
          <w:sz w:val="25"/>
          <w:szCs w:val="25"/>
        </w:rPr>
        <w:t>:</w:t>
      </w:r>
    </w:p>
    <w:p w14:paraId="454FD209" w14:textId="77777777" w:rsidR="0005692F" w:rsidRPr="00A47C0F" w:rsidRDefault="0005692F" w:rsidP="00712B8F">
      <w:pPr>
        <w:pStyle w:val="FindingsConclusions"/>
        <w:tabs>
          <w:tab w:val="clear" w:pos="1080"/>
          <w:tab w:val="num" w:pos="0"/>
        </w:tabs>
        <w:spacing w:after="240" w:line="288" w:lineRule="auto"/>
        <w:ind w:left="720" w:hanging="1440"/>
        <w:rPr>
          <w:sz w:val="25"/>
          <w:szCs w:val="25"/>
        </w:rPr>
      </w:pPr>
      <w:r w:rsidRPr="00A47C0F">
        <w:rPr>
          <w:sz w:val="25"/>
          <w:szCs w:val="25"/>
        </w:rPr>
        <w:t>(1)</w:t>
      </w:r>
      <w:r w:rsidRPr="00A47C0F">
        <w:rPr>
          <w:sz w:val="25"/>
          <w:szCs w:val="25"/>
        </w:rPr>
        <w:tab/>
      </w:r>
      <w:r w:rsidR="007E0F22">
        <w:rPr>
          <w:sz w:val="25"/>
          <w:szCs w:val="25"/>
        </w:rPr>
        <w:t>The traditional “universal service support pool” included in the Washington Exchange Carrier Association’s Washington Carrier Access Plan is terminated</w:t>
      </w:r>
      <w:r w:rsidR="007904A8">
        <w:rPr>
          <w:sz w:val="25"/>
          <w:szCs w:val="25"/>
        </w:rPr>
        <w:t xml:space="preserve"> effective July 1, 2014</w:t>
      </w:r>
      <w:r w:rsidR="007B27DC">
        <w:rPr>
          <w:sz w:val="25"/>
          <w:szCs w:val="25"/>
        </w:rPr>
        <w:t>.</w:t>
      </w:r>
    </w:p>
    <w:p w14:paraId="22396F06" w14:textId="77777777" w:rsidR="00D308A0" w:rsidRPr="00712B8F" w:rsidRDefault="00A47C0F" w:rsidP="00712B8F">
      <w:pPr>
        <w:pStyle w:val="FindingsConclusions"/>
        <w:tabs>
          <w:tab w:val="clear" w:pos="1080"/>
          <w:tab w:val="num" w:pos="0"/>
        </w:tabs>
        <w:spacing w:after="240" w:line="288" w:lineRule="auto"/>
        <w:ind w:left="720" w:hanging="1440"/>
        <w:rPr>
          <w:sz w:val="25"/>
          <w:szCs w:val="25"/>
        </w:rPr>
      </w:pPr>
      <w:r>
        <w:rPr>
          <w:sz w:val="25"/>
          <w:szCs w:val="25"/>
        </w:rPr>
        <w:t>(2</w:t>
      </w:r>
      <w:r w:rsidR="00D308A0">
        <w:rPr>
          <w:sz w:val="25"/>
          <w:szCs w:val="25"/>
        </w:rPr>
        <w:t>)</w:t>
      </w:r>
      <w:r w:rsidR="00D308A0">
        <w:rPr>
          <w:sz w:val="25"/>
          <w:szCs w:val="25"/>
        </w:rPr>
        <w:tab/>
      </w:r>
      <w:r w:rsidR="007E0F22">
        <w:rPr>
          <w:sz w:val="25"/>
          <w:szCs w:val="25"/>
        </w:rPr>
        <w:t xml:space="preserve">The Washington Exchange Carrier Association shall not distribute to its members </w:t>
      </w:r>
      <w:r w:rsidR="007904A8">
        <w:rPr>
          <w:sz w:val="25"/>
          <w:szCs w:val="25"/>
        </w:rPr>
        <w:t xml:space="preserve">any funds collected </w:t>
      </w:r>
      <w:r w:rsidR="007E0F22">
        <w:rPr>
          <w:sz w:val="25"/>
          <w:szCs w:val="25"/>
        </w:rPr>
        <w:t xml:space="preserve">from the </w:t>
      </w:r>
      <w:r w:rsidR="007904A8">
        <w:rPr>
          <w:sz w:val="25"/>
          <w:szCs w:val="25"/>
        </w:rPr>
        <w:t xml:space="preserve">rate element </w:t>
      </w:r>
      <w:r w:rsidR="00450072">
        <w:rPr>
          <w:sz w:val="25"/>
          <w:szCs w:val="25"/>
        </w:rPr>
        <w:t xml:space="preserve">that has been </w:t>
      </w:r>
      <w:r w:rsidR="007904A8">
        <w:rPr>
          <w:sz w:val="25"/>
          <w:szCs w:val="25"/>
        </w:rPr>
        <w:t xml:space="preserve">used to fund the </w:t>
      </w:r>
      <w:r w:rsidR="007E0F22">
        <w:rPr>
          <w:sz w:val="25"/>
          <w:szCs w:val="25"/>
        </w:rPr>
        <w:t xml:space="preserve">traditional “universal service support pool” </w:t>
      </w:r>
      <w:r w:rsidR="00450072">
        <w:rPr>
          <w:sz w:val="25"/>
          <w:szCs w:val="25"/>
        </w:rPr>
        <w:t xml:space="preserve">that local exchange </w:t>
      </w:r>
      <w:r w:rsidR="008802E3">
        <w:rPr>
          <w:sz w:val="25"/>
          <w:szCs w:val="25"/>
        </w:rPr>
        <w:t xml:space="preserve">carriers </w:t>
      </w:r>
      <w:r w:rsidR="00450072">
        <w:rPr>
          <w:sz w:val="25"/>
          <w:szCs w:val="25"/>
        </w:rPr>
        <w:t xml:space="preserve">include in their intrastate switched access charges </w:t>
      </w:r>
      <w:r w:rsidR="007E0F22">
        <w:rPr>
          <w:sz w:val="25"/>
          <w:szCs w:val="25"/>
        </w:rPr>
        <w:t xml:space="preserve">after June </w:t>
      </w:r>
      <w:r w:rsidR="007904A8">
        <w:rPr>
          <w:sz w:val="25"/>
          <w:szCs w:val="25"/>
        </w:rPr>
        <w:t>30, 2014</w:t>
      </w:r>
      <w:r w:rsidR="00D308A0">
        <w:rPr>
          <w:sz w:val="25"/>
          <w:szCs w:val="25"/>
        </w:rPr>
        <w:t>.</w:t>
      </w:r>
    </w:p>
    <w:p w14:paraId="10650529" w14:textId="77777777" w:rsidR="0005692F" w:rsidRDefault="00D308A0" w:rsidP="00712B8F">
      <w:pPr>
        <w:pStyle w:val="FindingsConclusions"/>
        <w:tabs>
          <w:tab w:val="clear" w:pos="1080"/>
          <w:tab w:val="num" w:pos="0"/>
        </w:tabs>
        <w:spacing w:after="240" w:line="288" w:lineRule="auto"/>
        <w:ind w:left="720" w:hanging="1440"/>
        <w:rPr>
          <w:sz w:val="25"/>
          <w:szCs w:val="25"/>
        </w:rPr>
      </w:pPr>
      <w:r w:rsidRPr="00FE437D">
        <w:rPr>
          <w:sz w:val="25"/>
          <w:szCs w:val="25"/>
        </w:rPr>
        <w:t>(</w:t>
      </w:r>
      <w:r w:rsidR="00A47C0F" w:rsidRPr="00FE437D">
        <w:rPr>
          <w:sz w:val="25"/>
          <w:szCs w:val="25"/>
        </w:rPr>
        <w:t>3</w:t>
      </w:r>
      <w:r w:rsidR="0005692F" w:rsidRPr="00FE437D">
        <w:rPr>
          <w:sz w:val="25"/>
          <w:szCs w:val="25"/>
        </w:rPr>
        <w:t>)</w:t>
      </w:r>
      <w:r w:rsidR="0005692F" w:rsidRPr="00FE437D">
        <w:rPr>
          <w:sz w:val="25"/>
          <w:szCs w:val="25"/>
        </w:rPr>
        <w:tab/>
      </w:r>
      <w:r w:rsidR="00DB7C0E">
        <w:rPr>
          <w:sz w:val="25"/>
          <w:szCs w:val="25"/>
        </w:rPr>
        <w:t xml:space="preserve">All local exchange carriers shall </w:t>
      </w:r>
      <w:r w:rsidR="007E0F22">
        <w:rPr>
          <w:sz w:val="25"/>
          <w:szCs w:val="25"/>
        </w:rPr>
        <w:t xml:space="preserve">continue to collect </w:t>
      </w:r>
      <w:r w:rsidR="00DB7C0E">
        <w:rPr>
          <w:sz w:val="25"/>
          <w:szCs w:val="25"/>
        </w:rPr>
        <w:t xml:space="preserve">and remit to the Washington Exchange Carrier Association the revenues </w:t>
      </w:r>
      <w:r w:rsidR="007E0F22">
        <w:rPr>
          <w:sz w:val="25"/>
          <w:szCs w:val="25"/>
        </w:rPr>
        <w:t xml:space="preserve">from the intrastate switched access charge rate element </w:t>
      </w:r>
      <w:r w:rsidR="00450072">
        <w:rPr>
          <w:sz w:val="25"/>
          <w:szCs w:val="25"/>
        </w:rPr>
        <w:t xml:space="preserve">that has been used </w:t>
      </w:r>
      <w:r w:rsidR="007E0F22">
        <w:rPr>
          <w:sz w:val="25"/>
          <w:szCs w:val="25"/>
        </w:rPr>
        <w:t xml:space="preserve">to fund the </w:t>
      </w:r>
      <w:r w:rsidR="007904A8">
        <w:rPr>
          <w:sz w:val="25"/>
          <w:szCs w:val="25"/>
        </w:rPr>
        <w:t>traditional “</w:t>
      </w:r>
      <w:r w:rsidR="007E0F22">
        <w:rPr>
          <w:sz w:val="25"/>
          <w:szCs w:val="25"/>
        </w:rPr>
        <w:t>universal service support pool</w:t>
      </w:r>
      <w:r w:rsidR="007904A8">
        <w:rPr>
          <w:sz w:val="25"/>
          <w:szCs w:val="25"/>
        </w:rPr>
        <w:t>”</w:t>
      </w:r>
      <w:r w:rsidR="007E0F22">
        <w:rPr>
          <w:sz w:val="25"/>
          <w:szCs w:val="25"/>
        </w:rPr>
        <w:t xml:space="preserve"> </w:t>
      </w:r>
      <w:r w:rsidR="005A5EF6">
        <w:rPr>
          <w:sz w:val="25"/>
          <w:szCs w:val="25"/>
        </w:rPr>
        <w:t xml:space="preserve">that local exchange carriers charge </w:t>
      </w:r>
      <w:r w:rsidR="007E0F22">
        <w:rPr>
          <w:sz w:val="25"/>
          <w:szCs w:val="25"/>
        </w:rPr>
        <w:t xml:space="preserve">from July 1, 2014, through </w:t>
      </w:r>
      <w:r w:rsidR="00450072">
        <w:rPr>
          <w:sz w:val="25"/>
          <w:szCs w:val="25"/>
        </w:rPr>
        <w:t>July 31</w:t>
      </w:r>
      <w:r w:rsidR="007E0F22">
        <w:rPr>
          <w:sz w:val="25"/>
          <w:szCs w:val="25"/>
        </w:rPr>
        <w:t>, 2014</w:t>
      </w:r>
      <w:r w:rsidR="005A5EF6">
        <w:rPr>
          <w:sz w:val="25"/>
          <w:szCs w:val="25"/>
        </w:rPr>
        <w:t>,</w:t>
      </w:r>
      <w:r w:rsidR="007E0F22">
        <w:rPr>
          <w:sz w:val="25"/>
          <w:szCs w:val="25"/>
        </w:rPr>
        <w:t xml:space="preserve"> </w:t>
      </w:r>
      <w:r w:rsidR="00DB7C0E">
        <w:rPr>
          <w:sz w:val="25"/>
          <w:szCs w:val="25"/>
        </w:rPr>
        <w:t xml:space="preserve">and the Washington Exchange Carrier Association is authorized to retain those revenues </w:t>
      </w:r>
      <w:r w:rsidR="007E0F22">
        <w:rPr>
          <w:sz w:val="25"/>
          <w:szCs w:val="25"/>
        </w:rPr>
        <w:t>for the sole purpose of funding the termination of the Washington Exchange Carrier Association’s administration of the Washington Carrier Access Plan</w:t>
      </w:r>
      <w:r w:rsidR="0005692F" w:rsidRPr="00FE437D">
        <w:rPr>
          <w:sz w:val="25"/>
          <w:szCs w:val="25"/>
        </w:rPr>
        <w:t xml:space="preserve">. </w:t>
      </w:r>
    </w:p>
    <w:p w14:paraId="0E83B06B" w14:textId="77777777" w:rsidR="007904A8" w:rsidRDefault="008802E3" w:rsidP="00712B8F">
      <w:pPr>
        <w:pStyle w:val="FindingsConclusions"/>
        <w:tabs>
          <w:tab w:val="clear" w:pos="1080"/>
          <w:tab w:val="num" w:pos="0"/>
        </w:tabs>
        <w:spacing w:after="240" w:line="288" w:lineRule="auto"/>
        <w:ind w:left="720" w:hanging="1440"/>
        <w:rPr>
          <w:sz w:val="25"/>
          <w:szCs w:val="25"/>
        </w:rPr>
      </w:pPr>
      <w:r>
        <w:rPr>
          <w:sz w:val="25"/>
          <w:szCs w:val="25"/>
        </w:rPr>
        <w:t xml:space="preserve"> </w:t>
      </w:r>
      <w:r w:rsidR="007904A8">
        <w:rPr>
          <w:sz w:val="25"/>
          <w:szCs w:val="25"/>
        </w:rPr>
        <w:t>(4)</w:t>
      </w:r>
      <w:r w:rsidR="007904A8">
        <w:rPr>
          <w:sz w:val="25"/>
          <w:szCs w:val="25"/>
        </w:rPr>
        <w:tab/>
        <w:t xml:space="preserve">After </w:t>
      </w:r>
      <w:r w:rsidR="00450072">
        <w:rPr>
          <w:sz w:val="25"/>
          <w:szCs w:val="25"/>
        </w:rPr>
        <w:t>July 31</w:t>
      </w:r>
      <w:r w:rsidR="007904A8">
        <w:rPr>
          <w:sz w:val="25"/>
          <w:szCs w:val="25"/>
        </w:rPr>
        <w:t xml:space="preserve">, 2014, no local exchange carrier is authorized to include the rate element in </w:t>
      </w:r>
      <w:r>
        <w:rPr>
          <w:sz w:val="25"/>
          <w:szCs w:val="25"/>
        </w:rPr>
        <w:t>the carrier’</w:t>
      </w:r>
      <w:r w:rsidR="007904A8">
        <w:rPr>
          <w:sz w:val="25"/>
          <w:szCs w:val="25"/>
        </w:rPr>
        <w:t xml:space="preserve">s intrastate switched access charges </w:t>
      </w:r>
      <w:r w:rsidR="000612F1">
        <w:rPr>
          <w:sz w:val="25"/>
          <w:szCs w:val="25"/>
        </w:rPr>
        <w:t xml:space="preserve">that has been </w:t>
      </w:r>
      <w:r w:rsidR="00450072">
        <w:rPr>
          <w:sz w:val="25"/>
          <w:szCs w:val="25"/>
        </w:rPr>
        <w:t>used</w:t>
      </w:r>
      <w:r w:rsidR="000612F1">
        <w:rPr>
          <w:sz w:val="25"/>
          <w:szCs w:val="25"/>
        </w:rPr>
        <w:t xml:space="preserve"> </w:t>
      </w:r>
      <w:r w:rsidR="007904A8">
        <w:rPr>
          <w:sz w:val="25"/>
          <w:szCs w:val="25"/>
        </w:rPr>
        <w:t>to fund the traditional “universal service support pool.”</w:t>
      </w:r>
    </w:p>
    <w:p w14:paraId="6D13A706" w14:textId="77777777" w:rsidR="007E0F22" w:rsidRDefault="007904A8" w:rsidP="00712B8F">
      <w:pPr>
        <w:pStyle w:val="FindingsConclusions"/>
        <w:tabs>
          <w:tab w:val="clear" w:pos="1080"/>
          <w:tab w:val="num" w:pos="0"/>
        </w:tabs>
        <w:spacing w:after="240" w:line="288" w:lineRule="auto"/>
        <w:ind w:left="720" w:hanging="1440"/>
        <w:rPr>
          <w:sz w:val="25"/>
          <w:szCs w:val="25"/>
        </w:rPr>
      </w:pPr>
      <w:r>
        <w:rPr>
          <w:sz w:val="25"/>
          <w:szCs w:val="25"/>
        </w:rPr>
        <w:t>(5</w:t>
      </w:r>
      <w:r w:rsidR="007E0F22">
        <w:rPr>
          <w:sz w:val="25"/>
          <w:szCs w:val="25"/>
        </w:rPr>
        <w:t>)</w:t>
      </w:r>
      <w:r w:rsidR="007E0F22">
        <w:rPr>
          <w:sz w:val="25"/>
          <w:szCs w:val="25"/>
        </w:rPr>
        <w:tab/>
      </w:r>
      <w:r w:rsidR="00F25DF3">
        <w:rPr>
          <w:sz w:val="25"/>
          <w:szCs w:val="25"/>
        </w:rPr>
        <w:t>The Washington Exchange Carrier Association shall s</w:t>
      </w:r>
      <w:r>
        <w:rPr>
          <w:sz w:val="25"/>
          <w:szCs w:val="25"/>
        </w:rPr>
        <w:t>ubmit a report</w:t>
      </w:r>
      <w:r w:rsidR="00F25DF3">
        <w:rPr>
          <w:sz w:val="25"/>
          <w:szCs w:val="25"/>
        </w:rPr>
        <w:t xml:space="preserve"> detailing the activities and associated costs </w:t>
      </w:r>
      <w:r>
        <w:rPr>
          <w:sz w:val="25"/>
          <w:szCs w:val="25"/>
        </w:rPr>
        <w:t xml:space="preserve">incurred </w:t>
      </w:r>
      <w:r w:rsidR="00F25DF3">
        <w:rPr>
          <w:sz w:val="25"/>
          <w:szCs w:val="25"/>
        </w:rPr>
        <w:t xml:space="preserve">for terminating administration of the Washington Carrier Access Plan, </w:t>
      </w:r>
      <w:r w:rsidR="00200269">
        <w:rPr>
          <w:sz w:val="25"/>
          <w:szCs w:val="25"/>
        </w:rPr>
        <w:t>including a proposal for distri</w:t>
      </w:r>
      <w:r w:rsidR="000F52EB">
        <w:rPr>
          <w:sz w:val="25"/>
          <w:szCs w:val="25"/>
        </w:rPr>
        <w:t xml:space="preserve">bution of any retained funds that remain unspent, </w:t>
      </w:r>
      <w:r w:rsidR="00F25DF3">
        <w:rPr>
          <w:sz w:val="25"/>
          <w:szCs w:val="25"/>
        </w:rPr>
        <w:t>within 30 days after completing those activities.</w:t>
      </w:r>
      <w:r w:rsidR="00200269">
        <w:rPr>
          <w:sz w:val="25"/>
          <w:szCs w:val="25"/>
        </w:rPr>
        <w:t xml:space="preserve">  Commission Staff shall review the report and recommend whether the Commission should accept </w:t>
      </w:r>
      <w:r w:rsidR="00450072">
        <w:rPr>
          <w:sz w:val="25"/>
          <w:szCs w:val="25"/>
        </w:rPr>
        <w:t xml:space="preserve">that report as being in compliance with this Order </w:t>
      </w:r>
      <w:r w:rsidR="00200269">
        <w:rPr>
          <w:sz w:val="25"/>
          <w:szCs w:val="25"/>
        </w:rPr>
        <w:t xml:space="preserve">or </w:t>
      </w:r>
      <w:r w:rsidR="00450072">
        <w:rPr>
          <w:sz w:val="25"/>
          <w:szCs w:val="25"/>
        </w:rPr>
        <w:t>require modifications to</w:t>
      </w:r>
      <w:r w:rsidR="000F52EB">
        <w:rPr>
          <w:sz w:val="25"/>
          <w:szCs w:val="25"/>
        </w:rPr>
        <w:t xml:space="preserve"> that report.</w:t>
      </w:r>
    </w:p>
    <w:p w14:paraId="25FB8D30" w14:textId="77777777" w:rsidR="000F52EB" w:rsidRPr="00FE437D" w:rsidRDefault="007904A8" w:rsidP="00712B8F">
      <w:pPr>
        <w:pStyle w:val="FindingsConclusions"/>
        <w:tabs>
          <w:tab w:val="clear" w:pos="1080"/>
          <w:tab w:val="num" w:pos="0"/>
        </w:tabs>
        <w:spacing w:after="240" w:line="288" w:lineRule="auto"/>
        <w:ind w:left="720" w:hanging="1440"/>
        <w:rPr>
          <w:sz w:val="25"/>
          <w:szCs w:val="25"/>
        </w:rPr>
      </w:pPr>
      <w:r>
        <w:rPr>
          <w:sz w:val="25"/>
          <w:szCs w:val="25"/>
        </w:rPr>
        <w:t>(6</w:t>
      </w:r>
      <w:r w:rsidR="00531F9B">
        <w:rPr>
          <w:sz w:val="25"/>
          <w:szCs w:val="25"/>
        </w:rPr>
        <w:t>)</w:t>
      </w:r>
      <w:r w:rsidR="00531F9B">
        <w:rPr>
          <w:sz w:val="25"/>
          <w:szCs w:val="25"/>
        </w:rPr>
        <w:tab/>
        <w:t xml:space="preserve">The </w:t>
      </w:r>
      <w:r w:rsidR="000F52EB">
        <w:rPr>
          <w:sz w:val="25"/>
          <w:szCs w:val="25"/>
        </w:rPr>
        <w:t>Secretary is authorized to approve</w:t>
      </w:r>
      <w:r w:rsidR="00B01DEE">
        <w:rPr>
          <w:sz w:val="25"/>
          <w:szCs w:val="25"/>
        </w:rPr>
        <w:t>, require modifications</w:t>
      </w:r>
      <w:r w:rsidR="00CD6A0C">
        <w:rPr>
          <w:sz w:val="25"/>
          <w:szCs w:val="25"/>
        </w:rPr>
        <w:t xml:space="preserve"> to</w:t>
      </w:r>
      <w:r w:rsidR="00B01DEE">
        <w:rPr>
          <w:sz w:val="25"/>
          <w:szCs w:val="25"/>
        </w:rPr>
        <w:t>,</w:t>
      </w:r>
      <w:r w:rsidR="000F52EB">
        <w:rPr>
          <w:sz w:val="25"/>
          <w:szCs w:val="25"/>
        </w:rPr>
        <w:t xml:space="preserve"> or resolve any disputes </w:t>
      </w:r>
      <w:r w:rsidR="00CD6A0C">
        <w:rPr>
          <w:sz w:val="25"/>
          <w:szCs w:val="25"/>
        </w:rPr>
        <w:t>concerning</w:t>
      </w:r>
      <w:r w:rsidR="000F52EB">
        <w:rPr>
          <w:sz w:val="25"/>
          <w:szCs w:val="25"/>
        </w:rPr>
        <w:t xml:space="preserve"> the Washington Exchange Carrier Association’s report </w:t>
      </w:r>
      <w:r>
        <w:rPr>
          <w:sz w:val="25"/>
          <w:szCs w:val="25"/>
        </w:rPr>
        <w:t xml:space="preserve">on terminating its administration of the </w:t>
      </w:r>
      <w:r w:rsidR="00B01DEE">
        <w:rPr>
          <w:sz w:val="25"/>
          <w:szCs w:val="25"/>
        </w:rPr>
        <w:t xml:space="preserve">Washington Carrier Access Plan </w:t>
      </w:r>
      <w:r w:rsidR="000F52EB">
        <w:rPr>
          <w:sz w:val="25"/>
          <w:szCs w:val="25"/>
        </w:rPr>
        <w:t>or the distribution of any unspent funds</w:t>
      </w:r>
      <w:r w:rsidR="00B01DEE">
        <w:rPr>
          <w:sz w:val="25"/>
          <w:szCs w:val="25"/>
        </w:rPr>
        <w:t xml:space="preserve"> retained to terminate that administration</w:t>
      </w:r>
      <w:r w:rsidR="000F52EB">
        <w:rPr>
          <w:sz w:val="25"/>
          <w:szCs w:val="25"/>
        </w:rPr>
        <w:t>.</w:t>
      </w:r>
    </w:p>
    <w:p w14:paraId="3E643597" w14:textId="77777777" w:rsidR="0005692F" w:rsidRPr="00EE363C" w:rsidRDefault="0005692F" w:rsidP="0005692F">
      <w:pPr>
        <w:ind w:left="-720"/>
        <w:rPr>
          <w:sz w:val="25"/>
          <w:szCs w:val="25"/>
        </w:rPr>
      </w:pPr>
      <w:bookmarkStart w:id="1" w:name="OLE_LINK3"/>
      <w:bookmarkStart w:id="2" w:name="OLE_LINK4"/>
      <w:r w:rsidRPr="00EE363C">
        <w:rPr>
          <w:sz w:val="25"/>
          <w:szCs w:val="25"/>
        </w:rPr>
        <w:tab/>
        <w:t xml:space="preserve">Dated at Olympia, Washington, and effective </w:t>
      </w:r>
      <w:r w:rsidR="00E30306">
        <w:rPr>
          <w:sz w:val="25"/>
          <w:szCs w:val="25"/>
        </w:rPr>
        <w:t xml:space="preserve">May </w:t>
      </w:r>
      <w:r w:rsidR="00235F83">
        <w:rPr>
          <w:sz w:val="25"/>
          <w:szCs w:val="25"/>
        </w:rPr>
        <w:t>23</w:t>
      </w:r>
      <w:r w:rsidR="00E30306">
        <w:rPr>
          <w:sz w:val="25"/>
          <w:szCs w:val="25"/>
        </w:rPr>
        <w:t>, 2014</w:t>
      </w:r>
      <w:r w:rsidRPr="00EE363C">
        <w:rPr>
          <w:sz w:val="25"/>
          <w:szCs w:val="25"/>
        </w:rPr>
        <w:t>.</w:t>
      </w:r>
    </w:p>
    <w:p w14:paraId="2568C2D1" w14:textId="77777777" w:rsidR="0005692F" w:rsidRPr="00EE363C" w:rsidRDefault="0005692F" w:rsidP="0005692F">
      <w:pPr>
        <w:pStyle w:val="Header"/>
        <w:tabs>
          <w:tab w:val="clear" w:pos="4320"/>
          <w:tab w:val="clear" w:pos="8640"/>
        </w:tabs>
        <w:rPr>
          <w:sz w:val="25"/>
          <w:szCs w:val="25"/>
        </w:rPr>
      </w:pPr>
    </w:p>
    <w:bookmarkEnd w:id="1"/>
    <w:bookmarkEnd w:id="2"/>
    <w:p w14:paraId="3F06810D" w14:textId="77777777" w:rsidR="003B20C4" w:rsidRPr="0041620F" w:rsidRDefault="003B20C4" w:rsidP="003B20C4">
      <w:pPr>
        <w:jc w:val="center"/>
        <w:rPr>
          <w:sz w:val="25"/>
          <w:szCs w:val="25"/>
        </w:rPr>
      </w:pPr>
      <w:r w:rsidRPr="0041620F">
        <w:rPr>
          <w:sz w:val="25"/>
          <w:szCs w:val="25"/>
        </w:rPr>
        <w:t>WASHINGTON UTILITIES AND TRANSPORTATION COMMISSION</w:t>
      </w:r>
    </w:p>
    <w:p w14:paraId="7791A13E" w14:textId="77777777" w:rsidR="003B20C4" w:rsidRPr="0041620F" w:rsidRDefault="003B20C4" w:rsidP="003B20C4">
      <w:pPr>
        <w:rPr>
          <w:sz w:val="25"/>
          <w:szCs w:val="25"/>
        </w:rPr>
      </w:pPr>
    </w:p>
    <w:p w14:paraId="28E3B957" w14:textId="77777777" w:rsidR="003B20C4" w:rsidRPr="0041620F" w:rsidRDefault="003B20C4" w:rsidP="003B20C4">
      <w:pPr>
        <w:rPr>
          <w:sz w:val="25"/>
          <w:szCs w:val="25"/>
        </w:rPr>
      </w:pPr>
    </w:p>
    <w:p w14:paraId="434A1526" w14:textId="77777777" w:rsidR="003B20C4" w:rsidRPr="0041620F" w:rsidRDefault="003B20C4" w:rsidP="003B20C4">
      <w:pPr>
        <w:rPr>
          <w:sz w:val="25"/>
          <w:szCs w:val="25"/>
        </w:rPr>
      </w:pPr>
    </w:p>
    <w:p w14:paraId="0C1A24C8" w14:textId="77777777" w:rsidR="003B20C4" w:rsidRPr="0041620F" w:rsidRDefault="003B20C4" w:rsidP="003B20C4">
      <w:pPr>
        <w:rPr>
          <w:sz w:val="25"/>
          <w:szCs w:val="25"/>
        </w:rPr>
      </w:pPr>
      <w:r w:rsidRPr="0041620F">
        <w:rPr>
          <w:sz w:val="25"/>
          <w:szCs w:val="25"/>
        </w:rPr>
        <w:tab/>
      </w:r>
      <w:r w:rsidRPr="0041620F">
        <w:rPr>
          <w:sz w:val="25"/>
          <w:szCs w:val="25"/>
        </w:rPr>
        <w:tab/>
      </w:r>
      <w:r w:rsidRPr="0041620F">
        <w:rPr>
          <w:sz w:val="25"/>
          <w:szCs w:val="25"/>
        </w:rPr>
        <w:tab/>
      </w:r>
      <w:r w:rsidRPr="0041620F">
        <w:rPr>
          <w:sz w:val="25"/>
          <w:szCs w:val="25"/>
        </w:rPr>
        <w:tab/>
      </w:r>
      <w:r w:rsidRPr="0041620F">
        <w:rPr>
          <w:sz w:val="25"/>
          <w:szCs w:val="25"/>
        </w:rPr>
        <w:tab/>
        <w:t>DAVID W. DANNER, Chairman</w:t>
      </w:r>
    </w:p>
    <w:p w14:paraId="6201B531" w14:textId="77777777" w:rsidR="003B20C4" w:rsidRPr="0041620F" w:rsidRDefault="003B20C4" w:rsidP="003B20C4">
      <w:pPr>
        <w:rPr>
          <w:sz w:val="25"/>
          <w:szCs w:val="25"/>
        </w:rPr>
      </w:pPr>
    </w:p>
    <w:p w14:paraId="33431D89" w14:textId="77777777" w:rsidR="003B20C4" w:rsidRPr="0041620F" w:rsidRDefault="003B20C4" w:rsidP="003B20C4">
      <w:pPr>
        <w:rPr>
          <w:sz w:val="25"/>
          <w:szCs w:val="25"/>
        </w:rPr>
      </w:pPr>
    </w:p>
    <w:p w14:paraId="30D0CEBD" w14:textId="77777777" w:rsidR="003B20C4" w:rsidRPr="0041620F" w:rsidRDefault="003B20C4" w:rsidP="003B20C4">
      <w:pPr>
        <w:rPr>
          <w:sz w:val="25"/>
          <w:szCs w:val="25"/>
        </w:rPr>
      </w:pPr>
    </w:p>
    <w:p w14:paraId="5597E474" w14:textId="77777777" w:rsidR="003B20C4" w:rsidRPr="0041620F" w:rsidRDefault="003B20C4" w:rsidP="003B20C4">
      <w:pPr>
        <w:rPr>
          <w:sz w:val="25"/>
          <w:szCs w:val="25"/>
        </w:rPr>
      </w:pPr>
      <w:r w:rsidRPr="0041620F">
        <w:rPr>
          <w:sz w:val="25"/>
          <w:szCs w:val="25"/>
        </w:rPr>
        <w:tab/>
      </w:r>
      <w:r w:rsidRPr="0041620F">
        <w:rPr>
          <w:sz w:val="25"/>
          <w:szCs w:val="25"/>
        </w:rPr>
        <w:tab/>
      </w:r>
      <w:r w:rsidRPr="0041620F">
        <w:rPr>
          <w:sz w:val="25"/>
          <w:szCs w:val="25"/>
        </w:rPr>
        <w:tab/>
      </w:r>
      <w:r w:rsidRPr="0041620F">
        <w:rPr>
          <w:sz w:val="25"/>
          <w:szCs w:val="25"/>
        </w:rPr>
        <w:tab/>
      </w:r>
      <w:r w:rsidRPr="0041620F">
        <w:rPr>
          <w:sz w:val="25"/>
          <w:szCs w:val="25"/>
        </w:rPr>
        <w:tab/>
        <w:t>PHILIP B. JONES, Commissioner</w:t>
      </w:r>
    </w:p>
    <w:p w14:paraId="3F240E08" w14:textId="77777777" w:rsidR="003B20C4" w:rsidRPr="0041620F" w:rsidRDefault="003B20C4" w:rsidP="003B20C4">
      <w:pPr>
        <w:rPr>
          <w:sz w:val="25"/>
          <w:szCs w:val="25"/>
        </w:rPr>
      </w:pPr>
    </w:p>
    <w:p w14:paraId="653B2537" w14:textId="77777777" w:rsidR="003B20C4" w:rsidRPr="0041620F" w:rsidRDefault="003B20C4" w:rsidP="003B20C4">
      <w:pPr>
        <w:rPr>
          <w:sz w:val="25"/>
          <w:szCs w:val="25"/>
        </w:rPr>
      </w:pPr>
    </w:p>
    <w:p w14:paraId="290FA6CB" w14:textId="77777777" w:rsidR="003B20C4" w:rsidRPr="0041620F" w:rsidRDefault="003B20C4" w:rsidP="003B20C4">
      <w:pPr>
        <w:rPr>
          <w:sz w:val="25"/>
          <w:szCs w:val="25"/>
        </w:rPr>
      </w:pPr>
    </w:p>
    <w:p w14:paraId="587E7E3B" w14:textId="77777777" w:rsidR="00C671BD" w:rsidRDefault="003B20C4" w:rsidP="007904A8">
      <w:pPr>
        <w:rPr>
          <w:sz w:val="25"/>
          <w:szCs w:val="25"/>
        </w:rPr>
      </w:pPr>
      <w:r w:rsidRPr="0041620F">
        <w:rPr>
          <w:sz w:val="25"/>
          <w:szCs w:val="25"/>
        </w:rPr>
        <w:tab/>
      </w:r>
      <w:r w:rsidRPr="0041620F">
        <w:rPr>
          <w:sz w:val="25"/>
          <w:szCs w:val="25"/>
        </w:rPr>
        <w:tab/>
      </w:r>
      <w:r w:rsidRPr="0041620F">
        <w:rPr>
          <w:sz w:val="25"/>
          <w:szCs w:val="25"/>
        </w:rPr>
        <w:tab/>
      </w:r>
      <w:r w:rsidRPr="0041620F">
        <w:rPr>
          <w:sz w:val="25"/>
          <w:szCs w:val="25"/>
        </w:rPr>
        <w:tab/>
      </w:r>
      <w:r w:rsidRPr="0041620F">
        <w:rPr>
          <w:sz w:val="25"/>
          <w:szCs w:val="25"/>
        </w:rPr>
        <w:tab/>
        <w:t>JEFFREY D. GOLTZ, Commissioner</w:t>
      </w:r>
    </w:p>
    <w:sectPr w:rsidR="00C671BD" w:rsidSect="0005692F">
      <w:headerReference w:type="default" r:id="rId9"/>
      <w:headerReference w:type="first" r:id="rId10"/>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08428A" w14:textId="77777777" w:rsidR="003268E8" w:rsidRDefault="003268E8" w:rsidP="0005692F">
      <w:r>
        <w:separator/>
      </w:r>
    </w:p>
  </w:endnote>
  <w:endnote w:type="continuationSeparator" w:id="0">
    <w:p w14:paraId="6C6A0FA0" w14:textId="77777777" w:rsidR="003268E8" w:rsidRDefault="003268E8" w:rsidP="00056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BD7807" w14:textId="77777777" w:rsidR="003268E8" w:rsidRDefault="003268E8" w:rsidP="0005692F">
      <w:r>
        <w:separator/>
      </w:r>
    </w:p>
  </w:footnote>
  <w:footnote w:type="continuationSeparator" w:id="0">
    <w:p w14:paraId="74A003BD" w14:textId="77777777" w:rsidR="003268E8" w:rsidRDefault="003268E8" w:rsidP="0005692F">
      <w:r>
        <w:continuationSeparator/>
      </w:r>
    </w:p>
  </w:footnote>
  <w:footnote w:id="1">
    <w:p w14:paraId="350D93AA" w14:textId="77777777" w:rsidR="00525AD1" w:rsidRPr="00345CF6" w:rsidRDefault="00525AD1" w:rsidP="00525AD1">
      <w:pPr>
        <w:pStyle w:val="FootnoteText"/>
        <w:rPr>
          <w:rFonts w:ascii="Times New Roman" w:hAnsi="Times New Roman"/>
          <w:sz w:val="22"/>
          <w:szCs w:val="22"/>
        </w:rPr>
      </w:pPr>
      <w:r>
        <w:rPr>
          <w:rStyle w:val="FootnoteReference"/>
        </w:rPr>
        <w:footnoteRef/>
      </w:r>
      <w:r>
        <w:t xml:space="preserve"> </w:t>
      </w:r>
      <w:r>
        <w:rPr>
          <w:rFonts w:ascii="Times New Roman" w:hAnsi="Times New Roman"/>
          <w:sz w:val="22"/>
          <w:szCs w:val="22"/>
        </w:rPr>
        <w:t>RCW 80.36.630 through 80.36.700.</w:t>
      </w:r>
    </w:p>
  </w:footnote>
  <w:footnote w:id="2">
    <w:p w14:paraId="64E6A95D" w14:textId="77777777" w:rsidR="009137F6" w:rsidRPr="009137F6" w:rsidRDefault="009137F6" w:rsidP="009137F6">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i/>
          <w:sz w:val="22"/>
          <w:szCs w:val="22"/>
        </w:rPr>
        <w:t>In re Petition of WECA for Tariff Revisions on Less than Statutory Notice and Confirmation of the Continuation of the Traditional Universal Service Fund Rate Element</w:t>
      </w:r>
      <w:r>
        <w:rPr>
          <w:rFonts w:ascii="Times New Roman" w:hAnsi="Times New Roman"/>
          <w:sz w:val="22"/>
          <w:szCs w:val="22"/>
        </w:rPr>
        <w:t>, Docket UT-120853, Order 01 ¶ 19 (July 2, 2012).</w:t>
      </w:r>
    </w:p>
  </w:footnote>
  <w:footnote w:id="3">
    <w:p w14:paraId="7FFC2EFF" w14:textId="77777777" w:rsidR="00F4279C" w:rsidRPr="009137F6" w:rsidRDefault="00F4279C" w:rsidP="00F4279C">
      <w:pPr>
        <w:pStyle w:val="FootnoteText"/>
        <w:spacing w:after="120"/>
        <w:rPr>
          <w:rFonts w:ascii="Times New Roman" w:hAnsi="Times New Roman"/>
          <w:sz w:val="22"/>
          <w:szCs w:val="22"/>
        </w:rPr>
      </w:pPr>
      <w:r>
        <w:rPr>
          <w:rStyle w:val="FootnoteReference"/>
        </w:rPr>
        <w:footnoteRef/>
      </w:r>
      <w:r>
        <w:rPr>
          <w:rFonts w:ascii="Times New Roman" w:hAnsi="Times New Roman"/>
          <w:sz w:val="22"/>
          <w:szCs w:val="22"/>
        </w:rPr>
        <w:t xml:space="preserve"> We are also uncomfortable </w:t>
      </w:r>
      <w:proofErr w:type="spellStart"/>
      <w:r w:rsidR="00B8770C">
        <w:rPr>
          <w:rFonts w:ascii="Times New Roman" w:hAnsi="Times New Roman"/>
          <w:sz w:val="22"/>
          <w:szCs w:val="22"/>
        </w:rPr>
        <w:t>recharacterizing</w:t>
      </w:r>
      <w:proofErr w:type="spellEnd"/>
      <w:r w:rsidR="00B8770C">
        <w:rPr>
          <w:rFonts w:ascii="Times New Roman" w:hAnsi="Times New Roman"/>
          <w:sz w:val="22"/>
          <w:szCs w:val="22"/>
        </w:rPr>
        <w:t xml:space="preserve"> the Traditional USF rate element </w:t>
      </w:r>
      <w:r w:rsidR="007937D1">
        <w:rPr>
          <w:rFonts w:ascii="Times New Roman" w:hAnsi="Times New Roman"/>
          <w:sz w:val="22"/>
          <w:szCs w:val="22"/>
        </w:rPr>
        <w:t>as an access rate element the instant we terminate</w:t>
      </w:r>
      <w:r w:rsidR="00B8770C">
        <w:rPr>
          <w:rFonts w:ascii="Times New Roman" w:hAnsi="Times New Roman"/>
          <w:sz w:val="22"/>
          <w:szCs w:val="22"/>
        </w:rPr>
        <w:t xml:space="preserve"> </w:t>
      </w:r>
      <w:r w:rsidR="00105F82">
        <w:rPr>
          <w:rFonts w:ascii="Times New Roman" w:hAnsi="Times New Roman"/>
          <w:sz w:val="22"/>
          <w:szCs w:val="22"/>
        </w:rPr>
        <w:t>it</w:t>
      </w:r>
      <w:r w:rsidR="00B8770C">
        <w:rPr>
          <w:rFonts w:ascii="Times New Roman" w:hAnsi="Times New Roman"/>
          <w:sz w:val="22"/>
          <w:szCs w:val="22"/>
        </w:rPr>
        <w:t xml:space="preserve"> </w:t>
      </w:r>
      <w:r w:rsidR="007937D1">
        <w:rPr>
          <w:rFonts w:ascii="Times New Roman" w:hAnsi="Times New Roman"/>
          <w:sz w:val="22"/>
          <w:szCs w:val="22"/>
        </w:rPr>
        <w:t xml:space="preserve">just so CenturyLink can represent to the FCC that the </w:t>
      </w:r>
      <w:r w:rsidR="00754546">
        <w:rPr>
          <w:rFonts w:ascii="Times New Roman" w:hAnsi="Times New Roman"/>
          <w:sz w:val="22"/>
          <w:szCs w:val="22"/>
        </w:rPr>
        <w:t xml:space="preserve">lost </w:t>
      </w:r>
      <w:r w:rsidR="007937D1">
        <w:rPr>
          <w:rFonts w:ascii="Times New Roman" w:hAnsi="Times New Roman"/>
          <w:sz w:val="22"/>
          <w:szCs w:val="22"/>
        </w:rPr>
        <w:t xml:space="preserve">revenues should be included in the ARC.  Such sleight of hand </w:t>
      </w:r>
      <w:r w:rsidR="00105F82">
        <w:rPr>
          <w:rFonts w:ascii="Times New Roman" w:hAnsi="Times New Roman"/>
          <w:sz w:val="22"/>
          <w:szCs w:val="22"/>
        </w:rPr>
        <w:t>arguably is</w:t>
      </w:r>
      <w:r w:rsidR="007937D1">
        <w:rPr>
          <w:rFonts w:ascii="Times New Roman" w:hAnsi="Times New Roman"/>
          <w:sz w:val="22"/>
          <w:szCs w:val="22"/>
        </w:rPr>
        <w:t xml:space="preserve"> inconsistent with the intent of FCC Order No. 11-161, and while we have our reservations about the FCC’s action in that order, </w:t>
      </w:r>
      <w:r w:rsidR="00105F82">
        <w:rPr>
          <w:rFonts w:ascii="Times New Roman" w:hAnsi="Times New Roman"/>
          <w:sz w:val="22"/>
          <w:szCs w:val="22"/>
        </w:rPr>
        <w:t xml:space="preserve">we </w:t>
      </w:r>
      <w:r w:rsidR="00754546">
        <w:rPr>
          <w:rFonts w:ascii="Times New Roman" w:hAnsi="Times New Roman"/>
          <w:sz w:val="22"/>
          <w:szCs w:val="22"/>
        </w:rPr>
        <w:t>must</w:t>
      </w:r>
      <w:r w:rsidR="00105F82">
        <w:rPr>
          <w:rFonts w:ascii="Times New Roman" w:hAnsi="Times New Roman"/>
          <w:sz w:val="22"/>
          <w:szCs w:val="22"/>
        </w:rPr>
        <w:t xml:space="preserve"> respect and comply with both the letter and the spirit of FCC orders as long as they are the law</w:t>
      </w:r>
      <w:r>
        <w:rPr>
          <w:rFonts w:ascii="Times New Roman" w:hAnsi="Times New Roman"/>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CD16E" w14:textId="77777777" w:rsidR="00E521D5" w:rsidRPr="009926F4" w:rsidRDefault="00525AD1">
    <w:pPr>
      <w:pStyle w:val="Header"/>
      <w:tabs>
        <w:tab w:val="left" w:pos="7500"/>
      </w:tabs>
      <w:rPr>
        <w:b/>
        <w:i/>
        <w:sz w:val="20"/>
        <w:szCs w:val="20"/>
      </w:rPr>
    </w:pPr>
    <w:r>
      <w:rPr>
        <w:b/>
        <w:sz w:val="20"/>
        <w:szCs w:val="20"/>
      </w:rPr>
      <w:t>DOCKET U</w:t>
    </w:r>
    <w:r>
      <w:rPr>
        <w:b/>
        <w:sz w:val="20"/>
        <w:szCs w:val="20"/>
        <w:lang w:val="en-US"/>
      </w:rPr>
      <w:t>T-971140</w:t>
    </w:r>
    <w:r w:rsidR="00E521D5" w:rsidRPr="00A3058F">
      <w:rPr>
        <w:b/>
        <w:sz w:val="20"/>
        <w:szCs w:val="20"/>
      </w:rPr>
      <w:tab/>
    </w:r>
    <w:r w:rsidR="00E521D5" w:rsidRPr="00A3058F">
      <w:rPr>
        <w:b/>
        <w:sz w:val="20"/>
        <w:szCs w:val="20"/>
      </w:rPr>
      <w:tab/>
    </w:r>
    <w:r w:rsidR="00E521D5" w:rsidRPr="00A3058F">
      <w:rPr>
        <w:b/>
        <w:sz w:val="20"/>
        <w:szCs w:val="20"/>
      </w:rPr>
      <w:tab/>
      <w:t xml:space="preserve">PAGE </w:t>
    </w:r>
    <w:r w:rsidR="00E521D5" w:rsidRPr="00A3058F">
      <w:rPr>
        <w:rStyle w:val="PageNumber"/>
        <w:b/>
        <w:sz w:val="20"/>
        <w:szCs w:val="20"/>
      </w:rPr>
      <w:fldChar w:fldCharType="begin"/>
    </w:r>
    <w:r w:rsidR="00E521D5" w:rsidRPr="00A3058F">
      <w:rPr>
        <w:rStyle w:val="PageNumber"/>
        <w:b/>
        <w:sz w:val="20"/>
        <w:szCs w:val="20"/>
      </w:rPr>
      <w:instrText xml:space="preserve"> PAGE </w:instrText>
    </w:r>
    <w:r w:rsidR="00E521D5" w:rsidRPr="00A3058F">
      <w:rPr>
        <w:rStyle w:val="PageNumber"/>
        <w:b/>
        <w:sz w:val="20"/>
        <w:szCs w:val="20"/>
      </w:rPr>
      <w:fldChar w:fldCharType="separate"/>
    </w:r>
    <w:r w:rsidR="00A037B4">
      <w:rPr>
        <w:rStyle w:val="PageNumber"/>
        <w:b/>
        <w:noProof/>
        <w:sz w:val="20"/>
        <w:szCs w:val="20"/>
      </w:rPr>
      <w:t>2</w:t>
    </w:r>
    <w:r w:rsidR="00E521D5" w:rsidRPr="00A3058F">
      <w:rPr>
        <w:rStyle w:val="PageNumber"/>
        <w:b/>
        <w:sz w:val="20"/>
        <w:szCs w:val="20"/>
      </w:rPr>
      <w:fldChar w:fldCharType="end"/>
    </w:r>
  </w:p>
  <w:p w14:paraId="058B1E9D" w14:textId="77777777" w:rsidR="00E521D5" w:rsidRPr="00A3058F" w:rsidRDefault="00E521D5">
    <w:pPr>
      <w:pStyle w:val="Header"/>
      <w:tabs>
        <w:tab w:val="left" w:pos="7500"/>
      </w:tabs>
      <w:rPr>
        <w:b/>
        <w:sz w:val="20"/>
        <w:szCs w:val="20"/>
      </w:rPr>
    </w:pPr>
    <w:r w:rsidRPr="00A3058F">
      <w:rPr>
        <w:b/>
        <w:sz w:val="20"/>
        <w:szCs w:val="20"/>
      </w:rPr>
      <w:t xml:space="preserve">ORDER </w:t>
    </w:r>
    <w:r>
      <w:rPr>
        <w:b/>
        <w:sz w:val="20"/>
        <w:szCs w:val="20"/>
      </w:rPr>
      <w:t>1</w:t>
    </w:r>
    <w:r w:rsidR="00525AD1">
      <w:rPr>
        <w:b/>
        <w:sz w:val="20"/>
        <w:szCs w:val="20"/>
        <w:lang w:val="en-US"/>
      </w:rPr>
      <w:t>0</w:t>
    </w:r>
  </w:p>
  <w:p w14:paraId="4522229C" w14:textId="77777777" w:rsidR="00E521D5" w:rsidRDefault="00E521D5">
    <w:pPr>
      <w:pStyle w:val="Header"/>
      <w:tabs>
        <w:tab w:val="left" w:pos="75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15FAB" w14:textId="0BD88623" w:rsidR="00E521D5" w:rsidRPr="002E317C" w:rsidRDefault="00E521D5" w:rsidP="00A8775C">
    <w:pPr>
      <w:pStyle w:val="Header"/>
      <w:tabs>
        <w:tab w:val="clear" w:pos="4320"/>
        <w:tab w:val="clear" w:pos="8640"/>
        <w:tab w:val="right" w:pos="8500"/>
      </w:tabs>
      <w:rPr>
        <w:b/>
        <w:sz w:val="20"/>
        <w:szCs w:val="20"/>
      </w:rPr>
    </w:pPr>
    <w:r>
      <w:rPr>
        <w:b/>
        <w:sz w:val="20"/>
        <w:szCs w:val="20"/>
      </w:rPr>
      <w:tab/>
    </w:r>
    <w:r w:rsidR="00F71C32">
      <w:rPr>
        <w:b/>
        <w:sz w:val="20"/>
        <w:szCs w:val="20"/>
        <w:lang w:val="en-US"/>
      </w:rPr>
      <w:t>[Service Date May 23, 2014]</w:t>
    </w:r>
    <w:r>
      <w:rPr>
        <w:b/>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0465"/>
    <w:multiLevelType w:val="hybridMultilevel"/>
    <w:tmpl w:val="7A50C8C8"/>
    <w:lvl w:ilvl="0" w:tplc="04090001">
      <w:start w:val="1"/>
      <w:numFmt w:val="bullet"/>
      <w:lvlText w:val=""/>
      <w:lvlJc w:val="left"/>
      <w:pPr>
        <w:tabs>
          <w:tab w:val="num" w:pos="1080"/>
        </w:tabs>
        <w:ind w:left="1080" w:hanging="1080"/>
      </w:pPr>
      <w:rPr>
        <w:rFonts w:ascii="Symbol" w:hAnsi="Symbol" w:hint="default"/>
        <w:b w:val="0"/>
        <w:i/>
        <w:sz w:val="20"/>
      </w:rPr>
    </w:lvl>
    <w:lvl w:ilvl="1" w:tplc="BC20C932">
      <w:start w:val="4"/>
      <w:numFmt w:val="decimal"/>
      <w:lvlText w:val="%2."/>
      <w:lvlJc w:val="left"/>
      <w:pPr>
        <w:tabs>
          <w:tab w:val="num" w:pos="720"/>
        </w:tabs>
        <w:ind w:left="72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F36760"/>
    <w:multiLevelType w:val="hybridMultilevel"/>
    <w:tmpl w:val="38E88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772CB0"/>
    <w:multiLevelType w:val="hybridMultilevel"/>
    <w:tmpl w:val="6E58B96C"/>
    <w:lvl w:ilvl="0" w:tplc="4444389E">
      <w:start w:val="1"/>
      <w:numFmt w:val="bullet"/>
      <w:lvlText w:val=""/>
      <w:lvlJc w:val="left"/>
      <w:pPr>
        <w:tabs>
          <w:tab w:val="num" w:pos="1080"/>
        </w:tabs>
        <w:ind w:left="1080" w:hanging="1080"/>
      </w:pPr>
      <w:rPr>
        <w:rFonts w:ascii="Symbol" w:hAnsi="Symbol" w:hint="default"/>
        <w:b w:val="0"/>
        <w:i w:val="0"/>
        <w:sz w:val="22"/>
        <w:szCs w:val="22"/>
      </w:rPr>
    </w:lvl>
    <w:lvl w:ilvl="1" w:tplc="BC20C932">
      <w:start w:val="4"/>
      <w:numFmt w:val="decimal"/>
      <w:lvlText w:val="%2."/>
      <w:lvlJc w:val="left"/>
      <w:pPr>
        <w:tabs>
          <w:tab w:val="num" w:pos="720"/>
        </w:tabs>
        <w:ind w:left="72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977705"/>
    <w:multiLevelType w:val="hybridMultilevel"/>
    <w:tmpl w:val="93ACA6FC"/>
    <w:lvl w:ilvl="0" w:tplc="04090001">
      <w:start w:val="1"/>
      <w:numFmt w:val="bullet"/>
      <w:lvlText w:val=""/>
      <w:lvlJc w:val="left"/>
      <w:pPr>
        <w:tabs>
          <w:tab w:val="num" w:pos="1440"/>
        </w:tabs>
        <w:ind w:left="1440" w:hanging="1080"/>
      </w:pPr>
      <w:rPr>
        <w:rFonts w:ascii="Symbol" w:hAnsi="Symbol" w:hint="default"/>
        <w:b w:val="0"/>
        <w:i/>
        <w:sz w:val="20"/>
      </w:rPr>
    </w:lvl>
    <w:lvl w:ilvl="1" w:tplc="BC20C932">
      <w:start w:val="4"/>
      <w:numFmt w:val="decimal"/>
      <w:lvlText w:val="%2."/>
      <w:lvlJc w:val="left"/>
      <w:pPr>
        <w:tabs>
          <w:tab w:val="num" w:pos="2160"/>
        </w:tabs>
        <w:ind w:left="2160" w:hanging="720"/>
      </w:pPr>
      <w:rPr>
        <w:rFonts w:hint="default"/>
      </w:rPr>
    </w:lvl>
    <w:lvl w:ilvl="2" w:tplc="41E444FC">
      <w:start w:val="5"/>
      <w:numFmt w:val="bullet"/>
      <w:lvlText w:val=""/>
      <w:lvlJc w:val="left"/>
      <w:pPr>
        <w:tabs>
          <w:tab w:val="num" w:pos="3780"/>
        </w:tabs>
        <w:ind w:left="3780" w:hanging="360"/>
      </w:pPr>
      <w:rPr>
        <w:rFonts w:ascii="Symbol" w:eastAsia="Times New Roman" w:hAnsi="Symbol" w:cs="Times New Roman" w:hint="default"/>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nsid w:val="1E64204C"/>
    <w:multiLevelType w:val="hybridMultilevel"/>
    <w:tmpl w:val="401CF190"/>
    <w:lvl w:ilvl="0" w:tplc="A81CD388">
      <w:start w:val="1"/>
      <w:numFmt w:val="decimal"/>
      <w:pStyle w:val="FindingsConclusions"/>
      <w:lvlText w:val="%1"/>
      <w:lvlJc w:val="left"/>
      <w:pPr>
        <w:tabs>
          <w:tab w:val="num" w:pos="1080"/>
        </w:tabs>
        <w:ind w:left="1080" w:hanging="1080"/>
      </w:pPr>
      <w:rPr>
        <w:rFonts w:hint="default"/>
        <w:b w:val="0"/>
        <w:i/>
        <w:sz w:val="20"/>
      </w:rPr>
    </w:lvl>
    <w:lvl w:ilvl="1" w:tplc="BC20C932">
      <w:start w:val="4"/>
      <w:numFmt w:val="decimal"/>
      <w:lvlText w:val="%2."/>
      <w:lvlJc w:val="left"/>
      <w:pPr>
        <w:tabs>
          <w:tab w:val="num" w:pos="720"/>
        </w:tabs>
        <w:ind w:left="72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2AB0963"/>
    <w:multiLevelType w:val="hybridMultilevel"/>
    <w:tmpl w:val="88BE68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405699B"/>
    <w:multiLevelType w:val="hybridMultilevel"/>
    <w:tmpl w:val="466ADF9E"/>
    <w:lvl w:ilvl="0" w:tplc="04090001">
      <w:start w:val="1"/>
      <w:numFmt w:val="bullet"/>
      <w:lvlText w:val=""/>
      <w:lvlJc w:val="left"/>
      <w:pPr>
        <w:tabs>
          <w:tab w:val="num" w:pos="0"/>
        </w:tabs>
        <w:ind w:left="0" w:hanging="1080"/>
      </w:pPr>
      <w:rPr>
        <w:rFonts w:ascii="Symbol" w:hAnsi="Symbol" w:hint="default"/>
        <w:b w:val="0"/>
        <w:i/>
        <w:sz w:val="20"/>
      </w:rPr>
    </w:lvl>
    <w:lvl w:ilvl="1" w:tplc="BC20C932">
      <w:start w:val="4"/>
      <w:numFmt w:val="decimal"/>
      <w:lvlText w:val="%2."/>
      <w:lvlJc w:val="left"/>
      <w:pPr>
        <w:tabs>
          <w:tab w:val="num" w:pos="720"/>
        </w:tabs>
        <w:ind w:left="72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8182769"/>
    <w:multiLevelType w:val="hybridMultilevel"/>
    <w:tmpl w:val="60341336"/>
    <w:lvl w:ilvl="0" w:tplc="04090001">
      <w:start w:val="1"/>
      <w:numFmt w:val="bullet"/>
      <w:lvlText w:val=""/>
      <w:lvlJc w:val="left"/>
      <w:pPr>
        <w:tabs>
          <w:tab w:val="num" w:pos="1080"/>
        </w:tabs>
        <w:ind w:left="1080" w:hanging="1080"/>
      </w:pPr>
      <w:rPr>
        <w:rFonts w:ascii="Symbol" w:hAnsi="Symbol" w:hint="default"/>
        <w:b w:val="0"/>
        <w:i/>
        <w:sz w:val="20"/>
      </w:rPr>
    </w:lvl>
    <w:lvl w:ilvl="1" w:tplc="BC20C932">
      <w:start w:val="4"/>
      <w:numFmt w:val="decimal"/>
      <w:lvlText w:val="%2."/>
      <w:lvlJc w:val="left"/>
      <w:pPr>
        <w:tabs>
          <w:tab w:val="num" w:pos="720"/>
        </w:tabs>
        <w:ind w:left="72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BD14F2A"/>
    <w:multiLevelType w:val="hybridMultilevel"/>
    <w:tmpl w:val="AB0A2C0A"/>
    <w:lvl w:ilvl="0" w:tplc="4444389E">
      <w:start w:val="1"/>
      <w:numFmt w:val="bullet"/>
      <w:lvlText w:val=""/>
      <w:lvlJc w:val="left"/>
      <w:pPr>
        <w:tabs>
          <w:tab w:val="num" w:pos="1080"/>
        </w:tabs>
        <w:ind w:left="1080" w:hanging="1080"/>
      </w:pPr>
      <w:rPr>
        <w:rFonts w:ascii="Symbol" w:hAnsi="Symbol" w:hint="default"/>
        <w:b w:val="0"/>
        <w:i w:val="0"/>
        <w:sz w:val="22"/>
        <w:szCs w:val="22"/>
      </w:rPr>
    </w:lvl>
    <w:lvl w:ilvl="1" w:tplc="BC20C932">
      <w:start w:val="4"/>
      <w:numFmt w:val="decimal"/>
      <w:lvlText w:val="%2."/>
      <w:lvlJc w:val="left"/>
      <w:pPr>
        <w:tabs>
          <w:tab w:val="num" w:pos="720"/>
        </w:tabs>
        <w:ind w:left="72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4EA4F55"/>
    <w:multiLevelType w:val="hybridMultilevel"/>
    <w:tmpl w:val="6F360C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E3607E8"/>
    <w:multiLevelType w:val="hybridMultilevel"/>
    <w:tmpl w:val="B19E676C"/>
    <w:lvl w:ilvl="0" w:tplc="E8E06A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EE1BDB"/>
    <w:multiLevelType w:val="hybridMultilevel"/>
    <w:tmpl w:val="83109E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FC3AC6"/>
    <w:multiLevelType w:val="hybridMultilevel"/>
    <w:tmpl w:val="E11481C0"/>
    <w:lvl w:ilvl="0" w:tplc="4444389E">
      <w:start w:val="1"/>
      <w:numFmt w:val="bullet"/>
      <w:lvlText w:val=""/>
      <w:lvlJc w:val="left"/>
      <w:pPr>
        <w:tabs>
          <w:tab w:val="num" w:pos="1080"/>
        </w:tabs>
        <w:ind w:left="1080" w:hanging="1080"/>
      </w:pPr>
      <w:rPr>
        <w:rFonts w:ascii="Symbol" w:hAnsi="Symbol" w:hint="default"/>
        <w:b w:val="0"/>
        <w:i w:val="0"/>
        <w:sz w:val="22"/>
        <w:szCs w:val="22"/>
      </w:rPr>
    </w:lvl>
    <w:lvl w:ilvl="1" w:tplc="BC20C932">
      <w:start w:val="4"/>
      <w:numFmt w:val="decimal"/>
      <w:lvlText w:val="%2."/>
      <w:lvlJc w:val="left"/>
      <w:pPr>
        <w:tabs>
          <w:tab w:val="num" w:pos="720"/>
        </w:tabs>
        <w:ind w:left="72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C3621A8"/>
    <w:multiLevelType w:val="hybridMultilevel"/>
    <w:tmpl w:val="BF6E74CC"/>
    <w:lvl w:ilvl="0" w:tplc="04090001">
      <w:start w:val="1"/>
      <w:numFmt w:val="bullet"/>
      <w:lvlText w:val=""/>
      <w:lvlJc w:val="left"/>
      <w:pPr>
        <w:tabs>
          <w:tab w:val="num" w:pos="1080"/>
        </w:tabs>
        <w:ind w:left="1080" w:hanging="1080"/>
      </w:pPr>
      <w:rPr>
        <w:rFonts w:ascii="Symbol" w:hAnsi="Symbol" w:hint="default"/>
        <w:b w:val="0"/>
        <w:i/>
        <w:sz w:val="20"/>
      </w:rPr>
    </w:lvl>
    <w:lvl w:ilvl="1" w:tplc="BC20C932">
      <w:start w:val="4"/>
      <w:numFmt w:val="decimal"/>
      <w:lvlText w:val="%2."/>
      <w:lvlJc w:val="left"/>
      <w:pPr>
        <w:tabs>
          <w:tab w:val="num" w:pos="720"/>
        </w:tabs>
        <w:ind w:left="72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5686925"/>
    <w:multiLevelType w:val="hybridMultilevel"/>
    <w:tmpl w:val="FBF0A8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10"/>
  </w:num>
  <w:num w:numId="3">
    <w:abstractNumId w:val="14"/>
  </w:num>
  <w:num w:numId="4">
    <w:abstractNumId w:val="3"/>
  </w:num>
  <w:num w:numId="5">
    <w:abstractNumId w:val="6"/>
  </w:num>
  <w:num w:numId="6">
    <w:abstractNumId w:val="13"/>
  </w:num>
  <w:num w:numId="7">
    <w:abstractNumId w:val="0"/>
  </w:num>
  <w:num w:numId="8">
    <w:abstractNumId w:val="2"/>
  </w:num>
  <w:num w:numId="9">
    <w:abstractNumId w:val="7"/>
  </w:num>
  <w:num w:numId="10">
    <w:abstractNumId w:val="5"/>
  </w:num>
  <w:num w:numId="11">
    <w:abstractNumId w:val="12"/>
  </w:num>
  <w:num w:numId="12">
    <w:abstractNumId w:val="8"/>
  </w:num>
  <w:num w:numId="13">
    <w:abstractNumId w:val="4"/>
  </w:num>
  <w:num w:numId="14">
    <w:abstractNumId w:val="4"/>
  </w:num>
  <w:num w:numId="15">
    <w:abstractNumId w:val="4"/>
  </w:num>
  <w:num w:numId="16">
    <w:abstractNumId w:val="11"/>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92F"/>
    <w:rsid w:val="00007917"/>
    <w:rsid w:val="00010C88"/>
    <w:rsid w:val="00013292"/>
    <w:rsid w:val="00014504"/>
    <w:rsid w:val="00021D95"/>
    <w:rsid w:val="0002234C"/>
    <w:rsid w:val="00030FFC"/>
    <w:rsid w:val="00040D84"/>
    <w:rsid w:val="00042255"/>
    <w:rsid w:val="00043002"/>
    <w:rsid w:val="00044E4D"/>
    <w:rsid w:val="0004727D"/>
    <w:rsid w:val="000478BF"/>
    <w:rsid w:val="0005018F"/>
    <w:rsid w:val="000524E8"/>
    <w:rsid w:val="00054C56"/>
    <w:rsid w:val="0005692F"/>
    <w:rsid w:val="000612F1"/>
    <w:rsid w:val="00061528"/>
    <w:rsid w:val="000618D8"/>
    <w:rsid w:val="0006300E"/>
    <w:rsid w:val="00065517"/>
    <w:rsid w:val="00065A03"/>
    <w:rsid w:val="00067893"/>
    <w:rsid w:val="00071980"/>
    <w:rsid w:val="00074F29"/>
    <w:rsid w:val="00080F16"/>
    <w:rsid w:val="00082516"/>
    <w:rsid w:val="000831B7"/>
    <w:rsid w:val="000A2172"/>
    <w:rsid w:val="000A4AF2"/>
    <w:rsid w:val="000B7347"/>
    <w:rsid w:val="000D0151"/>
    <w:rsid w:val="000D6BC5"/>
    <w:rsid w:val="000E60BF"/>
    <w:rsid w:val="000E640C"/>
    <w:rsid w:val="000F0372"/>
    <w:rsid w:val="000F083C"/>
    <w:rsid w:val="000F0AFD"/>
    <w:rsid w:val="000F212B"/>
    <w:rsid w:val="000F4125"/>
    <w:rsid w:val="000F52EB"/>
    <w:rsid w:val="000F5E26"/>
    <w:rsid w:val="000F7517"/>
    <w:rsid w:val="00105576"/>
    <w:rsid w:val="00105F82"/>
    <w:rsid w:val="00107338"/>
    <w:rsid w:val="00112162"/>
    <w:rsid w:val="00114095"/>
    <w:rsid w:val="00116EF1"/>
    <w:rsid w:val="0011719B"/>
    <w:rsid w:val="001173FA"/>
    <w:rsid w:val="00134F30"/>
    <w:rsid w:val="00134F6E"/>
    <w:rsid w:val="00135AA9"/>
    <w:rsid w:val="001405E6"/>
    <w:rsid w:val="00140DBB"/>
    <w:rsid w:val="00142F35"/>
    <w:rsid w:val="00146031"/>
    <w:rsid w:val="00153FFA"/>
    <w:rsid w:val="0015452D"/>
    <w:rsid w:val="00154F53"/>
    <w:rsid w:val="00157787"/>
    <w:rsid w:val="0016119A"/>
    <w:rsid w:val="001659D9"/>
    <w:rsid w:val="0016786F"/>
    <w:rsid w:val="0017292F"/>
    <w:rsid w:val="00177B28"/>
    <w:rsid w:val="00180AA4"/>
    <w:rsid w:val="00182C16"/>
    <w:rsid w:val="001846A2"/>
    <w:rsid w:val="00186005"/>
    <w:rsid w:val="00186655"/>
    <w:rsid w:val="00193417"/>
    <w:rsid w:val="00194525"/>
    <w:rsid w:val="00194FAC"/>
    <w:rsid w:val="00195DC4"/>
    <w:rsid w:val="001965A6"/>
    <w:rsid w:val="00197538"/>
    <w:rsid w:val="001A0F44"/>
    <w:rsid w:val="001A54B4"/>
    <w:rsid w:val="001B43B8"/>
    <w:rsid w:val="001B7148"/>
    <w:rsid w:val="001C0261"/>
    <w:rsid w:val="001C5AB1"/>
    <w:rsid w:val="001D0412"/>
    <w:rsid w:val="001E1D7A"/>
    <w:rsid w:val="001E7626"/>
    <w:rsid w:val="001F578A"/>
    <w:rsid w:val="00200269"/>
    <w:rsid w:val="00200B33"/>
    <w:rsid w:val="002035DF"/>
    <w:rsid w:val="00204075"/>
    <w:rsid w:val="00204614"/>
    <w:rsid w:val="00211CCB"/>
    <w:rsid w:val="002149D4"/>
    <w:rsid w:val="00221B85"/>
    <w:rsid w:val="0022336E"/>
    <w:rsid w:val="00231A43"/>
    <w:rsid w:val="00233FE9"/>
    <w:rsid w:val="00235F83"/>
    <w:rsid w:val="00236792"/>
    <w:rsid w:val="00236EDB"/>
    <w:rsid w:val="002406C7"/>
    <w:rsid w:val="00245421"/>
    <w:rsid w:val="002460DA"/>
    <w:rsid w:val="00247BCC"/>
    <w:rsid w:val="0025794C"/>
    <w:rsid w:val="00257DD5"/>
    <w:rsid w:val="00260098"/>
    <w:rsid w:val="002610AC"/>
    <w:rsid w:val="002629D3"/>
    <w:rsid w:val="00264571"/>
    <w:rsid w:val="00264D6C"/>
    <w:rsid w:val="00270903"/>
    <w:rsid w:val="002713BF"/>
    <w:rsid w:val="00271D63"/>
    <w:rsid w:val="00272A0D"/>
    <w:rsid w:val="00274584"/>
    <w:rsid w:val="0027669D"/>
    <w:rsid w:val="00285D62"/>
    <w:rsid w:val="00292E01"/>
    <w:rsid w:val="00293C54"/>
    <w:rsid w:val="00295087"/>
    <w:rsid w:val="0029733F"/>
    <w:rsid w:val="002A1F9A"/>
    <w:rsid w:val="002A3198"/>
    <w:rsid w:val="002A524D"/>
    <w:rsid w:val="002B1FB7"/>
    <w:rsid w:val="002B53B8"/>
    <w:rsid w:val="002B5A14"/>
    <w:rsid w:val="002B6BA9"/>
    <w:rsid w:val="002B7280"/>
    <w:rsid w:val="002C039A"/>
    <w:rsid w:val="002C1E6D"/>
    <w:rsid w:val="002C7872"/>
    <w:rsid w:val="002D6992"/>
    <w:rsid w:val="002E558C"/>
    <w:rsid w:val="002E7521"/>
    <w:rsid w:val="002F046F"/>
    <w:rsid w:val="002F1F8B"/>
    <w:rsid w:val="002F21F6"/>
    <w:rsid w:val="002F3E5E"/>
    <w:rsid w:val="002F4E9C"/>
    <w:rsid w:val="002F4F83"/>
    <w:rsid w:val="002F5B91"/>
    <w:rsid w:val="002F5E51"/>
    <w:rsid w:val="002F6129"/>
    <w:rsid w:val="00303859"/>
    <w:rsid w:val="00306293"/>
    <w:rsid w:val="003075A4"/>
    <w:rsid w:val="00310ACE"/>
    <w:rsid w:val="0031113F"/>
    <w:rsid w:val="00316329"/>
    <w:rsid w:val="00320EDE"/>
    <w:rsid w:val="00321B7D"/>
    <w:rsid w:val="0032385E"/>
    <w:rsid w:val="003268E8"/>
    <w:rsid w:val="00333E5F"/>
    <w:rsid w:val="00343897"/>
    <w:rsid w:val="00343D86"/>
    <w:rsid w:val="00344442"/>
    <w:rsid w:val="0035047F"/>
    <w:rsid w:val="003522C3"/>
    <w:rsid w:val="00362D81"/>
    <w:rsid w:val="00363604"/>
    <w:rsid w:val="00363A05"/>
    <w:rsid w:val="00363CEF"/>
    <w:rsid w:val="003660F1"/>
    <w:rsid w:val="0036620D"/>
    <w:rsid w:val="00371B35"/>
    <w:rsid w:val="003731CF"/>
    <w:rsid w:val="00373212"/>
    <w:rsid w:val="0037453B"/>
    <w:rsid w:val="00382947"/>
    <w:rsid w:val="00392531"/>
    <w:rsid w:val="00396FFA"/>
    <w:rsid w:val="003A537F"/>
    <w:rsid w:val="003A7716"/>
    <w:rsid w:val="003B20C4"/>
    <w:rsid w:val="003B26EA"/>
    <w:rsid w:val="003B327A"/>
    <w:rsid w:val="003B4925"/>
    <w:rsid w:val="003B6486"/>
    <w:rsid w:val="003C1DF7"/>
    <w:rsid w:val="003C31CB"/>
    <w:rsid w:val="003C553B"/>
    <w:rsid w:val="003C7FA0"/>
    <w:rsid w:val="003D637C"/>
    <w:rsid w:val="003D7326"/>
    <w:rsid w:val="003E23E8"/>
    <w:rsid w:val="003E2F11"/>
    <w:rsid w:val="003E7AC9"/>
    <w:rsid w:val="003F3DB6"/>
    <w:rsid w:val="00405238"/>
    <w:rsid w:val="00407CB8"/>
    <w:rsid w:val="004125D2"/>
    <w:rsid w:val="004219DC"/>
    <w:rsid w:val="00422993"/>
    <w:rsid w:val="00422BA2"/>
    <w:rsid w:val="004237C6"/>
    <w:rsid w:val="0042612B"/>
    <w:rsid w:val="004332FD"/>
    <w:rsid w:val="004335A4"/>
    <w:rsid w:val="0043444F"/>
    <w:rsid w:val="00434A25"/>
    <w:rsid w:val="00435973"/>
    <w:rsid w:val="00435A46"/>
    <w:rsid w:val="00435D9B"/>
    <w:rsid w:val="004419F0"/>
    <w:rsid w:val="00441AE2"/>
    <w:rsid w:val="00450072"/>
    <w:rsid w:val="004508FD"/>
    <w:rsid w:val="004564F2"/>
    <w:rsid w:val="004642E5"/>
    <w:rsid w:val="00464475"/>
    <w:rsid w:val="00471BC7"/>
    <w:rsid w:val="0047323E"/>
    <w:rsid w:val="00486C40"/>
    <w:rsid w:val="00486D5B"/>
    <w:rsid w:val="004931E2"/>
    <w:rsid w:val="00495CDC"/>
    <w:rsid w:val="004A0307"/>
    <w:rsid w:val="004A1C07"/>
    <w:rsid w:val="004A2888"/>
    <w:rsid w:val="004B48D7"/>
    <w:rsid w:val="004B54BF"/>
    <w:rsid w:val="004B7DD0"/>
    <w:rsid w:val="004C0751"/>
    <w:rsid w:val="004C59CA"/>
    <w:rsid w:val="004C7027"/>
    <w:rsid w:val="004D1F05"/>
    <w:rsid w:val="004D288A"/>
    <w:rsid w:val="004E02E5"/>
    <w:rsid w:val="004E5493"/>
    <w:rsid w:val="004F0810"/>
    <w:rsid w:val="004F0FB8"/>
    <w:rsid w:val="004F7ED3"/>
    <w:rsid w:val="0050052F"/>
    <w:rsid w:val="00501ED6"/>
    <w:rsid w:val="005057C8"/>
    <w:rsid w:val="005071C4"/>
    <w:rsid w:val="00510974"/>
    <w:rsid w:val="00510CD2"/>
    <w:rsid w:val="00512E3F"/>
    <w:rsid w:val="005140C6"/>
    <w:rsid w:val="00515C05"/>
    <w:rsid w:val="005169DB"/>
    <w:rsid w:val="0052029F"/>
    <w:rsid w:val="00522A24"/>
    <w:rsid w:val="0052522C"/>
    <w:rsid w:val="00525AD1"/>
    <w:rsid w:val="005276AD"/>
    <w:rsid w:val="00527F66"/>
    <w:rsid w:val="00531F9B"/>
    <w:rsid w:val="00537C1B"/>
    <w:rsid w:val="00543D67"/>
    <w:rsid w:val="0054489F"/>
    <w:rsid w:val="00552600"/>
    <w:rsid w:val="00555A99"/>
    <w:rsid w:val="0055740E"/>
    <w:rsid w:val="005577EC"/>
    <w:rsid w:val="0056687A"/>
    <w:rsid w:val="00567DBF"/>
    <w:rsid w:val="0057410C"/>
    <w:rsid w:val="00575DD1"/>
    <w:rsid w:val="005807A5"/>
    <w:rsid w:val="00581471"/>
    <w:rsid w:val="00583D28"/>
    <w:rsid w:val="0059329E"/>
    <w:rsid w:val="005A038D"/>
    <w:rsid w:val="005A4120"/>
    <w:rsid w:val="005A5EF6"/>
    <w:rsid w:val="005A6C74"/>
    <w:rsid w:val="005B0141"/>
    <w:rsid w:val="005B4953"/>
    <w:rsid w:val="005B4F01"/>
    <w:rsid w:val="005B745F"/>
    <w:rsid w:val="005C1DAB"/>
    <w:rsid w:val="005C5F90"/>
    <w:rsid w:val="005D493B"/>
    <w:rsid w:val="005E7915"/>
    <w:rsid w:val="005E7C4A"/>
    <w:rsid w:val="005F024F"/>
    <w:rsid w:val="006003BF"/>
    <w:rsid w:val="0060343D"/>
    <w:rsid w:val="00605893"/>
    <w:rsid w:val="006111DA"/>
    <w:rsid w:val="006113B4"/>
    <w:rsid w:val="00613BF6"/>
    <w:rsid w:val="00616383"/>
    <w:rsid w:val="00630806"/>
    <w:rsid w:val="00636231"/>
    <w:rsid w:val="00643055"/>
    <w:rsid w:val="00644D3D"/>
    <w:rsid w:val="006453E6"/>
    <w:rsid w:val="00647315"/>
    <w:rsid w:val="00651C90"/>
    <w:rsid w:val="00651D51"/>
    <w:rsid w:val="00652FC5"/>
    <w:rsid w:val="00654321"/>
    <w:rsid w:val="00654482"/>
    <w:rsid w:val="00654DD0"/>
    <w:rsid w:val="00655849"/>
    <w:rsid w:val="00661999"/>
    <w:rsid w:val="00670D94"/>
    <w:rsid w:val="00672F7B"/>
    <w:rsid w:val="006765E4"/>
    <w:rsid w:val="006830D5"/>
    <w:rsid w:val="0069006E"/>
    <w:rsid w:val="00690672"/>
    <w:rsid w:val="00693B55"/>
    <w:rsid w:val="00694048"/>
    <w:rsid w:val="00695596"/>
    <w:rsid w:val="00697DEF"/>
    <w:rsid w:val="00697F9F"/>
    <w:rsid w:val="006A40BD"/>
    <w:rsid w:val="006A41EE"/>
    <w:rsid w:val="006B2AD4"/>
    <w:rsid w:val="006B4E6F"/>
    <w:rsid w:val="006B72EB"/>
    <w:rsid w:val="006C2C6C"/>
    <w:rsid w:val="006C37A2"/>
    <w:rsid w:val="006D0375"/>
    <w:rsid w:val="006D1566"/>
    <w:rsid w:val="006D2EA6"/>
    <w:rsid w:val="006D5B21"/>
    <w:rsid w:val="006D61DE"/>
    <w:rsid w:val="006D6344"/>
    <w:rsid w:val="006E474F"/>
    <w:rsid w:val="006E58CD"/>
    <w:rsid w:val="006E5D5B"/>
    <w:rsid w:val="006E7594"/>
    <w:rsid w:val="00703A51"/>
    <w:rsid w:val="00705D33"/>
    <w:rsid w:val="00705DCD"/>
    <w:rsid w:val="00712B8F"/>
    <w:rsid w:val="0071742B"/>
    <w:rsid w:val="00720587"/>
    <w:rsid w:val="00721BC2"/>
    <w:rsid w:val="007236C2"/>
    <w:rsid w:val="007245CB"/>
    <w:rsid w:val="00727138"/>
    <w:rsid w:val="00727DC5"/>
    <w:rsid w:val="00733748"/>
    <w:rsid w:val="00734C03"/>
    <w:rsid w:val="00741B97"/>
    <w:rsid w:val="007438DF"/>
    <w:rsid w:val="00746ED2"/>
    <w:rsid w:val="00754546"/>
    <w:rsid w:val="00764B1F"/>
    <w:rsid w:val="00767D21"/>
    <w:rsid w:val="00774269"/>
    <w:rsid w:val="007756E9"/>
    <w:rsid w:val="00775D75"/>
    <w:rsid w:val="0077619D"/>
    <w:rsid w:val="0077620F"/>
    <w:rsid w:val="007771B8"/>
    <w:rsid w:val="00783CB6"/>
    <w:rsid w:val="00785BE5"/>
    <w:rsid w:val="00785D32"/>
    <w:rsid w:val="007904A8"/>
    <w:rsid w:val="007935D1"/>
    <w:rsid w:val="007937D1"/>
    <w:rsid w:val="007943D6"/>
    <w:rsid w:val="00794A2B"/>
    <w:rsid w:val="007A15D3"/>
    <w:rsid w:val="007A2D93"/>
    <w:rsid w:val="007A7B48"/>
    <w:rsid w:val="007A7B7E"/>
    <w:rsid w:val="007B0463"/>
    <w:rsid w:val="007B27DC"/>
    <w:rsid w:val="007B4F5A"/>
    <w:rsid w:val="007B6CC2"/>
    <w:rsid w:val="007B7979"/>
    <w:rsid w:val="007C22C4"/>
    <w:rsid w:val="007C3450"/>
    <w:rsid w:val="007C4571"/>
    <w:rsid w:val="007C4A36"/>
    <w:rsid w:val="007D5BB7"/>
    <w:rsid w:val="007E0F22"/>
    <w:rsid w:val="007E2D92"/>
    <w:rsid w:val="007E43D2"/>
    <w:rsid w:val="007E7467"/>
    <w:rsid w:val="007F12A2"/>
    <w:rsid w:val="007F6810"/>
    <w:rsid w:val="00806309"/>
    <w:rsid w:val="00806D68"/>
    <w:rsid w:val="00811A3B"/>
    <w:rsid w:val="00816236"/>
    <w:rsid w:val="00822BB7"/>
    <w:rsid w:val="008230EE"/>
    <w:rsid w:val="008304A6"/>
    <w:rsid w:val="00830E89"/>
    <w:rsid w:val="00836E88"/>
    <w:rsid w:val="00837375"/>
    <w:rsid w:val="008400DF"/>
    <w:rsid w:val="00840D32"/>
    <w:rsid w:val="00843C3E"/>
    <w:rsid w:val="00847068"/>
    <w:rsid w:val="00847312"/>
    <w:rsid w:val="008517EC"/>
    <w:rsid w:val="008568F2"/>
    <w:rsid w:val="008570C7"/>
    <w:rsid w:val="00873869"/>
    <w:rsid w:val="00876299"/>
    <w:rsid w:val="00877582"/>
    <w:rsid w:val="008802E3"/>
    <w:rsid w:val="008863F8"/>
    <w:rsid w:val="00891E46"/>
    <w:rsid w:val="00895A0D"/>
    <w:rsid w:val="008A19CD"/>
    <w:rsid w:val="008B0010"/>
    <w:rsid w:val="008B1353"/>
    <w:rsid w:val="008B5424"/>
    <w:rsid w:val="008B783B"/>
    <w:rsid w:val="008C3715"/>
    <w:rsid w:val="008C59EA"/>
    <w:rsid w:val="008D3629"/>
    <w:rsid w:val="008E2E1D"/>
    <w:rsid w:val="008E3A22"/>
    <w:rsid w:val="008E638B"/>
    <w:rsid w:val="008F294E"/>
    <w:rsid w:val="008F73C9"/>
    <w:rsid w:val="008F7661"/>
    <w:rsid w:val="0090434E"/>
    <w:rsid w:val="009137F6"/>
    <w:rsid w:val="00913BA1"/>
    <w:rsid w:val="009179A5"/>
    <w:rsid w:val="009202A2"/>
    <w:rsid w:val="00922452"/>
    <w:rsid w:val="00924CD0"/>
    <w:rsid w:val="00926442"/>
    <w:rsid w:val="00931ADF"/>
    <w:rsid w:val="00932C32"/>
    <w:rsid w:val="0094568F"/>
    <w:rsid w:val="009456B9"/>
    <w:rsid w:val="00945B28"/>
    <w:rsid w:val="009464EC"/>
    <w:rsid w:val="00950429"/>
    <w:rsid w:val="0095236C"/>
    <w:rsid w:val="00953F47"/>
    <w:rsid w:val="00955437"/>
    <w:rsid w:val="00957194"/>
    <w:rsid w:val="00967EAD"/>
    <w:rsid w:val="00973336"/>
    <w:rsid w:val="00976D14"/>
    <w:rsid w:val="00984014"/>
    <w:rsid w:val="00984BA9"/>
    <w:rsid w:val="00985BE0"/>
    <w:rsid w:val="009865E6"/>
    <w:rsid w:val="00994D30"/>
    <w:rsid w:val="009B1940"/>
    <w:rsid w:val="009B3258"/>
    <w:rsid w:val="009B5AEF"/>
    <w:rsid w:val="009B6E7A"/>
    <w:rsid w:val="009C0C51"/>
    <w:rsid w:val="009D4E60"/>
    <w:rsid w:val="009E1893"/>
    <w:rsid w:val="009E61D6"/>
    <w:rsid w:val="009F08C6"/>
    <w:rsid w:val="009F2520"/>
    <w:rsid w:val="009F3227"/>
    <w:rsid w:val="009F5FD1"/>
    <w:rsid w:val="00A00119"/>
    <w:rsid w:val="00A037B4"/>
    <w:rsid w:val="00A04143"/>
    <w:rsid w:val="00A04BF0"/>
    <w:rsid w:val="00A12492"/>
    <w:rsid w:val="00A126BD"/>
    <w:rsid w:val="00A131E1"/>
    <w:rsid w:val="00A13C2A"/>
    <w:rsid w:val="00A1783B"/>
    <w:rsid w:val="00A2175C"/>
    <w:rsid w:val="00A22268"/>
    <w:rsid w:val="00A231FA"/>
    <w:rsid w:val="00A243A9"/>
    <w:rsid w:val="00A25FC4"/>
    <w:rsid w:val="00A26076"/>
    <w:rsid w:val="00A2657C"/>
    <w:rsid w:val="00A40758"/>
    <w:rsid w:val="00A41B5E"/>
    <w:rsid w:val="00A47C0F"/>
    <w:rsid w:val="00A51562"/>
    <w:rsid w:val="00A52EBB"/>
    <w:rsid w:val="00A53ACE"/>
    <w:rsid w:val="00A60422"/>
    <w:rsid w:val="00A648CD"/>
    <w:rsid w:val="00A64A16"/>
    <w:rsid w:val="00A656DE"/>
    <w:rsid w:val="00A66627"/>
    <w:rsid w:val="00A74932"/>
    <w:rsid w:val="00A769C2"/>
    <w:rsid w:val="00A77BD1"/>
    <w:rsid w:val="00A77FE9"/>
    <w:rsid w:val="00A8017F"/>
    <w:rsid w:val="00A80D2D"/>
    <w:rsid w:val="00A8428E"/>
    <w:rsid w:val="00A84C2A"/>
    <w:rsid w:val="00A8775C"/>
    <w:rsid w:val="00A87831"/>
    <w:rsid w:val="00A9163A"/>
    <w:rsid w:val="00A924B5"/>
    <w:rsid w:val="00A94803"/>
    <w:rsid w:val="00A97DBC"/>
    <w:rsid w:val="00AA10DB"/>
    <w:rsid w:val="00AA1B9F"/>
    <w:rsid w:val="00AA2AD9"/>
    <w:rsid w:val="00AA5C45"/>
    <w:rsid w:val="00AA6F4F"/>
    <w:rsid w:val="00AB129A"/>
    <w:rsid w:val="00AB15DA"/>
    <w:rsid w:val="00AB3184"/>
    <w:rsid w:val="00AC0910"/>
    <w:rsid w:val="00AC3A20"/>
    <w:rsid w:val="00AD1DD9"/>
    <w:rsid w:val="00AD3312"/>
    <w:rsid w:val="00AE273E"/>
    <w:rsid w:val="00AE34D5"/>
    <w:rsid w:val="00AF3735"/>
    <w:rsid w:val="00AF482B"/>
    <w:rsid w:val="00B01519"/>
    <w:rsid w:val="00B01DEE"/>
    <w:rsid w:val="00B02A47"/>
    <w:rsid w:val="00B056F7"/>
    <w:rsid w:val="00B06771"/>
    <w:rsid w:val="00B12B58"/>
    <w:rsid w:val="00B13041"/>
    <w:rsid w:val="00B136A4"/>
    <w:rsid w:val="00B16077"/>
    <w:rsid w:val="00B16D03"/>
    <w:rsid w:val="00B23EF5"/>
    <w:rsid w:val="00B36031"/>
    <w:rsid w:val="00B365D3"/>
    <w:rsid w:val="00B37F33"/>
    <w:rsid w:val="00B42525"/>
    <w:rsid w:val="00B43B4D"/>
    <w:rsid w:val="00B44A8B"/>
    <w:rsid w:val="00B50592"/>
    <w:rsid w:val="00B50D2C"/>
    <w:rsid w:val="00B52085"/>
    <w:rsid w:val="00B54F0A"/>
    <w:rsid w:val="00B60216"/>
    <w:rsid w:val="00B64280"/>
    <w:rsid w:val="00B723B8"/>
    <w:rsid w:val="00B72DF6"/>
    <w:rsid w:val="00B73A78"/>
    <w:rsid w:val="00B8770C"/>
    <w:rsid w:val="00B91C42"/>
    <w:rsid w:val="00B93C16"/>
    <w:rsid w:val="00B9635E"/>
    <w:rsid w:val="00BA304A"/>
    <w:rsid w:val="00BA4D07"/>
    <w:rsid w:val="00BB0528"/>
    <w:rsid w:val="00BB1BA0"/>
    <w:rsid w:val="00BB6731"/>
    <w:rsid w:val="00BC247E"/>
    <w:rsid w:val="00BC68CF"/>
    <w:rsid w:val="00BC6A99"/>
    <w:rsid w:val="00BD0596"/>
    <w:rsid w:val="00BD6D33"/>
    <w:rsid w:val="00BE032F"/>
    <w:rsid w:val="00BE0432"/>
    <w:rsid w:val="00BE3C17"/>
    <w:rsid w:val="00BE64D2"/>
    <w:rsid w:val="00C0288E"/>
    <w:rsid w:val="00C0414C"/>
    <w:rsid w:val="00C07D16"/>
    <w:rsid w:val="00C102BA"/>
    <w:rsid w:val="00C14790"/>
    <w:rsid w:val="00C14E67"/>
    <w:rsid w:val="00C169E4"/>
    <w:rsid w:val="00C17E0A"/>
    <w:rsid w:val="00C309B4"/>
    <w:rsid w:val="00C404FB"/>
    <w:rsid w:val="00C42E6E"/>
    <w:rsid w:val="00C4635A"/>
    <w:rsid w:val="00C5441D"/>
    <w:rsid w:val="00C64B3F"/>
    <w:rsid w:val="00C66775"/>
    <w:rsid w:val="00C671BD"/>
    <w:rsid w:val="00C709E3"/>
    <w:rsid w:val="00C8030D"/>
    <w:rsid w:val="00C82B3B"/>
    <w:rsid w:val="00C841D2"/>
    <w:rsid w:val="00C84A52"/>
    <w:rsid w:val="00C86389"/>
    <w:rsid w:val="00C87643"/>
    <w:rsid w:val="00C90124"/>
    <w:rsid w:val="00C928E7"/>
    <w:rsid w:val="00C9341F"/>
    <w:rsid w:val="00C97843"/>
    <w:rsid w:val="00CA28CD"/>
    <w:rsid w:val="00CA4B62"/>
    <w:rsid w:val="00CA5BAF"/>
    <w:rsid w:val="00CA73AD"/>
    <w:rsid w:val="00CA7A70"/>
    <w:rsid w:val="00CB305E"/>
    <w:rsid w:val="00CB5CD5"/>
    <w:rsid w:val="00CB63C8"/>
    <w:rsid w:val="00CC0604"/>
    <w:rsid w:val="00CC670F"/>
    <w:rsid w:val="00CC7ADD"/>
    <w:rsid w:val="00CD2718"/>
    <w:rsid w:val="00CD3318"/>
    <w:rsid w:val="00CD4872"/>
    <w:rsid w:val="00CD4A98"/>
    <w:rsid w:val="00CD6A0C"/>
    <w:rsid w:val="00CD7B41"/>
    <w:rsid w:val="00CE3CBA"/>
    <w:rsid w:val="00CE4B94"/>
    <w:rsid w:val="00CE67E6"/>
    <w:rsid w:val="00CF2823"/>
    <w:rsid w:val="00D05889"/>
    <w:rsid w:val="00D07174"/>
    <w:rsid w:val="00D133FE"/>
    <w:rsid w:val="00D14866"/>
    <w:rsid w:val="00D1520A"/>
    <w:rsid w:val="00D204A3"/>
    <w:rsid w:val="00D217EB"/>
    <w:rsid w:val="00D30516"/>
    <w:rsid w:val="00D308A0"/>
    <w:rsid w:val="00D33559"/>
    <w:rsid w:val="00D35C97"/>
    <w:rsid w:val="00D37422"/>
    <w:rsid w:val="00D40EA4"/>
    <w:rsid w:val="00D44B38"/>
    <w:rsid w:val="00D50554"/>
    <w:rsid w:val="00D539BA"/>
    <w:rsid w:val="00D54AB2"/>
    <w:rsid w:val="00D56BD4"/>
    <w:rsid w:val="00D62258"/>
    <w:rsid w:val="00D62756"/>
    <w:rsid w:val="00D72E39"/>
    <w:rsid w:val="00D73221"/>
    <w:rsid w:val="00D73656"/>
    <w:rsid w:val="00D979FF"/>
    <w:rsid w:val="00DA1B86"/>
    <w:rsid w:val="00DA4060"/>
    <w:rsid w:val="00DA505D"/>
    <w:rsid w:val="00DB3BE0"/>
    <w:rsid w:val="00DB65FA"/>
    <w:rsid w:val="00DB7B06"/>
    <w:rsid w:val="00DB7C0E"/>
    <w:rsid w:val="00DC287F"/>
    <w:rsid w:val="00DC441A"/>
    <w:rsid w:val="00DC54D2"/>
    <w:rsid w:val="00DD04B3"/>
    <w:rsid w:val="00DD0D7A"/>
    <w:rsid w:val="00DD2A47"/>
    <w:rsid w:val="00DD2B30"/>
    <w:rsid w:val="00DD3640"/>
    <w:rsid w:val="00DE1454"/>
    <w:rsid w:val="00DE26AC"/>
    <w:rsid w:val="00DE3168"/>
    <w:rsid w:val="00DE7D2F"/>
    <w:rsid w:val="00DF382E"/>
    <w:rsid w:val="00DF672B"/>
    <w:rsid w:val="00E0129B"/>
    <w:rsid w:val="00E07A9D"/>
    <w:rsid w:val="00E13299"/>
    <w:rsid w:val="00E13A07"/>
    <w:rsid w:val="00E146C3"/>
    <w:rsid w:val="00E14AEB"/>
    <w:rsid w:val="00E207E3"/>
    <w:rsid w:val="00E30306"/>
    <w:rsid w:val="00E32359"/>
    <w:rsid w:val="00E33D8F"/>
    <w:rsid w:val="00E35128"/>
    <w:rsid w:val="00E35CF5"/>
    <w:rsid w:val="00E40DA7"/>
    <w:rsid w:val="00E521D5"/>
    <w:rsid w:val="00E53807"/>
    <w:rsid w:val="00E53C24"/>
    <w:rsid w:val="00E55788"/>
    <w:rsid w:val="00E60FCF"/>
    <w:rsid w:val="00E61EA2"/>
    <w:rsid w:val="00E64725"/>
    <w:rsid w:val="00E651A8"/>
    <w:rsid w:val="00E70487"/>
    <w:rsid w:val="00E70C9C"/>
    <w:rsid w:val="00E81216"/>
    <w:rsid w:val="00E92F40"/>
    <w:rsid w:val="00E96B6A"/>
    <w:rsid w:val="00E97F7A"/>
    <w:rsid w:val="00EA14DB"/>
    <w:rsid w:val="00EA1725"/>
    <w:rsid w:val="00EA1B72"/>
    <w:rsid w:val="00EA3346"/>
    <w:rsid w:val="00EA3D2C"/>
    <w:rsid w:val="00EC0CBE"/>
    <w:rsid w:val="00ED13FA"/>
    <w:rsid w:val="00ED26C9"/>
    <w:rsid w:val="00EE1F08"/>
    <w:rsid w:val="00EE363C"/>
    <w:rsid w:val="00EE6ABA"/>
    <w:rsid w:val="00EF573E"/>
    <w:rsid w:val="00F03895"/>
    <w:rsid w:val="00F07BFF"/>
    <w:rsid w:val="00F10418"/>
    <w:rsid w:val="00F143DB"/>
    <w:rsid w:val="00F168A6"/>
    <w:rsid w:val="00F171FC"/>
    <w:rsid w:val="00F2090A"/>
    <w:rsid w:val="00F21B68"/>
    <w:rsid w:val="00F21C81"/>
    <w:rsid w:val="00F25867"/>
    <w:rsid w:val="00F25DF3"/>
    <w:rsid w:val="00F26576"/>
    <w:rsid w:val="00F27A00"/>
    <w:rsid w:val="00F303E2"/>
    <w:rsid w:val="00F310BF"/>
    <w:rsid w:val="00F3415B"/>
    <w:rsid w:val="00F34B0D"/>
    <w:rsid w:val="00F363C3"/>
    <w:rsid w:val="00F363DF"/>
    <w:rsid w:val="00F37718"/>
    <w:rsid w:val="00F377BF"/>
    <w:rsid w:val="00F402C1"/>
    <w:rsid w:val="00F41B7E"/>
    <w:rsid w:val="00F4279C"/>
    <w:rsid w:val="00F46455"/>
    <w:rsid w:val="00F4718E"/>
    <w:rsid w:val="00F4794D"/>
    <w:rsid w:val="00F51A2A"/>
    <w:rsid w:val="00F51C28"/>
    <w:rsid w:val="00F5246F"/>
    <w:rsid w:val="00F566DB"/>
    <w:rsid w:val="00F56E84"/>
    <w:rsid w:val="00F60FC5"/>
    <w:rsid w:val="00F620D3"/>
    <w:rsid w:val="00F66AB2"/>
    <w:rsid w:val="00F673E6"/>
    <w:rsid w:val="00F67987"/>
    <w:rsid w:val="00F71C32"/>
    <w:rsid w:val="00F7277B"/>
    <w:rsid w:val="00F73072"/>
    <w:rsid w:val="00F74F7C"/>
    <w:rsid w:val="00F801BE"/>
    <w:rsid w:val="00F862A6"/>
    <w:rsid w:val="00F87C9A"/>
    <w:rsid w:val="00F95BAB"/>
    <w:rsid w:val="00F976AD"/>
    <w:rsid w:val="00F97724"/>
    <w:rsid w:val="00FA4AD9"/>
    <w:rsid w:val="00FA5F39"/>
    <w:rsid w:val="00FB0385"/>
    <w:rsid w:val="00FB22CA"/>
    <w:rsid w:val="00FB3306"/>
    <w:rsid w:val="00FC19A4"/>
    <w:rsid w:val="00FC2A48"/>
    <w:rsid w:val="00FD093F"/>
    <w:rsid w:val="00FD5E27"/>
    <w:rsid w:val="00FE3850"/>
    <w:rsid w:val="00FE437D"/>
    <w:rsid w:val="00FE5488"/>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58E79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92F"/>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rsid w:val="0005692F"/>
    <w:pPr>
      <w:tabs>
        <w:tab w:val="center" w:pos="4320"/>
        <w:tab w:val="right" w:pos="8640"/>
      </w:tabs>
    </w:pPr>
    <w:rPr>
      <w:lang w:val="x-none" w:eastAsia="x-none"/>
    </w:rPr>
  </w:style>
  <w:style w:type="character" w:customStyle="1" w:styleId="HeaderChar">
    <w:name w:val="Header Char"/>
    <w:basedOn w:val="DefaultParagraphFont"/>
    <w:link w:val="Header"/>
    <w:uiPriority w:val="99"/>
    <w:rsid w:val="0005692F"/>
    <w:rPr>
      <w:rFonts w:ascii="Times New Roman" w:eastAsia="Times New Roman" w:hAnsi="Times New Roman" w:cs="Times New Roman"/>
      <w:sz w:val="24"/>
      <w:szCs w:val="24"/>
      <w:lang w:val="x-none" w:eastAsia="x-none"/>
    </w:rPr>
  </w:style>
  <w:style w:type="character" w:styleId="PageNumber">
    <w:name w:val="page number"/>
    <w:basedOn w:val="DefaultParagraphFont"/>
    <w:rsid w:val="0005692F"/>
  </w:style>
  <w:style w:type="paragraph" w:styleId="BodyText">
    <w:name w:val="Body Text"/>
    <w:basedOn w:val="Normal"/>
    <w:link w:val="BodyTextChar"/>
    <w:rsid w:val="0005692F"/>
    <w:pPr>
      <w:jc w:val="center"/>
    </w:pPr>
  </w:style>
  <w:style w:type="character" w:customStyle="1" w:styleId="BodyTextChar">
    <w:name w:val="Body Text Char"/>
    <w:basedOn w:val="DefaultParagraphFont"/>
    <w:link w:val="BodyText"/>
    <w:rsid w:val="0005692F"/>
    <w:rPr>
      <w:rFonts w:ascii="Times New Roman" w:eastAsia="Times New Roman" w:hAnsi="Times New Roman" w:cs="Times New Roman"/>
      <w:sz w:val="24"/>
      <w:szCs w:val="24"/>
    </w:rPr>
  </w:style>
  <w:style w:type="paragraph" w:customStyle="1" w:styleId="FindingsConclusions">
    <w:name w:val="Findings &amp; Conclusions"/>
    <w:basedOn w:val="Normal"/>
    <w:rsid w:val="0005692F"/>
    <w:pPr>
      <w:numPr>
        <w:numId w:val="1"/>
      </w:numPr>
    </w:p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rsid w:val="0005692F"/>
    <w:rPr>
      <w:rFonts w:ascii="Palatino Linotype" w:hAnsi="Palatino Linotype"/>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05692F"/>
    <w:rPr>
      <w:rFonts w:ascii="Palatino Linotype" w:eastAsia="Times New Roman" w:hAnsi="Palatino Linotype" w:cs="Times New Roman"/>
      <w:sz w:val="20"/>
      <w:szCs w:val="20"/>
    </w:rPr>
  </w:style>
  <w:style w:type="character" w:styleId="FootnoteReference">
    <w:name w:val="footnote reference"/>
    <w:uiPriority w:val="99"/>
    <w:semiHidden/>
    <w:rsid w:val="0005692F"/>
    <w:rPr>
      <w:vertAlign w:val="superscript"/>
    </w:rPr>
  </w:style>
  <w:style w:type="paragraph" w:styleId="ListParagraph">
    <w:name w:val="List Paragraph"/>
    <w:basedOn w:val="Normal"/>
    <w:uiPriority w:val="34"/>
    <w:qFormat/>
    <w:rsid w:val="0005692F"/>
    <w:pPr>
      <w:ind w:left="720"/>
    </w:pPr>
  </w:style>
  <w:style w:type="paragraph" w:styleId="NoSpacing">
    <w:name w:val="No Spacing"/>
    <w:uiPriority w:val="1"/>
    <w:qFormat/>
    <w:rsid w:val="0005692F"/>
    <w:rPr>
      <w:rFonts w:ascii="Calibri" w:eastAsia="Calibri" w:hAnsi="Calibri" w:cs="Times New Roman"/>
    </w:rPr>
  </w:style>
  <w:style w:type="character" w:styleId="CommentReference">
    <w:name w:val="annotation reference"/>
    <w:basedOn w:val="DefaultParagraphFont"/>
    <w:uiPriority w:val="99"/>
    <w:semiHidden/>
    <w:unhideWhenUsed/>
    <w:rsid w:val="00A60422"/>
    <w:rPr>
      <w:sz w:val="16"/>
      <w:szCs w:val="16"/>
    </w:rPr>
  </w:style>
  <w:style w:type="paragraph" w:styleId="CommentText">
    <w:name w:val="annotation text"/>
    <w:basedOn w:val="Normal"/>
    <w:link w:val="CommentTextChar"/>
    <w:uiPriority w:val="99"/>
    <w:semiHidden/>
    <w:unhideWhenUsed/>
    <w:rsid w:val="00A60422"/>
    <w:rPr>
      <w:sz w:val="20"/>
      <w:szCs w:val="20"/>
    </w:rPr>
  </w:style>
  <w:style w:type="character" w:customStyle="1" w:styleId="CommentTextChar">
    <w:name w:val="Comment Text Char"/>
    <w:basedOn w:val="DefaultParagraphFont"/>
    <w:link w:val="CommentText"/>
    <w:uiPriority w:val="99"/>
    <w:semiHidden/>
    <w:rsid w:val="00A6042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60422"/>
    <w:rPr>
      <w:b/>
      <w:bCs/>
    </w:rPr>
  </w:style>
  <w:style w:type="character" w:customStyle="1" w:styleId="CommentSubjectChar">
    <w:name w:val="Comment Subject Char"/>
    <w:basedOn w:val="CommentTextChar"/>
    <w:link w:val="CommentSubject"/>
    <w:uiPriority w:val="99"/>
    <w:semiHidden/>
    <w:rsid w:val="00A6042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60422"/>
    <w:rPr>
      <w:rFonts w:ascii="Tahoma" w:hAnsi="Tahoma" w:cs="Tahoma"/>
      <w:sz w:val="16"/>
      <w:szCs w:val="16"/>
    </w:rPr>
  </w:style>
  <w:style w:type="character" w:customStyle="1" w:styleId="BalloonTextChar">
    <w:name w:val="Balloon Text Char"/>
    <w:basedOn w:val="DefaultParagraphFont"/>
    <w:link w:val="BalloonText"/>
    <w:uiPriority w:val="99"/>
    <w:semiHidden/>
    <w:rsid w:val="00A60422"/>
    <w:rPr>
      <w:rFonts w:ascii="Tahoma" w:eastAsia="Times New Roman" w:hAnsi="Tahoma" w:cs="Tahoma"/>
      <w:sz w:val="16"/>
      <w:szCs w:val="16"/>
    </w:rPr>
  </w:style>
  <w:style w:type="character" w:styleId="Hyperlink">
    <w:name w:val="Hyperlink"/>
    <w:basedOn w:val="DefaultParagraphFont"/>
    <w:uiPriority w:val="99"/>
    <w:unhideWhenUsed/>
    <w:rsid w:val="00245421"/>
    <w:rPr>
      <w:color w:val="0000FF" w:themeColor="hyperlink"/>
      <w:u w:val="single"/>
    </w:rPr>
  </w:style>
  <w:style w:type="paragraph" w:styleId="Footer">
    <w:name w:val="footer"/>
    <w:basedOn w:val="Normal"/>
    <w:link w:val="FooterChar"/>
    <w:uiPriority w:val="99"/>
    <w:unhideWhenUsed/>
    <w:rsid w:val="00F87C9A"/>
    <w:pPr>
      <w:tabs>
        <w:tab w:val="center" w:pos="4680"/>
        <w:tab w:val="right" w:pos="9360"/>
      </w:tabs>
    </w:pPr>
  </w:style>
  <w:style w:type="character" w:customStyle="1" w:styleId="FooterChar">
    <w:name w:val="Footer Char"/>
    <w:basedOn w:val="DefaultParagraphFont"/>
    <w:link w:val="Footer"/>
    <w:uiPriority w:val="99"/>
    <w:rsid w:val="00F87C9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92F"/>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rsid w:val="0005692F"/>
    <w:pPr>
      <w:tabs>
        <w:tab w:val="center" w:pos="4320"/>
        <w:tab w:val="right" w:pos="8640"/>
      </w:tabs>
    </w:pPr>
    <w:rPr>
      <w:lang w:val="x-none" w:eastAsia="x-none"/>
    </w:rPr>
  </w:style>
  <w:style w:type="character" w:customStyle="1" w:styleId="HeaderChar">
    <w:name w:val="Header Char"/>
    <w:basedOn w:val="DefaultParagraphFont"/>
    <w:link w:val="Header"/>
    <w:uiPriority w:val="99"/>
    <w:rsid w:val="0005692F"/>
    <w:rPr>
      <w:rFonts w:ascii="Times New Roman" w:eastAsia="Times New Roman" w:hAnsi="Times New Roman" w:cs="Times New Roman"/>
      <w:sz w:val="24"/>
      <w:szCs w:val="24"/>
      <w:lang w:val="x-none" w:eastAsia="x-none"/>
    </w:rPr>
  </w:style>
  <w:style w:type="character" w:styleId="PageNumber">
    <w:name w:val="page number"/>
    <w:basedOn w:val="DefaultParagraphFont"/>
    <w:rsid w:val="0005692F"/>
  </w:style>
  <w:style w:type="paragraph" w:styleId="BodyText">
    <w:name w:val="Body Text"/>
    <w:basedOn w:val="Normal"/>
    <w:link w:val="BodyTextChar"/>
    <w:rsid w:val="0005692F"/>
    <w:pPr>
      <w:jc w:val="center"/>
    </w:pPr>
  </w:style>
  <w:style w:type="character" w:customStyle="1" w:styleId="BodyTextChar">
    <w:name w:val="Body Text Char"/>
    <w:basedOn w:val="DefaultParagraphFont"/>
    <w:link w:val="BodyText"/>
    <w:rsid w:val="0005692F"/>
    <w:rPr>
      <w:rFonts w:ascii="Times New Roman" w:eastAsia="Times New Roman" w:hAnsi="Times New Roman" w:cs="Times New Roman"/>
      <w:sz w:val="24"/>
      <w:szCs w:val="24"/>
    </w:rPr>
  </w:style>
  <w:style w:type="paragraph" w:customStyle="1" w:styleId="FindingsConclusions">
    <w:name w:val="Findings &amp; Conclusions"/>
    <w:basedOn w:val="Normal"/>
    <w:rsid w:val="0005692F"/>
    <w:pPr>
      <w:numPr>
        <w:numId w:val="1"/>
      </w:numPr>
    </w:p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rsid w:val="0005692F"/>
    <w:rPr>
      <w:rFonts w:ascii="Palatino Linotype" w:hAnsi="Palatino Linotype"/>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05692F"/>
    <w:rPr>
      <w:rFonts w:ascii="Palatino Linotype" w:eastAsia="Times New Roman" w:hAnsi="Palatino Linotype" w:cs="Times New Roman"/>
      <w:sz w:val="20"/>
      <w:szCs w:val="20"/>
    </w:rPr>
  </w:style>
  <w:style w:type="character" w:styleId="FootnoteReference">
    <w:name w:val="footnote reference"/>
    <w:uiPriority w:val="99"/>
    <w:semiHidden/>
    <w:rsid w:val="0005692F"/>
    <w:rPr>
      <w:vertAlign w:val="superscript"/>
    </w:rPr>
  </w:style>
  <w:style w:type="paragraph" w:styleId="ListParagraph">
    <w:name w:val="List Paragraph"/>
    <w:basedOn w:val="Normal"/>
    <w:uiPriority w:val="34"/>
    <w:qFormat/>
    <w:rsid w:val="0005692F"/>
    <w:pPr>
      <w:ind w:left="720"/>
    </w:pPr>
  </w:style>
  <w:style w:type="paragraph" w:styleId="NoSpacing">
    <w:name w:val="No Spacing"/>
    <w:uiPriority w:val="1"/>
    <w:qFormat/>
    <w:rsid w:val="0005692F"/>
    <w:rPr>
      <w:rFonts w:ascii="Calibri" w:eastAsia="Calibri" w:hAnsi="Calibri" w:cs="Times New Roman"/>
    </w:rPr>
  </w:style>
  <w:style w:type="character" w:styleId="CommentReference">
    <w:name w:val="annotation reference"/>
    <w:basedOn w:val="DefaultParagraphFont"/>
    <w:uiPriority w:val="99"/>
    <w:semiHidden/>
    <w:unhideWhenUsed/>
    <w:rsid w:val="00A60422"/>
    <w:rPr>
      <w:sz w:val="16"/>
      <w:szCs w:val="16"/>
    </w:rPr>
  </w:style>
  <w:style w:type="paragraph" w:styleId="CommentText">
    <w:name w:val="annotation text"/>
    <w:basedOn w:val="Normal"/>
    <w:link w:val="CommentTextChar"/>
    <w:uiPriority w:val="99"/>
    <w:semiHidden/>
    <w:unhideWhenUsed/>
    <w:rsid w:val="00A60422"/>
    <w:rPr>
      <w:sz w:val="20"/>
      <w:szCs w:val="20"/>
    </w:rPr>
  </w:style>
  <w:style w:type="character" w:customStyle="1" w:styleId="CommentTextChar">
    <w:name w:val="Comment Text Char"/>
    <w:basedOn w:val="DefaultParagraphFont"/>
    <w:link w:val="CommentText"/>
    <w:uiPriority w:val="99"/>
    <w:semiHidden/>
    <w:rsid w:val="00A6042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60422"/>
    <w:rPr>
      <w:b/>
      <w:bCs/>
    </w:rPr>
  </w:style>
  <w:style w:type="character" w:customStyle="1" w:styleId="CommentSubjectChar">
    <w:name w:val="Comment Subject Char"/>
    <w:basedOn w:val="CommentTextChar"/>
    <w:link w:val="CommentSubject"/>
    <w:uiPriority w:val="99"/>
    <w:semiHidden/>
    <w:rsid w:val="00A6042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60422"/>
    <w:rPr>
      <w:rFonts w:ascii="Tahoma" w:hAnsi="Tahoma" w:cs="Tahoma"/>
      <w:sz w:val="16"/>
      <w:szCs w:val="16"/>
    </w:rPr>
  </w:style>
  <w:style w:type="character" w:customStyle="1" w:styleId="BalloonTextChar">
    <w:name w:val="Balloon Text Char"/>
    <w:basedOn w:val="DefaultParagraphFont"/>
    <w:link w:val="BalloonText"/>
    <w:uiPriority w:val="99"/>
    <w:semiHidden/>
    <w:rsid w:val="00A60422"/>
    <w:rPr>
      <w:rFonts w:ascii="Tahoma" w:eastAsia="Times New Roman" w:hAnsi="Tahoma" w:cs="Tahoma"/>
      <w:sz w:val="16"/>
      <w:szCs w:val="16"/>
    </w:rPr>
  </w:style>
  <w:style w:type="character" w:styleId="Hyperlink">
    <w:name w:val="Hyperlink"/>
    <w:basedOn w:val="DefaultParagraphFont"/>
    <w:uiPriority w:val="99"/>
    <w:unhideWhenUsed/>
    <w:rsid w:val="00245421"/>
    <w:rPr>
      <w:color w:val="0000FF" w:themeColor="hyperlink"/>
      <w:u w:val="single"/>
    </w:rPr>
  </w:style>
  <w:style w:type="paragraph" w:styleId="Footer">
    <w:name w:val="footer"/>
    <w:basedOn w:val="Normal"/>
    <w:link w:val="FooterChar"/>
    <w:uiPriority w:val="99"/>
    <w:unhideWhenUsed/>
    <w:rsid w:val="00F87C9A"/>
    <w:pPr>
      <w:tabs>
        <w:tab w:val="center" w:pos="4680"/>
        <w:tab w:val="right" w:pos="9360"/>
      </w:tabs>
    </w:pPr>
  </w:style>
  <w:style w:type="character" w:customStyle="1" w:styleId="FooterChar">
    <w:name w:val="Footer Char"/>
    <w:basedOn w:val="DefaultParagraphFont"/>
    <w:link w:val="Footer"/>
    <w:uiPriority w:val="99"/>
    <w:rsid w:val="00F87C9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2F4DB4FFEBC22478664AD30D73E85DD" ma:contentTypeVersion="144" ma:contentTypeDescription="" ma:contentTypeScope="" ma:versionID="9d4f2e088ac154d440874c130a576ca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1997-07-15T07:00:00+00:00</OpenedDate>
    <Date1 xmlns="dc463f71-b30c-4ab2-9473-d307f9d35888">2014-05-23T07:00:00+00:00</Date1>
    <IsDocumentOrder xmlns="dc463f71-b30c-4ab2-9473-d307f9d35888">true</IsDocumentOrder>
    <IsHighlyConfidential xmlns="dc463f71-b30c-4ab2-9473-d307f9d35888">false</IsHighlyConfidential>
    <CaseCompanyNames xmlns="dc463f71-b30c-4ab2-9473-d307f9d35888">Washington Exchange Carrier Association</CaseCompanyNames>
    <DocketNumber xmlns="dc463f71-b30c-4ab2-9473-d307f9d35888">971140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01EFA24-8610-4F38-8F68-00ACEB791625}"/>
</file>

<file path=customXml/itemProps2.xml><?xml version="1.0" encoding="utf-8"?>
<ds:datastoreItem xmlns:ds="http://schemas.openxmlformats.org/officeDocument/2006/customXml" ds:itemID="{6A3FFBC5-B7ED-4441-BCD2-185749328073}"/>
</file>

<file path=customXml/itemProps3.xml><?xml version="1.0" encoding="utf-8"?>
<ds:datastoreItem xmlns:ds="http://schemas.openxmlformats.org/officeDocument/2006/customXml" ds:itemID="{55D9C123-F45E-4E09-8628-760D6475977E}"/>
</file>

<file path=customXml/itemProps4.xml><?xml version="1.0" encoding="utf-8"?>
<ds:datastoreItem xmlns:ds="http://schemas.openxmlformats.org/officeDocument/2006/customXml" ds:itemID="{8DD34E5E-6681-4FE3-BBB3-9264D2F69BC4}"/>
</file>

<file path=customXml/itemProps5.xml><?xml version="1.0" encoding="utf-8"?>
<ds:datastoreItem xmlns:ds="http://schemas.openxmlformats.org/officeDocument/2006/customXml" ds:itemID="{F29E1587-F8FF-462E-B23F-36A69AA0128B}"/>
</file>

<file path=docProps/app.xml><?xml version="1.0" encoding="utf-8"?>
<Properties xmlns="http://schemas.openxmlformats.org/officeDocument/2006/extended-properties" xmlns:vt="http://schemas.openxmlformats.org/officeDocument/2006/docPropsVTypes">
  <Template>Normal</Template>
  <TotalTime>0</TotalTime>
  <Pages>5</Pages>
  <Words>1345</Words>
  <Characters>7673</Characters>
  <Application>Microsoft Office Word</Application>
  <DocSecurity>0</DocSecurity>
  <Lines>63</Lines>
  <Paragraphs>17</Paragraphs>
  <ScaleCrop>false</ScaleCrop>
  <Company/>
  <LinksUpToDate>false</LinksUpToDate>
  <CharactersWithSpaces>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2014-05-22T21:13:00Z</dcterms:created>
  <dcterms:modified xsi:type="dcterms:W3CDTF">2014-05-22T21:14:00Z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0x0101006E56B4D1795A2E4DB2F0B01679ED314A00F2F4DB4FFEBC22478664AD30D73E85DD</vt:lpwstr>
  </property>
  <property fmtid="{D5CDD505-2E9C-101B-9397-08002B2CF9AE}" pid="3" name="_docset_NoMedatataSyncRequired">
    <vt:lpwstr>False</vt:lpwstr>
  </property>
</Properties>
</file>