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400" w:rsidRPr="005E52F0" w:rsidRDefault="00164AE5" w:rsidP="00DC1284">
      <w:pPr>
        <w:rPr>
          <w:rFonts w:ascii="Times New Roman" w:hAnsi="Times New Roman"/>
          <w:szCs w:val="24"/>
        </w:rPr>
      </w:pPr>
      <w:bookmarkStart w:id="0" w:name="_GoBack"/>
      <w:bookmarkEnd w:id="0"/>
      <w:r w:rsidRPr="005E52F0">
        <w:rPr>
          <w:rFonts w:ascii="Times New Roman" w:hAnsi="Times New Roman"/>
          <w:noProof/>
          <w:szCs w:val="24"/>
        </w:rPr>
        <w:drawing>
          <wp:anchor distT="0" distB="0" distL="114300" distR="114300" simplePos="0" relativeHeight="251658240" behindDoc="1" locked="0" layoutInCell="1" allowOverlap="1" wp14:anchorId="0B288865" wp14:editId="2D053CAC">
            <wp:simplePos x="0" y="0"/>
            <wp:positionH relativeFrom="column">
              <wp:posOffset>-411480</wp:posOffset>
            </wp:positionH>
            <wp:positionV relativeFrom="page">
              <wp:posOffset>685800</wp:posOffset>
            </wp:positionV>
            <wp:extent cx="6578600" cy="381000"/>
            <wp:effectExtent l="19050" t="0" r="0" b="0"/>
            <wp:wrapNone/>
            <wp:docPr id="2" name="Picture 2" descr="PP_825suite2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rrowheads="1"/>
                    </pic:cNvPicPr>
                  </pic:nvPicPr>
                  <pic:blipFill>
                    <a:blip r:embed="rId8" cstate="print"/>
                    <a:srcRect/>
                    <a:stretch>
                      <a:fillRect/>
                    </a:stretch>
                  </pic:blipFill>
                  <pic:spPr bwMode="auto">
                    <a:xfrm>
                      <a:off x="0" y="0"/>
                      <a:ext cx="6578600" cy="381000"/>
                    </a:xfrm>
                    <a:prstGeom prst="rect">
                      <a:avLst/>
                    </a:prstGeom>
                    <a:noFill/>
                    <a:ln w="9525">
                      <a:noFill/>
                      <a:miter lim="800000"/>
                      <a:headEnd/>
                      <a:tailEnd/>
                    </a:ln>
                  </pic:spPr>
                </pic:pic>
              </a:graphicData>
            </a:graphic>
          </wp:anchor>
        </w:drawing>
      </w:r>
    </w:p>
    <w:p w:rsidR="00783646" w:rsidRPr="005E52F0" w:rsidRDefault="00783646" w:rsidP="00DC1284">
      <w:pPr>
        <w:rPr>
          <w:rFonts w:ascii="Times New Roman" w:hAnsi="Times New Roman"/>
          <w:szCs w:val="24"/>
        </w:rPr>
      </w:pPr>
    </w:p>
    <w:p w:rsidR="00903EB4" w:rsidRPr="005E52F0" w:rsidRDefault="00E76E08" w:rsidP="00DC1284">
      <w:pPr>
        <w:rPr>
          <w:rFonts w:ascii="Times New Roman" w:hAnsi="Times New Roman"/>
          <w:szCs w:val="24"/>
        </w:rPr>
      </w:pPr>
      <w:r>
        <w:rPr>
          <w:rFonts w:ascii="Times New Roman" w:hAnsi="Times New Roman"/>
          <w:szCs w:val="24"/>
        </w:rPr>
        <w:t>February 18</w:t>
      </w:r>
      <w:r w:rsidR="008176AD">
        <w:rPr>
          <w:rFonts w:ascii="Times New Roman" w:hAnsi="Times New Roman"/>
          <w:szCs w:val="24"/>
        </w:rPr>
        <w:t>, 2014</w:t>
      </w:r>
    </w:p>
    <w:p w:rsidR="00903EB4" w:rsidRPr="005E52F0" w:rsidRDefault="00903EB4" w:rsidP="00DC1284">
      <w:pPr>
        <w:rPr>
          <w:rFonts w:ascii="Times New Roman" w:hAnsi="Times New Roman"/>
          <w:szCs w:val="24"/>
        </w:rPr>
      </w:pPr>
    </w:p>
    <w:p w:rsidR="00114181" w:rsidRDefault="00903EB4" w:rsidP="00DC1284">
      <w:pPr>
        <w:rPr>
          <w:rFonts w:ascii="Times New Roman" w:hAnsi="Times New Roman"/>
          <w:b/>
          <w:i/>
          <w:szCs w:val="24"/>
        </w:rPr>
      </w:pPr>
      <w:smartTag w:uri="urn:schemas-microsoft-com:office:smarttags" w:element="stockticker">
        <w:r w:rsidRPr="005E52F0">
          <w:rPr>
            <w:rFonts w:ascii="Times New Roman" w:hAnsi="Times New Roman"/>
            <w:b/>
            <w:i/>
            <w:szCs w:val="24"/>
          </w:rPr>
          <w:t>VIA</w:t>
        </w:r>
      </w:smartTag>
      <w:r w:rsidRPr="005E52F0">
        <w:rPr>
          <w:rFonts w:ascii="Times New Roman" w:hAnsi="Times New Roman"/>
          <w:b/>
          <w:i/>
          <w:szCs w:val="24"/>
        </w:rPr>
        <w:t xml:space="preserve"> ELECTRONIC FILING</w:t>
      </w:r>
    </w:p>
    <w:p w:rsidR="008176AD" w:rsidRPr="005E52F0" w:rsidRDefault="008176AD" w:rsidP="00DC1284">
      <w:pPr>
        <w:rPr>
          <w:rFonts w:ascii="Times New Roman" w:hAnsi="Times New Roman"/>
          <w:b/>
          <w:i/>
          <w:szCs w:val="24"/>
        </w:rPr>
      </w:pPr>
      <w:r>
        <w:rPr>
          <w:rFonts w:ascii="Times New Roman" w:hAnsi="Times New Roman"/>
          <w:b/>
          <w:i/>
          <w:szCs w:val="24"/>
        </w:rPr>
        <w:t>AND OVERNIGHT DELIVERY</w:t>
      </w:r>
    </w:p>
    <w:p w:rsidR="00903EB4" w:rsidRPr="005E52F0" w:rsidRDefault="00903EB4" w:rsidP="00DC1284">
      <w:pPr>
        <w:rPr>
          <w:rFonts w:ascii="Times New Roman" w:hAnsi="Times New Roman"/>
          <w:szCs w:val="24"/>
        </w:rPr>
      </w:pPr>
    </w:p>
    <w:p w:rsidR="0005279F" w:rsidRPr="005E52F0" w:rsidRDefault="0005279F" w:rsidP="00DC1284">
      <w:pPr>
        <w:rPr>
          <w:rFonts w:ascii="Times New Roman" w:hAnsi="Times New Roman"/>
          <w:szCs w:val="24"/>
        </w:rPr>
      </w:pPr>
      <w:r w:rsidRPr="005E52F0">
        <w:rPr>
          <w:rFonts w:ascii="Times New Roman" w:hAnsi="Times New Roman"/>
          <w:szCs w:val="24"/>
        </w:rPr>
        <w:t>Steven V. King</w:t>
      </w:r>
    </w:p>
    <w:p w:rsidR="0005279F" w:rsidRPr="005E52F0" w:rsidRDefault="0005279F" w:rsidP="00DC1284">
      <w:pPr>
        <w:rPr>
          <w:rFonts w:ascii="Times New Roman" w:hAnsi="Times New Roman"/>
          <w:szCs w:val="24"/>
        </w:rPr>
      </w:pPr>
      <w:r w:rsidRPr="005E52F0">
        <w:rPr>
          <w:rFonts w:ascii="Times New Roman" w:hAnsi="Times New Roman"/>
          <w:szCs w:val="24"/>
        </w:rPr>
        <w:t>Executive Director and Secretary</w:t>
      </w:r>
    </w:p>
    <w:p w:rsidR="00903EB4" w:rsidRPr="005E52F0" w:rsidRDefault="00903EB4" w:rsidP="00DC1284">
      <w:pPr>
        <w:rPr>
          <w:rFonts w:ascii="Times New Roman" w:hAnsi="Times New Roman"/>
          <w:szCs w:val="24"/>
        </w:rPr>
      </w:pPr>
      <w:r w:rsidRPr="005E52F0">
        <w:rPr>
          <w:rFonts w:ascii="Times New Roman" w:hAnsi="Times New Roman"/>
          <w:szCs w:val="24"/>
        </w:rPr>
        <w:t>Washington Utilities and Transportation Commission</w:t>
      </w:r>
    </w:p>
    <w:p w:rsidR="00903EB4" w:rsidRPr="005E52F0" w:rsidRDefault="00903EB4" w:rsidP="00DC1284">
      <w:pPr>
        <w:rPr>
          <w:rFonts w:ascii="Times New Roman" w:hAnsi="Times New Roman"/>
          <w:szCs w:val="24"/>
        </w:rPr>
      </w:pPr>
      <w:r w:rsidRPr="005E52F0">
        <w:rPr>
          <w:rFonts w:ascii="Times New Roman" w:hAnsi="Times New Roman"/>
          <w:szCs w:val="24"/>
        </w:rPr>
        <w:t>1300 S. Evergreen Park Drive SW</w:t>
      </w:r>
    </w:p>
    <w:p w:rsidR="00903EB4" w:rsidRPr="005E52F0" w:rsidRDefault="00903EB4" w:rsidP="00DC1284">
      <w:pPr>
        <w:rPr>
          <w:rFonts w:ascii="Times New Roman" w:hAnsi="Times New Roman"/>
          <w:szCs w:val="24"/>
        </w:rPr>
      </w:pPr>
      <w:r w:rsidRPr="005E52F0">
        <w:rPr>
          <w:rFonts w:ascii="Times New Roman" w:hAnsi="Times New Roman"/>
          <w:szCs w:val="24"/>
        </w:rPr>
        <w:t>P</w:t>
      </w:r>
      <w:r w:rsidR="008176AD">
        <w:rPr>
          <w:rFonts w:ascii="Times New Roman" w:hAnsi="Times New Roman"/>
          <w:szCs w:val="24"/>
        </w:rPr>
        <w:t>.</w:t>
      </w:r>
      <w:r w:rsidRPr="005E52F0">
        <w:rPr>
          <w:rFonts w:ascii="Times New Roman" w:hAnsi="Times New Roman"/>
          <w:szCs w:val="24"/>
        </w:rPr>
        <w:t>O</w:t>
      </w:r>
      <w:r w:rsidR="008176AD">
        <w:rPr>
          <w:rFonts w:ascii="Times New Roman" w:hAnsi="Times New Roman"/>
          <w:szCs w:val="24"/>
        </w:rPr>
        <w:t>.</w:t>
      </w:r>
      <w:r w:rsidRPr="005E52F0">
        <w:rPr>
          <w:rFonts w:ascii="Times New Roman" w:hAnsi="Times New Roman"/>
          <w:szCs w:val="24"/>
        </w:rPr>
        <w:t xml:space="preserve"> Box 47250</w:t>
      </w:r>
    </w:p>
    <w:p w:rsidR="00903EB4" w:rsidRPr="005E52F0" w:rsidRDefault="008176AD" w:rsidP="00DC1284">
      <w:pPr>
        <w:rPr>
          <w:rFonts w:ascii="Times New Roman" w:hAnsi="Times New Roman"/>
          <w:szCs w:val="24"/>
        </w:rPr>
      </w:pPr>
      <w:r>
        <w:rPr>
          <w:rFonts w:ascii="Times New Roman" w:hAnsi="Times New Roman"/>
          <w:szCs w:val="24"/>
        </w:rPr>
        <w:t>Olympia, WA  98504-</w:t>
      </w:r>
      <w:r w:rsidR="00903EB4" w:rsidRPr="005E52F0">
        <w:rPr>
          <w:rFonts w:ascii="Times New Roman" w:hAnsi="Times New Roman"/>
          <w:szCs w:val="24"/>
        </w:rPr>
        <w:t>7250</w:t>
      </w:r>
    </w:p>
    <w:p w:rsidR="00903EB4" w:rsidRPr="005E52F0" w:rsidRDefault="00903EB4" w:rsidP="00DC1284">
      <w:pPr>
        <w:rPr>
          <w:rFonts w:ascii="Times New Roman" w:hAnsi="Times New Roman"/>
          <w:szCs w:val="24"/>
        </w:rPr>
      </w:pPr>
    </w:p>
    <w:p w:rsidR="008176AD" w:rsidRPr="008176AD" w:rsidRDefault="00903EB4" w:rsidP="008176AD">
      <w:pPr>
        <w:ind w:left="720" w:hanging="720"/>
        <w:rPr>
          <w:b/>
          <w:color w:val="000000"/>
        </w:rPr>
      </w:pPr>
      <w:r w:rsidRPr="005E52F0">
        <w:rPr>
          <w:rFonts w:ascii="Times New Roman" w:hAnsi="Times New Roman"/>
          <w:b/>
          <w:szCs w:val="24"/>
        </w:rPr>
        <w:t>RE:</w:t>
      </w:r>
      <w:r w:rsidRPr="005E52F0">
        <w:rPr>
          <w:rFonts w:ascii="Times New Roman" w:hAnsi="Times New Roman"/>
          <w:b/>
          <w:szCs w:val="24"/>
        </w:rPr>
        <w:tab/>
      </w:r>
      <w:r w:rsidR="00CD614A">
        <w:rPr>
          <w:b/>
          <w:color w:val="000000"/>
        </w:rPr>
        <w:t>Docket No. UE-001734</w:t>
      </w:r>
      <w:r w:rsidR="008176AD">
        <w:rPr>
          <w:b/>
          <w:color w:val="000000"/>
        </w:rPr>
        <w:t xml:space="preserve">—Report </w:t>
      </w:r>
      <w:r w:rsidR="008176AD" w:rsidRPr="008176AD">
        <w:rPr>
          <w:b/>
          <w:color w:val="000000"/>
        </w:rPr>
        <w:t>on Costs Associated with Permane</w:t>
      </w:r>
      <w:r w:rsidR="008176AD">
        <w:rPr>
          <w:b/>
          <w:color w:val="000000"/>
        </w:rPr>
        <w:t xml:space="preserve">nt Disconnection and Removal of </w:t>
      </w:r>
      <w:r w:rsidR="008176AD" w:rsidRPr="008176AD">
        <w:rPr>
          <w:b/>
          <w:color w:val="000000"/>
        </w:rPr>
        <w:t>Facilities</w:t>
      </w:r>
      <w:r w:rsidR="008176AD">
        <w:rPr>
          <w:b/>
          <w:color w:val="000000"/>
        </w:rPr>
        <w:t xml:space="preserve"> </w:t>
      </w:r>
    </w:p>
    <w:p w:rsidR="00903EB4" w:rsidRPr="005E52F0" w:rsidRDefault="00903EB4" w:rsidP="00DC1284">
      <w:pPr>
        <w:rPr>
          <w:rFonts w:ascii="Times New Roman" w:hAnsi="Times New Roman"/>
          <w:szCs w:val="24"/>
        </w:rPr>
      </w:pPr>
    </w:p>
    <w:p w:rsidR="00903EB4" w:rsidRPr="005E52F0" w:rsidRDefault="00903EB4" w:rsidP="00DC1284">
      <w:pPr>
        <w:rPr>
          <w:rFonts w:ascii="Times New Roman" w:hAnsi="Times New Roman"/>
          <w:szCs w:val="24"/>
        </w:rPr>
      </w:pPr>
      <w:r w:rsidRPr="005E52F0">
        <w:rPr>
          <w:rFonts w:ascii="Times New Roman" w:hAnsi="Times New Roman"/>
          <w:szCs w:val="24"/>
        </w:rPr>
        <w:t xml:space="preserve">Dear Mr. </w:t>
      </w:r>
      <w:r w:rsidR="0005279F" w:rsidRPr="005E52F0">
        <w:rPr>
          <w:rFonts w:ascii="Times New Roman" w:hAnsi="Times New Roman"/>
          <w:szCs w:val="24"/>
        </w:rPr>
        <w:t>King</w:t>
      </w:r>
      <w:r w:rsidRPr="005E52F0">
        <w:rPr>
          <w:rFonts w:ascii="Times New Roman" w:hAnsi="Times New Roman"/>
          <w:szCs w:val="24"/>
        </w:rPr>
        <w:t>:</w:t>
      </w:r>
    </w:p>
    <w:p w:rsidR="00903EB4" w:rsidRPr="005E52F0" w:rsidRDefault="00903EB4" w:rsidP="00DC1284">
      <w:pPr>
        <w:rPr>
          <w:rFonts w:ascii="Times New Roman" w:hAnsi="Times New Roman"/>
          <w:szCs w:val="24"/>
        </w:rPr>
      </w:pPr>
    </w:p>
    <w:p w:rsidR="008176AD" w:rsidRDefault="008176AD" w:rsidP="008176AD">
      <w:pPr>
        <w:rPr>
          <w:color w:val="000000"/>
        </w:rPr>
      </w:pPr>
      <w:r>
        <w:rPr>
          <w:color w:val="000000"/>
        </w:rPr>
        <w:t>Please find enclosed Pacific Power &amp; Light Company’s (</w:t>
      </w:r>
      <w:r w:rsidR="00CD614A">
        <w:rPr>
          <w:color w:val="000000"/>
        </w:rPr>
        <w:t>Pacific Power</w:t>
      </w:r>
      <w:r>
        <w:rPr>
          <w:color w:val="000000"/>
        </w:rPr>
        <w:t xml:space="preserve"> or Company) report on costs associated with permanent disconnection and removal of facilities for the period of January 1, 2013, through December 31, 2013.  The enclosed report details the cost of removing facilities when a customer requests permanent disconnection of service and the Company’s service facilities are not likely to be re-used at that location and require removal for safety or operational reasons.  </w:t>
      </w:r>
      <w:r w:rsidR="001820FA">
        <w:rPr>
          <w:color w:val="000000"/>
        </w:rPr>
        <w:br/>
      </w:r>
      <w:r w:rsidR="001820FA">
        <w:rPr>
          <w:color w:val="000000"/>
        </w:rPr>
        <w:br/>
        <w:t>The enclosed report has been filed annually since the conclusion of Docket No. UE-001734.</w:t>
      </w:r>
      <w:r w:rsidR="00A217AC">
        <w:rPr>
          <w:color w:val="000000"/>
        </w:rPr>
        <w:t xml:space="preserve">  However, b</w:t>
      </w:r>
      <w:r>
        <w:rPr>
          <w:color w:val="000000"/>
        </w:rPr>
        <w:t xml:space="preserve">ased on </w:t>
      </w:r>
      <w:r w:rsidR="00A217AC">
        <w:rPr>
          <w:color w:val="000000"/>
        </w:rPr>
        <w:t xml:space="preserve">the </w:t>
      </w:r>
      <w:r>
        <w:rPr>
          <w:color w:val="000000"/>
        </w:rPr>
        <w:t xml:space="preserve">discussions </w:t>
      </w:r>
      <w:r w:rsidR="00CD614A">
        <w:rPr>
          <w:color w:val="000000"/>
        </w:rPr>
        <w:t>with parties as a result of Order 04 in Docket No. UE-130043</w:t>
      </w:r>
      <w:r>
        <w:rPr>
          <w:color w:val="000000"/>
        </w:rPr>
        <w:t>,</w:t>
      </w:r>
      <w:r w:rsidR="00CD614A">
        <w:rPr>
          <w:rStyle w:val="FootnoteReference"/>
          <w:color w:val="000000"/>
        </w:rPr>
        <w:footnoteReference w:id="1"/>
      </w:r>
      <w:r>
        <w:rPr>
          <w:color w:val="000000"/>
        </w:rPr>
        <w:t xml:space="preserve"> the 2013 report presents a more comprehensive summary of the cost associated with the removal requests than previously filed reports.</w:t>
      </w:r>
    </w:p>
    <w:p w:rsidR="008176AD" w:rsidRDefault="008176AD" w:rsidP="008176AD">
      <w:pPr>
        <w:rPr>
          <w:color w:val="000000"/>
        </w:rPr>
      </w:pPr>
    </w:p>
    <w:p w:rsidR="008176AD" w:rsidRDefault="00CD614A" w:rsidP="008176AD">
      <w:pPr>
        <w:rPr>
          <w:color w:val="000000"/>
        </w:rPr>
      </w:pPr>
      <w:r>
        <w:rPr>
          <w:color w:val="000000"/>
        </w:rPr>
        <w:t>T</w:t>
      </w:r>
      <w:r w:rsidR="008176AD" w:rsidRPr="00D14752">
        <w:rPr>
          <w:color w:val="000000"/>
        </w:rPr>
        <w:t>he majority of the requests to permanent</w:t>
      </w:r>
      <w:r w:rsidR="00A217AC">
        <w:rPr>
          <w:color w:val="000000"/>
        </w:rPr>
        <w:t>ly</w:t>
      </w:r>
      <w:r w:rsidR="008176AD" w:rsidRPr="00D14752">
        <w:rPr>
          <w:color w:val="000000"/>
        </w:rPr>
        <w:t xml:space="preserve"> disconnect service are made so that customers </w:t>
      </w:r>
      <w:r w:rsidR="008176AD">
        <w:rPr>
          <w:color w:val="000000"/>
        </w:rPr>
        <w:t>can</w:t>
      </w:r>
      <w:r w:rsidR="008176AD" w:rsidRPr="00D14752">
        <w:rPr>
          <w:color w:val="000000"/>
        </w:rPr>
        <w:t xml:space="preserve"> switch electric utility providers.  While the Company has </w:t>
      </w:r>
      <w:r w:rsidR="008176AD">
        <w:rPr>
          <w:color w:val="000000"/>
        </w:rPr>
        <w:t>service a</w:t>
      </w:r>
      <w:r w:rsidR="008176AD" w:rsidRPr="00D14752">
        <w:rPr>
          <w:color w:val="000000"/>
        </w:rPr>
        <w:t>rea agreement</w:t>
      </w:r>
      <w:r w:rsidR="008176AD">
        <w:rPr>
          <w:color w:val="000000"/>
        </w:rPr>
        <w:t>s</w:t>
      </w:r>
      <w:r w:rsidR="008176AD" w:rsidRPr="00D14752">
        <w:rPr>
          <w:color w:val="000000"/>
        </w:rPr>
        <w:t xml:space="preserve"> with surrounding utilities, i</w:t>
      </w:r>
      <w:r w:rsidR="008176AD">
        <w:rPr>
          <w:color w:val="000000"/>
        </w:rPr>
        <w:t>t has been unable to negotiate an</w:t>
      </w:r>
      <w:r w:rsidR="008176AD" w:rsidRPr="00D14752">
        <w:rPr>
          <w:color w:val="000000"/>
        </w:rPr>
        <w:t xml:space="preserve"> agreement with Columbia Rural Electric Association (Columbia REA).  This has resulted in duplicative services within </w:t>
      </w:r>
      <w:r w:rsidR="008176AD">
        <w:rPr>
          <w:color w:val="000000"/>
        </w:rPr>
        <w:t xml:space="preserve">several of the </w:t>
      </w:r>
      <w:r w:rsidR="008176AD" w:rsidRPr="00D14752">
        <w:rPr>
          <w:color w:val="000000"/>
        </w:rPr>
        <w:t xml:space="preserve">communities the Company has historically served.  To ensure the Commission </w:t>
      </w:r>
      <w:r w:rsidR="008176AD">
        <w:rPr>
          <w:color w:val="000000"/>
        </w:rPr>
        <w:t>is aware of</w:t>
      </w:r>
      <w:r w:rsidR="008176AD" w:rsidRPr="00D14752">
        <w:rPr>
          <w:color w:val="000000"/>
        </w:rPr>
        <w:t xml:space="preserve"> the full impact </w:t>
      </w:r>
      <w:r w:rsidR="008176AD">
        <w:rPr>
          <w:color w:val="000000"/>
        </w:rPr>
        <w:t>permanent disconnection of facilities</w:t>
      </w:r>
      <w:r w:rsidR="008176AD" w:rsidRPr="00D14752">
        <w:rPr>
          <w:color w:val="000000"/>
        </w:rPr>
        <w:t xml:space="preserve"> have on the Company</w:t>
      </w:r>
      <w:r w:rsidR="008176AD">
        <w:rPr>
          <w:color w:val="000000"/>
        </w:rPr>
        <w:t xml:space="preserve">, </w:t>
      </w:r>
      <w:r w:rsidR="008176AD" w:rsidRPr="00D14752">
        <w:rPr>
          <w:color w:val="000000"/>
        </w:rPr>
        <w:t>th</w:t>
      </w:r>
      <w:r w:rsidR="008176AD">
        <w:rPr>
          <w:color w:val="000000"/>
        </w:rPr>
        <w:t xml:space="preserve">e Company also submits the following list of safety and operational concerns that have been identified related to duplicative service.  </w:t>
      </w:r>
    </w:p>
    <w:p w:rsidR="008176AD" w:rsidRDefault="008176AD" w:rsidP="008176AD">
      <w:pPr>
        <w:rPr>
          <w:color w:val="000000"/>
        </w:rPr>
      </w:pPr>
    </w:p>
    <w:p w:rsidR="00A217AC" w:rsidRDefault="00A217AC" w:rsidP="008176AD">
      <w:pPr>
        <w:rPr>
          <w:color w:val="000000"/>
        </w:rPr>
      </w:pPr>
    </w:p>
    <w:p w:rsidR="00A217AC" w:rsidRDefault="00A217AC" w:rsidP="008176AD">
      <w:pPr>
        <w:rPr>
          <w:color w:val="000000"/>
        </w:rPr>
      </w:pPr>
    </w:p>
    <w:p w:rsidR="00E76E08" w:rsidRDefault="00E76E08" w:rsidP="008176AD">
      <w:pPr>
        <w:rPr>
          <w:color w:val="000000"/>
        </w:rPr>
      </w:pPr>
    </w:p>
    <w:p w:rsidR="00A217AC" w:rsidRDefault="00A217AC" w:rsidP="008176AD">
      <w:pPr>
        <w:rPr>
          <w:color w:val="000000"/>
        </w:rPr>
      </w:pPr>
    </w:p>
    <w:p w:rsidR="00CD614A" w:rsidRDefault="00CD614A" w:rsidP="008176AD">
      <w:pPr>
        <w:rPr>
          <w:color w:val="000000"/>
        </w:rPr>
      </w:pPr>
    </w:p>
    <w:tbl>
      <w:tblPr>
        <w:tblStyle w:val="TableGrid"/>
        <w:tblW w:w="0" w:type="auto"/>
        <w:tblLook w:val="04A0" w:firstRow="1" w:lastRow="0" w:firstColumn="1" w:lastColumn="0" w:noHBand="0" w:noVBand="1"/>
      </w:tblPr>
      <w:tblGrid>
        <w:gridCol w:w="3192"/>
        <w:gridCol w:w="6366"/>
      </w:tblGrid>
      <w:tr w:rsidR="008176AD" w:rsidRPr="0011563F" w:rsidTr="008176AD">
        <w:tc>
          <w:tcPr>
            <w:tcW w:w="3192" w:type="dxa"/>
          </w:tcPr>
          <w:p w:rsidR="008176AD" w:rsidRPr="0011563F" w:rsidRDefault="008176AD" w:rsidP="00432095">
            <w:pPr>
              <w:pStyle w:val="ListParagraph"/>
              <w:ind w:left="0"/>
              <w:rPr>
                <w:rFonts w:cs="Times New Roman"/>
                <w:b/>
              </w:rPr>
            </w:pPr>
            <w:r w:rsidRPr="0011563F">
              <w:rPr>
                <w:rFonts w:cs="Times New Roman"/>
                <w:b/>
              </w:rPr>
              <w:lastRenderedPageBreak/>
              <w:t>Issue</w:t>
            </w:r>
          </w:p>
        </w:tc>
        <w:tc>
          <w:tcPr>
            <w:tcW w:w="6366" w:type="dxa"/>
          </w:tcPr>
          <w:p w:rsidR="008176AD" w:rsidRPr="0011563F" w:rsidRDefault="008176AD" w:rsidP="00432095">
            <w:pPr>
              <w:pStyle w:val="ListParagraph"/>
              <w:ind w:left="0"/>
              <w:rPr>
                <w:rFonts w:cs="Times New Roman"/>
                <w:b/>
              </w:rPr>
            </w:pPr>
            <w:r w:rsidRPr="0011563F">
              <w:rPr>
                <w:rFonts w:cs="Times New Roman"/>
                <w:b/>
              </w:rPr>
              <w:t>Event</w:t>
            </w:r>
          </w:p>
        </w:tc>
      </w:tr>
      <w:tr w:rsidR="008176AD" w:rsidRPr="0011563F" w:rsidTr="008176AD">
        <w:tc>
          <w:tcPr>
            <w:tcW w:w="3192" w:type="dxa"/>
          </w:tcPr>
          <w:p w:rsidR="008176AD" w:rsidRPr="0011563F" w:rsidRDefault="008176AD" w:rsidP="00432095">
            <w:pPr>
              <w:rPr>
                <w:rFonts w:ascii="Times New Roman" w:hAnsi="Times New Roman" w:cs="Times New Roman"/>
                <w:sz w:val="22"/>
                <w:szCs w:val="24"/>
              </w:rPr>
            </w:pPr>
            <w:r w:rsidRPr="0011563F">
              <w:rPr>
                <w:rFonts w:ascii="Times New Roman" w:hAnsi="Times New Roman" w:cs="Times New Roman"/>
                <w:sz w:val="22"/>
                <w:szCs w:val="24"/>
              </w:rPr>
              <w:t>Delayed utility response to emergency situations.  Responders need to know which utility to call.</w:t>
            </w:r>
          </w:p>
        </w:tc>
        <w:tc>
          <w:tcPr>
            <w:tcW w:w="6366" w:type="dxa"/>
          </w:tcPr>
          <w:p w:rsidR="008176AD" w:rsidRPr="0011563F" w:rsidRDefault="008176AD" w:rsidP="008176AD">
            <w:pPr>
              <w:pStyle w:val="ListParagraph"/>
              <w:numPr>
                <w:ilvl w:val="0"/>
                <w:numId w:val="12"/>
              </w:numPr>
              <w:tabs>
                <w:tab w:val="clear" w:pos="1440"/>
              </w:tabs>
              <w:rPr>
                <w:rFonts w:cs="Times New Roman"/>
              </w:rPr>
            </w:pPr>
            <w:r w:rsidRPr="0011563F">
              <w:rPr>
                <w:rFonts w:cs="Times New Roman"/>
              </w:rPr>
              <w:t>Approximately five years ago</w:t>
            </w:r>
            <w:r w:rsidR="002E53C4">
              <w:rPr>
                <w:rFonts w:cs="Times New Roman"/>
              </w:rPr>
              <w:t>,</w:t>
            </w:r>
            <w:r w:rsidRPr="0011563F">
              <w:rPr>
                <w:rFonts w:cs="Times New Roman"/>
              </w:rPr>
              <w:t xml:space="preserve"> the Company was contacted regarding a substation fire.  The Company responded and found it was a Columbia REA substation.  The Company contacted Columbia REA to report the fire and have them respond.</w:t>
            </w:r>
          </w:p>
          <w:p w:rsidR="008176AD" w:rsidRPr="0011563F" w:rsidRDefault="008176AD" w:rsidP="008176AD">
            <w:pPr>
              <w:pStyle w:val="ListParagraph"/>
              <w:numPr>
                <w:ilvl w:val="0"/>
                <w:numId w:val="12"/>
              </w:numPr>
              <w:tabs>
                <w:tab w:val="clear" w:pos="1440"/>
              </w:tabs>
              <w:rPr>
                <w:rFonts w:cs="Times New Roman"/>
              </w:rPr>
            </w:pPr>
            <w:r w:rsidRPr="0011563F">
              <w:rPr>
                <w:rFonts w:cs="Times New Roman"/>
              </w:rPr>
              <w:t>Within the last year</w:t>
            </w:r>
            <w:r w:rsidR="002E53C4">
              <w:rPr>
                <w:rFonts w:cs="Times New Roman"/>
              </w:rPr>
              <w:t>,</w:t>
            </w:r>
            <w:r w:rsidRPr="0011563F">
              <w:rPr>
                <w:rFonts w:cs="Times New Roman"/>
              </w:rPr>
              <w:t xml:space="preserve"> the Company also responded to a report of a primary line too close to the ground.  Upon arrival, the Company determined the primary line belonged to Columbia REA.  The Company contacted Columbia REA to advise them of the issue.</w:t>
            </w:r>
          </w:p>
          <w:p w:rsidR="008176AD" w:rsidRPr="0011563F" w:rsidRDefault="008176AD" w:rsidP="008176AD">
            <w:pPr>
              <w:pStyle w:val="ListParagraph"/>
              <w:numPr>
                <w:ilvl w:val="0"/>
                <w:numId w:val="12"/>
              </w:numPr>
              <w:tabs>
                <w:tab w:val="clear" w:pos="1440"/>
              </w:tabs>
              <w:rPr>
                <w:rFonts w:cs="Times New Roman"/>
              </w:rPr>
            </w:pPr>
            <w:r w:rsidRPr="0011563F">
              <w:rPr>
                <w:rFonts w:cs="Times New Roman"/>
              </w:rPr>
              <w:t>In January 2014</w:t>
            </w:r>
            <w:r w:rsidR="002E53C4">
              <w:rPr>
                <w:rFonts w:cs="Times New Roman"/>
              </w:rPr>
              <w:t>,</w:t>
            </w:r>
            <w:r w:rsidRPr="0011563F">
              <w:rPr>
                <w:rFonts w:cs="Times New Roman"/>
              </w:rPr>
              <w:t xml:space="preserve"> emergency services contacted the Company requesting disconnection due to a house fire.  When the Company arrived, it was determined that Columbia REA served the home.  Since emergency services needed the service disconnected immediately, the Company disconnected the service rather than have the disconnection delayed until Columbia REA arrived on site.</w:t>
            </w:r>
          </w:p>
        </w:tc>
      </w:tr>
      <w:tr w:rsidR="008176AD" w:rsidRPr="0011563F" w:rsidTr="008176AD">
        <w:tc>
          <w:tcPr>
            <w:tcW w:w="3192" w:type="dxa"/>
          </w:tcPr>
          <w:p w:rsidR="008176AD" w:rsidRPr="0011563F" w:rsidRDefault="008176AD" w:rsidP="00432095">
            <w:pPr>
              <w:rPr>
                <w:rFonts w:ascii="Times New Roman" w:hAnsi="Times New Roman" w:cs="Times New Roman"/>
                <w:sz w:val="22"/>
                <w:szCs w:val="24"/>
              </w:rPr>
            </w:pPr>
            <w:r w:rsidRPr="0011563F">
              <w:rPr>
                <w:rFonts w:ascii="Times New Roman" w:hAnsi="Times New Roman" w:cs="Times New Roman"/>
                <w:sz w:val="22"/>
                <w:szCs w:val="24"/>
              </w:rPr>
              <w:t>Connecting service before the other utility disconnects.</w:t>
            </w:r>
          </w:p>
        </w:tc>
        <w:tc>
          <w:tcPr>
            <w:tcW w:w="6366" w:type="dxa"/>
          </w:tcPr>
          <w:p w:rsidR="008176AD" w:rsidRPr="0011563F" w:rsidRDefault="008176AD" w:rsidP="008176AD">
            <w:pPr>
              <w:pStyle w:val="ListParagraph"/>
              <w:numPr>
                <w:ilvl w:val="0"/>
                <w:numId w:val="15"/>
              </w:numPr>
              <w:tabs>
                <w:tab w:val="clear" w:pos="1440"/>
              </w:tabs>
              <w:rPr>
                <w:rFonts w:cs="Times New Roman"/>
              </w:rPr>
            </w:pPr>
            <w:r w:rsidRPr="0011563F">
              <w:rPr>
                <w:rFonts w:cs="Times New Roman"/>
              </w:rPr>
              <w:t>The Company requested Columbia REA and the customer’s electrician not connect service until the Company has permanently disconnected its facilities.  There have been several incidents where the Company arrived to remove its facilities and Columbia REA was already serving the customer.  In one particular instance, the Company found its meter was spinning backwards, indicating there was a power feed from the building into the Company’s system.  The Company believes that hooking the two systems to a common ground caused a power flow between the two power providers.</w:t>
            </w:r>
          </w:p>
        </w:tc>
      </w:tr>
      <w:tr w:rsidR="008176AD" w:rsidRPr="0011563F" w:rsidTr="008176AD">
        <w:tc>
          <w:tcPr>
            <w:tcW w:w="3192" w:type="dxa"/>
          </w:tcPr>
          <w:p w:rsidR="008176AD" w:rsidRPr="0011563F" w:rsidRDefault="008176AD" w:rsidP="00432095">
            <w:pPr>
              <w:rPr>
                <w:rFonts w:ascii="Times New Roman" w:hAnsi="Times New Roman" w:cs="Times New Roman"/>
                <w:sz w:val="22"/>
                <w:szCs w:val="24"/>
              </w:rPr>
            </w:pPr>
            <w:r w:rsidRPr="0011563F">
              <w:rPr>
                <w:rFonts w:ascii="Times New Roman" w:hAnsi="Times New Roman" w:cs="Times New Roman"/>
                <w:sz w:val="22"/>
                <w:szCs w:val="24"/>
              </w:rPr>
              <w:t>Installing buried lines directly under the Company’s overhead facilities could lead an excavator or Company employees to think that the lines are only overhead. </w:t>
            </w:r>
          </w:p>
        </w:tc>
        <w:tc>
          <w:tcPr>
            <w:tcW w:w="6366" w:type="dxa"/>
          </w:tcPr>
          <w:p w:rsidR="008176AD" w:rsidRPr="0011563F" w:rsidRDefault="008176AD" w:rsidP="008176AD">
            <w:pPr>
              <w:pStyle w:val="ListParagraph"/>
              <w:numPr>
                <w:ilvl w:val="0"/>
                <w:numId w:val="13"/>
              </w:numPr>
              <w:tabs>
                <w:tab w:val="clear" w:pos="1440"/>
              </w:tabs>
              <w:rPr>
                <w:rFonts w:cs="Times New Roman"/>
              </w:rPr>
            </w:pPr>
            <w:r w:rsidRPr="0011563F">
              <w:rPr>
                <w:rFonts w:cs="Times New Roman"/>
              </w:rPr>
              <w:t>Both utilities have arrived to requested excavation locates and painted “No CREA” or “No PP+L” directly on top of the other power provider’s high voltage cables.</w:t>
            </w:r>
          </w:p>
          <w:p w:rsidR="008176AD" w:rsidRPr="0011563F" w:rsidRDefault="008176AD" w:rsidP="008176AD">
            <w:pPr>
              <w:pStyle w:val="ListParagraph"/>
              <w:numPr>
                <w:ilvl w:val="0"/>
                <w:numId w:val="13"/>
              </w:numPr>
              <w:tabs>
                <w:tab w:val="clear" w:pos="1440"/>
              </w:tabs>
              <w:rPr>
                <w:rFonts w:cs="Times New Roman"/>
              </w:rPr>
            </w:pPr>
            <w:r w:rsidRPr="0011563F">
              <w:rPr>
                <w:rFonts w:cs="Times New Roman"/>
              </w:rPr>
              <w:t>The Company has also seen examples where the utility locate identifies only one electric utility’s facilities when two electric utilities are present.</w:t>
            </w:r>
          </w:p>
          <w:p w:rsidR="008176AD" w:rsidRPr="0011563F" w:rsidRDefault="008176AD" w:rsidP="008176AD">
            <w:pPr>
              <w:pStyle w:val="ListParagraph"/>
              <w:numPr>
                <w:ilvl w:val="0"/>
                <w:numId w:val="13"/>
              </w:numPr>
              <w:tabs>
                <w:tab w:val="clear" w:pos="1440"/>
              </w:tabs>
              <w:rPr>
                <w:rFonts w:cs="Times New Roman"/>
              </w:rPr>
            </w:pPr>
            <w:r w:rsidRPr="0011563F">
              <w:rPr>
                <w:rFonts w:cs="Times New Roman"/>
              </w:rPr>
              <w:t>In May 2013, the Company responded to a car hit pole in the middle of night and requested emergency locates to change the pole out.  After waiting two hours for Columbia REA to locate electric facilities, the Company proceeded with the pole replacement without locates in order to restore service to customers. Columbia REA showed up later and located buried high voltage lines nearby.</w:t>
            </w:r>
          </w:p>
        </w:tc>
      </w:tr>
    </w:tbl>
    <w:p w:rsidR="00CD614A" w:rsidRDefault="00CD614A" w:rsidP="008176AD"/>
    <w:p w:rsidR="00E76E08" w:rsidRDefault="00E76E08" w:rsidP="008176AD"/>
    <w:p w:rsidR="008176AD" w:rsidRDefault="008176AD" w:rsidP="008176AD">
      <w:r>
        <w:br w:type="page"/>
      </w:r>
    </w:p>
    <w:tbl>
      <w:tblPr>
        <w:tblStyle w:val="TableGrid"/>
        <w:tblW w:w="9648" w:type="dxa"/>
        <w:tblLook w:val="04A0" w:firstRow="1" w:lastRow="0" w:firstColumn="1" w:lastColumn="0" w:noHBand="0" w:noVBand="1"/>
      </w:tblPr>
      <w:tblGrid>
        <w:gridCol w:w="3192"/>
        <w:gridCol w:w="6456"/>
      </w:tblGrid>
      <w:tr w:rsidR="008176AD" w:rsidRPr="0011563F" w:rsidTr="008176AD">
        <w:tc>
          <w:tcPr>
            <w:tcW w:w="3192" w:type="dxa"/>
          </w:tcPr>
          <w:p w:rsidR="008176AD" w:rsidRPr="0011563F" w:rsidRDefault="008176AD" w:rsidP="00432095">
            <w:pPr>
              <w:pStyle w:val="ListParagraph"/>
              <w:ind w:left="0"/>
              <w:rPr>
                <w:rFonts w:cs="Times New Roman"/>
                <w:b/>
              </w:rPr>
            </w:pPr>
            <w:r w:rsidRPr="0011563F">
              <w:rPr>
                <w:rFonts w:cs="Times New Roman"/>
                <w:b/>
              </w:rPr>
              <w:lastRenderedPageBreak/>
              <w:t>Issue</w:t>
            </w:r>
          </w:p>
        </w:tc>
        <w:tc>
          <w:tcPr>
            <w:tcW w:w="6456" w:type="dxa"/>
          </w:tcPr>
          <w:p w:rsidR="008176AD" w:rsidRPr="0011563F" w:rsidRDefault="008176AD" w:rsidP="00432095">
            <w:pPr>
              <w:pStyle w:val="ListParagraph"/>
              <w:ind w:left="0"/>
              <w:rPr>
                <w:rFonts w:cs="Times New Roman"/>
                <w:b/>
              </w:rPr>
            </w:pPr>
            <w:r w:rsidRPr="0011563F">
              <w:rPr>
                <w:rFonts w:cs="Times New Roman"/>
                <w:b/>
              </w:rPr>
              <w:t>Event</w:t>
            </w:r>
          </w:p>
        </w:tc>
      </w:tr>
      <w:tr w:rsidR="008176AD" w:rsidRPr="0011563F" w:rsidTr="008176AD">
        <w:tc>
          <w:tcPr>
            <w:tcW w:w="3192" w:type="dxa"/>
          </w:tcPr>
          <w:p w:rsidR="008176AD" w:rsidRPr="0011563F" w:rsidRDefault="008176AD" w:rsidP="00432095">
            <w:pPr>
              <w:rPr>
                <w:rFonts w:ascii="Times New Roman" w:hAnsi="Times New Roman" w:cs="Times New Roman"/>
                <w:sz w:val="22"/>
                <w:szCs w:val="24"/>
              </w:rPr>
            </w:pPr>
            <w:r w:rsidRPr="0011563F">
              <w:rPr>
                <w:rFonts w:ascii="Times New Roman" w:hAnsi="Times New Roman" w:cs="Times New Roman"/>
                <w:sz w:val="22"/>
                <w:szCs w:val="24"/>
              </w:rPr>
              <w:t>Multiple electric providers on the same structure.</w:t>
            </w:r>
          </w:p>
        </w:tc>
        <w:tc>
          <w:tcPr>
            <w:tcW w:w="6456" w:type="dxa"/>
          </w:tcPr>
          <w:p w:rsidR="008176AD" w:rsidRPr="0011563F" w:rsidRDefault="008176AD" w:rsidP="008176AD">
            <w:pPr>
              <w:pStyle w:val="ListParagraph"/>
              <w:numPr>
                <w:ilvl w:val="0"/>
                <w:numId w:val="16"/>
              </w:numPr>
              <w:tabs>
                <w:tab w:val="clear" w:pos="1440"/>
              </w:tabs>
              <w:rPr>
                <w:rFonts w:cs="Times New Roman"/>
              </w:rPr>
            </w:pPr>
            <w:r w:rsidRPr="0011563F">
              <w:rPr>
                <w:rFonts w:cs="Times New Roman"/>
              </w:rPr>
              <w:t>In 2012, the Company received a request from a customer requesting to permanently disconnect service so that they could switch utility providers.  Having one building with multiple services creates an unsafe environment for firefighters or electricians who may be unaware the building has a second source of electricity.  The Company will not permanently disconnect a service to a structure with multiple services unless all of the services to the structure are permanently disconnected.</w:t>
            </w:r>
          </w:p>
          <w:p w:rsidR="008176AD" w:rsidRPr="0011563F" w:rsidRDefault="008176AD" w:rsidP="002E53C4">
            <w:pPr>
              <w:pStyle w:val="ListParagraph"/>
              <w:numPr>
                <w:ilvl w:val="0"/>
                <w:numId w:val="16"/>
              </w:numPr>
              <w:tabs>
                <w:tab w:val="clear" w:pos="1440"/>
              </w:tabs>
              <w:rPr>
                <w:rFonts w:cs="Times New Roman"/>
              </w:rPr>
            </w:pPr>
            <w:r w:rsidRPr="0011563F">
              <w:rPr>
                <w:rFonts w:cs="Times New Roman"/>
              </w:rPr>
              <w:t>In November 2013</w:t>
            </w:r>
            <w:r w:rsidR="002E53C4">
              <w:rPr>
                <w:rFonts w:cs="Times New Roman"/>
              </w:rPr>
              <w:t>,</w:t>
            </w:r>
            <w:r w:rsidRPr="0011563F">
              <w:rPr>
                <w:rFonts w:cs="Times New Roman"/>
              </w:rPr>
              <w:t xml:space="preserve"> a residence was found taking electrical service from CREA while still hooked up to </w:t>
            </w:r>
            <w:r w:rsidR="002E53C4">
              <w:rPr>
                <w:rFonts w:cs="Times New Roman"/>
              </w:rPr>
              <w:t>the Company</w:t>
            </w:r>
            <w:r w:rsidRPr="0011563F">
              <w:rPr>
                <w:rFonts w:cs="Times New Roman"/>
              </w:rPr>
              <w:t>’s energized facilities.</w:t>
            </w:r>
          </w:p>
        </w:tc>
      </w:tr>
      <w:tr w:rsidR="008176AD" w:rsidRPr="0011563F" w:rsidTr="008176AD">
        <w:tc>
          <w:tcPr>
            <w:tcW w:w="3192" w:type="dxa"/>
          </w:tcPr>
          <w:p w:rsidR="008176AD" w:rsidRPr="0011563F" w:rsidRDefault="008176AD" w:rsidP="00432095">
            <w:pPr>
              <w:rPr>
                <w:rFonts w:ascii="Times New Roman" w:hAnsi="Times New Roman" w:cs="Times New Roman"/>
                <w:sz w:val="22"/>
                <w:szCs w:val="24"/>
              </w:rPr>
            </w:pPr>
            <w:r w:rsidRPr="0011563F">
              <w:rPr>
                <w:rFonts w:ascii="Times New Roman" w:hAnsi="Times New Roman" w:cs="Times New Roman"/>
                <w:sz w:val="22"/>
                <w:szCs w:val="24"/>
              </w:rPr>
              <w:t xml:space="preserve">Violation of clearance standards </w:t>
            </w:r>
          </w:p>
        </w:tc>
        <w:tc>
          <w:tcPr>
            <w:tcW w:w="6456" w:type="dxa"/>
          </w:tcPr>
          <w:p w:rsidR="008176AD" w:rsidRPr="0011563F" w:rsidRDefault="008176AD" w:rsidP="008176AD">
            <w:pPr>
              <w:pStyle w:val="ListParagraph"/>
              <w:numPr>
                <w:ilvl w:val="0"/>
                <w:numId w:val="14"/>
              </w:numPr>
              <w:tabs>
                <w:tab w:val="clear" w:pos="1440"/>
              </w:tabs>
              <w:rPr>
                <w:rFonts w:cs="Times New Roman"/>
              </w:rPr>
            </w:pPr>
            <w:r w:rsidRPr="0011563F">
              <w:rPr>
                <w:rFonts w:cs="Times New Roman"/>
              </w:rPr>
              <w:t xml:space="preserve">In July 2013, Columbia REA’s contractor planned to bury a new high voltage line 12” from one of the Company’s 7,200 volt lines.  The Company contacted Columbia REA and requested the line be located at least 6 feet from the Company’s facilities, which is </w:t>
            </w:r>
            <w:r w:rsidR="00CD614A">
              <w:rPr>
                <w:rFonts w:cs="Times New Roman"/>
              </w:rPr>
              <w:t>Pacific Power</w:t>
            </w:r>
            <w:r w:rsidRPr="0011563F">
              <w:rPr>
                <w:rFonts w:cs="Times New Roman"/>
              </w:rPr>
              <w:t>’s construction standard.  Columbia REA was reluctant to move their facilities, but cleared the violation after local authorities and Labor and Industries became involved. </w:t>
            </w:r>
          </w:p>
          <w:p w:rsidR="008176AD" w:rsidRPr="0011563F" w:rsidRDefault="008176AD" w:rsidP="008176AD">
            <w:pPr>
              <w:pStyle w:val="ListParagraph"/>
              <w:numPr>
                <w:ilvl w:val="0"/>
                <w:numId w:val="14"/>
              </w:numPr>
              <w:tabs>
                <w:tab w:val="clear" w:pos="1440"/>
              </w:tabs>
              <w:rPr>
                <w:rFonts w:cs="Times New Roman"/>
              </w:rPr>
            </w:pPr>
            <w:r w:rsidRPr="0011563F">
              <w:rPr>
                <w:rFonts w:cs="Times New Roman"/>
              </w:rPr>
              <w:t>In 2013</w:t>
            </w:r>
            <w:r w:rsidR="002E53C4">
              <w:rPr>
                <w:rFonts w:cs="Times New Roman"/>
              </w:rPr>
              <w:t>,</w:t>
            </w:r>
            <w:r w:rsidRPr="0011563F">
              <w:rPr>
                <w:rFonts w:cs="Times New Roman"/>
              </w:rPr>
              <w:t xml:space="preserve"> Columbia REA was required to lower a distributio</w:t>
            </w:r>
            <w:r w:rsidR="002E53C4">
              <w:rPr>
                <w:rFonts w:cs="Times New Roman"/>
              </w:rPr>
              <w:t>n line under the Walla Walla-to-</w:t>
            </w:r>
            <w:r w:rsidRPr="0011563F">
              <w:rPr>
                <w:rFonts w:cs="Times New Roman"/>
              </w:rPr>
              <w:t>Wallula 230kv line because required clearances were not met.  The Company is currently working to address another clearance issue involving Columbia REA’s distribution line und</w:t>
            </w:r>
            <w:r w:rsidR="002E53C4">
              <w:rPr>
                <w:rFonts w:cs="Times New Roman"/>
              </w:rPr>
              <w:t>er the Company’s Walla Walla-to-</w:t>
            </w:r>
            <w:r w:rsidRPr="0011563F">
              <w:rPr>
                <w:rFonts w:cs="Times New Roman"/>
              </w:rPr>
              <w:t>Hur</w:t>
            </w:r>
            <w:r w:rsidR="002E53C4">
              <w:rPr>
                <w:rFonts w:cs="Times New Roman"/>
              </w:rPr>
              <w:t>r</w:t>
            </w:r>
            <w:r w:rsidRPr="0011563F">
              <w:rPr>
                <w:rFonts w:cs="Times New Roman"/>
              </w:rPr>
              <w:t>icane 230kv line.</w:t>
            </w:r>
          </w:p>
        </w:tc>
      </w:tr>
      <w:tr w:rsidR="008176AD" w:rsidRPr="0011563F" w:rsidTr="008176AD">
        <w:tc>
          <w:tcPr>
            <w:tcW w:w="3192" w:type="dxa"/>
          </w:tcPr>
          <w:p w:rsidR="008176AD" w:rsidRPr="0011563F" w:rsidRDefault="008176AD" w:rsidP="00432095">
            <w:pPr>
              <w:rPr>
                <w:rFonts w:ascii="Times New Roman" w:hAnsi="Times New Roman"/>
                <w:sz w:val="22"/>
                <w:szCs w:val="24"/>
              </w:rPr>
            </w:pPr>
            <w:r>
              <w:rPr>
                <w:rFonts w:ascii="Times New Roman" w:hAnsi="Times New Roman"/>
                <w:sz w:val="22"/>
                <w:szCs w:val="24"/>
              </w:rPr>
              <w:t>Damage to Company Property</w:t>
            </w:r>
          </w:p>
        </w:tc>
        <w:tc>
          <w:tcPr>
            <w:tcW w:w="6456" w:type="dxa"/>
          </w:tcPr>
          <w:p w:rsidR="008176AD" w:rsidRPr="0011563F" w:rsidRDefault="008176AD" w:rsidP="008176AD">
            <w:pPr>
              <w:pStyle w:val="ListParagraph"/>
              <w:numPr>
                <w:ilvl w:val="0"/>
                <w:numId w:val="14"/>
              </w:numPr>
              <w:tabs>
                <w:tab w:val="clear" w:pos="1440"/>
              </w:tabs>
              <w:rPr>
                <w:rFonts w:cs="Times New Roman"/>
              </w:rPr>
            </w:pPr>
            <w:r w:rsidRPr="00A668E3">
              <w:rPr>
                <w:rFonts w:cs="Times New Roman"/>
              </w:rPr>
              <w:t xml:space="preserve">In October 2013, the Company received a report that a Columbia REA contractor trenching and installing conduits along the front of </w:t>
            </w:r>
            <w:r>
              <w:rPr>
                <w:rFonts w:cs="Times New Roman"/>
              </w:rPr>
              <w:t>the Company’s</w:t>
            </w:r>
            <w:r w:rsidRPr="00A668E3">
              <w:rPr>
                <w:rFonts w:cs="Times New Roman"/>
              </w:rPr>
              <w:t xml:space="preserve"> Bowman Substation struck the substation fence, bending a post.  The contractor attempted to straighten the post with a chain attached to a backhoe.  When that effort failed,</w:t>
            </w:r>
            <w:r w:rsidRPr="00AD528C">
              <w:rPr>
                <w:rFonts w:cs="Times New Roman"/>
              </w:rPr>
              <w:t xml:space="preserve"> a worker </w:t>
            </w:r>
            <w:r>
              <w:rPr>
                <w:rFonts w:cs="Times New Roman"/>
              </w:rPr>
              <w:t xml:space="preserve">was </w:t>
            </w:r>
            <w:r w:rsidRPr="00A668E3">
              <w:rPr>
                <w:rFonts w:cs="Times New Roman"/>
              </w:rPr>
              <w:t>reportedly lowered over the fence with a backhoe into the substation to attempt further repairs</w:t>
            </w:r>
            <w:r w:rsidRPr="00AD528C">
              <w:rPr>
                <w:rFonts w:cs="Times New Roman"/>
              </w:rPr>
              <w:t xml:space="preserve"> to the damaged post.</w:t>
            </w:r>
          </w:p>
        </w:tc>
      </w:tr>
    </w:tbl>
    <w:p w:rsidR="008176AD" w:rsidRDefault="008176AD" w:rsidP="008176AD">
      <w:pPr>
        <w:rPr>
          <w:color w:val="000000"/>
        </w:rPr>
      </w:pPr>
    </w:p>
    <w:p w:rsidR="008176AD" w:rsidRDefault="008176AD" w:rsidP="008176AD">
      <w:pPr>
        <w:rPr>
          <w:color w:val="000000"/>
        </w:rPr>
      </w:pPr>
      <w:r>
        <w:rPr>
          <w:color w:val="000000"/>
        </w:rPr>
        <w:t>If you have any questions or require further information, please contact Jennifer Angell, Customer and Regulatory Liaison, at (503) 331-4414.</w:t>
      </w:r>
    </w:p>
    <w:p w:rsidR="008176AD" w:rsidRDefault="008176AD" w:rsidP="008176AD">
      <w:pPr>
        <w:rPr>
          <w:color w:val="000000"/>
        </w:rPr>
      </w:pPr>
    </w:p>
    <w:p w:rsidR="008176AD" w:rsidRDefault="008176AD" w:rsidP="008176AD">
      <w:pPr>
        <w:rPr>
          <w:color w:val="000000"/>
        </w:rPr>
      </w:pPr>
      <w:r>
        <w:rPr>
          <w:color w:val="000000"/>
        </w:rPr>
        <w:t>Sincerely,</w:t>
      </w:r>
    </w:p>
    <w:p w:rsidR="008176AD" w:rsidRDefault="008176AD" w:rsidP="008176AD">
      <w:pPr>
        <w:rPr>
          <w:color w:val="000000"/>
        </w:rPr>
      </w:pPr>
    </w:p>
    <w:p w:rsidR="008176AD" w:rsidRDefault="008176AD" w:rsidP="008176AD">
      <w:pPr>
        <w:rPr>
          <w:color w:val="000000"/>
        </w:rPr>
      </w:pPr>
    </w:p>
    <w:p w:rsidR="008176AD" w:rsidRDefault="008176AD" w:rsidP="008176AD">
      <w:pPr>
        <w:rPr>
          <w:color w:val="000000"/>
        </w:rPr>
      </w:pPr>
    </w:p>
    <w:p w:rsidR="008176AD" w:rsidRDefault="008176AD" w:rsidP="008176AD">
      <w:pPr>
        <w:rPr>
          <w:color w:val="000000"/>
        </w:rPr>
      </w:pPr>
      <w:r>
        <w:rPr>
          <w:color w:val="000000"/>
        </w:rPr>
        <w:t>R. Bryce Dalley</w:t>
      </w:r>
    </w:p>
    <w:p w:rsidR="008176AD" w:rsidRDefault="008176AD" w:rsidP="008176AD">
      <w:pPr>
        <w:rPr>
          <w:color w:val="000000"/>
        </w:rPr>
      </w:pPr>
      <w:r>
        <w:rPr>
          <w:color w:val="000000"/>
        </w:rPr>
        <w:t>Vice President, Regulation</w:t>
      </w:r>
    </w:p>
    <w:p w:rsidR="00E76E08" w:rsidRDefault="00E76E08" w:rsidP="008176AD">
      <w:pPr>
        <w:rPr>
          <w:color w:val="000000"/>
        </w:rPr>
      </w:pPr>
    </w:p>
    <w:p w:rsidR="007538AC" w:rsidRPr="007538AC" w:rsidRDefault="008176AD" w:rsidP="008176AD">
      <w:pPr>
        <w:rPr>
          <w:rFonts w:ascii="Times New Roman" w:hAnsi="Times New Roman"/>
          <w:szCs w:val="24"/>
        </w:rPr>
      </w:pPr>
      <w:r>
        <w:rPr>
          <w:color w:val="000000"/>
        </w:rPr>
        <w:lastRenderedPageBreak/>
        <w:t>Enclosure</w:t>
      </w:r>
    </w:p>
    <w:sectPr w:rsidR="007538AC" w:rsidRPr="007538AC" w:rsidSect="00E76E0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E8B" w:rsidRDefault="002A5E8B">
      <w:r>
        <w:separator/>
      </w:r>
    </w:p>
  </w:endnote>
  <w:endnote w:type="continuationSeparator" w:id="0">
    <w:p w:rsidR="002A5E8B" w:rsidRDefault="002A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2A" w:rsidRDefault="003F1C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2A" w:rsidRDefault="003F1C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2A" w:rsidRDefault="003F1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E8B" w:rsidRDefault="002A5E8B">
      <w:r>
        <w:separator/>
      </w:r>
    </w:p>
  </w:footnote>
  <w:footnote w:type="continuationSeparator" w:id="0">
    <w:p w:rsidR="002A5E8B" w:rsidRDefault="002A5E8B">
      <w:r>
        <w:continuationSeparator/>
      </w:r>
    </w:p>
  </w:footnote>
  <w:footnote w:id="1">
    <w:p w:rsidR="00CD614A" w:rsidRDefault="00CD614A">
      <w:pPr>
        <w:pStyle w:val="FootnoteText"/>
      </w:pPr>
      <w:r>
        <w:rPr>
          <w:rStyle w:val="FootnoteReference"/>
        </w:rPr>
        <w:footnoteRef/>
      </w:r>
      <w:r>
        <w:t xml:space="preserve"> </w:t>
      </w:r>
      <w:r>
        <w:rPr>
          <w:color w:val="000000"/>
        </w:rPr>
        <w:t>In compliance with Order 04 in Docket No. UE-130043, the Company met with interested parties on September 27, 2013, to identify specific data that should be included in the Company’s November 2013 report of permanent disconnection and removal of facilities process.  The report was docketed as UE-132182.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2A" w:rsidRDefault="003F1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F0" w:rsidRDefault="00E76E08">
    <w:pPr>
      <w:pStyle w:val="Header"/>
    </w:pPr>
    <w:r>
      <w:t>Washington Utilities and Transportation Commission</w:t>
    </w:r>
  </w:p>
  <w:p w:rsidR="00E76E08" w:rsidRDefault="00E76E08">
    <w:pPr>
      <w:pStyle w:val="Header"/>
    </w:pPr>
    <w:r>
      <w:t>February 18, 2014</w:t>
    </w:r>
  </w:p>
  <w:p w:rsidR="00E76E08" w:rsidRDefault="00E76E08">
    <w:pPr>
      <w:pStyle w:val="Header"/>
      <w:rPr>
        <w:noProof/>
      </w:rPr>
    </w:pPr>
    <w:r>
      <w:t xml:space="preserve">Page </w:t>
    </w:r>
    <w:r>
      <w:fldChar w:fldCharType="begin"/>
    </w:r>
    <w:r>
      <w:instrText xml:space="preserve"> PAGE   \* MERGEFORMAT </w:instrText>
    </w:r>
    <w:r>
      <w:fldChar w:fldCharType="separate"/>
    </w:r>
    <w:r w:rsidR="003F1C2A">
      <w:rPr>
        <w:noProof/>
      </w:rPr>
      <w:t>2</w:t>
    </w:r>
    <w:r>
      <w:rPr>
        <w:noProof/>
      </w:rPr>
      <w:fldChar w:fldCharType="end"/>
    </w:r>
  </w:p>
  <w:p w:rsidR="00E76E08" w:rsidRDefault="00E76E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2A" w:rsidRDefault="003F1C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0D8F"/>
    <w:multiLevelType w:val="hybridMultilevel"/>
    <w:tmpl w:val="9634D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F23D26"/>
    <w:multiLevelType w:val="hybridMultilevel"/>
    <w:tmpl w:val="99EEED16"/>
    <w:lvl w:ilvl="0" w:tplc="C7B884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FF4EB9"/>
    <w:multiLevelType w:val="hybridMultilevel"/>
    <w:tmpl w:val="CF06D6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054742F"/>
    <w:multiLevelType w:val="hybridMultilevel"/>
    <w:tmpl w:val="D1009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1185368"/>
    <w:multiLevelType w:val="hybridMultilevel"/>
    <w:tmpl w:val="086C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C73BD"/>
    <w:multiLevelType w:val="hybridMultilevel"/>
    <w:tmpl w:val="BC024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133766"/>
    <w:multiLevelType w:val="hybridMultilevel"/>
    <w:tmpl w:val="8B744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4B28E7"/>
    <w:multiLevelType w:val="hybridMultilevel"/>
    <w:tmpl w:val="7DEE837C"/>
    <w:lvl w:ilvl="0" w:tplc="EFC2655C">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F14C46"/>
    <w:multiLevelType w:val="multilevel"/>
    <w:tmpl w:val="7DEE837C"/>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B003E2B"/>
    <w:multiLevelType w:val="hybridMultilevel"/>
    <w:tmpl w:val="86A4A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BF1DF5"/>
    <w:multiLevelType w:val="hybridMultilevel"/>
    <w:tmpl w:val="E3B2B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AC92BD8"/>
    <w:multiLevelType w:val="hybridMultilevel"/>
    <w:tmpl w:val="4DFE5B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A37054"/>
    <w:multiLevelType w:val="hybridMultilevel"/>
    <w:tmpl w:val="44746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657716B"/>
    <w:multiLevelType w:val="multilevel"/>
    <w:tmpl w:val="7DEE837C"/>
    <w:lvl w:ilvl="0">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B591273"/>
    <w:multiLevelType w:val="hybridMultilevel"/>
    <w:tmpl w:val="12FEEF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BD10C0"/>
    <w:multiLevelType w:val="hybridMultilevel"/>
    <w:tmpl w:val="68866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7"/>
  </w:num>
  <w:num w:numId="4">
    <w:abstractNumId w:val="8"/>
  </w:num>
  <w:num w:numId="5">
    <w:abstractNumId w:val="14"/>
  </w:num>
  <w:num w:numId="6">
    <w:abstractNumId w:val="13"/>
  </w:num>
  <w:num w:numId="7">
    <w:abstractNumId w:val="11"/>
  </w:num>
  <w:num w:numId="8">
    <w:abstractNumId w:val="3"/>
  </w:num>
  <w:num w:numId="9">
    <w:abstractNumId w:val="2"/>
  </w:num>
  <w:num w:numId="10">
    <w:abstractNumId w:val="4"/>
  </w:num>
  <w:num w:numId="11">
    <w:abstractNumId w:val="1"/>
  </w:num>
  <w:num w:numId="12">
    <w:abstractNumId w:val="12"/>
  </w:num>
  <w:num w:numId="13">
    <w:abstractNumId w:val="0"/>
  </w:num>
  <w:num w:numId="14">
    <w:abstractNumId w:val="6"/>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00"/>
    <w:rsid w:val="00003A61"/>
    <w:rsid w:val="00004480"/>
    <w:rsid w:val="00007FC3"/>
    <w:rsid w:val="00017F9F"/>
    <w:rsid w:val="000270C4"/>
    <w:rsid w:val="00030E36"/>
    <w:rsid w:val="00036689"/>
    <w:rsid w:val="0005279F"/>
    <w:rsid w:val="00056627"/>
    <w:rsid w:val="00056D1F"/>
    <w:rsid w:val="00057816"/>
    <w:rsid w:val="00061CEC"/>
    <w:rsid w:val="000659B6"/>
    <w:rsid w:val="0007033A"/>
    <w:rsid w:val="00072650"/>
    <w:rsid w:val="000766C1"/>
    <w:rsid w:val="00084D8F"/>
    <w:rsid w:val="00085898"/>
    <w:rsid w:val="00087756"/>
    <w:rsid w:val="00087AAA"/>
    <w:rsid w:val="0009202D"/>
    <w:rsid w:val="000A3D57"/>
    <w:rsid w:val="000A68FC"/>
    <w:rsid w:val="000A713B"/>
    <w:rsid w:val="000B1CC4"/>
    <w:rsid w:val="000B3D76"/>
    <w:rsid w:val="000B54A3"/>
    <w:rsid w:val="000C1AAE"/>
    <w:rsid w:val="000C28D1"/>
    <w:rsid w:val="000E32DD"/>
    <w:rsid w:val="000E55FE"/>
    <w:rsid w:val="00101381"/>
    <w:rsid w:val="00105F60"/>
    <w:rsid w:val="00110E04"/>
    <w:rsid w:val="00113CD6"/>
    <w:rsid w:val="00114181"/>
    <w:rsid w:val="00126399"/>
    <w:rsid w:val="001274C3"/>
    <w:rsid w:val="0013492C"/>
    <w:rsid w:val="00135368"/>
    <w:rsid w:val="0013574D"/>
    <w:rsid w:val="001371EB"/>
    <w:rsid w:val="00147F9B"/>
    <w:rsid w:val="00150340"/>
    <w:rsid w:val="00152D61"/>
    <w:rsid w:val="00153917"/>
    <w:rsid w:val="001566A3"/>
    <w:rsid w:val="00164AE5"/>
    <w:rsid w:val="0017013A"/>
    <w:rsid w:val="00171D58"/>
    <w:rsid w:val="001739F2"/>
    <w:rsid w:val="00174681"/>
    <w:rsid w:val="001776FE"/>
    <w:rsid w:val="0018160D"/>
    <w:rsid w:val="001820FA"/>
    <w:rsid w:val="00182649"/>
    <w:rsid w:val="00187734"/>
    <w:rsid w:val="00187E7D"/>
    <w:rsid w:val="00190399"/>
    <w:rsid w:val="0019723D"/>
    <w:rsid w:val="001A569E"/>
    <w:rsid w:val="001A6D29"/>
    <w:rsid w:val="001B03E4"/>
    <w:rsid w:val="001C0656"/>
    <w:rsid w:val="001C0658"/>
    <w:rsid w:val="001C1CE4"/>
    <w:rsid w:val="001C4F08"/>
    <w:rsid w:val="001F13AB"/>
    <w:rsid w:val="001F44E1"/>
    <w:rsid w:val="001F7A8D"/>
    <w:rsid w:val="00201CF8"/>
    <w:rsid w:val="00212385"/>
    <w:rsid w:val="00213706"/>
    <w:rsid w:val="002159D4"/>
    <w:rsid w:val="00221605"/>
    <w:rsid w:val="00222828"/>
    <w:rsid w:val="002300B6"/>
    <w:rsid w:val="00241207"/>
    <w:rsid w:val="00241BD6"/>
    <w:rsid w:val="002543B3"/>
    <w:rsid w:val="00257D6F"/>
    <w:rsid w:val="0026224C"/>
    <w:rsid w:val="00263C50"/>
    <w:rsid w:val="00263E25"/>
    <w:rsid w:val="00266C7C"/>
    <w:rsid w:val="00271DC9"/>
    <w:rsid w:val="00272EF8"/>
    <w:rsid w:val="0028518A"/>
    <w:rsid w:val="00286A3A"/>
    <w:rsid w:val="00295F21"/>
    <w:rsid w:val="002A0C5A"/>
    <w:rsid w:val="002A1058"/>
    <w:rsid w:val="002A360E"/>
    <w:rsid w:val="002A5E8B"/>
    <w:rsid w:val="002A6132"/>
    <w:rsid w:val="002B0985"/>
    <w:rsid w:val="002C2FED"/>
    <w:rsid w:val="002C3AE8"/>
    <w:rsid w:val="002C6F28"/>
    <w:rsid w:val="002E53C4"/>
    <w:rsid w:val="002F0607"/>
    <w:rsid w:val="002F1C73"/>
    <w:rsid w:val="002F3BBD"/>
    <w:rsid w:val="002F7DC7"/>
    <w:rsid w:val="00303A83"/>
    <w:rsid w:val="003050F4"/>
    <w:rsid w:val="00313781"/>
    <w:rsid w:val="003161FD"/>
    <w:rsid w:val="0032470E"/>
    <w:rsid w:val="00324AEA"/>
    <w:rsid w:val="003315CF"/>
    <w:rsid w:val="00334B13"/>
    <w:rsid w:val="00364FD4"/>
    <w:rsid w:val="0037095A"/>
    <w:rsid w:val="00374B72"/>
    <w:rsid w:val="00375BD2"/>
    <w:rsid w:val="00376402"/>
    <w:rsid w:val="00380020"/>
    <w:rsid w:val="00385D37"/>
    <w:rsid w:val="003866F4"/>
    <w:rsid w:val="00396920"/>
    <w:rsid w:val="003A2290"/>
    <w:rsid w:val="003A3B5F"/>
    <w:rsid w:val="003B47A1"/>
    <w:rsid w:val="003B653E"/>
    <w:rsid w:val="003C1E5F"/>
    <w:rsid w:val="003C2C28"/>
    <w:rsid w:val="003C5CA0"/>
    <w:rsid w:val="003D16E9"/>
    <w:rsid w:val="003D494D"/>
    <w:rsid w:val="003D7B39"/>
    <w:rsid w:val="003E03C1"/>
    <w:rsid w:val="003E767B"/>
    <w:rsid w:val="003F1C2A"/>
    <w:rsid w:val="003F1C4F"/>
    <w:rsid w:val="003F29D8"/>
    <w:rsid w:val="003F499B"/>
    <w:rsid w:val="003F755E"/>
    <w:rsid w:val="00402017"/>
    <w:rsid w:val="004049AB"/>
    <w:rsid w:val="004118A7"/>
    <w:rsid w:val="00413AD5"/>
    <w:rsid w:val="00414902"/>
    <w:rsid w:val="00417116"/>
    <w:rsid w:val="00421A00"/>
    <w:rsid w:val="0042644C"/>
    <w:rsid w:val="00427C5F"/>
    <w:rsid w:val="00440F71"/>
    <w:rsid w:val="004448BF"/>
    <w:rsid w:val="00447FE1"/>
    <w:rsid w:val="0045201D"/>
    <w:rsid w:val="00466D9E"/>
    <w:rsid w:val="0047071F"/>
    <w:rsid w:val="00476820"/>
    <w:rsid w:val="00480D5E"/>
    <w:rsid w:val="004944D5"/>
    <w:rsid w:val="004A041E"/>
    <w:rsid w:val="004A177A"/>
    <w:rsid w:val="004A4DCE"/>
    <w:rsid w:val="004B45E6"/>
    <w:rsid w:val="004B57B4"/>
    <w:rsid w:val="004E0574"/>
    <w:rsid w:val="004E4410"/>
    <w:rsid w:val="004F4400"/>
    <w:rsid w:val="004F6F06"/>
    <w:rsid w:val="005243CC"/>
    <w:rsid w:val="00531535"/>
    <w:rsid w:val="005362F0"/>
    <w:rsid w:val="005417D6"/>
    <w:rsid w:val="005442CC"/>
    <w:rsid w:val="00544BCF"/>
    <w:rsid w:val="00544F11"/>
    <w:rsid w:val="005473E0"/>
    <w:rsid w:val="00556AC1"/>
    <w:rsid w:val="00564C8C"/>
    <w:rsid w:val="00573336"/>
    <w:rsid w:val="00573382"/>
    <w:rsid w:val="00581ABA"/>
    <w:rsid w:val="00590CF8"/>
    <w:rsid w:val="00593B89"/>
    <w:rsid w:val="00596A1D"/>
    <w:rsid w:val="00596D32"/>
    <w:rsid w:val="005A0315"/>
    <w:rsid w:val="005A56B9"/>
    <w:rsid w:val="005B305B"/>
    <w:rsid w:val="005B3F19"/>
    <w:rsid w:val="005D20B8"/>
    <w:rsid w:val="005D5697"/>
    <w:rsid w:val="005E191D"/>
    <w:rsid w:val="005E248F"/>
    <w:rsid w:val="005E52F0"/>
    <w:rsid w:val="005E6B6D"/>
    <w:rsid w:val="005F1CD0"/>
    <w:rsid w:val="005F52F4"/>
    <w:rsid w:val="005F59F4"/>
    <w:rsid w:val="005F5B03"/>
    <w:rsid w:val="005F7C51"/>
    <w:rsid w:val="0061719E"/>
    <w:rsid w:val="00626705"/>
    <w:rsid w:val="006340D4"/>
    <w:rsid w:val="00640025"/>
    <w:rsid w:val="00641E03"/>
    <w:rsid w:val="0066095F"/>
    <w:rsid w:val="00672D33"/>
    <w:rsid w:val="00691FE8"/>
    <w:rsid w:val="006924BA"/>
    <w:rsid w:val="00697C99"/>
    <w:rsid w:val="006A62E0"/>
    <w:rsid w:val="006C57BF"/>
    <w:rsid w:val="006C5DAF"/>
    <w:rsid w:val="006E39C7"/>
    <w:rsid w:val="006F0DC2"/>
    <w:rsid w:val="006F4BF3"/>
    <w:rsid w:val="006F75BE"/>
    <w:rsid w:val="007001C2"/>
    <w:rsid w:val="007047FA"/>
    <w:rsid w:val="00710DFC"/>
    <w:rsid w:val="00711DDB"/>
    <w:rsid w:val="0071214A"/>
    <w:rsid w:val="007174C9"/>
    <w:rsid w:val="00720F05"/>
    <w:rsid w:val="00721DB0"/>
    <w:rsid w:val="00724396"/>
    <w:rsid w:val="0074316D"/>
    <w:rsid w:val="007538AC"/>
    <w:rsid w:val="007647D8"/>
    <w:rsid w:val="007652CF"/>
    <w:rsid w:val="007702E8"/>
    <w:rsid w:val="00781B71"/>
    <w:rsid w:val="00783646"/>
    <w:rsid w:val="007911EE"/>
    <w:rsid w:val="007925C5"/>
    <w:rsid w:val="00795E66"/>
    <w:rsid w:val="007A45D1"/>
    <w:rsid w:val="007B048B"/>
    <w:rsid w:val="007B0BA7"/>
    <w:rsid w:val="007B1C57"/>
    <w:rsid w:val="007B2F7B"/>
    <w:rsid w:val="007B35C8"/>
    <w:rsid w:val="007B5293"/>
    <w:rsid w:val="007C0755"/>
    <w:rsid w:val="007C5D91"/>
    <w:rsid w:val="007C76EF"/>
    <w:rsid w:val="007D5239"/>
    <w:rsid w:val="007F275F"/>
    <w:rsid w:val="007F45EA"/>
    <w:rsid w:val="008033CA"/>
    <w:rsid w:val="0080773B"/>
    <w:rsid w:val="008138B1"/>
    <w:rsid w:val="008176AD"/>
    <w:rsid w:val="00833A34"/>
    <w:rsid w:val="00842AE7"/>
    <w:rsid w:val="008457F1"/>
    <w:rsid w:val="00863C2F"/>
    <w:rsid w:val="0087667A"/>
    <w:rsid w:val="008768A2"/>
    <w:rsid w:val="00886C60"/>
    <w:rsid w:val="00887BBA"/>
    <w:rsid w:val="00891E96"/>
    <w:rsid w:val="008953AC"/>
    <w:rsid w:val="0089790F"/>
    <w:rsid w:val="0089792F"/>
    <w:rsid w:val="008B07AC"/>
    <w:rsid w:val="008B0D2B"/>
    <w:rsid w:val="008B3EB1"/>
    <w:rsid w:val="008D785D"/>
    <w:rsid w:val="008D78BE"/>
    <w:rsid w:val="008E11A7"/>
    <w:rsid w:val="008E57C2"/>
    <w:rsid w:val="00902993"/>
    <w:rsid w:val="00903EB4"/>
    <w:rsid w:val="00911484"/>
    <w:rsid w:val="009117AF"/>
    <w:rsid w:val="00913A63"/>
    <w:rsid w:val="009171FA"/>
    <w:rsid w:val="00920CA4"/>
    <w:rsid w:val="00927D47"/>
    <w:rsid w:val="00934D66"/>
    <w:rsid w:val="00941A75"/>
    <w:rsid w:val="009471BD"/>
    <w:rsid w:val="009474BB"/>
    <w:rsid w:val="009645C6"/>
    <w:rsid w:val="00964B1B"/>
    <w:rsid w:val="00974B0E"/>
    <w:rsid w:val="009767C7"/>
    <w:rsid w:val="00976E1E"/>
    <w:rsid w:val="00987BA1"/>
    <w:rsid w:val="009925E1"/>
    <w:rsid w:val="00992631"/>
    <w:rsid w:val="009957C0"/>
    <w:rsid w:val="009A2C40"/>
    <w:rsid w:val="009A6936"/>
    <w:rsid w:val="009B1096"/>
    <w:rsid w:val="009B10B1"/>
    <w:rsid w:val="009C2704"/>
    <w:rsid w:val="009D022E"/>
    <w:rsid w:val="009D6550"/>
    <w:rsid w:val="009E5DC7"/>
    <w:rsid w:val="009F577A"/>
    <w:rsid w:val="009F6B01"/>
    <w:rsid w:val="00A15891"/>
    <w:rsid w:val="00A16291"/>
    <w:rsid w:val="00A217AC"/>
    <w:rsid w:val="00A30DD4"/>
    <w:rsid w:val="00A31143"/>
    <w:rsid w:val="00A316EF"/>
    <w:rsid w:val="00A33834"/>
    <w:rsid w:val="00A44103"/>
    <w:rsid w:val="00A52A12"/>
    <w:rsid w:val="00A63516"/>
    <w:rsid w:val="00A657C5"/>
    <w:rsid w:val="00A669C4"/>
    <w:rsid w:val="00A671EA"/>
    <w:rsid w:val="00A67AC8"/>
    <w:rsid w:val="00A74907"/>
    <w:rsid w:val="00A80876"/>
    <w:rsid w:val="00A84EB6"/>
    <w:rsid w:val="00A856EB"/>
    <w:rsid w:val="00AA6E24"/>
    <w:rsid w:val="00AB5494"/>
    <w:rsid w:val="00AC1216"/>
    <w:rsid w:val="00AC4A2E"/>
    <w:rsid w:val="00AE13C3"/>
    <w:rsid w:val="00AF72D5"/>
    <w:rsid w:val="00B02994"/>
    <w:rsid w:val="00B05C0C"/>
    <w:rsid w:val="00B07C4D"/>
    <w:rsid w:val="00B14F56"/>
    <w:rsid w:val="00B20D71"/>
    <w:rsid w:val="00B2397E"/>
    <w:rsid w:val="00B25D72"/>
    <w:rsid w:val="00B265E5"/>
    <w:rsid w:val="00B34925"/>
    <w:rsid w:val="00B34BDC"/>
    <w:rsid w:val="00B358CC"/>
    <w:rsid w:val="00B35F27"/>
    <w:rsid w:val="00B40198"/>
    <w:rsid w:val="00B409EB"/>
    <w:rsid w:val="00B41699"/>
    <w:rsid w:val="00B42268"/>
    <w:rsid w:val="00B45318"/>
    <w:rsid w:val="00B639FC"/>
    <w:rsid w:val="00B7307E"/>
    <w:rsid w:val="00B80348"/>
    <w:rsid w:val="00B82AB5"/>
    <w:rsid w:val="00B858A7"/>
    <w:rsid w:val="00B85ED0"/>
    <w:rsid w:val="00B923B7"/>
    <w:rsid w:val="00B971AA"/>
    <w:rsid w:val="00BA3955"/>
    <w:rsid w:val="00BA4050"/>
    <w:rsid w:val="00BB290E"/>
    <w:rsid w:val="00BB3275"/>
    <w:rsid w:val="00BC6D67"/>
    <w:rsid w:val="00BD19D9"/>
    <w:rsid w:val="00BD75D6"/>
    <w:rsid w:val="00BE0A16"/>
    <w:rsid w:val="00BE15E3"/>
    <w:rsid w:val="00BE3940"/>
    <w:rsid w:val="00BE418D"/>
    <w:rsid w:val="00BE49E0"/>
    <w:rsid w:val="00BE4A30"/>
    <w:rsid w:val="00BE6F69"/>
    <w:rsid w:val="00BF01C3"/>
    <w:rsid w:val="00C00B3D"/>
    <w:rsid w:val="00C12D26"/>
    <w:rsid w:val="00C136D6"/>
    <w:rsid w:val="00C13BBF"/>
    <w:rsid w:val="00C15263"/>
    <w:rsid w:val="00C270DD"/>
    <w:rsid w:val="00C277D4"/>
    <w:rsid w:val="00C27D42"/>
    <w:rsid w:val="00C3072D"/>
    <w:rsid w:val="00C3437D"/>
    <w:rsid w:val="00C417F2"/>
    <w:rsid w:val="00C4734C"/>
    <w:rsid w:val="00C47AAE"/>
    <w:rsid w:val="00C52165"/>
    <w:rsid w:val="00C61104"/>
    <w:rsid w:val="00C71A1E"/>
    <w:rsid w:val="00C748E9"/>
    <w:rsid w:val="00C74C8E"/>
    <w:rsid w:val="00C77DC6"/>
    <w:rsid w:val="00C86054"/>
    <w:rsid w:val="00C93BB4"/>
    <w:rsid w:val="00C9624F"/>
    <w:rsid w:val="00C9681A"/>
    <w:rsid w:val="00C96E64"/>
    <w:rsid w:val="00CA5680"/>
    <w:rsid w:val="00CB0564"/>
    <w:rsid w:val="00CB7912"/>
    <w:rsid w:val="00CC324F"/>
    <w:rsid w:val="00CC5093"/>
    <w:rsid w:val="00CC539E"/>
    <w:rsid w:val="00CD614A"/>
    <w:rsid w:val="00CD792B"/>
    <w:rsid w:val="00CE1243"/>
    <w:rsid w:val="00CE1CC5"/>
    <w:rsid w:val="00CE2F44"/>
    <w:rsid w:val="00D01C29"/>
    <w:rsid w:val="00D06F01"/>
    <w:rsid w:val="00D1339B"/>
    <w:rsid w:val="00D164B8"/>
    <w:rsid w:val="00D25B73"/>
    <w:rsid w:val="00D265A3"/>
    <w:rsid w:val="00D27CDC"/>
    <w:rsid w:val="00D41A3E"/>
    <w:rsid w:val="00D46079"/>
    <w:rsid w:val="00D50D88"/>
    <w:rsid w:val="00D54509"/>
    <w:rsid w:val="00D745B8"/>
    <w:rsid w:val="00D75E47"/>
    <w:rsid w:val="00D81F4B"/>
    <w:rsid w:val="00D86AA4"/>
    <w:rsid w:val="00DA224F"/>
    <w:rsid w:val="00DA5274"/>
    <w:rsid w:val="00DB0227"/>
    <w:rsid w:val="00DC1284"/>
    <w:rsid w:val="00DC7D03"/>
    <w:rsid w:val="00DD0BD7"/>
    <w:rsid w:val="00DD50CC"/>
    <w:rsid w:val="00DD7F7B"/>
    <w:rsid w:val="00DE71D0"/>
    <w:rsid w:val="00E03761"/>
    <w:rsid w:val="00E07D34"/>
    <w:rsid w:val="00E15A26"/>
    <w:rsid w:val="00E34B08"/>
    <w:rsid w:val="00E37291"/>
    <w:rsid w:val="00E4016F"/>
    <w:rsid w:val="00E42A99"/>
    <w:rsid w:val="00E43962"/>
    <w:rsid w:val="00E44C06"/>
    <w:rsid w:val="00E4609E"/>
    <w:rsid w:val="00E5748B"/>
    <w:rsid w:val="00E624C3"/>
    <w:rsid w:val="00E6787D"/>
    <w:rsid w:val="00E71528"/>
    <w:rsid w:val="00E76E08"/>
    <w:rsid w:val="00E77605"/>
    <w:rsid w:val="00E830E3"/>
    <w:rsid w:val="00E83B14"/>
    <w:rsid w:val="00E87FBD"/>
    <w:rsid w:val="00E90513"/>
    <w:rsid w:val="00E9283C"/>
    <w:rsid w:val="00E94875"/>
    <w:rsid w:val="00EA19A2"/>
    <w:rsid w:val="00EA3336"/>
    <w:rsid w:val="00EA750C"/>
    <w:rsid w:val="00EB051D"/>
    <w:rsid w:val="00EC4835"/>
    <w:rsid w:val="00EC604B"/>
    <w:rsid w:val="00ED3E8C"/>
    <w:rsid w:val="00ED4168"/>
    <w:rsid w:val="00EE1827"/>
    <w:rsid w:val="00EE3517"/>
    <w:rsid w:val="00EE5B8D"/>
    <w:rsid w:val="00F01682"/>
    <w:rsid w:val="00F01A41"/>
    <w:rsid w:val="00F0274D"/>
    <w:rsid w:val="00F1435E"/>
    <w:rsid w:val="00F15B6B"/>
    <w:rsid w:val="00F22731"/>
    <w:rsid w:val="00F335AB"/>
    <w:rsid w:val="00F5189C"/>
    <w:rsid w:val="00F518BB"/>
    <w:rsid w:val="00F531ED"/>
    <w:rsid w:val="00F6210F"/>
    <w:rsid w:val="00F8053D"/>
    <w:rsid w:val="00F86053"/>
    <w:rsid w:val="00F862C8"/>
    <w:rsid w:val="00F912D8"/>
    <w:rsid w:val="00F91F60"/>
    <w:rsid w:val="00F9598B"/>
    <w:rsid w:val="00FA74CF"/>
    <w:rsid w:val="00FA7843"/>
    <w:rsid w:val="00FB1069"/>
    <w:rsid w:val="00FC7404"/>
    <w:rsid w:val="00FD12BE"/>
    <w:rsid w:val="00FF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73"/>
    <w:rPr>
      <w:sz w:val="24"/>
    </w:rPr>
  </w:style>
  <w:style w:type="paragraph" w:styleId="Heading3">
    <w:name w:val="heading 3"/>
    <w:basedOn w:val="Normal"/>
    <w:next w:val="Normal"/>
    <w:qFormat/>
    <w:rsid w:val="00903EB4"/>
    <w:pPr>
      <w:keepNext/>
      <w:outlineLvl w:val="2"/>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styleId="BodyTextIndent3">
    <w:name w:val="Body Text Indent 3"/>
    <w:basedOn w:val="Normal"/>
    <w:rsid w:val="00C47AAE"/>
    <w:pPr>
      <w:spacing w:after="120"/>
      <w:ind w:left="360"/>
    </w:pPr>
    <w:rPr>
      <w:sz w:val="16"/>
      <w:szCs w:val="16"/>
    </w:rPr>
  </w:style>
  <w:style w:type="paragraph" w:styleId="BodyText3">
    <w:name w:val="Body Text 3"/>
    <w:basedOn w:val="Normal"/>
    <w:rsid w:val="00C47AAE"/>
    <w:pPr>
      <w:spacing w:after="120"/>
    </w:pPr>
    <w:rPr>
      <w:sz w:val="16"/>
      <w:szCs w:val="16"/>
    </w:rPr>
  </w:style>
  <w:style w:type="paragraph" w:customStyle="1" w:styleId="CharChar1">
    <w:name w:val="Char Char1"/>
    <w:basedOn w:val="Normal"/>
    <w:rsid w:val="00C47AAE"/>
    <w:pPr>
      <w:spacing w:after="160" w:line="240" w:lineRule="exact"/>
    </w:pPr>
    <w:rPr>
      <w:rFonts w:ascii="Verdana" w:eastAsia="Times New Roman" w:hAnsi="Verdana"/>
      <w:sz w:val="20"/>
    </w:rPr>
  </w:style>
  <w:style w:type="character" w:styleId="Hyperlink">
    <w:name w:val="Hyperlink"/>
    <w:basedOn w:val="DefaultParagraphFont"/>
    <w:rsid w:val="00C47AAE"/>
    <w:rPr>
      <w:color w:val="0000FF"/>
      <w:u w:val="single"/>
    </w:rPr>
  </w:style>
  <w:style w:type="paragraph" w:styleId="Footer">
    <w:name w:val="footer"/>
    <w:basedOn w:val="Normal"/>
    <w:rsid w:val="00C47AAE"/>
    <w:pPr>
      <w:tabs>
        <w:tab w:val="center" w:pos="4320"/>
        <w:tab w:val="right" w:pos="8640"/>
      </w:tabs>
    </w:pPr>
  </w:style>
  <w:style w:type="paragraph" w:styleId="BalloonText">
    <w:name w:val="Balloon Text"/>
    <w:basedOn w:val="Normal"/>
    <w:semiHidden/>
    <w:rsid w:val="00152D61"/>
    <w:rPr>
      <w:rFonts w:ascii="Tahoma" w:hAnsi="Tahoma" w:cs="Tahoma"/>
      <w:sz w:val="16"/>
      <w:szCs w:val="16"/>
    </w:rPr>
  </w:style>
  <w:style w:type="character" w:styleId="CommentReference">
    <w:name w:val="annotation reference"/>
    <w:basedOn w:val="DefaultParagraphFont"/>
    <w:semiHidden/>
    <w:rsid w:val="00992631"/>
    <w:rPr>
      <w:sz w:val="16"/>
      <w:szCs w:val="16"/>
    </w:rPr>
  </w:style>
  <w:style w:type="paragraph" w:styleId="CommentText">
    <w:name w:val="annotation text"/>
    <w:basedOn w:val="Normal"/>
    <w:semiHidden/>
    <w:rsid w:val="00992631"/>
    <w:rPr>
      <w:sz w:val="20"/>
    </w:rPr>
  </w:style>
  <w:style w:type="paragraph" w:styleId="CommentSubject">
    <w:name w:val="annotation subject"/>
    <w:basedOn w:val="CommentText"/>
    <w:next w:val="CommentText"/>
    <w:semiHidden/>
    <w:rsid w:val="00992631"/>
    <w:rPr>
      <w:b/>
      <w:bCs/>
    </w:rPr>
  </w:style>
  <w:style w:type="character" w:styleId="Strong">
    <w:name w:val="Strong"/>
    <w:basedOn w:val="DefaultParagraphFont"/>
    <w:qFormat/>
    <w:rsid w:val="0080773B"/>
    <w:rPr>
      <w:b/>
      <w:bCs/>
    </w:rPr>
  </w:style>
  <w:style w:type="paragraph" w:customStyle="1" w:styleId="CharChar1CharCharChar">
    <w:name w:val="Char Char1 Char Char Char"/>
    <w:basedOn w:val="Normal"/>
    <w:rsid w:val="008E11A7"/>
    <w:pPr>
      <w:spacing w:after="160" w:line="240" w:lineRule="exact"/>
    </w:pPr>
    <w:rPr>
      <w:rFonts w:ascii="Verdana" w:eastAsia="Times New Roman" w:hAnsi="Verdana" w:cs="Verdana"/>
      <w:sz w:val="20"/>
    </w:rPr>
  </w:style>
  <w:style w:type="paragraph" w:styleId="FootnoteText">
    <w:name w:val="footnote text"/>
    <w:basedOn w:val="Normal"/>
    <w:semiHidden/>
    <w:rsid w:val="00903EB4"/>
    <w:rPr>
      <w:rFonts w:ascii="Times New Roman" w:eastAsia="Times New Roman" w:hAnsi="Times New Roman"/>
      <w:sz w:val="20"/>
    </w:rPr>
  </w:style>
  <w:style w:type="character" w:styleId="FootnoteReference">
    <w:name w:val="footnote reference"/>
    <w:basedOn w:val="DefaultParagraphFont"/>
    <w:semiHidden/>
    <w:rsid w:val="00903EB4"/>
    <w:rPr>
      <w:vertAlign w:val="superscript"/>
    </w:rPr>
  </w:style>
  <w:style w:type="paragraph" w:styleId="ListParagraph">
    <w:name w:val="List Paragraph"/>
    <w:basedOn w:val="Normal"/>
    <w:uiPriority w:val="34"/>
    <w:qFormat/>
    <w:rsid w:val="00B40198"/>
    <w:pPr>
      <w:tabs>
        <w:tab w:val="left" w:pos="1440"/>
      </w:tabs>
      <w:ind w:left="720"/>
      <w:contextualSpacing/>
    </w:pPr>
    <w:rPr>
      <w:rFonts w:ascii="Times New Roman" w:eastAsia="Times New Roman" w:hAnsi="Times New Roman"/>
      <w:szCs w:val="24"/>
    </w:rPr>
  </w:style>
  <w:style w:type="paragraph" w:customStyle="1" w:styleId="To">
    <w:name w:val="To"/>
    <w:basedOn w:val="Normal"/>
    <w:rsid w:val="00B40198"/>
    <w:pPr>
      <w:tabs>
        <w:tab w:val="left" w:pos="1440"/>
      </w:tabs>
    </w:pPr>
    <w:rPr>
      <w:rFonts w:ascii="Times New Roman" w:eastAsia="Times New Roman" w:hAnsi="Times New Roman"/>
    </w:rPr>
  </w:style>
  <w:style w:type="character" w:customStyle="1" w:styleId="A4">
    <w:name w:val="A4"/>
    <w:uiPriority w:val="99"/>
    <w:rsid w:val="00724396"/>
    <w:rPr>
      <w:color w:val="000000"/>
      <w:sz w:val="20"/>
      <w:szCs w:val="20"/>
    </w:rPr>
  </w:style>
  <w:style w:type="table" w:styleId="TableGrid">
    <w:name w:val="Table Grid"/>
    <w:basedOn w:val="TableNormal"/>
    <w:uiPriority w:val="59"/>
    <w:rsid w:val="0072439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73"/>
    <w:rPr>
      <w:sz w:val="24"/>
    </w:rPr>
  </w:style>
  <w:style w:type="paragraph" w:styleId="Heading3">
    <w:name w:val="heading 3"/>
    <w:basedOn w:val="Normal"/>
    <w:next w:val="Normal"/>
    <w:qFormat/>
    <w:rsid w:val="00903EB4"/>
    <w:pPr>
      <w:keepNext/>
      <w:outlineLvl w:val="2"/>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rsid w:val="00976E1E"/>
    <w:rPr>
      <w:rFonts w:ascii="Times New Roman" w:eastAsia="Times New Roman" w:hAnsi="Times New Roman"/>
      <w:sz w:val="16"/>
    </w:rPr>
  </w:style>
  <w:style w:type="paragraph" w:styleId="BodyText">
    <w:name w:val="Body Text"/>
    <w:basedOn w:val="Normal"/>
    <w:rsid w:val="00976E1E"/>
    <w:pPr>
      <w:spacing w:line="480" w:lineRule="auto"/>
      <w:ind w:firstLine="720"/>
    </w:pPr>
    <w:rPr>
      <w:rFonts w:ascii="Times New Roman" w:eastAsia="Times New Roman" w:hAnsi="Times New Roman"/>
      <w:szCs w:val="24"/>
    </w:rPr>
  </w:style>
  <w:style w:type="paragraph" w:customStyle="1" w:styleId="Address">
    <w:name w:val="Address"/>
    <w:basedOn w:val="Normal"/>
    <w:rsid w:val="00976E1E"/>
    <w:pPr>
      <w:overflowPunct w:val="0"/>
      <w:autoSpaceDE w:val="0"/>
      <w:autoSpaceDN w:val="0"/>
      <w:adjustRightInd w:val="0"/>
      <w:textAlignment w:val="baseline"/>
    </w:pPr>
    <w:rPr>
      <w:rFonts w:ascii="Times New Roman" w:eastAsia="Times New Roman" w:hAnsi="Times New Roman"/>
    </w:rPr>
  </w:style>
  <w:style w:type="paragraph" w:customStyle="1" w:styleId="Addressee">
    <w:name w:val="Addressee"/>
    <w:basedOn w:val="Normal"/>
    <w:rsid w:val="00976E1E"/>
    <w:pPr>
      <w:overflowPunct w:val="0"/>
      <w:autoSpaceDE w:val="0"/>
      <w:autoSpaceDN w:val="0"/>
      <w:adjustRightInd w:val="0"/>
      <w:textAlignment w:val="baseline"/>
    </w:pPr>
    <w:rPr>
      <w:rFonts w:ascii="Times New Roman" w:eastAsia="Times New Roman" w:hAnsi="Times New Roman"/>
    </w:rPr>
  </w:style>
  <w:style w:type="character" w:customStyle="1" w:styleId="LetterDate">
    <w:name w:val="LetterDate"/>
    <w:basedOn w:val="DefaultParagraphFont"/>
    <w:rsid w:val="00976E1E"/>
    <w:rPr>
      <w:rFonts w:ascii="Times New Roman" w:hAnsi="Times New Roman"/>
      <w:color w:val="auto"/>
      <w:spacing w:val="0"/>
      <w:kern w:val="0"/>
      <w:position w:val="0"/>
      <w:sz w:val="24"/>
      <w:u w:val="none"/>
      <w:vertAlign w:val="baseline"/>
    </w:rPr>
  </w:style>
  <w:style w:type="paragraph" w:styleId="Header">
    <w:name w:val="header"/>
    <w:basedOn w:val="Normal"/>
    <w:rsid w:val="009A2C40"/>
    <w:pPr>
      <w:tabs>
        <w:tab w:val="center" w:pos="4680"/>
        <w:tab w:val="right" w:pos="9360"/>
      </w:tabs>
    </w:pPr>
    <w:rPr>
      <w:rFonts w:ascii="Times New Roman" w:eastAsia="Times New Roman" w:hAnsi="Times New Roman"/>
      <w:szCs w:val="24"/>
    </w:rPr>
  </w:style>
  <w:style w:type="character" w:styleId="PageNumber">
    <w:name w:val="page number"/>
    <w:basedOn w:val="DefaultParagraphFont"/>
    <w:rsid w:val="009A2C40"/>
  </w:style>
  <w:style w:type="paragraph" w:styleId="BodyTextIndent3">
    <w:name w:val="Body Text Indent 3"/>
    <w:basedOn w:val="Normal"/>
    <w:rsid w:val="00C47AAE"/>
    <w:pPr>
      <w:spacing w:after="120"/>
      <w:ind w:left="360"/>
    </w:pPr>
    <w:rPr>
      <w:sz w:val="16"/>
      <w:szCs w:val="16"/>
    </w:rPr>
  </w:style>
  <w:style w:type="paragraph" w:styleId="BodyText3">
    <w:name w:val="Body Text 3"/>
    <w:basedOn w:val="Normal"/>
    <w:rsid w:val="00C47AAE"/>
    <w:pPr>
      <w:spacing w:after="120"/>
    </w:pPr>
    <w:rPr>
      <w:sz w:val="16"/>
      <w:szCs w:val="16"/>
    </w:rPr>
  </w:style>
  <w:style w:type="paragraph" w:customStyle="1" w:styleId="CharChar1">
    <w:name w:val="Char Char1"/>
    <w:basedOn w:val="Normal"/>
    <w:rsid w:val="00C47AAE"/>
    <w:pPr>
      <w:spacing w:after="160" w:line="240" w:lineRule="exact"/>
    </w:pPr>
    <w:rPr>
      <w:rFonts w:ascii="Verdana" w:eastAsia="Times New Roman" w:hAnsi="Verdana"/>
      <w:sz w:val="20"/>
    </w:rPr>
  </w:style>
  <w:style w:type="character" w:styleId="Hyperlink">
    <w:name w:val="Hyperlink"/>
    <w:basedOn w:val="DefaultParagraphFont"/>
    <w:rsid w:val="00C47AAE"/>
    <w:rPr>
      <w:color w:val="0000FF"/>
      <w:u w:val="single"/>
    </w:rPr>
  </w:style>
  <w:style w:type="paragraph" w:styleId="Footer">
    <w:name w:val="footer"/>
    <w:basedOn w:val="Normal"/>
    <w:rsid w:val="00C47AAE"/>
    <w:pPr>
      <w:tabs>
        <w:tab w:val="center" w:pos="4320"/>
        <w:tab w:val="right" w:pos="8640"/>
      </w:tabs>
    </w:pPr>
  </w:style>
  <w:style w:type="paragraph" w:styleId="BalloonText">
    <w:name w:val="Balloon Text"/>
    <w:basedOn w:val="Normal"/>
    <w:semiHidden/>
    <w:rsid w:val="00152D61"/>
    <w:rPr>
      <w:rFonts w:ascii="Tahoma" w:hAnsi="Tahoma" w:cs="Tahoma"/>
      <w:sz w:val="16"/>
      <w:szCs w:val="16"/>
    </w:rPr>
  </w:style>
  <w:style w:type="character" w:styleId="CommentReference">
    <w:name w:val="annotation reference"/>
    <w:basedOn w:val="DefaultParagraphFont"/>
    <w:semiHidden/>
    <w:rsid w:val="00992631"/>
    <w:rPr>
      <w:sz w:val="16"/>
      <w:szCs w:val="16"/>
    </w:rPr>
  </w:style>
  <w:style w:type="paragraph" w:styleId="CommentText">
    <w:name w:val="annotation text"/>
    <w:basedOn w:val="Normal"/>
    <w:semiHidden/>
    <w:rsid w:val="00992631"/>
    <w:rPr>
      <w:sz w:val="20"/>
    </w:rPr>
  </w:style>
  <w:style w:type="paragraph" w:styleId="CommentSubject">
    <w:name w:val="annotation subject"/>
    <w:basedOn w:val="CommentText"/>
    <w:next w:val="CommentText"/>
    <w:semiHidden/>
    <w:rsid w:val="00992631"/>
    <w:rPr>
      <w:b/>
      <w:bCs/>
    </w:rPr>
  </w:style>
  <w:style w:type="character" w:styleId="Strong">
    <w:name w:val="Strong"/>
    <w:basedOn w:val="DefaultParagraphFont"/>
    <w:qFormat/>
    <w:rsid w:val="0080773B"/>
    <w:rPr>
      <w:b/>
      <w:bCs/>
    </w:rPr>
  </w:style>
  <w:style w:type="paragraph" w:customStyle="1" w:styleId="CharChar1CharCharChar">
    <w:name w:val="Char Char1 Char Char Char"/>
    <w:basedOn w:val="Normal"/>
    <w:rsid w:val="008E11A7"/>
    <w:pPr>
      <w:spacing w:after="160" w:line="240" w:lineRule="exact"/>
    </w:pPr>
    <w:rPr>
      <w:rFonts w:ascii="Verdana" w:eastAsia="Times New Roman" w:hAnsi="Verdana" w:cs="Verdana"/>
      <w:sz w:val="20"/>
    </w:rPr>
  </w:style>
  <w:style w:type="paragraph" w:styleId="FootnoteText">
    <w:name w:val="footnote text"/>
    <w:basedOn w:val="Normal"/>
    <w:semiHidden/>
    <w:rsid w:val="00903EB4"/>
    <w:rPr>
      <w:rFonts w:ascii="Times New Roman" w:eastAsia="Times New Roman" w:hAnsi="Times New Roman"/>
      <w:sz w:val="20"/>
    </w:rPr>
  </w:style>
  <w:style w:type="character" w:styleId="FootnoteReference">
    <w:name w:val="footnote reference"/>
    <w:basedOn w:val="DefaultParagraphFont"/>
    <w:semiHidden/>
    <w:rsid w:val="00903EB4"/>
    <w:rPr>
      <w:vertAlign w:val="superscript"/>
    </w:rPr>
  </w:style>
  <w:style w:type="paragraph" w:styleId="ListParagraph">
    <w:name w:val="List Paragraph"/>
    <w:basedOn w:val="Normal"/>
    <w:uiPriority w:val="34"/>
    <w:qFormat/>
    <w:rsid w:val="00B40198"/>
    <w:pPr>
      <w:tabs>
        <w:tab w:val="left" w:pos="1440"/>
      </w:tabs>
      <w:ind w:left="720"/>
      <w:contextualSpacing/>
    </w:pPr>
    <w:rPr>
      <w:rFonts w:ascii="Times New Roman" w:eastAsia="Times New Roman" w:hAnsi="Times New Roman"/>
      <w:szCs w:val="24"/>
    </w:rPr>
  </w:style>
  <w:style w:type="paragraph" w:customStyle="1" w:styleId="To">
    <w:name w:val="To"/>
    <w:basedOn w:val="Normal"/>
    <w:rsid w:val="00B40198"/>
    <w:pPr>
      <w:tabs>
        <w:tab w:val="left" w:pos="1440"/>
      </w:tabs>
    </w:pPr>
    <w:rPr>
      <w:rFonts w:ascii="Times New Roman" w:eastAsia="Times New Roman" w:hAnsi="Times New Roman"/>
    </w:rPr>
  </w:style>
  <w:style w:type="character" w:customStyle="1" w:styleId="A4">
    <w:name w:val="A4"/>
    <w:uiPriority w:val="99"/>
    <w:rsid w:val="00724396"/>
    <w:rPr>
      <w:color w:val="000000"/>
      <w:sz w:val="20"/>
      <w:szCs w:val="20"/>
    </w:rPr>
  </w:style>
  <w:style w:type="table" w:styleId="TableGrid">
    <w:name w:val="Table Grid"/>
    <w:basedOn w:val="TableNormal"/>
    <w:uiPriority w:val="59"/>
    <w:rsid w:val="0072439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80044">
      <w:bodyDiv w:val="1"/>
      <w:marLeft w:val="0"/>
      <w:marRight w:val="0"/>
      <w:marTop w:val="0"/>
      <w:marBottom w:val="0"/>
      <w:divBdr>
        <w:top w:val="none" w:sz="0" w:space="0" w:color="auto"/>
        <w:left w:val="none" w:sz="0" w:space="0" w:color="auto"/>
        <w:bottom w:val="none" w:sz="0" w:space="0" w:color="auto"/>
        <w:right w:val="none" w:sz="0" w:space="0" w:color="auto"/>
      </w:divBdr>
    </w:div>
    <w:div w:id="617446782">
      <w:bodyDiv w:val="1"/>
      <w:marLeft w:val="0"/>
      <w:marRight w:val="0"/>
      <w:marTop w:val="0"/>
      <w:marBottom w:val="0"/>
      <w:divBdr>
        <w:top w:val="none" w:sz="0" w:space="0" w:color="auto"/>
        <w:left w:val="none" w:sz="0" w:space="0" w:color="auto"/>
        <w:bottom w:val="none" w:sz="0" w:space="0" w:color="auto"/>
        <w:right w:val="none" w:sz="0" w:space="0" w:color="auto"/>
      </w:divBdr>
    </w:div>
    <w:div w:id="694233772">
      <w:bodyDiv w:val="1"/>
      <w:marLeft w:val="0"/>
      <w:marRight w:val="0"/>
      <w:marTop w:val="0"/>
      <w:marBottom w:val="0"/>
      <w:divBdr>
        <w:top w:val="none" w:sz="0" w:space="0" w:color="auto"/>
        <w:left w:val="none" w:sz="0" w:space="0" w:color="auto"/>
        <w:bottom w:val="none" w:sz="0" w:space="0" w:color="auto"/>
        <w:right w:val="none" w:sz="0" w:space="0" w:color="auto"/>
      </w:divBdr>
      <w:divsChild>
        <w:div w:id="1759473166">
          <w:marLeft w:val="0"/>
          <w:marRight w:val="0"/>
          <w:marTop w:val="0"/>
          <w:marBottom w:val="0"/>
          <w:divBdr>
            <w:top w:val="none" w:sz="0" w:space="0" w:color="auto"/>
            <w:left w:val="none" w:sz="0" w:space="0" w:color="auto"/>
            <w:bottom w:val="none" w:sz="0" w:space="0" w:color="auto"/>
            <w:right w:val="none" w:sz="0" w:space="0" w:color="auto"/>
          </w:divBdr>
        </w:div>
      </w:divsChild>
    </w:div>
    <w:div w:id="947009081">
      <w:bodyDiv w:val="1"/>
      <w:marLeft w:val="0"/>
      <w:marRight w:val="0"/>
      <w:marTop w:val="0"/>
      <w:marBottom w:val="0"/>
      <w:divBdr>
        <w:top w:val="none" w:sz="0" w:space="0" w:color="auto"/>
        <w:left w:val="none" w:sz="0" w:space="0" w:color="auto"/>
        <w:bottom w:val="none" w:sz="0" w:space="0" w:color="auto"/>
        <w:right w:val="none" w:sz="0" w:space="0" w:color="auto"/>
      </w:divBdr>
    </w:div>
    <w:div w:id="1298991111">
      <w:bodyDiv w:val="1"/>
      <w:marLeft w:val="0"/>
      <w:marRight w:val="0"/>
      <w:marTop w:val="0"/>
      <w:marBottom w:val="0"/>
      <w:divBdr>
        <w:top w:val="none" w:sz="0" w:space="0" w:color="auto"/>
        <w:left w:val="none" w:sz="0" w:space="0" w:color="auto"/>
        <w:bottom w:val="none" w:sz="0" w:space="0" w:color="auto"/>
        <w:right w:val="none" w:sz="0" w:space="0" w:color="auto"/>
      </w:divBdr>
    </w:div>
    <w:div w:id="192422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2000-11-09T08:00:00+00:00</OpenedDate>
    <Date1 xmlns="dc463f71-b30c-4ab2-9473-d307f9d35888">2014-02-18T08:00:00+00:00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001734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D552093C56B24BA6DC84046426B2A0" ma:contentTypeVersion="144" ma:contentTypeDescription="" ma:contentTypeScope="" ma:versionID="6c65c4ad1672412594dad12413ef8db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EB890-2B1D-4706-A307-3388B74F1EB1}"/>
</file>

<file path=customXml/itemProps2.xml><?xml version="1.0" encoding="utf-8"?>
<ds:datastoreItem xmlns:ds="http://schemas.openxmlformats.org/officeDocument/2006/customXml" ds:itemID="{687930CB-FBB9-46F4-B35B-B5A104D29175}"/>
</file>

<file path=customXml/itemProps3.xml><?xml version="1.0" encoding="utf-8"?>
<ds:datastoreItem xmlns:ds="http://schemas.openxmlformats.org/officeDocument/2006/customXml" ds:itemID="{CB039ED5-EE86-469B-9C67-A3800877C665}"/>
</file>

<file path=customXml/itemProps4.xml><?xml version="1.0" encoding="utf-8"?>
<ds:datastoreItem xmlns:ds="http://schemas.openxmlformats.org/officeDocument/2006/customXml" ds:itemID="{5124322B-ED12-40FD-A0D9-AF963C9BC417}"/>
</file>

<file path=docProps/app.xml><?xml version="1.0" encoding="utf-8"?>
<Properties xmlns="http://schemas.openxmlformats.org/officeDocument/2006/extended-properties" xmlns:vt="http://schemas.openxmlformats.org/officeDocument/2006/docPropsVTypes">
  <Template>Normal</Template>
  <TotalTime>0</TotalTime>
  <Pages>4</Pages>
  <Words>976</Words>
  <Characters>5504</Characters>
  <Application>Microsoft Office Word</Application>
  <DocSecurity>0</DocSecurity>
  <Lines>45</Lines>
  <Paragraphs>12</Paragraphs>
  <ScaleCrop>false</ScaleCrop>
  <Company/>
  <LinksUpToDate>false</LinksUpToDate>
  <CharactersWithSpaces>6468</CharactersWithSpaces>
  <SharedDoc>false</SharedDoc>
  <HLinks>
    <vt:vector size="18" baseType="variant">
      <vt:variant>
        <vt:i4>4522100</vt:i4>
      </vt:variant>
      <vt:variant>
        <vt:i4>6</vt:i4>
      </vt:variant>
      <vt:variant>
        <vt:i4>0</vt:i4>
      </vt:variant>
      <vt:variant>
        <vt:i4>5</vt:i4>
      </vt:variant>
      <vt:variant>
        <vt:lpwstr>mailto:datarequest@pacificorp.com</vt:lpwstr>
      </vt:variant>
      <vt:variant>
        <vt:lpwstr/>
      </vt:variant>
      <vt:variant>
        <vt:i4>3080258</vt:i4>
      </vt:variant>
      <vt:variant>
        <vt:i4>3</vt:i4>
      </vt:variant>
      <vt:variant>
        <vt:i4>0</vt:i4>
      </vt:variant>
      <vt:variant>
        <vt:i4>5</vt:i4>
      </vt:variant>
      <vt:variant>
        <vt:lpwstr>mailto:natalie.hocken@pacificorp.com</vt:lpwstr>
      </vt:variant>
      <vt:variant>
        <vt:lpwstr/>
      </vt:variant>
      <vt:variant>
        <vt:i4>3342362</vt:i4>
      </vt:variant>
      <vt:variant>
        <vt:i4>0</vt:i4>
      </vt:variant>
      <vt:variant>
        <vt:i4>0</vt:i4>
      </vt:variant>
      <vt:variant>
        <vt:i4>5</vt:i4>
      </vt:variant>
      <vt:variant>
        <vt:lpwstr>mailto:washingtondockets@pacificorp.com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2014-02-19T00:00:00Z</dcterms:created>
  <dcterms:modified xsi:type="dcterms:W3CDTF">2014-02-19T00:00:00Z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0x0101006E56B4D1795A2E4DB2F0B01679ED314A0003D552093C56B24BA6DC84046426B2A0</vt:lpwstr>
  </property>
  <property fmtid="{D5CDD505-2E9C-101B-9397-08002B2CF9AE}" pid="4" name="_docset_NoMedatataSyncRequired">
    <vt:lpwstr>False</vt:lpwstr>
  </property>
</Properties>
</file>