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F002" w14:textId="0679CCB8" w:rsidR="006E3B58" w:rsidRDefault="00154718" w:rsidP="00BE5610">
      <w:bookmarkStart w:id="0" w:name="_GoBack"/>
      <w:bookmarkEnd w:id="0"/>
      <w:r w:rsidRPr="00EB4CE3">
        <w:t xml:space="preserve">Agenda Date: </w:t>
      </w:r>
      <w:r w:rsidRPr="00EB4CE3">
        <w:tab/>
      </w:r>
      <w:r w:rsidRPr="00EB4CE3">
        <w:tab/>
      </w:r>
      <w:r w:rsidR="00E80F55">
        <w:t>April 28</w:t>
      </w:r>
      <w:r w:rsidR="00257609">
        <w:t>, 2017</w:t>
      </w:r>
    </w:p>
    <w:p w14:paraId="1E31F003" w14:textId="0C85C9BF" w:rsidR="00154718" w:rsidRDefault="00154718" w:rsidP="00BE5610">
      <w:r w:rsidRPr="00EB4CE3">
        <w:t>Item Number:</w:t>
      </w:r>
      <w:r w:rsidRPr="00EB4CE3">
        <w:tab/>
      </w:r>
      <w:r w:rsidRPr="00EB4CE3">
        <w:tab/>
      </w:r>
      <w:r w:rsidR="005E4264" w:rsidRPr="005D4356">
        <w:t>A</w:t>
      </w:r>
      <w:r w:rsidR="00174093">
        <w:t>3</w:t>
      </w:r>
      <w:r w:rsidR="000F467C">
        <w:t xml:space="preserve"> </w:t>
      </w:r>
    </w:p>
    <w:p w14:paraId="1E31F004" w14:textId="77777777" w:rsidR="006E3B58" w:rsidRPr="00EB4CE3" w:rsidRDefault="006E3B58" w:rsidP="00BE5610"/>
    <w:p w14:paraId="1E31F005" w14:textId="45720CF6" w:rsidR="00154718" w:rsidRPr="00EB4CE3" w:rsidRDefault="00154718" w:rsidP="00BE5610">
      <w:r w:rsidRPr="00EB4CE3">
        <w:t xml:space="preserve">Docket: </w:t>
      </w:r>
      <w:r w:rsidRPr="00EB4CE3">
        <w:tab/>
      </w:r>
      <w:r w:rsidRPr="00EB4CE3">
        <w:tab/>
        <w:t>UW-</w:t>
      </w:r>
      <w:r w:rsidR="00917277">
        <w:t>161290</w:t>
      </w:r>
    </w:p>
    <w:p w14:paraId="1E31F006" w14:textId="77777777" w:rsidR="00154718" w:rsidRPr="00EB4CE3" w:rsidRDefault="00A41C23" w:rsidP="00BE5610">
      <w:r w:rsidRPr="00EB4CE3">
        <w:t>Company Name:</w:t>
      </w:r>
      <w:r w:rsidRPr="00EB4CE3">
        <w:tab/>
      </w:r>
      <w:r w:rsidR="00002F08">
        <w:t>Burton Water Company</w:t>
      </w:r>
      <w:r w:rsidR="00187E0D">
        <w:t>, Inc.</w:t>
      </w:r>
    </w:p>
    <w:p w14:paraId="1E31F007" w14:textId="77777777" w:rsidR="00154718" w:rsidRPr="00EB4CE3" w:rsidRDefault="00154718" w:rsidP="00BE5610"/>
    <w:p w14:paraId="6936DDD2" w14:textId="5919E09A" w:rsidR="00065256" w:rsidRPr="00EB4CE3" w:rsidRDefault="00065256" w:rsidP="00065256">
      <w:r>
        <w:t xml:space="preserve">Staff: </w:t>
      </w:r>
      <w:r>
        <w:tab/>
      </w:r>
      <w:r>
        <w:tab/>
      </w:r>
      <w:r>
        <w:tab/>
        <w:t>John Cupp</w:t>
      </w:r>
      <w:r w:rsidRPr="00EB4CE3">
        <w:t xml:space="preserve">, </w:t>
      </w:r>
      <w:r w:rsidR="00626A8A" w:rsidRPr="005D4356">
        <w:t xml:space="preserve">Regulatory Analyst, </w:t>
      </w:r>
      <w:r w:rsidRPr="00EB4CE3">
        <w:t xml:space="preserve">Consumer Protection </w:t>
      </w:r>
    </w:p>
    <w:p w14:paraId="1E31F009" w14:textId="4632EB0D" w:rsidR="00154718" w:rsidRDefault="00626A8A" w:rsidP="000A643C">
      <w:r w:rsidRPr="005D4356">
        <w:tab/>
      </w:r>
      <w:r w:rsidRPr="005D4356">
        <w:tab/>
      </w:r>
      <w:r w:rsidRPr="005D4356">
        <w:tab/>
      </w:r>
      <w:r w:rsidR="00065256">
        <w:t>J</w:t>
      </w:r>
      <w:r w:rsidR="00595023" w:rsidRPr="00EB4CE3">
        <w:t>im Ward</w:t>
      </w:r>
      <w:r w:rsidR="00154718" w:rsidRPr="00EB4CE3">
        <w:t>, Regulatory Analyst</w:t>
      </w:r>
    </w:p>
    <w:p w14:paraId="2A7039F3" w14:textId="77777777" w:rsidR="00626A8A" w:rsidRPr="005D4356" w:rsidRDefault="00626A8A" w:rsidP="00626A8A"/>
    <w:p w14:paraId="1E31F00B" w14:textId="77777777" w:rsidR="00154718" w:rsidRPr="00EB4CE3" w:rsidRDefault="00154718" w:rsidP="00BE5610"/>
    <w:p w14:paraId="1E31F00C" w14:textId="77777777" w:rsidR="00154718" w:rsidRPr="00935AF2" w:rsidRDefault="00154718" w:rsidP="00F32FEE">
      <w:pPr>
        <w:spacing w:after="120"/>
        <w:rPr>
          <w:b/>
          <w:u w:val="single"/>
        </w:rPr>
      </w:pPr>
      <w:r w:rsidRPr="00935AF2">
        <w:rPr>
          <w:b/>
          <w:u w:val="single"/>
        </w:rPr>
        <w:t>Recommendation</w:t>
      </w:r>
    </w:p>
    <w:p w14:paraId="1E31F00E" w14:textId="23FEBDEA" w:rsidR="00BC18B9" w:rsidRPr="00917277" w:rsidRDefault="00917277" w:rsidP="00917277">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Pr>
          <w:rFonts w:eastAsiaTheme="minorHAnsi"/>
          <w:lang w:bidi="ar-SA"/>
        </w:rPr>
        <w:t xml:space="preserve">Issue </w:t>
      </w:r>
      <w:r>
        <w:t xml:space="preserve">a Complaint and Order Suspending the Tariff Revisions filed by Burton Water Company, Inc., in Docket UW-161290. </w:t>
      </w:r>
    </w:p>
    <w:p w14:paraId="1E31F00F" w14:textId="77777777" w:rsidR="004D7E01" w:rsidRPr="000A643C" w:rsidRDefault="006E3B58" w:rsidP="006E3B58">
      <w:pPr>
        <w:widowControl w:val="0"/>
        <w:autoSpaceDE w:val="0"/>
        <w:autoSpaceDN w:val="0"/>
        <w:adjustRightInd w:val="0"/>
        <w:ind w:left="360"/>
        <w:rPr>
          <w:sz w:val="22"/>
        </w:rPr>
      </w:pPr>
      <w:r w:rsidRPr="000A643C">
        <w:rPr>
          <w:sz w:val="22"/>
        </w:rPr>
        <w:t xml:space="preserve"> </w:t>
      </w:r>
    </w:p>
    <w:p w14:paraId="1E31F010" w14:textId="77777777" w:rsidR="00154718" w:rsidRPr="00935AF2" w:rsidRDefault="00154718" w:rsidP="00F32FEE">
      <w:pPr>
        <w:spacing w:after="120"/>
        <w:rPr>
          <w:b/>
          <w:u w:val="single"/>
        </w:rPr>
      </w:pPr>
      <w:r w:rsidRPr="00935AF2">
        <w:rPr>
          <w:b/>
          <w:u w:val="single"/>
        </w:rPr>
        <w:t>Discussion</w:t>
      </w:r>
    </w:p>
    <w:p w14:paraId="1E31F012" w14:textId="5AFADE26" w:rsidR="00AD3DD8" w:rsidRDefault="00DD65A6" w:rsidP="008C168F">
      <w:r w:rsidRPr="000A643C">
        <w:t xml:space="preserve">On </w:t>
      </w:r>
      <w:r w:rsidR="00917277" w:rsidRPr="000A643C">
        <w:t>December 15</w:t>
      </w:r>
      <w:r w:rsidR="00910B20" w:rsidRPr="000A643C">
        <w:t xml:space="preserve">, </w:t>
      </w:r>
      <w:r w:rsidR="00917277" w:rsidRPr="000A643C">
        <w:t>2016</w:t>
      </w:r>
      <w:r w:rsidRPr="000A643C">
        <w:t xml:space="preserve">, </w:t>
      </w:r>
      <w:r w:rsidR="00002F08">
        <w:t>Burton Water Company</w:t>
      </w:r>
      <w:r w:rsidR="00187E0D">
        <w:t xml:space="preserve">, </w:t>
      </w:r>
      <w:r w:rsidR="00C272A0">
        <w:t>Inc.</w:t>
      </w:r>
      <w:r>
        <w:t xml:space="preserve"> (</w:t>
      </w:r>
      <w:r w:rsidR="00002F08">
        <w:t>Burton</w:t>
      </w:r>
      <w:r w:rsidR="00187E0D">
        <w:t xml:space="preserve"> Water</w:t>
      </w:r>
      <w:r>
        <w:t xml:space="preserve"> or company</w:t>
      </w:r>
      <w:r w:rsidR="00A201C0">
        <w:t>)</w:t>
      </w:r>
      <w:r w:rsidR="00D0403B">
        <w:t>,</w:t>
      </w:r>
      <w:r w:rsidR="00A201C0">
        <w:t xml:space="preserve"> filed</w:t>
      </w:r>
      <w:r>
        <w:t xml:space="preserve"> </w:t>
      </w:r>
      <w:r w:rsidR="008C168F">
        <w:t>t</w:t>
      </w:r>
      <w:r w:rsidR="008C168F" w:rsidRPr="008C168F">
        <w:rPr>
          <w:rFonts w:eastAsia="Times New Roman"/>
          <w:lang w:bidi="ar-SA"/>
        </w:rPr>
        <w:t>ariff revision</w:t>
      </w:r>
      <w:r w:rsidR="00E06BAA">
        <w:rPr>
          <w:rFonts w:eastAsia="Times New Roman"/>
          <w:lang w:bidi="ar-SA"/>
        </w:rPr>
        <w:t>s</w:t>
      </w:r>
      <w:r w:rsidR="008C168F" w:rsidRPr="008C168F">
        <w:rPr>
          <w:rFonts w:eastAsia="Times New Roman"/>
          <w:lang w:bidi="ar-SA"/>
        </w:rPr>
        <w:t xml:space="preserve"> to </w:t>
      </w:r>
      <w:r w:rsidR="00C03D67">
        <w:rPr>
          <w:rFonts w:eastAsia="Times New Roman"/>
          <w:lang w:bidi="ar-SA"/>
        </w:rPr>
        <w:t>clarify tariff rules and regulations, a</w:t>
      </w:r>
      <w:r w:rsidR="00AC7B48">
        <w:rPr>
          <w:rFonts w:eastAsia="Times New Roman"/>
          <w:lang w:bidi="ar-SA"/>
        </w:rPr>
        <w:t>dd new service tiers for both 1</w:t>
      </w:r>
      <w:r w:rsidR="00A92D83" w:rsidRPr="0052757D">
        <w:rPr>
          <w:rFonts w:eastAsia="Times New Roman"/>
          <w:lang w:bidi="ar-SA"/>
        </w:rPr>
        <w:t>½-inch and 2-</w:t>
      </w:r>
      <w:r w:rsidR="00C03D67" w:rsidRPr="0052757D">
        <w:rPr>
          <w:rFonts w:eastAsia="Times New Roman"/>
          <w:lang w:bidi="ar-SA"/>
        </w:rPr>
        <w:t>inch</w:t>
      </w:r>
      <w:r w:rsidR="00C03D67">
        <w:rPr>
          <w:rFonts w:eastAsia="Times New Roman"/>
          <w:lang w:bidi="ar-SA"/>
        </w:rPr>
        <w:t xml:space="preserve"> </w:t>
      </w:r>
      <w:r w:rsidR="00AD15DE">
        <w:rPr>
          <w:rFonts w:eastAsia="Times New Roman"/>
          <w:lang w:bidi="ar-SA"/>
        </w:rPr>
        <w:t xml:space="preserve">size </w:t>
      </w:r>
      <w:r w:rsidR="00A92D83">
        <w:rPr>
          <w:rFonts w:eastAsia="Times New Roman"/>
          <w:lang w:bidi="ar-SA"/>
        </w:rPr>
        <w:t>meters, and u</w:t>
      </w:r>
      <w:r w:rsidR="00A92D83" w:rsidRPr="0052757D">
        <w:rPr>
          <w:rFonts w:eastAsia="Times New Roman"/>
          <w:lang w:bidi="ar-SA"/>
        </w:rPr>
        <w:t>pdate</w:t>
      </w:r>
      <w:r w:rsidR="00C03D67">
        <w:rPr>
          <w:rFonts w:eastAsia="Times New Roman"/>
          <w:lang w:bidi="ar-SA"/>
        </w:rPr>
        <w:t xml:space="preserve"> </w:t>
      </w:r>
      <w:r w:rsidR="00184003">
        <w:rPr>
          <w:rFonts w:eastAsia="Times New Roman"/>
          <w:lang w:bidi="ar-SA"/>
        </w:rPr>
        <w:t>ancillary</w:t>
      </w:r>
      <w:r w:rsidR="00C03D67">
        <w:rPr>
          <w:rFonts w:eastAsia="Times New Roman"/>
          <w:lang w:bidi="ar-SA"/>
        </w:rPr>
        <w:t xml:space="preserve"> charges </w:t>
      </w:r>
      <w:r w:rsidR="00863543">
        <w:rPr>
          <w:rFonts w:eastAsia="Times New Roman"/>
          <w:lang w:bidi="ar-SA"/>
        </w:rPr>
        <w:t xml:space="preserve">that </w:t>
      </w:r>
      <w:r w:rsidR="00863543" w:rsidRPr="00863543">
        <w:rPr>
          <w:rFonts w:eastAsia="Times New Roman"/>
          <w:lang w:bidi="ar-SA"/>
        </w:rPr>
        <w:t xml:space="preserve">would generate </w:t>
      </w:r>
      <w:r w:rsidR="00CC4FE2" w:rsidRPr="00407C80">
        <w:t>$</w:t>
      </w:r>
      <w:r w:rsidR="00917277">
        <w:t>895</w:t>
      </w:r>
      <w:r w:rsidR="00CC4FE2" w:rsidRPr="00407C80">
        <w:t xml:space="preserve"> (</w:t>
      </w:r>
      <w:r w:rsidR="00C03D67">
        <w:t>58</w:t>
      </w:r>
      <w:r w:rsidR="00CC4FE2" w:rsidRPr="00407C80">
        <w:t xml:space="preserve"> percent) </w:t>
      </w:r>
      <w:r w:rsidR="00913C85">
        <w:t xml:space="preserve">in </w:t>
      </w:r>
      <w:r w:rsidR="00863543">
        <w:t xml:space="preserve">additional annual </w:t>
      </w:r>
      <w:r w:rsidR="00AD15DE">
        <w:t xml:space="preserve">miscellaneous </w:t>
      </w:r>
      <w:r w:rsidR="00863543">
        <w:t>revenue</w:t>
      </w:r>
      <w:r w:rsidR="00CC4FE2" w:rsidRPr="00407C80">
        <w:t xml:space="preserve">. </w:t>
      </w:r>
      <w:r w:rsidR="00451AF9">
        <w:t xml:space="preserve">The </w:t>
      </w:r>
      <w:r w:rsidR="00D96246">
        <w:t>stat</w:t>
      </w:r>
      <w:r w:rsidR="00451AF9">
        <w:t xml:space="preserve">ed effective date </w:t>
      </w:r>
      <w:r w:rsidR="00917277">
        <w:t>i</w:t>
      </w:r>
      <w:r w:rsidR="00027B07">
        <w:t>s</w:t>
      </w:r>
      <w:r w:rsidR="00451AF9">
        <w:t xml:space="preserve"> </w:t>
      </w:r>
      <w:r w:rsidR="00917277">
        <w:t>January 15</w:t>
      </w:r>
      <w:r w:rsidR="00910B20">
        <w:t xml:space="preserve">, </w:t>
      </w:r>
      <w:r w:rsidR="00917277">
        <w:t>2017</w:t>
      </w:r>
      <w:r w:rsidR="00451AF9">
        <w:t xml:space="preserve">. </w:t>
      </w:r>
      <w:r w:rsidR="00002F08">
        <w:t xml:space="preserve">The company </w:t>
      </w:r>
      <w:r w:rsidR="00002F08" w:rsidRPr="00DE3D12">
        <w:t xml:space="preserve">serves </w:t>
      </w:r>
      <w:r w:rsidR="00002F08">
        <w:t>415</w:t>
      </w:r>
      <w:r w:rsidR="00002F08" w:rsidRPr="00DE3D12">
        <w:t xml:space="preserve"> c</w:t>
      </w:r>
      <w:r w:rsidR="00002F08">
        <w:t>ustomer</w:t>
      </w:r>
      <w:r w:rsidR="00002F08" w:rsidRPr="00DE3D12">
        <w:t xml:space="preserve">s </w:t>
      </w:r>
      <w:r w:rsidR="00002F08">
        <w:t>on Vashon Island,</w:t>
      </w:r>
      <w:r w:rsidR="00002F08" w:rsidRPr="00DE3D12">
        <w:t xml:space="preserve"> in </w:t>
      </w:r>
      <w:r w:rsidR="00002F08">
        <w:t>King</w:t>
      </w:r>
      <w:r w:rsidR="00002F08" w:rsidRPr="00DE3D12">
        <w:t xml:space="preserve"> County.</w:t>
      </w:r>
      <w:r w:rsidR="00002F08" w:rsidRPr="000A643C">
        <w:rPr>
          <w:color w:val="000000"/>
        </w:rPr>
        <w:t xml:space="preserve"> </w:t>
      </w:r>
      <w:r w:rsidR="00545974">
        <w:t>Its</w:t>
      </w:r>
      <w:r w:rsidR="00002F08" w:rsidRPr="00DE3D12">
        <w:t xml:space="preserve"> </w:t>
      </w:r>
      <w:r w:rsidR="00002F08">
        <w:t xml:space="preserve">last general rate increase was </w:t>
      </w:r>
      <w:r w:rsidR="00AD15DE">
        <w:t xml:space="preserve">effective </w:t>
      </w:r>
      <w:r w:rsidR="00917277">
        <w:t>May 15</w:t>
      </w:r>
      <w:r w:rsidR="00FE5559">
        <w:t>, 201</w:t>
      </w:r>
      <w:r w:rsidR="00917277">
        <w:t>5</w:t>
      </w:r>
      <w:r w:rsidR="00E06BAA">
        <w:t>.</w:t>
      </w:r>
    </w:p>
    <w:p w14:paraId="1E31F013" w14:textId="77777777" w:rsidR="00C46208" w:rsidRDefault="00C46208" w:rsidP="008C168F"/>
    <w:p w14:paraId="6D52BC57" w14:textId="434E9397" w:rsidR="00B07013" w:rsidRDefault="00B07013" w:rsidP="00BE5610">
      <w:pPr>
        <w:rPr>
          <w:b/>
          <w:u w:val="single"/>
        </w:rPr>
      </w:pPr>
      <w:r w:rsidRPr="005D4356">
        <w:rPr>
          <w:b/>
          <w:u w:val="single"/>
        </w:rPr>
        <w:t>Consumer Issues</w:t>
      </w:r>
    </w:p>
    <w:p w14:paraId="1664150E" w14:textId="77777777" w:rsidR="00257609" w:rsidRPr="005D4356" w:rsidRDefault="00257609" w:rsidP="00BE5610">
      <w:pPr>
        <w:rPr>
          <w:b/>
          <w:u w:val="single"/>
        </w:rPr>
      </w:pPr>
    </w:p>
    <w:p w14:paraId="2AF955FC" w14:textId="263D1808" w:rsidR="00E06BAA" w:rsidRDefault="00AA2A99" w:rsidP="000A643C">
      <w:r>
        <w:t>The company filed</w:t>
      </w:r>
      <w:r w:rsidR="00775F4A" w:rsidRPr="005D4356">
        <w:t xml:space="preserve"> updates to numerous</w:t>
      </w:r>
      <w:r w:rsidR="00E06BAA">
        <w:t xml:space="preserve"> </w:t>
      </w:r>
      <w:r>
        <w:t xml:space="preserve">tariff </w:t>
      </w:r>
      <w:r w:rsidR="00775F4A" w:rsidRPr="005D4356">
        <w:t>rules. At this time staff</w:t>
      </w:r>
      <w:r w:rsidR="00F16ABA">
        <w:t xml:space="preserve"> has </w:t>
      </w:r>
      <w:r w:rsidR="00E6726B" w:rsidRPr="005D4356">
        <w:t>several</w:t>
      </w:r>
      <w:r w:rsidR="00775F4A" w:rsidRPr="005D4356">
        <w:t xml:space="preserve"> unresolved concerns</w:t>
      </w:r>
      <w:r w:rsidR="00E6726B" w:rsidRPr="005D4356">
        <w:t xml:space="preserve"> with the company’s proposal</w:t>
      </w:r>
      <w:r w:rsidR="00775F4A" w:rsidRPr="005D4356">
        <w:t xml:space="preserve">. </w:t>
      </w:r>
    </w:p>
    <w:p w14:paraId="049D4B80" w14:textId="77777777" w:rsidR="00D731A6" w:rsidRPr="005D4356" w:rsidRDefault="00D731A6" w:rsidP="00BE5610"/>
    <w:p w14:paraId="4B7CD255" w14:textId="5AB4577A" w:rsidR="00747F34" w:rsidRDefault="00F16ABA" w:rsidP="000A643C">
      <w:pPr>
        <w:pStyle w:val="ListParagraph"/>
        <w:numPr>
          <w:ilvl w:val="1"/>
          <w:numId w:val="17"/>
        </w:numPr>
        <w:ind w:left="1080"/>
        <w:rPr>
          <w:i/>
        </w:rPr>
      </w:pPr>
      <w:r w:rsidRPr="00F16ABA">
        <w:rPr>
          <w:i/>
        </w:rPr>
        <w:t>A</w:t>
      </w:r>
      <w:r w:rsidR="00747F34" w:rsidRPr="00F16ABA">
        <w:rPr>
          <w:i/>
        </w:rPr>
        <w:t xml:space="preserve"> single meter may serve a property with multiple uses such as apartments, businesses, or a combination of both</w:t>
      </w:r>
      <w:r w:rsidR="0019761A" w:rsidRPr="00A0517C">
        <w:rPr>
          <w:i/>
        </w:rPr>
        <w:t xml:space="preserve"> (Rule 16)</w:t>
      </w:r>
      <w:r w:rsidR="005D4356" w:rsidRPr="00A0517C">
        <w:rPr>
          <w:i/>
        </w:rPr>
        <w:t>.</w:t>
      </w:r>
      <w:r w:rsidR="00A0517C" w:rsidRPr="00A0517C">
        <w:rPr>
          <w:i/>
        </w:rPr>
        <w:t xml:space="preserve"> </w:t>
      </w:r>
      <w:r w:rsidR="00747F34" w:rsidRPr="00F16ABA">
        <w:rPr>
          <w:i/>
        </w:rPr>
        <w:t xml:space="preserve">In such cases, each separate dwelling unit (as defined in King County </w:t>
      </w:r>
      <w:r w:rsidR="00747F34" w:rsidRPr="003315E9">
        <w:rPr>
          <w:i/>
        </w:rPr>
        <w:t>Zoning Code 21A.06.345) or place of business using water will be charged a</w:t>
      </w:r>
      <w:r>
        <w:rPr>
          <w:i/>
        </w:rPr>
        <w:t xml:space="preserve"> </w:t>
      </w:r>
      <w:r w:rsidR="00747F34" w:rsidRPr="003315E9">
        <w:rPr>
          <w:i/>
        </w:rPr>
        <w:t>monthly ¾" base rate per Schedule 2</w:t>
      </w:r>
      <w:r w:rsidR="0019761A" w:rsidRPr="00A0517C">
        <w:rPr>
          <w:i/>
        </w:rPr>
        <w:t xml:space="preserve"> (Rule 16)</w:t>
      </w:r>
      <w:r w:rsidR="00747F34" w:rsidRPr="00A0517C">
        <w:rPr>
          <w:i/>
        </w:rPr>
        <w:t>.</w:t>
      </w:r>
      <w:r w:rsidR="00BD7F1F" w:rsidRPr="00A0517C">
        <w:rPr>
          <w:i/>
        </w:rPr>
        <w:br/>
      </w:r>
    </w:p>
    <w:p w14:paraId="4DAAC2A0" w14:textId="3D0FF151" w:rsidR="00E06BAA" w:rsidRDefault="00BC605E" w:rsidP="000A643C">
      <w:pPr>
        <w:ind w:left="1080"/>
      </w:pPr>
      <w:r w:rsidRPr="000A643C">
        <w:rPr>
          <w:b/>
          <w:i/>
        </w:rPr>
        <w:t>Staff</w:t>
      </w:r>
      <w:r w:rsidR="002A6D8E">
        <w:rPr>
          <w:b/>
          <w:i/>
        </w:rPr>
        <w:t>’s</w:t>
      </w:r>
      <w:r w:rsidRPr="000A643C">
        <w:rPr>
          <w:b/>
          <w:i/>
        </w:rPr>
        <w:t xml:space="preserve"> </w:t>
      </w:r>
      <w:r w:rsidR="00BD7F1F" w:rsidRPr="005D4356">
        <w:rPr>
          <w:b/>
          <w:i/>
        </w:rPr>
        <w:t>concerns:</w:t>
      </w:r>
      <w:r>
        <w:t xml:space="preserve"> Staff maintains that one meter equals one customer. The size of the meter determines the base charge to the customer based on </w:t>
      </w:r>
      <w:r w:rsidR="00BD7F1F" w:rsidRPr="005D4356">
        <w:t>A</w:t>
      </w:r>
      <w:r w:rsidR="000A643C">
        <w:t xml:space="preserve">merican </w:t>
      </w:r>
      <w:r w:rsidR="00BD7F1F" w:rsidRPr="005D4356">
        <w:t>W</w:t>
      </w:r>
      <w:r w:rsidR="000A643C">
        <w:t xml:space="preserve">ater </w:t>
      </w:r>
      <w:r w:rsidR="00BD7F1F" w:rsidRPr="005D4356">
        <w:t>W</w:t>
      </w:r>
      <w:r w:rsidR="000A643C">
        <w:t xml:space="preserve">orks </w:t>
      </w:r>
      <w:r w:rsidR="00BD7F1F" w:rsidRPr="005D4356">
        <w:t>A</w:t>
      </w:r>
      <w:r w:rsidR="000A643C">
        <w:t>ssociation</w:t>
      </w:r>
      <w:r w:rsidR="0052757D">
        <w:t xml:space="preserve"> </w:t>
      </w:r>
      <w:r>
        <w:t xml:space="preserve">meter size factors and recognizes </w:t>
      </w:r>
      <w:r w:rsidR="00A0517C">
        <w:t xml:space="preserve">the </w:t>
      </w:r>
      <w:r>
        <w:t xml:space="preserve">Department of Health </w:t>
      </w:r>
      <w:r w:rsidR="000A643C" w:rsidRPr="005D4356">
        <w:t>E</w:t>
      </w:r>
      <w:r w:rsidR="000A643C">
        <w:t xml:space="preserve">quivalent </w:t>
      </w:r>
      <w:r w:rsidR="00BD7F1F" w:rsidRPr="005D4356">
        <w:t>R</w:t>
      </w:r>
      <w:r w:rsidR="000A643C">
        <w:t xml:space="preserve">esidential </w:t>
      </w:r>
      <w:r w:rsidR="00BD7F1F" w:rsidRPr="005D4356">
        <w:t>U</w:t>
      </w:r>
      <w:r w:rsidR="000A643C">
        <w:t>nit</w:t>
      </w:r>
      <w:r w:rsidR="00BD7F1F" w:rsidRPr="005D4356">
        <w:t>s</w:t>
      </w:r>
      <w:r w:rsidR="0052757D">
        <w:t xml:space="preserve"> </w:t>
      </w:r>
      <w:r>
        <w:t xml:space="preserve">calculations. To allow a company to charge </w:t>
      </w:r>
      <w:r w:rsidR="00BD7F1F" w:rsidRPr="005D4356">
        <w:t>for units when no individual meters exist</w:t>
      </w:r>
      <w:r w:rsidR="0052757D">
        <w:t xml:space="preserve"> </w:t>
      </w:r>
      <w:r>
        <w:t>would be to endorse sub-metering bill calculations</w:t>
      </w:r>
      <w:r w:rsidR="00566EF4">
        <w:t>. Charging for water consumed and measured by a meter is fair and appropriate rate setting for regulated utilities.</w:t>
      </w:r>
      <w:r w:rsidR="00D731A6">
        <w:t xml:space="preserve"> If a single meter does serve multiple </w:t>
      </w:r>
      <w:r w:rsidR="001C2AF9">
        <w:t>entities</w:t>
      </w:r>
      <w:r w:rsidR="001F68E6">
        <w:t>,</w:t>
      </w:r>
      <w:r w:rsidR="001C2AF9">
        <w:t xml:space="preserve"> then a single custom</w:t>
      </w:r>
      <w:r w:rsidR="00D731A6">
        <w:t>er may be designated.</w:t>
      </w:r>
      <w:r w:rsidR="001F68E6">
        <w:t xml:space="preserve"> This </w:t>
      </w:r>
      <w:r w:rsidR="003A4DE7">
        <w:t>may or may not</w:t>
      </w:r>
      <w:r w:rsidR="001F68E6">
        <w:t xml:space="preserve"> be the property owner.</w:t>
      </w:r>
    </w:p>
    <w:p w14:paraId="085AEFF3" w14:textId="77777777" w:rsidR="009151A4" w:rsidRDefault="009151A4" w:rsidP="000A643C">
      <w:pPr>
        <w:ind w:left="1080"/>
        <w:rPr>
          <w:i/>
        </w:rPr>
      </w:pPr>
    </w:p>
    <w:p w14:paraId="23B3FC98" w14:textId="77777777" w:rsidR="009151A4" w:rsidRDefault="009151A4" w:rsidP="000A643C">
      <w:pPr>
        <w:ind w:left="1080"/>
        <w:rPr>
          <w:i/>
        </w:rPr>
      </w:pPr>
    </w:p>
    <w:p w14:paraId="4AEE195A" w14:textId="77777777" w:rsidR="009151A4" w:rsidRPr="000A643C" w:rsidRDefault="009151A4" w:rsidP="000A643C">
      <w:pPr>
        <w:ind w:left="1080"/>
        <w:rPr>
          <w:i/>
        </w:rPr>
      </w:pPr>
    </w:p>
    <w:p w14:paraId="461B0D05" w14:textId="77777777" w:rsidR="0052757D" w:rsidRPr="000A643C" w:rsidRDefault="0052757D" w:rsidP="000A643C">
      <w:pPr>
        <w:ind w:left="1080"/>
        <w:rPr>
          <w:i/>
        </w:rPr>
      </w:pPr>
    </w:p>
    <w:p w14:paraId="7728CD3D" w14:textId="77777777" w:rsidR="00747F34" w:rsidRPr="00A0517C" w:rsidRDefault="00747F34" w:rsidP="00A0517C">
      <w:pPr>
        <w:pStyle w:val="ListParagraph"/>
        <w:numPr>
          <w:ilvl w:val="1"/>
          <w:numId w:val="17"/>
        </w:numPr>
        <w:ind w:left="1080"/>
        <w:rPr>
          <w:i/>
        </w:rPr>
      </w:pPr>
      <w:r w:rsidRPr="00A0517C">
        <w:rPr>
          <w:i/>
        </w:rPr>
        <w:lastRenderedPageBreak/>
        <w:t>The usage rate will be computed at the rate for one customer as per Schedule 2</w:t>
      </w:r>
      <w:r w:rsidR="0019761A" w:rsidRPr="00A0517C">
        <w:rPr>
          <w:i/>
        </w:rPr>
        <w:t xml:space="preserve"> (Rule 16)</w:t>
      </w:r>
      <w:r w:rsidRPr="00A0517C">
        <w:rPr>
          <w:i/>
        </w:rPr>
        <w:t xml:space="preserve">. </w:t>
      </w:r>
    </w:p>
    <w:p w14:paraId="735681C9" w14:textId="77777777" w:rsidR="00BD7F1F" w:rsidRPr="005D4356" w:rsidRDefault="00BD7F1F" w:rsidP="00A0517C">
      <w:pPr>
        <w:ind w:left="1080"/>
        <w:rPr>
          <w:i/>
          <w:highlight w:val="yellow"/>
        </w:rPr>
      </w:pPr>
    </w:p>
    <w:p w14:paraId="58BDFA1F" w14:textId="2750EDBB" w:rsidR="003A3028" w:rsidRPr="002A6D8E" w:rsidRDefault="003A3028" w:rsidP="00A0517C">
      <w:pPr>
        <w:ind w:left="1080"/>
      </w:pPr>
      <w:r w:rsidRPr="00A01A4D">
        <w:rPr>
          <w:b/>
          <w:i/>
        </w:rPr>
        <w:t>Staff</w:t>
      </w:r>
      <w:r w:rsidR="002A6D8E">
        <w:rPr>
          <w:b/>
          <w:i/>
        </w:rPr>
        <w:t>’s</w:t>
      </w:r>
      <w:r w:rsidRPr="00A01A4D">
        <w:rPr>
          <w:b/>
          <w:i/>
        </w:rPr>
        <w:t xml:space="preserve"> Concern: </w:t>
      </w:r>
      <w:r w:rsidRPr="002A6D8E">
        <w:t>Under the company</w:t>
      </w:r>
      <w:r w:rsidR="00AC7B48" w:rsidRPr="002A6D8E">
        <w:t>’s</w:t>
      </w:r>
      <w:r w:rsidRPr="002A6D8E">
        <w:t xml:space="preserve"> proposal</w:t>
      </w:r>
      <w:r w:rsidR="00AC7B48" w:rsidRPr="002A6D8E">
        <w:t>,</w:t>
      </w:r>
      <w:r w:rsidRPr="002A6D8E">
        <w:t xml:space="preserve"> the </w:t>
      </w:r>
      <w:r w:rsidR="008A6176" w:rsidRPr="002A6D8E">
        <w:t xml:space="preserve">company </w:t>
      </w:r>
      <w:r w:rsidR="0022668E" w:rsidRPr="002A6D8E">
        <w:t xml:space="preserve">would </w:t>
      </w:r>
      <w:r w:rsidR="008A6176" w:rsidRPr="002A6D8E">
        <w:t xml:space="preserve">use the ¾” tiered </w:t>
      </w:r>
      <w:r w:rsidRPr="002A6D8E">
        <w:t>usage rates</w:t>
      </w:r>
      <w:r w:rsidR="003A4DE7" w:rsidRPr="002A6D8E">
        <w:t>, which are</w:t>
      </w:r>
      <w:r w:rsidRPr="002A6D8E">
        <w:t xml:space="preserve"> intended for </w:t>
      </w:r>
      <w:r w:rsidR="003A4DE7" w:rsidRPr="002A6D8E">
        <w:t>separate</w:t>
      </w:r>
      <w:r w:rsidR="00D57235" w:rsidRPr="002A6D8E">
        <w:t xml:space="preserve"> use on individual</w:t>
      </w:r>
      <w:r w:rsidRPr="002A6D8E">
        <w:t xml:space="preserve"> customer</w:t>
      </w:r>
      <w:r w:rsidR="00D57235" w:rsidRPr="002A6D8E">
        <w:t>s</w:t>
      </w:r>
      <w:r w:rsidR="003A4DE7" w:rsidRPr="002A6D8E">
        <w:t>,</w:t>
      </w:r>
      <w:r w:rsidRPr="002A6D8E">
        <w:t xml:space="preserve"> </w:t>
      </w:r>
      <w:r w:rsidR="0022668E" w:rsidRPr="002A6D8E">
        <w:t>not</w:t>
      </w:r>
      <w:r w:rsidRPr="002A6D8E">
        <w:t xml:space="preserve"> multiple customers served off of the same meter, such as an apartment complex.</w:t>
      </w:r>
      <w:r w:rsidR="008A6176" w:rsidRPr="002A6D8E">
        <w:t xml:space="preserve"> </w:t>
      </w:r>
    </w:p>
    <w:p w14:paraId="0B316C14" w14:textId="77777777" w:rsidR="003A3028" w:rsidRPr="005D4356" w:rsidRDefault="003A3028" w:rsidP="00A0517C">
      <w:pPr>
        <w:ind w:left="1080"/>
        <w:rPr>
          <w:i/>
          <w:highlight w:val="yellow"/>
        </w:rPr>
      </w:pPr>
    </w:p>
    <w:p w14:paraId="020BF590" w14:textId="0D5698CE" w:rsidR="00747F34" w:rsidRPr="005D4356" w:rsidRDefault="00747F34" w:rsidP="00A0517C">
      <w:pPr>
        <w:pStyle w:val="ListParagraph"/>
        <w:numPr>
          <w:ilvl w:val="1"/>
          <w:numId w:val="17"/>
        </w:numPr>
        <w:ind w:left="1080"/>
        <w:rPr>
          <w:i/>
        </w:rPr>
      </w:pPr>
      <w:r w:rsidRPr="005D4356">
        <w:rPr>
          <w:i/>
        </w:rPr>
        <w:t xml:space="preserve">Burton Water, at its sole discretion, may apply or remove a charge of 2/3 of the </w:t>
      </w:r>
      <w:r w:rsidR="00AD15DE" w:rsidRPr="005D4356">
        <w:rPr>
          <w:i/>
        </w:rPr>
        <w:t>3/4</w:t>
      </w:r>
      <w:r w:rsidRPr="005D4356">
        <w:rPr>
          <w:i/>
        </w:rPr>
        <w:t>" monthly base rate per Schedule 2 for each dwelling unit and each place of business using water</w:t>
      </w:r>
      <w:r w:rsidR="0019761A" w:rsidRPr="005D4356">
        <w:rPr>
          <w:i/>
        </w:rPr>
        <w:t xml:space="preserve"> </w:t>
      </w:r>
      <w:r w:rsidR="0019761A" w:rsidRPr="00A0517C">
        <w:rPr>
          <w:i/>
        </w:rPr>
        <w:t>(Rule 16)</w:t>
      </w:r>
      <w:r w:rsidRPr="005D4356">
        <w:rPr>
          <w:i/>
        </w:rPr>
        <w:t xml:space="preserve">. </w:t>
      </w:r>
    </w:p>
    <w:p w14:paraId="1FD854EE" w14:textId="77777777" w:rsidR="00BD7F1F" w:rsidRPr="005D4356" w:rsidRDefault="00BD7F1F" w:rsidP="00A0517C">
      <w:pPr>
        <w:ind w:left="1080"/>
      </w:pPr>
    </w:p>
    <w:p w14:paraId="493EEA1B" w14:textId="59FBD085" w:rsidR="00BD7F1F" w:rsidRDefault="00BD7F1F" w:rsidP="00A0517C">
      <w:pPr>
        <w:ind w:left="1080"/>
      </w:pPr>
      <w:r w:rsidRPr="002A6D8E">
        <w:rPr>
          <w:b/>
          <w:i/>
        </w:rPr>
        <w:t>Staff</w:t>
      </w:r>
      <w:r w:rsidR="002A6D8E" w:rsidRPr="002A6D8E">
        <w:rPr>
          <w:b/>
          <w:i/>
        </w:rPr>
        <w:t>’s</w:t>
      </w:r>
      <w:r w:rsidRPr="002A6D8E">
        <w:rPr>
          <w:b/>
          <w:i/>
        </w:rPr>
        <w:t xml:space="preserve"> concern</w:t>
      </w:r>
      <w:r w:rsidRPr="005D4356">
        <w:rPr>
          <w:b/>
        </w:rPr>
        <w:t>:</w:t>
      </w:r>
      <w:r w:rsidRPr="005D4356">
        <w:t xml:space="preserve"> to allow a water company ‘sole discretion’ to apply or remove a charge of 2/3</w:t>
      </w:r>
      <w:r w:rsidR="00A0517C">
        <w:t xml:space="preserve"> of</w:t>
      </w:r>
      <w:r w:rsidRPr="005D4356">
        <w:t xml:space="preserve"> a tariff rate is simply not fair and reasonable. </w:t>
      </w:r>
      <w:r w:rsidRPr="00A0517C">
        <w:t>Such an act could be interpreted as rate discrimination under RCW 80.28.100.</w:t>
      </w:r>
    </w:p>
    <w:p w14:paraId="0DA7EEC5" w14:textId="77777777" w:rsidR="00A0517C" w:rsidRPr="005D4356" w:rsidRDefault="00A0517C" w:rsidP="00A0517C">
      <w:pPr>
        <w:ind w:left="1080" w:hanging="360"/>
        <w:rPr>
          <w:i/>
        </w:rPr>
      </w:pPr>
    </w:p>
    <w:p w14:paraId="7E7FB0B0" w14:textId="77777777" w:rsidR="00747F34" w:rsidRPr="005D4356" w:rsidRDefault="00747F34" w:rsidP="00A0517C">
      <w:pPr>
        <w:pStyle w:val="ListParagraph"/>
        <w:numPr>
          <w:ilvl w:val="1"/>
          <w:numId w:val="17"/>
        </w:numPr>
        <w:ind w:left="1080"/>
      </w:pPr>
      <w:r w:rsidRPr="005D4356">
        <w:rPr>
          <w:i/>
        </w:rPr>
        <w:t>The property owner will be the customer and will be responsible for all charges</w:t>
      </w:r>
      <w:r w:rsidR="0019761A" w:rsidRPr="005D4356">
        <w:rPr>
          <w:i/>
        </w:rPr>
        <w:t xml:space="preserve"> </w:t>
      </w:r>
      <w:r w:rsidR="0019761A" w:rsidRPr="00A0517C">
        <w:rPr>
          <w:i/>
        </w:rPr>
        <w:t>(Rule 3)</w:t>
      </w:r>
      <w:r w:rsidRPr="005D4356">
        <w:rPr>
          <w:i/>
        </w:rPr>
        <w:t>.</w:t>
      </w:r>
    </w:p>
    <w:p w14:paraId="3692351B" w14:textId="77777777" w:rsidR="00BC605E" w:rsidRDefault="00BC605E" w:rsidP="000A643C">
      <w:pPr>
        <w:ind w:left="1080"/>
      </w:pPr>
    </w:p>
    <w:p w14:paraId="46B225CC" w14:textId="7B52BA13" w:rsidR="00BD7F1F" w:rsidRPr="00A0517C" w:rsidRDefault="00AD15DE" w:rsidP="00A0517C">
      <w:pPr>
        <w:ind w:left="1080"/>
      </w:pPr>
      <w:r w:rsidRPr="002A6D8E">
        <w:rPr>
          <w:b/>
          <w:i/>
        </w:rPr>
        <w:t>Staff</w:t>
      </w:r>
      <w:r w:rsidR="002A6D8E" w:rsidRPr="002A6D8E">
        <w:rPr>
          <w:b/>
          <w:i/>
        </w:rPr>
        <w:t>’s</w:t>
      </w:r>
      <w:r w:rsidRPr="002A6D8E">
        <w:rPr>
          <w:b/>
          <w:i/>
        </w:rPr>
        <w:t xml:space="preserve"> </w:t>
      </w:r>
      <w:r w:rsidR="00BD7F1F" w:rsidRPr="002A6D8E">
        <w:rPr>
          <w:b/>
          <w:i/>
        </w:rPr>
        <w:t>concerns</w:t>
      </w:r>
      <w:r w:rsidR="00BD7F1F" w:rsidRPr="00A0517C">
        <w:t>: The company proposes to require property owners to be the company customer in all cases and responsible for all charges. The proposal does not conform to Washington Administrative Code.</w:t>
      </w:r>
    </w:p>
    <w:p w14:paraId="3B60D621" w14:textId="77777777" w:rsidR="00BD7F1F" w:rsidRPr="005D4356" w:rsidRDefault="00BD7F1F" w:rsidP="00A0517C">
      <w:pPr>
        <w:ind w:left="1080" w:hanging="720"/>
      </w:pPr>
    </w:p>
    <w:p w14:paraId="5D46CA9D" w14:textId="4F3CF1EF" w:rsidR="00BD7F1F" w:rsidRPr="005D4356" w:rsidRDefault="00566EF4" w:rsidP="00695B48">
      <w:pPr>
        <w:pStyle w:val="ListParagraph"/>
        <w:numPr>
          <w:ilvl w:val="0"/>
          <w:numId w:val="19"/>
        </w:numPr>
        <w:ind w:left="1440"/>
      </w:pPr>
      <w:r>
        <w:t xml:space="preserve">WAC 480-110-245, Glossary, states a customer means: </w:t>
      </w:r>
      <w:r w:rsidR="00BD7F1F" w:rsidRPr="005D4356">
        <w:t xml:space="preserve">‘Anyone who has paid water company fees and/or has an accepted application for service; Anyone whose service connection is installed and is currently paying a ready-to-serve charge; </w:t>
      </w:r>
      <w:r w:rsidR="003A3028" w:rsidRPr="005D4356">
        <w:t xml:space="preserve">or </w:t>
      </w:r>
      <w:r>
        <w:t>Anyone who is actually receiving water service from the company with the knowledge of the company.</w:t>
      </w:r>
      <w:r w:rsidR="00BD7F1F" w:rsidRPr="005D4356">
        <w:t xml:space="preserve">’ </w:t>
      </w:r>
    </w:p>
    <w:p w14:paraId="7FD7E1E4" w14:textId="77777777" w:rsidR="00BD7F1F" w:rsidRPr="005D4356" w:rsidRDefault="00BD7F1F" w:rsidP="00695B48">
      <w:pPr>
        <w:ind w:left="1800" w:hanging="720"/>
      </w:pPr>
    </w:p>
    <w:p w14:paraId="1C1B2D7C" w14:textId="7BEA74DD" w:rsidR="003A4DE7" w:rsidRDefault="00BD7F1F" w:rsidP="00695B48">
      <w:pPr>
        <w:pStyle w:val="ListParagraph"/>
        <w:numPr>
          <w:ilvl w:val="0"/>
          <w:numId w:val="19"/>
        </w:numPr>
        <w:ind w:left="1440"/>
      </w:pPr>
      <w:r w:rsidRPr="005D4356">
        <w:t xml:space="preserve">WAC 480-110-325, </w:t>
      </w:r>
      <w:r w:rsidR="00566EF4">
        <w:t xml:space="preserve">Application for </w:t>
      </w:r>
      <w:r w:rsidR="00B46D34">
        <w:t>S</w:t>
      </w:r>
      <w:r w:rsidR="0052757D">
        <w:t>ervice,</w:t>
      </w:r>
      <w:r w:rsidR="00566EF4">
        <w:t xml:space="preserve"> outlines sufficient information to determine the customer and responsible parties for water service and billing</w:t>
      </w:r>
      <w:r w:rsidRPr="00A0517C">
        <w:t>, the rule makes no mention of property owner or renter</w:t>
      </w:r>
      <w:r w:rsidRPr="005D4356">
        <w:t xml:space="preserve">. </w:t>
      </w:r>
    </w:p>
    <w:p w14:paraId="59ACBDEB" w14:textId="77777777" w:rsidR="003A4DE7" w:rsidRDefault="003A4DE7" w:rsidP="003A4DE7">
      <w:pPr>
        <w:pStyle w:val="ListParagraph"/>
      </w:pPr>
    </w:p>
    <w:p w14:paraId="2405B91D" w14:textId="6C9245C8" w:rsidR="00566EF4" w:rsidRDefault="00566EF4" w:rsidP="000A643C">
      <w:pPr>
        <w:pStyle w:val="ListParagraph"/>
        <w:numPr>
          <w:ilvl w:val="0"/>
          <w:numId w:val="19"/>
        </w:numPr>
        <w:ind w:left="1440"/>
      </w:pPr>
      <w:r>
        <w:t xml:space="preserve">WAC 480-110-345, Refusal of Service, does not </w:t>
      </w:r>
      <w:r w:rsidR="00B46D34">
        <w:t>mention</w:t>
      </w:r>
      <w:r>
        <w:t xml:space="preserve"> refusing service based on type of customer; residential, commercial, owner</w:t>
      </w:r>
      <w:r w:rsidR="001B3770">
        <w:t>,</w:t>
      </w:r>
      <w:r>
        <w:t xml:space="preserve"> or renter.</w:t>
      </w:r>
    </w:p>
    <w:p w14:paraId="52FED256" w14:textId="77777777" w:rsidR="005D4356" w:rsidRDefault="005D4356" w:rsidP="00A0517C">
      <w:pPr>
        <w:pStyle w:val="ListParagraph"/>
      </w:pPr>
    </w:p>
    <w:p w14:paraId="4029D011" w14:textId="77777777" w:rsidR="00A6683D" w:rsidRPr="005D4356" w:rsidRDefault="00747F34" w:rsidP="00A0517C">
      <w:pPr>
        <w:pStyle w:val="ListParagraph"/>
        <w:numPr>
          <w:ilvl w:val="1"/>
          <w:numId w:val="17"/>
        </w:numPr>
        <w:ind w:left="1080"/>
        <w:rPr>
          <w:i/>
        </w:rPr>
      </w:pPr>
      <w:r w:rsidRPr="000A643C">
        <w:rPr>
          <w:i/>
        </w:rPr>
        <w:t>Copy of bills will be provided to renters for an additional charge of $5.00 per billing period.</w:t>
      </w:r>
      <w:r w:rsidR="00BD7F1F" w:rsidRPr="005D4356">
        <w:rPr>
          <w:i/>
        </w:rPr>
        <w:br/>
      </w:r>
    </w:p>
    <w:p w14:paraId="1F1FEFF3" w14:textId="5D62C1B3" w:rsidR="00D57235" w:rsidRPr="005D4356" w:rsidRDefault="00BD7F1F" w:rsidP="00A0517C">
      <w:pPr>
        <w:ind w:left="1080"/>
      </w:pPr>
      <w:r w:rsidRPr="002A6D8E">
        <w:rPr>
          <w:b/>
          <w:i/>
        </w:rPr>
        <w:t>Staff</w:t>
      </w:r>
      <w:r w:rsidR="002A6D8E" w:rsidRPr="002A6D8E">
        <w:rPr>
          <w:b/>
          <w:i/>
        </w:rPr>
        <w:t>’s</w:t>
      </w:r>
      <w:r w:rsidRPr="002A6D8E">
        <w:rPr>
          <w:b/>
          <w:i/>
        </w:rPr>
        <w:t xml:space="preserve"> concern</w:t>
      </w:r>
      <w:r w:rsidRPr="005D4356">
        <w:rPr>
          <w:b/>
        </w:rPr>
        <w:t>:</w:t>
      </w:r>
      <w:r w:rsidRPr="005D4356">
        <w:t xml:space="preserve"> </w:t>
      </w:r>
      <w:r w:rsidR="00890CD6">
        <w:t>C</w:t>
      </w:r>
      <w:r w:rsidRPr="005D4356">
        <w:t>harging for any form of customer designation is arbitrary and might only be advised when no meter or measuring device is available to determine the amount of water consumed and sold to a customer or customers.</w:t>
      </w:r>
      <w:r w:rsidR="00D57235" w:rsidRPr="005D4356">
        <w:t xml:space="preserve"> </w:t>
      </w:r>
      <w:r w:rsidR="003A4DE7">
        <w:t xml:space="preserve">However, </w:t>
      </w:r>
      <w:r w:rsidR="00D57235" w:rsidRPr="005D4356">
        <w:t xml:space="preserve">Burton </w:t>
      </w:r>
      <w:r w:rsidR="00257609">
        <w:t>W</w:t>
      </w:r>
      <w:r w:rsidR="00D57235" w:rsidRPr="005D4356">
        <w:t xml:space="preserve">ater has metered its customers and </w:t>
      </w:r>
      <w:r w:rsidR="00C05B5E">
        <w:t>all water sold is accounted for.</w:t>
      </w:r>
      <w:r w:rsidR="00D57235" w:rsidRPr="005D4356">
        <w:t xml:space="preserve"> </w:t>
      </w:r>
    </w:p>
    <w:p w14:paraId="0349B3B5" w14:textId="4466F674" w:rsidR="00B46D34" w:rsidRDefault="00B46D34" w:rsidP="000A643C">
      <w:pPr>
        <w:pStyle w:val="ListParagraph"/>
        <w:ind w:left="0"/>
      </w:pPr>
      <w:r>
        <w:lastRenderedPageBreak/>
        <w:t>Staff believes that with meters and tariffed rate schedules, the company can sell water and recover cost and does not need to define who the customer may or may not be.</w:t>
      </w:r>
      <w:r w:rsidR="00D731A6">
        <w:t xml:space="preserve"> If the company needs assurance of funds from </w:t>
      </w:r>
      <w:r w:rsidR="008A6176" w:rsidRPr="005D4356">
        <w:t>provi</w:t>
      </w:r>
      <w:r w:rsidR="008A6176">
        <w:t>d</w:t>
      </w:r>
      <w:r w:rsidR="008A6176" w:rsidRPr="005D4356">
        <w:t>ing</w:t>
      </w:r>
      <w:r w:rsidR="00D731A6">
        <w:t xml:space="preserve"> service</w:t>
      </w:r>
      <w:r w:rsidR="008A6176">
        <w:t>,</w:t>
      </w:r>
      <w:r w:rsidR="00D731A6">
        <w:t xml:space="preserve"> the company can require deposits </w:t>
      </w:r>
      <w:r w:rsidR="00695B48" w:rsidRPr="005D4356">
        <w:t>in accordance with</w:t>
      </w:r>
      <w:r w:rsidR="00D731A6">
        <w:t xml:space="preserve"> WAC 480-110-335, Establishing Credits, and Deposits. Additional protection is provided to the company in WAC 480-110-355, Discontinuing of Service.</w:t>
      </w:r>
    </w:p>
    <w:p w14:paraId="3F42DDF4" w14:textId="77777777" w:rsidR="00B46D34" w:rsidRPr="000A643C" w:rsidRDefault="00B46D34" w:rsidP="000A64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20" w:lineRule="auto"/>
        <w:rPr>
          <w:b/>
          <w:u w:val="single"/>
        </w:rPr>
      </w:pPr>
    </w:p>
    <w:p w14:paraId="1E31F01C" w14:textId="77777777" w:rsidR="00A8749C" w:rsidRDefault="00A8749C" w:rsidP="00F32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20" w:lineRule="auto"/>
        <w:rPr>
          <w:rFonts w:eastAsia="Times New Roman"/>
          <w:b/>
          <w:u w:val="single"/>
          <w:lang w:bidi="ar-SA"/>
        </w:rPr>
      </w:pPr>
      <w:r w:rsidRPr="00A8749C">
        <w:rPr>
          <w:rFonts w:eastAsia="Times New Roman"/>
          <w:b/>
          <w:u w:val="single"/>
          <w:lang w:bidi="ar-SA"/>
        </w:rPr>
        <w:t xml:space="preserve">Customer Comments </w:t>
      </w:r>
    </w:p>
    <w:p w14:paraId="1E31F024" w14:textId="0817AEEA" w:rsidR="002469F5" w:rsidRDefault="002469F5" w:rsidP="00DF38A5">
      <w:r w:rsidRPr="000A643C">
        <w:t xml:space="preserve">On </w:t>
      </w:r>
      <w:r w:rsidR="00917277" w:rsidRPr="000A643C">
        <w:t xml:space="preserve">December </w:t>
      </w:r>
      <w:r w:rsidR="00DF38A5" w:rsidRPr="000A643C">
        <w:t>9</w:t>
      </w:r>
      <w:r w:rsidRPr="000A643C">
        <w:t xml:space="preserve">, </w:t>
      </w:r>
      <w:r w:rsidR="00917277" w:rsidRPr="000A643C">
        <w:t>2016</w:t>
      </w:r>
      <w:r w:rsidRPr="000A643C">
        <w:t xml:space="preserve">, the company notified its customers by mail of the proposed </w:t>
      </w:r>
      <w:r w:rsidR="00E80F55">
        <w:t xml:space="preserve">tariff rule changes and updating of </w:t>
      </w:r>
      <w:r w:rsidR="00184003" w:rsidRPr="000A643C">
        <w:t>ancillary</w:t>
      </w:r>
      <w:r w:rsidR="00DF38A5" w:rsidRPr="000A643C">
        <w:t xml:space="preserve"> charges</w:t>
      </w:r>
      <w:r w:rsidRPr="000A643C">
        <w:t xml:space="preserve">. </w:t>
      </w:r>
      <w:r w:rsidR="00E80F55">
        <w:t xml:space="preserve">Rule language and charges were not part of the notice. </w:t>
      </w:r>
      <w:r w:rsidR="00E70D53" w:rsidRPr="00A0517C">
        <w:t>Staff</w:t>
      </w:r>
      <w:r w:rsidR="00DA7589" w:rsidRPr="000A643C">
        <w:t xml:space="preserve"> received </w:t>
      </w:r>
      <w:r w:rsidR="00E70D53" w:rsidRPr="00A0517C">
        <w:t>no comments.</w:t>
      </w:r>
      <w:r w:rsidR="006E2736">
        <w:t xml:space="preserve"> Staff believes the customer notice did not meet WAC 480-110-425, Water company customer notice requirements, in that the notice did not contain current rates and charges along with proposed rates and charges. </w:t>
      </w:r>
    </w:p>
    <w:p w14:paraId="30E40E5A" w14:textId="77777777" w:rsidR="00065256" w:rsidRPr="000A643C" w:rsidRDefault="00065256" w:rsidP="000A643C">
      <w:pPr>
        <w:rPr>
          <w:b/>
        </w:rPr>
      </w:pPr>
    </w:p>
    <w:p w14:paraId="0DB7F7E8" w14:textId="65AE2EC9" w:rsidR="00257609" w:rsidRDefault="00E70D53" w:rsidP="00775F4A">
      <w:pPr>
        <w:rPr>
          <w:b/>
          <w:u w:val="single"/>
        </w:rPr>
      </w:pPr>
      <w:r w:rsidRPr="00A0517C">
        <w:rPr>
          <w:b/>
          <w:u w:val="single"/>
        </w:rPr>
        <w:t xml:space="preserve">Rate Concerns </w:t>
      </w:r>
    </w:p>
    <w:p w14:paraId="6645B500" w14:textId="77777777" w:rsidR="00257609" w:rsidRPr="00A0517C" w:rsidRDefault="00257609" w:rsidP="00775F4A">
      <w:pPr>
        <w:rPr>
          <w:b/>
          <w:u w:val="single"/>
        </w:rPr>
      </w:pPr>
    </w:p>
    <w:p w14:paraId="0852FC8E" w14:textId="62EB2806" w:rsidR="00917277" w:rsidRPr="0022668E" w:rsidRDefault="00123700" w:rsidP="00BE5610">
      <w:r w:rsidRPr="00123700">
        <w:t xml:space="preserve">Staff’s analysis of the company’s financial information </w:t>
      </w:r>
      <w:r w:rsidR="00917277">
        <w:t xml:space="preserve">to support the </w:t>
      </w:r>
      <w:r w:rsidRPr="00123700">
        <w:t xml:space="preserve">proposed </w:t>
      </w:r>
      <w:r w:rsidR="00917277">
        <w:t>ancillary charges</w:t>
      </w:r>
      <w:r w:rsidRPr="00123700">
        <w:t xml:space="preserve"> </w:t>
      </w:r>
      <w:r w:rsidRPr="0022668E">
        <w:t xml:space="preserve">was excessive. </w:t>
      </w:r>
      <w:r w:rsidR="00775F4A" w:rsidRPr="0022668E">
        <w:t xml:space="preserve">Staff’s analysis indicated </w:t>
      </w:r>
      <w:r w:rsidR="00775F4A" w:rsidRPr="00A01A4D">
        <w:t>that lower rates were justified by company answers to data request.</w:t>
      </w:r>
      <w:r w:rsidR="00775F4A" w:rsidRPr="0022668E">
        <w:t xml:space="preserve"> </w:t>
      </w:r>
    </w:p>
    <w:p w14:paraId="3A7DA781" w14:textId="77777777" w:rsidR="0022668E" w:rsidRDefault="0022668E"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p w14:paraId="1E31F027" w14:textId="01C1FBC8" w:rsidR="0080117F" w:rsidRPr="0080117F" w:rsidRDefault="007F70C8"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rFonts w:eastAsia="Times New Roman"/>
          <w:lang w:bidi="ar-SA"/>
        </w:rPr>
        <w:t>The rate comparison table below reflects the current</w:t>
      </w:r>
      <w:r w:rsidR="004C6977">
        <w:rPr>
          <w:rFonts w:eastAsia="Times New Roman"/>
          <w:lang w:bidi="ar-SA"/>
        </w:rPr>
        <w:t xml:space="preserve"> and</w:t>
      </w:r>
      <w:r>
        <w:rPr>
          <w:rFonts w:eastAsia="Times New Roman"/>
          <w:lang w:bidi="ar-SA"/>
        </w:rPr>
        <w:t xml:space="preserve"> proposed </w:t>
      </w:r>
      <w:r w:rsidR="00E06BAA">
        <w:rPr>
          <w:rFonts w:eastAsia="Times New Roman"/>
          <w:lang w:bidi="ar-SA"/>
        </w:rPr>
        <w:t>charges</w:t>
      </w:r>
      <w:r>
        <w:rPr>
          <w:rFonts w:eastAsia="Times New Roman"/>
          <w:lang w:bidi="ar-SA"/>
        </w:rPr>
        <w:t xml:space="preserve"> requested by the company. </w:t>
      </w:r>
    </w:p>
    <w:p w14:paraId="1E31F029" w14:textId="77777777" w:rsidR="009270B9" w:rsidRDefault="00832CE0" w:rsidP="00174093">
      <w:pPr>
        <w:ind w:left="3600"/>
        <w:rPr>
          <w:b/>
          <w:u w:val="single"/>
        </w:rPr>
      </w:pPr>
      <w:r w:rsidRPr="00450175">
        <w:rPr>
          <w:b/>
          <w:u w:val="single"/>
        </w:rPr>
        <w:t>Rate Comparison</w:t>
      </w:r>
    </w:p>
    <w:p w14:paraId="1E31F02A" w14:textId="03995EC3" w:rsidR="00CA3026" w:rsidRDefault="00174093" w:rsidP="009270B9">
      <w:pPr>
        <w:jc w:val="center"/>
        <w:rPr>
          <w:b/>
          <w:u w:val="single"/>
        </w:rPr>
      </w:pPr>
      <w:r>
        <w:rPr>
          <w:b/>
          <w:u w:val="single"/>
        </w:rPr>
        <w:t xml:space="preserve"> </w:t>
      </w:r>
    </w:p>
    <w:tbl>
      <w:tblPr>
        <w:tblW w:w="3817" w:type="pct"/>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1834"/>
        <w:gridCol w:w="2210"/>
      </w:tblGrid>
      <w:tr w:rsidR="0022668E" w:rsidRPr="009270B9" w14:paraId="1E31F02F" w14:textId="77777777" w:rsidTr="00174093">
        <w:trPr>
          <w:trHeight w:val="251"/>
        </w:trPr>
        <w:tc>
          <w:tcPr>
            <w:tcW w:w="2167" w:type="pct"/>
          </w:tcPr>
          <w:p w14:paraId="1E31F02B" w14:textId="572926FB" w:rsidR="0022668E" w:rsidRPr="009270B9" w:rsidRDefault="0022668E" w:rsidP="004D7C89">
            <w:pPr>
              <w:keepNext/>
              <w:widowControl w:val="0"/>
              <w:autoSpaceDE w:val="0"/>
              <w:autoSpaceDN w:val="0"/>
              <w:adjustRightInd w:val="0"/>
              <w:jc w:val="center"/>
              <w:outlineLvl w:val="0"/>
              <w:rPr>
                <w:rFonts w:eastAsia="Times New Roman"/>
                <w:b/>
                <w:lang w:bidi="ar-SA"/>
              </w:rPr>
            </w:pPr>
            <w:r>
              <w:rPr>
                <w:rFonts w:eastAsia="Times New Roman"/>
                <w:b/>
                <w:lang w:bidi="ar-SA"/>
              </w:rPr>
              <w:t>Charge</w:t>
            </w:r>
          </w:p>
        </w:tc>
        <w:tc>
          <w:tcPr>
            <w:tcW w:w="1285" w:type="pct"/>
          </w:tcPr>
          <w:p w14:paraId="1E31F02C" w14:textId="77777777" w:rsidR="0022668E" w:rsidRPr="009270B9" w:rsidRDefault="0022668E" w:rsidP="002D49F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49" w:type="pct"/>
          </w:tcPr>
          <w:p w14:paraId="1E31F02D" w14:textId="77777777" w:rsidR="0022668E" w:rsidRPr="009270B9" w:rsidRDefault="0022668E" w:rsidP="002D49F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22668E" w:rsidRPr="009270B9" w14:paraId="1E31F034" w14:textId="77777777" w:rsidTr="00174093">
        <w:tc>
          <w:tcPr>
            <w:tcW w:w="2167" w:type="pct"/>
          </w:tcPr>
          <w:p w14:paraId="1E31F030" w14:textId="23C686C0" w:rsidR="0022668E" w:rsidRDefault="0022668E" w:rsidP="00A616A5">
            <w:pPr>
              <w:keepNext/>
              <w:widowControl w:val="0"/>
              <w:autoSpaceDE w:val="0"/>
              <w:autoSpaceDN w:val="0"/>
              <w:adjustRightInd w:val="0"/>
              <w:outlineLvl w:val="0"/>
              <w:rPr>
                <w:rFonts w:eastAsia="Times New Roman"/>
                <w:lang w:bidi="ar-SA"/>
              </w:rPr>
            </w:pPr>
            <w:r>
              <w:rPr>
                <w:rFonts w:eastAsia="Times New Roman"/>
                <w:lang w:bidi="ar-SA"/>
              </w:rPr>
              <w:t>Renter -- Bill Copy</w:t>
            </w:r>
          </w:p>
        </w:tc>
        <w:tc>
          <w:tcPr>
            <w:tcW w:w="1285" w:type="pct"/>
          </w:tcPr>
          <w:p w14:paraId="1E31F031" w14:textId="36BDC8AC" w:rsidR="0022668E" w:rsidRPr="009270B9" w:rsidRDefault="0022668E" w:rsidP="004D7C89">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14:paraId="1E31F032" w14:textId="23C57DE1" w:rsidR="0022668E" w:rsidRPr="009270B9" w:rsidRDefault="0022668E" w:rsidP="00257609">
            <w:pPr>
              <w:widowControl w:val="0"/>
              <w:tabs>
                <w:tab w:val="decimal" w:pos="528"/>
              </w:tabs>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5.00</w:t>
            </w:r>
          </w:p>
        </w:tc>
      </w:tr>
      <w:tr w:rsidR="0022668E" w:rsidRPr="009270B9" w14:paraId="0BE84C7B" w14:textId="77777777" w:rsidTr="00174093">
        <w:tc>
          <w:tcPr>
            <w:tcW w:w="2167" w:type="pct"/>
          </w:tcPr>
          <w:p w14:paraId="5158F61B" w14:textId="282C8B17" w:rsidR="0022668E" w:rsidRDefault="0022668E" w:rsidP="004D7C89">
            <w:pPr>
              <w:keepNext/>
              <w:widowControl w:val="0"/>
              <w:autoSpaceDE w:val="0"/>
              <w:autoSpaceDN w:val="0"/>
              <w:adjustRightInd w:val="0"/>
              <w:outlineLvl w:val="0"/>
              <w:rPr>
                <w:rFonts w:eastAsia="Times New Roman"/>
                <w:lang w:bidi="ar-SA"/>
              </w:rPr>
            </w:pPr>
            <w:r>
              <w:rPr>
                <w:rFonts w:eastAsia="Times New Roman"/>
                <w:lang w:bidi="ar-SA"/>
              </w:rPr>
              <w:t xml:space="preserve">Disconnection Visit </w:t>
            </w:r>
          </w:p>
        </w:tc>
        <w:tc>
          <w:tcPr>
            <w:tcW w:w="1285" w:type="pct"/>
          </w:tcPr>
          <w:p w14:paraId="5CE654E1" w14:textId="24FCA95D" w:rsidR="0022668E" w:rsidRPr="009270B9" w:rsidRDefault="0022668E" w:rsidP="00167054">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14:paraId="0B532B3C" w14:textId="0BFA23B0" w:rsidR="0022668E" w:rsidRPr="009270B9" w:rsidRDefault="0022668E" w:rsidP="00257609">
            <w:pPr>
              <w:widowControl w:val="0"/>
              <w:tabs>
                <w:tab w:val="decimal" w:pos="528"/>
              </w:tabs>
              <w:autoSpaceDE w:val="0"/>
              <w:autoSpaceDN w:val="0"/>
              <w:adjustRightInd w:val="0"/>
              <w:jc w:val="center"/>
              <w:rPr>
                <w:rFonts w:eastAsia="Times New Roman"/>
                <w:lang w:bidi="ar-SA"/>
              </w:rPr>
            </w:pPr>
            <w:r>
              <w:rPr>
                <w:rFonts w:eastAsia="Times New Roman"/>
                <w:lang w:bidi="ar-SA"/>
              </w:rPr>
              <w:t>$50.00</w:t>
            </w:r>
          </w:p>
        </w:tc>
      </w:tr>
      <w:tr w:rsidR="0022668E" w:rsidRPr="009270B9" w14:paraId="2B4FE456" w14:textId="77777777" w:rsidTr="00174093">
        <w:tc>
          <w:tcPr>
            <w:tcW w:w="2167" w:type="pct"/>
          </w:tcPr>
          <w:p w14:paraId="2F57FECF" w14:textId="76E6E475" w:rsidR="0022668E" w:rsidRDefault="0022668E" w:rsidP="00C753C6">
            <w:pPr>
              <w:keepNext/>
              <w:widowControl w:val="0"/>
              <w:autoSpaceDE w:val="0"/>
              <w:autoSpaceDN w:val="0"/>
              <w:adjustRightInd w:val="0"/>
              <w:outlineLvl w:val="0"/>
              <w:rPr>
                <w:rFonts w:eastAsia="Times New Roman"/>
                <w:lang w:bidi="ar-SA"/>
              </w:rPr>
            </w:pPr>
            <w:r>
              <w:rPr>
                <w:rFonts w:eastAsia="Times New Roman"/>
                <w:lang w:bidi="ar-SA"/>
              </w:rPr>
              <w:t>Account Set-Up</w:t>
            </w:r>
          </w:p>
        </w:tc>
        <w:tc>
          <w:tcPr>
            <w:tcW w:w="1285" w:type="pct"/>
          </w:tcPr>
          <w:p w14:paraId="5DD71321" w14:textId="4FE0AD1C" w:rsidR="0022668E" w:rsidRPr="009270B9" w:rsidRDefault="0022668E" w:rsidP="00167054">
            <w:pPr>
              <w:widowControl w:val="0"/>
              <w:autoSpaceDE w:val="0"/>
              <w:autoSpaceDN w:val="0"/>
              <w:adjustRightInd w:val="0"/>
              <w:jc w:val="center"/>
              <w:rPr>
                <w:rFonts w:eastAsia="Times New Roman"/>
                <w:lang w:bidi="ar-SA"/>
              </w:rPr>
            </w:pPr>
            <w:r>
              <w:rPr>
                <w:rFonts w:eastAsia="Times New Roman"/>
                <w:lang w:bidi="ar-SA"/>
              </w:rPr>
              <w:t>$20.00</w:t>
            </w:r>
          </w:p>
        </w:tc>
        <w:tc>
          <w:tcPr>
            <w:tcW w:w="1549" w:type="pct"/>
          </w:tcPr>
          <w:p w14:paraId="1F05C137" w14:textId="795DF2C2" w:rsidR="0022668E" w:rsidRPr="009270B9" w:rsidRDefault="0022668E" w:rsidP="00257609">
            <w:pPr>
              <w:widowControl w:val="0"/>
              <w:tabs>
                <w:tab w:val="decimal" w:pos="528"/>
              </w:tabs>
              <w:autoSpaceDE w:val="0"/>
              <w:autoSpaceDN w:val="0"/>
              <w:adjustRightInd w:val="0"/>
              <w:jc w:val="center"/>
              <w:rPr>
                <w:rFonts w:eastAsia="Times New Roman"/>
                <w:lang w:bidi="ar-SA"/>
              </w:rPr>
            </w:pPr>
            <w:r>
              <w:rPr>
                <w:rFonts w:eastAsia="Times New Roman"/>
                <w:lang w:bidi="ar-SA"/>
              </w:rPr>
              <w:t>$50.00</w:t>
            </w:r>
          </w:p>
        </w:tc>
      </w:tr>
      <w:tr w:rsidR="0022668E" w:rsidRPr="009270B9" w14:paraId="18D58D9B" w14:textId="77777777" w:rsidTr="00174093">
        <w:tc>
          <w:tcPr>
            <w:tcW w:w="2167" w:type="pct"/>
          </w:tcPr>
          <w:p w14:paraId="3829CC8C" w14:textId="6A57EA19" w:rsidR="0022668E" w:rsidRDefault="0022668E" w:rsidP="00C753C6">
            <w:pPr>
              <w:keepNext/>
              <w:widowControl w:val="0"/>
              <w:autoSpaceDE w:val="0"/>
              <w:autoSpaceDN w:val="0"/>
              <w:adjustRightInd w:val="0"/>
              <w:outlineLvl w:val="0"/>
              <w:rPr>
                <w:rFonts w:eastAsia="Times New Roman"/>
                <w:lang w:bidi="ar-SA"/>
              </w:rPr>
            </w:pPr>
            <w:r>
              <w:rPr>
                <w:rFonts w:eastAsia="Times New Roman"/>
                <w:lang w:bidi="ar-SA"/>
              </w:rPr>
              <w:t>Water Availability Letter</w:t>
            </w:r>
          </w:p>
        </w:tc>
        <w:tc>
          <w:tcPr>
            <w:tcW w:w="1285" w:type="pct"/>
          </w:tcPr>
          <w:p w14:paraId="3698F904" w14:textId="49BCBED0" w:rsidR="0022668E" w:rsidRPr="009270B9" w:rsidRDefault="0022668E" w:rsidP="00167054">
            <w:pPr>
              <w:widowControl w:val="0"/>
              <w:autoSpaceDE w:val="0"/>
              <w:autoSpaceDN w:val="0"/>
              <w:adjustRightInd w:val="0"/>
              <w:jc w:val="center"/>
              <w:rPr>
                <w:rFonts w:eastAsia="Times New Roman"/>
                <w:lang w:bidi="ar-SA"/>
              </w:rPr>
            </w:pPr>
            <w:r>
              <w:rPr>
                <w:rFonts w:eastAsia="Times New Roman"/>
                <w:lang w:bidi="ar-SA"/>
              </w:rPr>
              <w:t>$25.00</w:t>
            </w:r>
          </w:p>
        </w:tc>
        <w:tc>
          <w:tcPr>
            <w:tcW w:w="1549" w:type="pct"/>
          </w:tcPr>
          <w:p w14:paraId="2595E659" w14:textId="68F10375" w:rsidR="0022668E" w:rsidRPr="009270B9" w:rsidRDefault="0022668E" w:rsidP="00257609">
            <w:pPr>
              <w:widowControl w:val="0"/>
              <w:tabs>
                <w:tab w:val="decimal" w:pos="528"/>
              </w:tabs>
              <w:autoSpaceDE w:val="0"/>
              <w:autoSpaceDN w:val="0"/>
              <w:adjustRightInd w:val="0"/>
              <w:jc w:val="center"/>
              <w:rPr>
                <w:rFonts w:eastAsia="Times New Roman"/>
                <w:lang w:bidi="ar-SA"/>
              </w:rPr>
            </w:pPr>
            <w:r>
              <w:rPr>
                <w:rFonts w:eastAsia="Times New Roman"/>
                <w:lang w:bidi="ar-SA"/>
              </w:rPr>
              <w:t>$40.00</w:t>
            </w:r>
          </w:p>
        </w:tc>
      </w:tr>
      <w:tr w:rsidR="0022668E" w:rsidRPr="009270B9" w14:paraId="5E06FF53" w14:textId="77777777" w:rsidTr="00174093">
        <w:tc>
          <w:tcPr>
            <w:tcW w:w="2167" w:type="pct"/>
          </w:tcPr>
          <w:p w14:paraId="113A707F" w14:textId="3CDDC2D2" w:rsidR="0022668E" w:rsidRDefault="0022668E" w:rsidP="00C753C6">
            <w:pPr>
              <w:keepNext/>
              <w:widowControl w:val="0"/>
              <w:autoSpaceDE w:val="0"/>
              <w:autoSpaceDN w:val="0"/>
              <w:adjustRightInd w:val="0"/>
              <w:outlineLvl w:val="0"/>
              <w:rPr>
                <w:rFonts w:eastAsia="Times New Roman"/>
                <w:lang w:bidi="ar-SA"/>
              </w:rPr>
            </w:pPr>
            <w:r>
              <w:rPr>
                <w:rFonts w:eastAsia="Times New Roman"/>
                <w:lang w:bidi="ar-SA"/>
              </w:rPr>
              <w:t>Separate Dwelling Unit (2/3)</w:t>
            </w:r>
          </w:p>
        </w:tc>
        <w:tc>
          <w:tcPr>
            <w:tcW w:w="1285" w:type="pct"/>
          </w:tcPr>
          <w:p w14:paraId="09FA780E" w14:textId="1016B71F" w:rsidR="0022668E" w:rsidRPr="009270B9" w:rsidRDefault="0022668E" w:rsidP="00167054">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14:paraId="68DC623D" w14:textId="527BED2D" w:rsidR="0022668E" w:rsidRPr="009270B9" w:rsidRDefault="0022668E" w:rsidP="00257609">
            <w:pPr>
              <w:widowControl w:val="0"/>
              <w:tabs>
                <w:tab w:val="decimal" w:pos="528"/>
              </w:tabs>
              <w:autoSpaceDE w:val="0"/>
              <w:autoSpaceDN w:val="0"/>
              <w:adjustRightInd w:val="0"/>
              <w:jc w:val="center"/>
              <w:rPr>
                <w:rFonts w:eastAsia="Times New Roman"/>
                <w:lang w:bidi="ar-SA"/>
              </w:rPr>
            </w:pPr>
            <w:r>
              <w:rPr>
                <w:rFonts w:eastAsia="Times New Roman"/>
                <w:lang w:bidi="ar-SA"/>
              </w:rPr>
              <w:t>$19.64</w:t>
            </w:r>
          </w:p>
        </w:tc>
      </w:tr>
      <w:tr w:rsidR="0022668E" w:rsidRPr="009270B9" w14:paraId="6E377A01" w14:textId="77777777" w:rsidTr="00174093">
        <w:tc>
          <w:tcPr>
            <w:tcW w:w="2167" w:type="pct"/>
          </w:tcPr>
          <w:p w14:paraId="5D35EAFC" w14:textId="52EE397B" w:rsidR="0022668E" w:rsidRDefault="0022668E" w:rsidP="00C753C6">
            <w:pPr>
              <w:keepNext/>
              <w:widowControl w:val="0"/>
              <w:autoSpaceDE w:val="0"/>
              <w:autoSpaceDN w:val="0"/>
              <w:adjustRightInd w:val="0"/>
              <w:outlineLvl w:val="0"/>
              <w:rPr>
                <w:rFonts w:eastAsia="Times New Roman"/>
                <w:lang w:bidi="ar-SA"/>
              </w:rPr>
            </w:pPr>
            <w:r>
              <w:rPr>
                <w:rFonts w:eastAsia="Times New Roman"/>
                <w:lang w:bidi="ar-SA"/>
              </w:rPr>
              <w:t>Collection Agency Fee</w:t>
            </w:r>
          </w:p>
        </w:tc>
        <w:tc>
          <w:tcPr>
            <w:tcW w:w="1285" w:type="pct"/>
          </w:tcPr>
          <w:p w14:paraId="7884A2FB" w14:textId="18201880" w:rsidR="0022668E" w:rsidRPr="009270B9" w:rsidRDefault="0022668E" w:rsidP="00167054">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14:paraId="136D646F" w14:textId="0912AE56" w:rsidR="0022668E" w:rsidRPr="009270B9" w:rsidRDefault="0022668E" w:rsidP="00167054">
            <w:pPr>
              <w:widowControl w:val="0"/>
              <w:autoSpaceDE w:val="0"/>
              <w:autoSpaceDN w:val="0"/>
              <w:adjustRightInd w:val="0"/>
              <w:jc w:val="center"/>
              <w:rPr>
                <w:rFonts w:eastAsia="Times New Roman"/>
                <w:lang w:bidi="ar-SA"/>
              </w:rPr>
            </w:pPr>
            <w:r>
              <w:rPr>
                <w:rFonts w:eastAsia="Times New Roman"/>
                <w:lang w:bidi="ar-SA"/>
              </w:rPr>
              <w:t>35% of amount due</w:t>
            </w:r>
          </w:p>
        </w:tc>
      </w:tr>
    </w:tbl>
    <w:p w14:paraId="66AE75CF" w14:textId="77777777" w:rsidR="00B93246" w:rsidRDefault="00B93246" w:rsidP="00464C42">
      <w:pPr>
        <w:rPr>
          <w:rFonts w:eastAsia="Times New Roman"/>
          <w:lang w:bidi="ar-SA"/>
        </w:rPr>
      </w:pPr>
    </w:p>
    <w:p w14:paraId="1E31F06F" w14:textId="389F1782" w:rsidR="00464C42" w:rsidRPr="000A643C" w:rsidRDefault="00464C42" w:rsidP="00464C42">
      <w:r w:rsidRPr="00464C42">
        <w:rPr>
          <w:rFonts w:eastAsia="Times New Roman"/>
          <w:lang w:bidi="ar-SA"/>
        </w:rPr>
        <w:t>Commission staff has completed its review of the company’s supporting financial documents, books, and records</w:t>
      </w:r>
      <w:r w:rsidR="00F32FEE">
        <w:rPr>
          <w:rFonts w:eastAsia="Times New Roman"/>
          <w:lang w:bidi="ar-SA"/>
        </w:rPr>
        <w:t xml:space="preserve"> and have found </w:t>
      </w:r>
      <w:r w:rsidRPr="00464C42">
        <w:rPr>
          <w:rFonts w:eastAsia="Times New Roman"/>
          <w:lang w:bidi="ar-SA"/>
        </w:rPr>
        <w:t xml:space="preserve">that the proposed </w:t>
      </w:r>
      <w:r w:rsidR="00123700">
        <w:rPr>
          <w:rFonts w:eastAsia="Times New Roman"/>
          <w:lang w:bidi="ar-SA"/>
        </w:rPr>
        <w:t xml:space="preserve">revenue </w:t>
      </w:r>
      <w:r w:rsidR="00D731A6">
        <w:rPr>
          <w:rFonts w:eastAsia="Times New Roman"/>
          <w:lang w:bidi="ar-SA"/>
        </w:rPr>
        <w:t>generation fr</w:t>
      </w:r>
      <w:r w:rsidR="002721F0">
        <w:rPr>
          <w:rFonts w:eastAsia="Times New Roman"/>
          <w:lang w:bidi="ar-SA"/>
        </w:rPr>
        <w:t>o</w:t>
      </w:r>
      <w:r w:rsidR="00D731A6">
        <w:rPr>
          <w:rFonts w:eastAsia="Times New Roman"/>
          <w:lang w:bidi="ar-SA"/>
        </w:rPr>
        <w:t xml:space="preserve">m the ancillary charge increases </w:t>
      </w:r>
      <w:r w:rsidR="004C6977">
        <w:rPr>
          <w:rFonts w:eastAsia="Times New Roman"/>
          <w:lang w:bidi="ar-SA"/>
        </w:rPr>
        <w:t>is</w:t>
      </w:r>
      <w:r w:rsidR="00123700">
        <w:rPr>
          <w:rFonts w:eastAsia="Times New Roman"/>
          <w:lang w:bidi="ar-SA"/>
        </w:rPr>
        <w:t xml:space="preserve"> excessive</w:t>
      </w:r>
      <w:r w:rsidRPr="00464C42">
        <w:rPr>
          <w:rFonts w:eastAsia="Times New Roman"/>
          <w:lang w:bidi="ar-SA"/>
        </w:rPr>
        <w:t>.</w:t>
      </w:r>
      <w:r w:rsidR="00EC0680">
        <w:rPr>
          <w:rFonts w:eastAsia="Times New Roman"/>
          <w:lang w:bidi="ar-SA"/>
        </w:rPr>
        <w:t xml:space="preserve"> </w:t>
      </w:r>
    </w:p>
    <w:p w14:paraId="1E31F071" w14:textId="77777777" w:rsidR="006173EB" w:rsidRDefault="006173EB" w:rsidP="00BE5610"/>
    <w:p w14:paraId="1E31F072" w14:textId="77777777" w:rsidR="003B700C" w:rsidRDefault="003B700C" w:rsidP="00F32FEE">
      <w:pPr>
        <w:spacing w:after="120"/>
        <w:rPr>
          <w:b/>
          <w:u w:val="single"/>
        </w:rPr>
      </w:pPr>
      <w:r w:rsidRPr="00935AF2">
        <w:rPr>
          <w:b/>
          <w:u w:val="single"/>
        </w:rPr>
        <w:t xml:space="preserve">Conclusion </w:t>
      </w:r>
    </w:p>
    <w:p w14:paraId="1E31F074" w14:textId="54EB86DD" w:rsidR="00C81151" w:rsidRPr="00C81151" w:rsidRDefault="00C81151" w:rsidP="00C81151">
      <w:pPr>
        <w:rPr>
          <w:rFonts w:eastAsiaTheme="minorHAnsi"/>
          <w:lang w:bidi="ar-SA"/>
        </w:rPr>
      </w:pPr>
      <w:r w:rsidRPr="00C81151">
        <w:rPr>
          <w:rFonts w:eastAsiaTheme="minorHAnsi"/>
          <w:lang w:bidi="ar-SA"/>
        </w:rPr>
        <w:t xml:space="preserve">Staff recommends that the commission </w:t>
      </w:r>
      <w:r w:rsidR="00695B48">
        <w:rPr>
          <w:rFonts w:eastAsiaTheme="minorHAnsi"/>
          <w:lang w:bidi="ar-SA"/>
        </w:rPr>
        <w:t>i</w:t>
      </w:r>
      <w:r w:rsidR="00695B48" w:rsidRPr="005D4356">
        <w:rPr>
          <w:rFonts w:eastAsiaTheme="minorHAnsi"/>
          <w:lang w:bidi="ar-SA"/>
        </w:rPr>
        <w:t>ssue</w:t>
      </w:r>
      <w:r w:rsidR="00065256">
        <w:rPr>
          <w:rFonts w:eastAsiaTheme="minorHAnsi"/>
          <w:lang w:bidi="ar-SA"/>
        </w:rPr>
        <w:t xml:space="preserve"> </w:t>
      </w:r>
      <w:r w:rsidR="00065256">
        <w:t>a Complaint and Order Suspending the Tariff Revisions filed by Burton Water Company</w:t>
      </w:r>
      <w:r w:rsidR="0022668E">
        <w:t xml:space="preserve"> Inc., in Docket UW-161290.</w:t>
      </w:r>
      <w:r w:rsidRPr="005D4356">
        <w:rPr>
          <w:rFonts w:eastAsiaTheme="minorHAnsi"/>
          <w:lang w:bidi="ar-SA"/>
        </w:rPr>
        <w:t xml:space="preserve"> </w:t>
      </w:r>
    </w:p>
    <w:p w14:paraId="1E31F075" w14:textId="77777777" w:rsidR="00EE7659" w:rsidRPr="000A643C" w:rsidRDefault="00EE7659" w:rsidP="00C81151">
      <w:pPr>
        <w:widowControl w:val="0"/>
        <w:autoSpaceDE w:val="0"/>
        <w:autoSpaceDN w:val="0"/>
        <w:adjustRightInd w:val="0"/>
        <w:rPr>
          <w:sz w:val="22"/>
        </w:rPr>
      </w:pPr>
    </w:p>
    <w:sectPr w:rsidR="00EE7659" w:rsidRPr="000A643C" w:rsidSect="000A643C">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7AA3" w14:textId="77777777" w:rsidR="00A745CB" w:rsidRDefault="00A745CB" w:rsidP="00BE5610">
      <w:r>
        <w:separator/>
      </w:r>
    </w:p>
  </w:endnote>
  <w:endnote w:type="continuationSeparator" w:id="0">
    <w:p w14:paraId="11A85432" w14:textId="77777777" w:rsidR="00A745CB" w:rsidRDefault="00A745CB" w:rsidP="00BE5610">
      <w:r>
        <w:continuationSeparator/>
      </w:r>
    </w:p>
  </w:endnote>
  <w:endnote w:type="continuationNotice" w:id="1">
    <w:p w14:paraId="73DA3F60" w14:textId="77777777" w:rsidR="00A745CB" w:rsidRDefault="00A74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2EACB" w14:textId="77777777" w:rsidR="00A745CB" w:rsidRDefault="00A745CB" w:rsidP="00BE5610">
      <w:r>
        <w:separator/>
      </w:r>
    </w:p>
  </w:footnote>
  <w:footnote w:type="continuationSeparator" w:id="0">
    <w:p w14:paraId="441F7CC8" w14:textId="77777777" w:rsidR="00A745CB" w:rsidRDefault="00A745CB" w:rsidP="00BE5610">
      <w:r>
        <w:continuationSeparator/>
      </w:r>
    </w:p>
  </w:footnote>
  <w:footnote w:type="continuationNotice" w:id="1">
    <w:p w14:paraId="4CDB3686" w14:textId="77777777" w:rsidR="00A745CB" w:rsidRDefault="00A745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F07A" w14:textId="09B2F592" w:rsidR="008D4B4D" w:rsidRPr="00A17748" w:rsidRDefault="008D4B4D" w:rsidP="00BE5610">
    <w:pPr>
      <w:pStyle w:val="Header"/>
      <w:rPr>
        <w:sz w:val="20"/>
        <w:szCs w:val="20"/>
      </w:rPr>
    </w:pPr>
    <w:r w:rsidRPr="00A17748">
      <w:rPr>
        <w:sz w:val="20"/>
        <w:szCs w:val="20"/>
      </w:rPr>
      <w:t>Docket UW-</w:t>
    </w:r>
    <w:r w:rsidR="00917277">
      <w:rPr>
        <w:sz w:val="20"/>
        <w:szCs w:val="20"/>
      </w:rPr>
      <w:t>161290</w:t>
    </w:r>
  </w:p>
  <w:p w14:paraId="1E31F07B" w14:textId="45BE9E14" w:rsidR="008D4B4D" w:rsidRPr="00A17748" w:rsidRDefault="00E80F55" w:rsidP="00BE5610">
    <w:pPr>
      <w:pStyle w:val="Header"/>
      <w:rPr>
        <w:sz w:val="20"/>
        <w:szCs w:val="20"/>
      </w:rPr>
    </w:pPr>
    <w:r>
      <w:rPr>
        <w:sz w:val="20"/>
        <w:szCs w:val="20"/>
      </w:rPr>
      <w:t>April 28</w:t>
    </w:r>
    <w:r w:rsidR="00257609">
      <w:rPr>
        <w:sz w:val="20"/>
        <w:szCs w:val="20"/>
      </w:rPr>
      <w:t>, 2017</w:t>
    </w:r>
  </w:p>
  <w:p w14:paraId="1E31F07C" w14:textId="77777777" w:rsidR="008D4B4D" w:rsidRPr="00A17748" w:rsidRDefault="008D4B4D" w:rsidP="00BE5610">
    <w:pPr>
      <w:pStyle w:val="Header"/>
      <w:rPr>
        <w:sz w:val="20"/>
        <w:szCs w:val="20"/>
      </w:rPr>
    </w:pPr>
    <w:r w:rsidRPr="00A17748">
      <w:rPr>
        <w:sz w:val="20"/>
        <w:szCs w:val="20"/>
      </w:rPr>
      <w:t xml:space="preserve">Page </w:t>
    </w:r>
    <w:r w:rsidR="00903F29" w:rsidRPr="00A17748">
      <w:rPr>
        <w:sz w:val="20"/>
        <w:szCs w:val="20"/>
      </w:rPr>
      <w:fldChar w:fldCharType="begin"/>
    </w:r>
    <w:r w:rsidR="00F56C47" w:rsidRPr="00A17748">
      <w:rPr>
        <w:sz w:val="20"/>
        <w:szCs w:val="20"/>
      </w:rPr>
      <w:instrText xml:space="preserve"> PAGE   \* MERGEFORMAT </w:instrText>
    </w:r>
    <w:r w:rsidR="00903F29" w:rsidRPr="00A17748">
      <w:rPr>
        <w:sz w:val="20"/>
        <w:szCs w:val="20"/>
      </w:rPr>
      <w:fldChar w:fldCharType="separate"/>
    </w:r>
    <w:r w:rsidR="00F86066">
      <w:rPr>
        <w:noProof/>
        <w:sz w:val="20"/>
        <w:szCs w:val="20"/>
      </w:rPr>
      <w:t>3</w:t>
    </w:r>
    <w:r w:rsidR="00903F29" w:rsidRPr="00A17748">
      <w:rPr>
        <w:sz w:val="20"/>
        <w:szCs w:val="20"/>
      </w:rPr>
      <w:fldChar w:fldCharType="end"/>
    </w:r>
  </w:p>
  <w:p w14:paraId="1E31F07D" w14:textId="77777777" w:rsidR="00A17748" w:rsidRPr="003B700C" w:rsidRDefault="00A17748" w:rsidP="00BE5610">
    <w:pPr>
      <w:pStyle w:val="Header"/>
    </w:pPr>
  </w:p>
  <w:p w14:paraId="1E31F07E" w14:textId="77777777" w:rsidR="008D4B4D" w:rsidRDefault="008D4B4D"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3073D0"/>
    <w:multiLevelType w:val="hybridMultilevel"/>
    <w:tmpl w:val="D84EC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87CE9"/>
    <w:multiLevelType w:val="hybridMultilevel"/>
    <w:tmpl w:val="EC7C070A"/>
    <w:lvl w:ilvl="0" w:tplc="D03E976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3161A4"/>
    <w:multiLevelType w:val="hybridMultilevel"/>
    <w:tmpl w:val="169A5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927B57"/>
    <w:multiLevelType w:val="hybridMultilevel"/>
    <w:tmpl w:val="B232C922"/>
    <w:lvl w:ilvl="0" w:tplc="A13E3E48">
      <w:start w:val="1"/>
      <w:numFmt w:val="decimal"/>
      <w:lvlText w:val="%1."/>
      <w:lvlJc w:val="left"/>
      <w:pPr>
        <w:ind w:left="1080" w:hanging="360"/>
      </w:pPr>
      <w:rPr>
        <w:rFonts w:hint="default"/>
      </w:rPr>
    </w:lvl>
    <w:lvl w:ilvl="1" w:tplc="0409000F">
      <w:start w:val="1"/>
      <w:numFmt w:val="decimal"/>
      <w:lvlText w:val="%2."/>
      <w:lvlJc w:val="left"/>
      <w:pPr>
        <w:ind w:left="1800"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7"/>
  </w:num>
  <w:num w:numId="2">
    <w:abstractNumId w:val="9"/>
  </w:num>
  <w:num w:numId="3">
    <w:abstractNumId w:val="12"/>
  </w:num>
  <w:num w:numId="4">
    <w:abstractNumId w:val="13"/>
  </w:num>
  <w:num w:numId="5">
    <w:abstractNumId w:val="1"/>
  </w:num>
  <w:num w:numId="6">
    <w:abstractNumId w:val="3"/>
  </w:num>
  <w:num w:numId="7">
    <w:abstractNumId w:val="8"/>
  </w:num>
  <w:num w:numId="8">
    <w:abstractNumId w:val="1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defaultTabStop w:val="720"/>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2F08"/>
    <w:rsid w:val="00005828"/>
    <w:rsid w:val="00015DD8"/>
    <w:rsid w:val="000279E2"/>
    <w:rsid w:val="00027B07"/>
    <w:rsid w:val="0003714D"/>
    <w:rsid w:val="000420E9"/>
    <w:rsid w:val="000458AC"/>
    <w:rsid w:val="00053628"/>
    <w:rsid w:val="00054CC9"/>
    <w:rsid w:val="00055945"/>
    <w:rsid w:val="000625B1"/>
    <w:rsid w:val="0006481C"/>
    <w:rsid w:val="00065256"/>
    <w:rsid w:val="00066C40"/>
    <w:rsid w:val="0006708E"/>
    <w:rsid w:val="00075E51"/>
    <w:rsid w:val="0008268C"/>
    <w:rsid w:val="00082892"/>
    <w:rsid w:val="00083D7B"/>
    <w:rsid w:val="000908F4"/>
    <w:rsid w:val="000909CD"/>
    <w:rsid w:val="00097E35"/>
    <w:rsid w:val="000A643C"/>
    <w:rsid w:val="000B0C16"/>
    <w:rsid w:val="000B5CBF"/>
    <w:rsid w:val="000C2481"/>
    <w:rsid w:val="000C2588"/>
    <w:rsid w:val="000C2F30"/>
    <w:rsid w:val="000C3D4F"/>
    <w:rsid w:val="000D01D2"/>
    <w:rsid w:val="000D3B16"/>
    <w:rsid w:val="000D3CE0"/>
    <w:rsid w:val="000D6DAF"/>
    <w:rsid w:val="000D706D"/>
    <w:rsid w:val="000E640C"/>
    <w:rsid w:val="000E714E"/>
    <w:rsid w:val="000F29ED"/>
    <w:rsid w:val="000F467C"/>
    <w:rsid w:val="00104189"/>
    <w:rsid w:val="00107827"/>
    <w:rsid w:val="00111EF9"/>
    <w:rsid w:val="00114B3D"/>
    <w:rsid w:val="00123700"/>
    <w:rsid w:val="00126930"/>
    <w:rsid w:val="0013089B"/>
    <w:rsid w:val="00130B3D"/>
    <w:rsid w:val="00136DD9"/>
    <w:rsid w:val="00140589"/>
    <w:rsid w:val="00141434"/>
    <w:rsid w:val="001423FE"/>
    <w:rsid w:val="00142B36"/>
    <w:rsid w:val="00143CDB"/>
    <w:rsid w:val="0014659D"/>
    <w:rsid w:val="00154718"/>
    <w:rsid w:val="001603B0"/>
    <w:rsid w:val="0016055D"/>
    <w:rsid w:val="00160BF0"/>
    <w:rsid w:val="0016348F"/>
    <w:rsid w:val="0016545B"/>
    <w:rsid w:val="001663A6"/>
    <w:rsid w:val="00167054"/>
    <w:rsid w:val="00171102"/>
    <w:rsid w:val="00173A9E"/>
    <w:rsid w:val="00173F60"/>
    <w:rsid w:val="00174093"/>
    <w:rsid w:val="00177491"/>
    <w:rsid w:val="00177CFA"/>
    <w:rsid w:val="00184003"/>
    <w:rsid w:val="00187E0D"/>
    <w:rsid w:val="00190825"/>
    <w:rsid w:val="0019761A"/>
    <w:rsid w:val="001A096F"/>
    <w:rsid w:val="001A0A16"/>
    <w:rsid w:val="001B3770"/>
    <w:rsid w:val="001C2AF9"/>
    <w:rsid w:val="001C5AB1"/>
    <w:rsid w:val="001C7DFD"/>
    <w:rsid w:val="001D0EF3"/>
    <w:rsid w:val="001D2A48"/>
    <w:rsid w:val="001D6D33"/>
    <w:rsid w:val="001D6EF4"/>
    <w:rsid w:val="001E0047"/>
    <w:rsid w:val="001E0702"/>
    <w:rsid w:val="001E1BE5"/>
    <w:rsid w:val="001F30F9"/>
    <w:rsid w:val="001F3D7A"/>
    <w:rsid w:val="001F465E"/>
    <w:rsid w:val="001F68E6"/>
    <w:rsid w:val="00201D7C"/>
    <w:rsid w:val="002027E0"/>
    <w:rsid w:val="0021363E"/>
    <w:rsid w:val="0022116C"/>
    <w:rsid w:val="002218EF"/>
    <w:rsid w:val="00226657"/>
    <w:rsid w:val="0022668E"/>
    <w:rsid w:val="002277F9"/>
    <w:rsid w:val="00227DC0"/>
    <w:rsid w:val="00241B80"/>
    <w:rsid w:val="00244A84"/>
    <w:rsid w:val="002469F5"/>
    <w:rsid w:val="002500F3"/>
    <w:rsid w:val="00251E71"/>
    <w:rsid w:val="00257609"/>
    <w:rsid w:val="00260D57"/>
    <w:rsid w:val="002622A8"/>
    <w:rsid w:val="002721F0"/>
    <w:rsid w:val="0027477E"/>
    <w:rsid w:val="00283AD9"/>
    <w:rsid w:val="00285152"/>
    <w:rsid w:val="002863C0"/>
    <w:rsid w:val="00291958"/>
    <w:rsid w:val="00292F9A"/>
    <w:rsid w:val="00294AE3"/>
    <w:rsid w:val="00295745"/>
    <w:rsid w:val="002A6D8E"/>
    <w:rsid w:val="002A70D7"/>
    <w:rsid w:val="002B5724"/>
    <w:rsid w:val="002C039A"/>
    <w:rsid w:val="002C6110"/>
    <w:rsid w:val="002D49F9"/>
    <w:rsid w:val="002E50C7"/>
    <w:rsid w:val="002F70BE"/>
    <w:rsid w:val="00300789"/>
    <w:rsid w:val="00300D92"/>
    <w:rsid w:val="00305C35"/>
    <w:rsid w:val="0030657A"/>
    <w:rsid w:val="003219B9"/>
    <w:rsid w:val="00324289"/>
    <w:rsid w:val="00330C32"/>
    <w:rsid w:val="003317D9"/>
    <w:rsid w:val="00333221"/>
    <w:rsid w:val="00334A7C"/>
    <w:rsid w:val="00337C05"/>
    <w:rsid w:val="00340C02"/>
    <w:rsid w:val="00346012"/>
    <w:rsid w:val="00355EE9"/>
    <w:rsid w:val="00355F2E"/>
    <w:rsid w:val="00366898"/>
    <w:rsid w:val="00367ED5"/>
    <w:rsid w:val="00371BF2"/>
    <w:rsid w:val="00375440"/>
    <w:rsid w:val="00377CD3"/>
    <w:rsid w:val="00385F54"/>
    <w:rsid w:val="00392579"/>
    <w:rsid w:val="00396F67"/>
    <w:rsid w:val="003A0DCE"/>
    <w:rsid w:val="003A16AC"/>
    <w:rsid w:val="003A3028"/>
    <w:rsid w:val="003A4DE7"/>
    <w:rsid w:val="003B4D1C"/>
    <w:rsid w:val="003B69E6"/>
    <w:rsid w:val="003B700C"/>
    <w:rsid w:val="003C166B"/>
    <w:rsid w:val="003C16E8"/>
    <w:rsid w:val="003C4EB8"/>
    <w:rsid w:val="003D1E26"/>
    <w:rsid w:val="003D2276"/>
    <w:rsid w:val="003D25A3"/>
    <w:rsid w:val="003D717F"/>
    <w:rsid w:val="003E6D45"/>
    <w:rsid w:val="003F0972"/>
    <w:rsid w:val="003F4466"/>
    <w:rsid w:val="00405F3D"/>
    <w:rsid w:val="00411F64"/>
    <w:rsid w:val="00424794"/>
    <w:rsid w:val="00425E0E"/>
    <w:rsid w:val="004340AA"/>
    <w:rsid w:val="004409F5"/>
    <w:rsid w:val="004456FB"/>
    <w:rsid w:val="00450175"/>
    <w:rsid w:val="00450267"/>
    <w:rsid w:val="00451AF9"/>
    <w:rsid w:val="0045370F"/>
    <w:rsid w:val="00455301"/>
    <w:rsid w:val="00464C42"/>
    <w:rsid w:val="00466174"/>
    <w:rsid w:val="0046632D"/>
    <w:rsid w:val="00472DF2"/>
    <w:rsid w:val="004730C8"/>
    <w:rsid w:val="00473F57"/>
    <w:rsid w:val="00482338"/>
    <w:rsid w:val="004838E1"/>
    <w:rsid w:val="00495B71"/>
    <w:rsid w:val="00496744"/>
    <w:rsid w:val="00497530"/>
    <w:rsid w:val="004A1CB5"/>
    <w:rsid w:val="004A5C6A"/>
    <w:rsid w:val="004A691E"/>
    <w:rsid w:val="004A6CE2"/>
    <w:rsid w:val="004B0CA7"/>
    <w:rsid w:val="004B7C93"/>
    <w:rsid w:val="004C5605"/>
    <w:rsid w:val="004C6977"/>
    <w:rsid w:val="004D4EF6"/>
    <w:rsid w:val="004D5E19"/>
    <w:rsid w:val="004D7C89"/>
    <w:rsid w:val="004D7E01"/>
    <w:rsid w:val="004E0141"/>
    <w:rsid w:val="004E589D"/>
    <w:rsid w:val="004F009E"/>
    <w:rsid w:val="004F14A6"/>
    <w:rsid w:val="00504DB9"/>
    <w:rsid w:val="005131DE"/>
    <w:rsid w:val="00524BCD"/>
    <w:rsid w:val="0052757D"/>
    <w:rsid w:val="00527CF8"/>
    <w:rsid w:val="00533DBE"/>
    <w:rsid w:val="00544DDE"/>
    <w:rsid w:val="00545974"/>
    <w:rsid w:val="00552600"/>
    <w:rsid w:val="005561C1"/>
    <w:rsid w:val="0056400F"/>
    <w:rsid w:val="00566EF4"/>
    <w:rsid w:val="0056751B"/>
    <w:rsid w:val="0057047C"/>
    <w:rsid w:val="00585C41"/>
    <w:rsid w:val="00591D1D"/>
    <w:rsid w:val="00595023"/>
    <w:rsid w:val="00597882"/>
    <w:rsid w:val="005A1499"/>
    <w:rsid w:val="005A6C74"/>
    <w:rsid w:val="005B4C72"/>
    <w:rsid w:val="005B537A"/>
    <w:rsid w:val="005C15D1"/>
    <w:rsid w:val="005D4356"/>
    <w:rsid w:val="005D4CA4"/>
    <w:rsid w:val="005D7925"/>
    <w:rsid w:val="005E4264"/>
    <w:rsid w:val="005F0112"/>
    <w:rsid w:val="005F04C1"/>
    <w:rsid w:val="005F51F2"/>
    <w:rsid w:val="005F609C"/>
    <w:rsid w:val="005F7033"/>
    <w:rsid w:val="00616813"/>
    <w:rsid w:val="006173EB"/>
    <w:rsid w:val="0062191D"/>
    <w:rsid w:val="0062474A"/>
    <w:rsid w:val="00626264"/>
    <w:rsid w:val="00626A8A"/>
    <w:rsid w:val="006308C7"/>
    <w:rsid w:val="00631A0F"/>
    <w:rsid w:val="00631C8E"/>
    <w:rsid w:val="0063793C"/>
    <w:rsid w:val="00641A44"/>
    <w:rsid w:val="00642AC3"/>
    <w:rsid w:val="006449EA"/>
    <w:rsid w:val="00645A0C"/>
    <w:rsid w:val="00645DC8"/>
    <w:rsid w:val="00647ECD"/>
    <w:rsid w:val="00654D5A"/>
    <w:rsid w:val="00661F4F"/>
    <w:rsid w:val="006700B0"/>
    <w:rsid w:val="00671E46"/>
    <w:rsid w:val="00672F7B"/>
    <w:rsid w:val="00683780"/>
    <w:rsid w:val="0068432F"/>
    <w:rsid w:val="00684C49"/>
    <w:rsid w:val="00695625"/>
    <w:rsid w:val="00695B48"/>
    <w:rsid w:val="006A021F"/>
    <w:rsid w:val="006A41EE"/>
    <w:rsid w:val="006A4895"/>
    <w:rsid w:val="006A54E9"/>
    <w:rsid w:val="006B2FFF"/>
    <w:rsid w:val="006B4513"/>
    <w:rsid w:val="006B495A"/>
    <w:rsid w:val="006B51B8"/>
    <w:rsid w:val="006B6D42"/>
    <w:rsid w:val="006B795B"/>
    <w:rsid w:val="006C013C"/>
    <w:rsid w:val="006C3712"/>
    <w:rsid w:val="006C714F"/>
    <w:rsid w:val="006D15C2"/>
    <w:rsid w:val="006D22CE"/>
    <w:rsid w:val="006D30F3"/>
    <w:rsid w:val="006D52E1"/>
    <w:rsid w:val="006E2736"/>
    <w:rsid w:val="006E3B58"/>
    <w:rsid w:val="006F7E63"/>
    <w:rsid w:val="00703A93"/>
    <w:rsid w:val="00705164"/>
    <w:rsid w:val="0071402F"/>
    <w:rsid w:val="00717A8C"/>
    <w:rsid w:val="007228E4"/>
    <w:rsid w:val="00723480"/>
    <w:rsid w:val="007261E5"/>
    <w:rsid w:val="007335C6"/>
    <w:rsid w:val="00734BC8"/>
    <w:rsid w:val="007429F3"/>
    <w:rsid w:val="00746397"/>
    <w:rsid w:val="00747F34"/>
    <w:rsid w:val="00751B5E"/>
    <w:rsid w:val="00754ED6"/>
    <w:rsid w:val="0076679B"/>
    <w:rsid w:val="00767BDD"/>
    <w:rsid w:val="00772F17"/>
    <w:rsid w:val="00773CAD"/>
    <w:rsid w:val="00774275"/>
    <w:rsid w:val="00775F4A"/>
    <w:rsid w:val="0078439D"/>
    <w:rsid w:val="00790302"/>
    <w:rsid w:val="007913E9"/>
    <w:rsid w:val="00795585"/>
    <w:rsid w:val="0079709F"/>
    <w:rsid w:val="007A0BDB"/>
    <w:rsid w:val="007C141D"/>
    <w:rsid w:val="007D188F"/>
    <w:rsid w:val="007D1BE6"/>
    <w:rsid w:val="007D716D"/>
    <w:rsid w:val="007E5B2C"/>
    <w:rsid w:val="007E71A3"/>
    <w:rsid w:val="007F26EF"/>
    <w:rsid w:val="007F70C8"/>
    <w:rsid w:val="0080117F"/>
    <w:rsid w:val="008020A5"/>
    <w:rsid w:val="0080580F"/>
    <w:rsid w:val="008111DE"/>
    <w:rsid w:val="008165AD"/>
    <w:rsid w:val="00816612"/>
    <w:rsid w:val="00825773"/>
    <w:rsid w:val="00826C0C"/>
    <w:rsid w:val="00826F11"/>
    <w:rsid w:val="00827BE3"/>
    <w:rsid w:val="00832CE0"/>
    <w:rsid w:val="00853B63"/>
    <w:rsid w:val="0085598E"/>
    <w:rsid w:val="008630EA"/>
    <w:rsid w:val="00863543"/>
    <w:rsid w:val="0087483A"/>
    <w:rsid w:val="00877282"/>
    <w:rsid w:val="00877719"/>
    <w:rsid w:val="00886E84"/>
    <w:rsid w:val="008871CF"/>
    <w:rsid w:val="00890CD6"/>
    <w:rsid w:val="008A350E"/>
    <w:rsid w:val="008A6176"/>
    <w:rsid w:val="008A6E88"/>
    <w:rsid w:val="008B479D"/>
    <w:rsid w:val="008B4AA0"/>
    <w:rsid w:val="008C168F"/>
    <w:rsid w:val="008C1E17"/>
    <w:rsid w:val="008C26CE"/>
    <w:rsid w:val="008D0AAC"/>
    <w:rsid w:val="008D4B4D"/>
    <w:rsid w:val="008F7696"/>
    <w:rsid w:val="00901675"/>
    <w:rsid w:val="00901E60"/>
    <w:rsid w:val="00903F29"/>
    <w:rsid w:val="00904BBD"/>
    <w:rsid w:val="00906056"/>
    <w:rsid w:val="00910B20"/>
    <w:rsid w:val="009111D0"/>
    <w:rsid w:val="00913C85"/>
    <w:rsid w:val="009151A4"/>
    <w:rsid w:val="00915BD4"/>
    <w:rsid w:val="00917277"/>
    <w:rsid w:val="009203CC"/>
    <w:rsid w:val="009206A2"/>
    <w:rsid w:val="0092572C"/>
    <w:rsid w:val="009270B9"/>
    <w:rsid w:val="0093048B"/>
    <w:rsid w:val="00935AF2"/>
    <w:rsid w:val="00972F4A"/>
    <w:rsid w:val="00973FDF"/>
    <w:rsid w:val="009768A1"/>
    <w:rsid w:val="00983416"/>
    <w:rsid w:val="00984AEE"/>
    <w:rsid w:val="00992790"/>
    <w:rsid w:val="009A6C76"/>
    <w:rsid w:val="009B2F83"/>
    <w:rsid w:val="009B5DCE"/>
    <w:rsid w:val="009B677C"/>
    <w:rsid w:val="009B696D"/>
    <w:rsid w:val="009D109C"/>
    <w:rsid w:val="009E4F48"/>
    <w:rsid w:val="009F44F7"/>
    <w:rsid w:val="009F5CF7"/>
    <w:rsid w:val="00A01A4D"/>
    <w:rsid w:val="00A04699"/>
    <w:rsid w:val="00A0517C"/>
    <w:rsid w:val="00A10E54"/>
    <w:rsid w:val="00A17748"/>
    <w:rsid w:val="00A201C0"/>
    <w:rsid w:val="00A26FD3"/>
    <w:rsid w:val="00A2758F"/>
    <w:rsid w:val="00A41C23"/>
    <w:rsid w:val="00A42E8D"/>
    <w:rsid w:val="00A5145E"/>
    <w:rsid w:val="00A52858"/>
    <w:rsid w:val="00A6009F"/>
    <w:rsid w:val="00A616A5"/>
    <w:rsid w:val="00A61D96"/>
    <w:rsid w:val="00A6683D"/>
    <w:rsid w:val="00A67402"/>
    <w:rsid w:val="00A7048A"/>
    <w:rsid w:val="00A70E29"/>
    <w:rsid w:val="00A726C4"/>
    <w:rsid w:val="00A73C46"/>
    <w:rsid w:val="00A745CB"/>
    <w:rsid w:val="00A8090E"/>
    <w:rsid w:val="00A822CA"/>
    <w:rsid w:val="00A84C2A"/>
    <w:rsid w:val="00A85688"/>
    <w:rsid w:val="00A86F90"/>
    <w:rsid w:val="00A8749C"/>
    <w:rsid w:val="00A902E8"/>
    <w:rsid w:val="00A92D83"/>
    <w:rsid w:val="00AA2A99"/>
    <w:rsid w:val="00AB7892"/>
    <w:rsid w:val="00AB799B"/>
    <w:rsid w:val="00AC5977"/>
    <w:rsid w:val="00AC6F3A"/>
    <w:rsid w:val="00AC7B48"/>
    <w:rsid w:val="00AD0897"/>
    <w:rsid w:val="00AD15DE"/>
    <w:rsid w:val="00AD3312"/>
    <w:rsid w:val="00AD3DD8"/>
    <w:rsid w:val="00AD4B87"/>
    <w:rsid w:val="00AE0900"/>
    <w:rsid w:val="00AF1D42"/>
    <w:rsid w:val="00AF4059"/>
    <w:rsid w:val="00AF5800"/>
    <w:rsid w:val="00B00171"/>
    <w:rsid w:val="00B03361"/>
    <w:rsid w:val="00B07013"/>
    <w:rsid w:val="00B13041"/>
    <w:rsid w:val="00B2676D"/>
    <w:rsid w:val="00B3307B"/>
    <w:rsid w:val="00B34845"/>
    <w:rsid w:val="00B35380"/>
    <w:rsid w:val="00B360DD"/>
    <w:rsid w:val="00B3651B"/>
    <w:rsid w:val="00B42AD0"/>
    <w:rsid w:val="00B44C58"/>
    <w:rsid w:val="00B451F0"/>
    <w:rsid w:val="00B45CF2"/>
    <w:rsid w:val="00B46D34"/>
    <w:rsid w:val="00B52021"/>
    <w:rsid w:val="00B5220D"/>
    <w:rsid w:val="00B5241C"/>
    <w:rsid w:val="00B55CD3"/>
    <w:rsid w:val="00B56E98"/>
    <w:rsid w:val="00B603AA"/>
    <w:rsid w:val="00B639FC"/>
    <w:rsid w:val="00B71DC1"/>
    <w:rsid w:val="00B71DE5"/>
    <w:rsid w:val="00B84E56"/>
    <w:rsid w:val="00B93246"/>
    <w:rsid w:val="00B97113"/>
    <w:rsid w:val="00B97C0F"/>
    <w:rsid w:val="00BA0EB0"/>
    <w:rsid w:val="00BB2331"/>
    <w:rsid w:val="00BC18B9"/>
    <w:rsid w:val="00BC605E"/>
    <w:rsid w:val="00BD1C60"/>
    <w:rsid w:val="00BD7F1F"/>
    <w:rsid w:val="00BE5610"/>
    <w:rsid w:val="00BF2510"/>
    <w:rsid w:val="00C011D5"/>
    <w:rsid w:val="00C03AA9"/>
    <w:rsid w:val="00C03D67"/>
    <w:rsid w:val="00C04FF5"/>
    <w:rsid w:val="00C05B5E"/>
    <w:rsid w:val="00C0624C"/>
    <w:rsid w:val="00C062C0"/>
    <w:rsid w:val="00C07C24"/>
    <w:rsid w:val="00C272A0"/>
    <w:rsid w:val="00C3573E"/>
    <w:rsid w:val="00C36001"/>
    <w:rsid w:val="00C36D30"/>
    <w:rsid w:val="00C40231"/>
    <w:rsid w:val="00C412C5"/>
    <w:rsid w:val="00C41B31"/>
    <w:rsid w:val="00C42A41"/>
    <w:rsid w:val="00C46208"/>
    <w:rsid w:val="00C647EB"/>
    <w:rsid w:val="00C71EF8"/>
    <w:rsid w:val="00C753C6"/>
    <w:rsid w:val="00C81151"/>
    <w:rsid w:val="00C92705"/>
    <w:rsid w:val="00C9274A"/>
    <w:rsid w:val="00CA22AF"/>
    <w:rsid w:val="00CA3026"/>
    <w:rsid w:val="00CA50F7"/>
    <w:rsid w:val="00CA6007"/>
    <w:rsid w:val="00CC4FE2"/>
    <w:rsid w:val="00CD43F1"/>
    <w:rsid w:val="00CD758B"/>
    <w:rsid w:val="00CF1AA4"/>
    <w:rsid w:val="00CF517B"/>
    <w:rsid w:val="00CF66D8"/>
    <w:rsid w:val="00D00B3A"/>
    <w:rsid w:val="00D0403B"/>
    <w:rsid w:val="00D108C7"/>
    <w:rsid w:val="00D12988"/>
    <w:rsid w:val="00D12B32"/>
    <w:rsid w:val="00D27BE1"/>
    <w:rsid w:val="00D31072"/>
    <w:rsid w:val="00D33FD2"/>
    <w:rsid w:val="00D3762B"/>
    <w:rsid w:val="00D4026A"/>
    <w:rsid w:val="00D44D58"/>
    <w:rsid w:val="00D47789"/>
    <w:rsid w:val="00D53F2F"/>
    <w:rsid w:val="00D57235"/>
    <w:rsid w:val="00D6344E"/>
    <w:rsid w:val="00D64963"/>
    <w:rsid w:val="00D65C0A"/>
    <w:rsid w:val="00D662D4"/>
    <w:rsid w:val="00D70105"/>
    <w:rsid w:val="00D731A6"/>
    <w:rsid w:val="00D7596F"/>
    <w:rsid w:val="00D7659F"/>
    <w:rsid w:val="00D77A03"/>
    <w:rsid w:val="00D9391D"/>
    <w:rsid w:val="00D96246"/>
    <w:rsid w:val="00D96F9A"/>
    <w:rsid w:val="00DA1B86"/>
    <w:rsid w:val="00DA4527"/>
    <w:rsid w:val="00DA7589"/>
    <w:rsid w:val="00DB145D"/>
    <w:rsid w:val="00DB3767"/>
    <w:rsid w:val="00DD2A47"/>
    <w:rsid w:val="00DD65A6"/>
    <w:rsid w:val="00DD6714"/>
    <w:rsid w:val="00DD7A9B"/>
    <w:rsid w:val="00DF28C4"/>
    <w:rsid w:val="00DF38A5"/>
    <w:rsid w:val="00E0109D"/>
    <w:rsid w:val="00E02017"/>
    <w:rsid w:val="00E06BAA"/>
    <w:rsid w:val="00E1796B"/>
    <w:rsid w:val="00E21E65"/>
    <w:rsid w:val="00E224D1"/>
    <w:rsid w:val="00E254C9"/>
    <w:rsid w:val="00E256DF"/>
    <w:rsid w:val="00E26DE6"/>
    <w:rsid w:val="00E35CB7"/>
    <w:rsid w:val="00E35D9D"/>
    <w:rsid w:val="00E37996"/>
    <w:rsid w:val="00E456CF"/>
    <w:rsid w:val="00E50A27"/>
    <w:rsid w:val="00E53B48"/>
    <w:rsid w:val="00E57AB2"/>
    <w:rsid w:val="00E60353"/>
    <w:rsid w:val="00E6726B"/>
    <w:rsid w:val="00E70D53"/>
    <w:rsid w:val="00E80F55"/>
    <w:rsid w:val="00E8562C"/>
    <w:rsid w:val="00E864B6"/>
    <w:rsid w:val="00E941B2"/>
    <w:rsid w:val="00E9696F"/>
    <w:rsid w:val="00E96BCC"/>
    <w:rsid w:val="00EA4A60"/>
    <w:rsid w:val="00EA52A5"/>
    <w:rsid w:val="00EB3A93"/>
    <w:rsid w:val="00EB41E4"/>
    <w:rsid w:val="00EB4CE3"/>
    <w:rsid w:val="00EB6042"/>
    <w:rsid w:val="00EC0680"/>
    <w:rsid w:val="00EC3B3F"/>
    <w:rsid w:val="00EC4599"/>
    <w:rsid w:val="00EC5118"/>
    <w:rsid w:val="00ED3FED"/>
    <w:rsid w:val="00ED4CC8"/>
    <w:rsid w:val="00EE6798"/>
    <w:rsid w:val="00EE7659"/>
    <w:rsid w:val="00EF436B"/>
    <w:rsid w:val="00F00111"/>
    <w:rsid w:val="00F00561"/>
    <w:rsid w:val="00F148CB"/>
    <w:rsid w:val="00F167E4"/>
    <w:rsid w:val="00F16ABA"/>
    <w:rsid w:val="00F21B68"/>
    <w:rsid w:val="00F27C98"/>
    <w:rsid w:val="00F3018E"/>
    <w:rsid w:val="00F32FEE"/>
    <w:rsid w:val="00F330AF"/>
    <w:rsid w:val="00F35DB6"/>
    <w:rsid w:val="00F35FBC"/>
    <w:rsid w:val="00F40EE9"/>
    <w:rsid w:val="00F435A5"/>
    <w:rsid w:val="00F469A1"/>
    <w:rsid w:val="00F469E5"/>
    <w:rsid w:val="00F541D0"/>
    <w:rsid w:val="00F56C47"/>
    <w:rsid w:val="00F609BF"/>
    <w:rsid w:val="00F700D9"/>
    <w:rsid w:val="00F72BDE"/>
    <w:rsid w:val="00F8306C"/>
    <w:rsid w:val="00F84928"/>
    <w:rsid w:val="00F854D6"/>
    <w:rsid w:val="00F86066"/>
    <w:rsid w:val="00F87B48"/>
    <w:rsid w:val="00F90612"/>
    <w:rsid w:val="00F90779"/>
    <w:rsid w:val="00F92193"/>
    <w:rsid w:val="00F93D9C"/>
    <w:rsid w:val="00F96ED4"/>
    <w:rsid w:val="00FA609D"/>
    <w:rsid w:val="00FB29B1"/>
    <w:rsid w:val="00FB741F"/>
    <w:rsid w:val="00FC239F"/>
    <w:rsid w:val="00FE2453"/>
    <w:rsid w:val="00FE4417"/>
    <w:rsid w:val="00FE5559"/>
    <w:rsid w:val="00FE5608"/>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31F002"/>
  <w15:docId w15:val="{72D5571A-F7CE-4456-A4D4-0A113C95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1F68E6"/>
    <w:rPr>
      <w:sz w:val="20"/>
      <w:szCs w:val="20"/>
    </w:rPr>
  </w:style>
  <w:style w:type="character" w:customStyle="1" w:styleId="FootnoteTextChar">
    <w:name w:val="Footnote Text Char"/>
    <w:basedOn w:val="DefaultParagraphFont"/>
    <w:link w:val="FootnoteText"/>
    <w:uiPriority w:val="99"/>
    <w:semiHidden/>
    <w:rsid w:val="001F68E6"/>
    <w:rPr>
      <w:rFonts w:ascii="Times New Roman" w:hAnsi="Times New Roman"/>
      <w:lang w:bidi="en-US"/>
    </w:rPr>
  </w:style>
  <w:style w:type="character" w:styleId="FootnoteReference">
    <w:name w:val="footnote reference"/>
    <w:basedOn w:val="DefaultParagraphFont"/>
    <w:uiPriority w:val="99"/>
    <w:semiHidden/>
    <w:unhideWhenUsed/>
    <w:rsid w:val="001F6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894318037">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270316267">
      <w:bodyDiv w:val="1"/>
      <w:marLeft w:val="0"/>
      <w:marRight w:val="0"/>
      <w:marTop w:val="0"/>
      <w:marBottom w:val="0"/>
      <w:divBdr>
        <w:top w:val="none" w:sz="0" w:space="0" w:color="auto"/>
        <w:left w:val="none" w:sz="0" w:space="0" w:color="auto"/>
        <w:bottom w:val="none" w:sz="0" w:space="0" w:color="auto"/>
        <w:right w:val="none" w:sz="0" w:space="0" w:color="auto"/>
      </w:divBdr>
    </w:div>
    <w:div w:id="1376079044">
      <w:bodyDiv w:val="1"/>
      <w:marLeft w:val="0"/>
      <w:marRight w:val="0"/>
      <w:marTop w:val="0"/>
      <w:marBottom w:val="0"/>
      <w:divBdr>
        <w:top w:val="none" w:sz="0" w:space="0" w:color="auto"/>
        <w:left w:val="none" w:sz="0" w:space="0" w:color="auto"/>
        <w:bottom w:val="none" w:sz="0" w:space="0" w:color="auto"/>
        <w:right w:val="none" w:sz="0" w:space="0" w:color="auto"/>
      </w:divBdr>
    </w:div>
    <w:div w:id="15444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6748CDF217EA43AF0372DA81BB242F" ma:contentTypeVersion="104" ma:contentTypeDescription="" ma:contentTypeScope="" ma:versionID="7bd17ace6516d9df82d913c61d11a9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Pending</CaseStatus>
    <OpenedDate xmlns="dc463f71-b30c-4ab2-9473-d307f9d35888">2016-12-15T08:00:00+00:00</OpenedDate>
    <Date1 xmlns="dc463f71-b30c-4ab2-9473-d307f9d35888">2017-04-28T07:00:00+00:00</Date1>
    <IsDocumentOrder xmlns="dc463f71-b30c-4ab2-9473-d307f9d35888" xsi:nil="true"/>
    <IsHighlyConfidential xmlns="dc463f71-b30c-4ab2-9473-d307f9d35888">false</IsHighlyConfidential>
    <CaseCompanyNames xmlns="dc463f71-b30c-4ab2-9473-d307f9d35888">Burton Water Company, Inc.</CaseCompanyNames>
    <Nickname xmlns="http://schemas.microsoft.com/sharepoint/v3" xsi:nil="true"/>
    <DocketNumber xmlns="dc463f71-b30c-4ab2-9473-d307f9d35888">161290</DocketNumber>
    <DelegatedOrder xmlns="dc463f71-b30c-4ab2-9473-d307f9d35888">false</DelegatedOrder>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18A45B-FB66-46D5-A560-C4CC3CD85BAD}"/>
</file>

<file path=customXml/itemProps2.xml><?xml version="1.0" encoding="utf-8"?>
<ds:datastoreItem xmlns:ds="http://schemas.openxmlformats.org/officeDocument/2006/customXml" ds:itemID="{69A2B954-FF01-4AC3-A890-9CD4ADD13D9B}">
  <ds:schemaRefs>
    <ds:schemaRef ds:uri="http://schemas.microsoft.com/office/2006/metadata/longProperties"/>
  </ds:schemaRefs>
</ds:datastoreItem>
</file>

<file path=customXml/itemProps3.xml><?xml version="1.0" encoding="utf-8"?>
<ds:datastoreItem xmlns:ds="http://schemas.openxmlformats.org/officeDocument/2006/customXml" ds:itemID="{55B89C35-4DB2-4B11-863A-E32F1BC314F6}">
  <ds:schemaRefs>
    <ds:schemaRef ds:uri="http://schemas.microsoft.com/sharepoint/v3/contenttype/forms"/>
  </ds:schemaRefs>
</ds:datastoreItem>
</file>

<file path=customXml/itemProps4.xml><?xml version="1.0" encoding="utf-8"?>
<ds:datastoreItem xmlns:ds="http://schemas.openxmlformats.org/officeDocument/2006/customXml" ds:itemID="{45227816-F000-4174-9D2D-0767F5EBBD00}">
  <ds:schemaRefs>
    <ds:schemaRef ds:uri="F4D6360F-5C86-4233-ACFD-F9C9C5C0724C"/>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51276d0-61bc-4dad-b75c-21dfd12630ad"/>
  </ds:schemaRefs>
</ds:datastoreItem>
</file>

<file path=customXml/itemProps5.xml><?xml version="1.0" encoding="utf-8"?>
<ds:datastoreItem xmlns:ds="http://schemas.openxmlformats.org/officeDocument/2006/customXml" ds:itemID="{BEC9225F-00FF-4F10-B898-B3F1BEE91563}">
  <ds:schemaRefs>
    <ds:schemaRef ds:uri="http://schemas.openxmlformats.org/officeDocument/2006/bibliography"/>
  </ds:schemaRefs>
</ds:datastoreItem>
</file>

<file path=customXml/itemProps6.xml><?xml version="1.0" encoding="utf-8"?>
<ds:datastoreItem xmlns:ds="http://schemas.openxmlformats.org/officeDocument/2006/customXml" ds:itemID="{2C2FDCF5-7738-4F90-A7BE-6A246C53B7C7}"/>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5083</Characters>
  <Application>Microsoft Office Word</Application>
  <DocSecurity>0</DocSecurity>
  <Lines>163</Lines>
  <Paragraphs>84</Paragraphs>
  <ScaleCrop>false</ScaleCrop>
  <HeadingPairs>
    <vt:vector size="2" baseType="variant">
      <vt:variant>
        <vt:lpstr>Title</vt:lpstr>
      </vt:variant>
      <vt:variant>
        <vt:i4>1</vt:i4>
      </vt:variant>
    </vt:vector>
  </HeadingPairs>
  <TitlesOfParts>
    <vt:vector size="1" baseType="lpstr">
      <vt:lpstr>Burton Water Company UW-161290 Memo 01</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Burton Water Company UW-161290 Memo 01</dc:title>
  <dc:creator>JWard</dc:creator>
  <cp:lastModifiedBy>Wyse, Lisa (UTC)</cp:lastModifiedBy>
  <cp:revision>2</cp:revision>
  <cp:lastPrinted>2017-01-03T15:33:00Z</cp:lastPrinted>
  <dcterms:created xsi:type="dcterms:W3CDTF">2017-04-24T23:14:00Z</dcterms:created>
  <dcterms:modified xsi:type="dcterms:W3CDTF">2017-04-24T23:14:00Z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0x0101006E56B4D1795A2E4DB2F0B01679ED314A009C6748CDF217EA43AF0372DA81BB242F</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y fmtid="{D5CDD505-2E9C-101B-9397-08002B2CF9AE}" pid="8" name="IsEFSEC">
    <vt:bool>false</vt:bool>
  </property>
</Properties>
</file>