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F99E" w14:textId="6229FB1B" w:rsidR="000E03CA" w:rsidRPr="006D68E2" w:rsidRDefault="000E03CA" w:rsidP="00FD31AC">
      <w:bookmarkStart w:id="0" w:name="_GoBack"/>
      <w:bookmarkEnd w:id="0"/>
      <w:r w:rsidRPr="006D68E2">
        <w:t>Agenda Date:</w:t>
      </w:r>
      <w:r w:rsidRPr="006D68E2">
        <w:tab/>
      </w:r>
      <w:r w:rsidRPr="006D68E2">
        <w:tab/>
      </w:r>
      <w:r w:rsidR="00D32857">
        <w:t>January 26, 2017</w:t>
      </w:r>
    </w:p>
    <w:p w14:paraId="0608F99F" w14:textId="4F01D225" w:rsidR="000E03CA" w:rsidRPr="006D68E2" w:rsidRDefault="000E03CA" w:rsidP="00FD31AC">
      <w:r w:rsidRPr="006D68E2">
        <w:t>Item Number:</w:t>
      </w:r>
      <w:r w:rsidRPr="006D68E2">
        <w:tab/>
      </w:r>
      <w:r w:rsidR="00442071">
        <w:t xml:space="preserve"> </w:t>
      </w:r>
      <w:r w:rsidR="009406F9">
        <w:tab/>
        <w:t>A6</w:t>
      </w:r>
    </w:p>
    <w:p w14:paraId="0608F9A0" w14:textId="77777777" w:rsidR="000E03CA" w:rsidRPr="006D68E2" w:rsidRDefault="000E03CA" w:rsidP="00FD31AC"/>
    <w:p w14:paraId="0608F9A1" w14:textId="13FFAE2A" w:rsidR="000E03CA" w:rsidRPr="006D68E2" w:rsidRDefault="000E03CA" w:rsidP="00FD31AC">
      <w:pPr>
        <w:rPr>
          <w:b/>
          <w:bCs/>
        </w:rPr>
      </w:pPr>
      <w:r w:rsidRPr="006D68E2">
        <w:rPr>
          <w:b/>
          <w:bCs/>
        </w:rPr>
        <w:t>Docket:</w:t>
      </w:r>
      <w:r w:rsidRPr="006D68E2">
        <w:rPr>
          <w:b/>
          <w:bCs/>
        </w:rPr>
        <w:tab/>
      </w:r>
      <w:r w:rsidRPr="006D68E2">
        <w:rPr>
          <w:b/>
          <w:bCs/>
        </w:rPr>
        <w:tab/>
      </w:r>
      <w:r w:rsidR="00BA6FC1" w:rsidRPr="006D68E2">
        <w:rPr>
          <w:b/>
          <w:bCs/>
        </w:rPr>
        <w:t>UG-</w:t>
      </w:r>
      <w:r w:rsidR="00627BD5">
        <w:rPr>
          <w:b/>
          <w:bCs/>
        </w:rPr>
        <w:t>161259</w:t>
      </w:r>
    </w:p>
    <w:p w14:paraId="0608F9A2" w14:textId="77777777" w:rsidR="000E03CA" w:rsidRPr="006D68E2" w:rsidRDefault="000E03CA" w:rsidP="00FD31AC">
      <w:r w:rsidRPr="006D68E2">
        <w:t>Company:</w:t>
      </w:r>
      <w:r w:rsidRPr="006D68E2">
        <w:tab/>
      </w:r>
      <w:r w:rsidRPr="006D68E2">
        <w:tab/>
      </w:r>
      <w:r w:rsidR="00A63258" w:rsidRPr="006D68E2">
        <w:t>Northwest Natural Gas Company</w:t>
      </w:r>
    </w:p>
    <w:p w14:paraId="0608F9A3" w14:textId="77777777" w:rsidR="00C02A77" w:rsidRPr="006D68E2" w:rsidRDefault="00C02A77" w:rsidP="00FD31AC"/>
    <w:p w14:paraId="0608F9A4" w14:textId="099FA0F2" w:rsidR="00C36EB2" w:rsidRPr="006D68E2" w:rsidRDefault="00766124" w:rsidP="00FD31AC">
      <w:r w:rsidRPr="006D68E2">
        <w:t>Staff:</w:t>
      </w:r>
      <w:r w:rsidRPr="006D68E2">
        <w:tab/>
      </w:r>
      <w:r w:rsidRPr="006D68E2">
        <w:tab/>
      </w:r>
      <w:r w:rsidR="000E03CA" w:rsidRPr="006D68E2">
        <w:t xml:space="preserve"> </w:t>
      </w:r>
      <w:r w:rsidRPr="006D68E2">
        <w:tab/>
      </w:r>
      <w:r w:rsidR="009F6A84" w:rsidRPr="006D68E2">
        <w:t>Kyle Frankiewich</w:t>
      </w:r>
      <w:r w:rsidR="00C36EB2" w:rsidRPr="006D68E2">
        <w:t>, Regulatory Analyst</w:t>
      </w:r>
    </w:p>
    <w:p w14:paraId="0608F9A5" w14:textId="32595354" w:rsidR="00766CE4" w:rsidRPr="006D68E2" w:rsidRDefault="009F6A84" w:rsidP="000C1B8A">
      <w:pPr>
        <w:ind w:left="1440" w:firstLine="720"/>
      </w:pPr>
      <w:r w:rsidRPr="006D68E2">
        <w:t>Jennifer Snyder</w:t>
      </w:r>
      <w:r w:rsidR="000E03CA" w:rsidRPr="006D68E2">
        <w:t>, Regulatory Analyst</w:t>
      </w:r>
      <w:r w:rsidR="00766CE4" w:rsidRPr="006D68E2">
        <w:tab/>
      </w:r>
    </w:p>
    <w:p w14:paraId="0608F9A6" w14:textId="77777777" w:rsidR="000911D5" w:rsidRPr="006D68E2" w:rsidRDefault="000911D5" w:rsidP="00FD31AC">
      <w:pPr>
        <w:rPr>
          <w:b/>
          <w:bCs/>
          <w:u w:val="single"/>
        </w:rPr>
      </w:pPr>
    </w:p>
    <w:p w14:paraId="0608F9A7" w14:textId="77777777" w:rsidR="00843651" w:rsidRPr="00D6300C" w:rsidRDefault="00843651" w:rsidP="00FD31AC">
      <w:pPr>
        <w:pStyle w:val="Heading1"/>
        <w:rPr>
          <w:u w:val="single"/>
        </w:rPr>
      </w:pPr>
      <w:r w:rsidRPr="00D6300C">
        <w:rPr>
          <w:u w:val="single"/>
        </w:rPr>
        <w:t>Recommendation</w:t>
      </w:r>
    </w:p>
    <w:p w14:paraId="0608F9A8" w14:textId="4A3282F7" w:rsidR="00843651" w:rsidRPr="006D68E2" w:rsidRDefault="00843651" w:rsidP="00FD31AC">
      <w:pPr>
        <w:rPr>
          <w:color w:val="1F497D"/>
        </w:rPr>
      </w:pPr>
      <w:r w:rsidRPr="006D68E2">
        <w:t xml:space="preserve">Take no action, thereby </w:t>
      </w:r>
      <w:r w:rsidR="00627BD5">
        <w:t xml:space="preserve">allowing the proposed tariff revisions to go into effect by operation of law on January </w:t>
      </w:r>
      <w:r w:rsidR="00D32857">
        <w:t>27</w:t>
      </w:r>
      <w:r w:rsidR="00627BD5">
        <w:t xml:space="preserve">, 2017, and </w:t>
      </w:r>
      <w:r w:rsidR="006C19A6" w:rsidRPr="006D68E2">
        <w:t xml:space="preserve">acknowledging receipt of Northwest Natural Gas Company’s </w:t>
      </w:r>
      <w:r w:rsidR="009F6A84" w:rsidRPr="006D68E2">
        <w:t xml:space="preserve">2017 </w:t>
      </w:r>
      <w:r w:rsidR="006C19A6" w:rsidRPr="006D68E2">
        <w:t>Energy Efficiency Plan</w:t>
      </w:r>
      <w:r w:rsidRPr="006D68E2">
        <w:t xml:space="preserve"> in Docket </w:t>
      </w:r>
      <w:r w:rsidR="007E7D82" w:rsidRPr="006D68E2">
        <w:t>UG</w:t>
      </w:r>
      <w:r w:rsidRPr="006D68E2">
        <w:t>-</w:t>
      </w:r>
      <w:r w:rsidR="00627BD5">
        <w:t>161259</w:t>
      </w:r>
      <w:r w:rsidRPr="006D68E2">
        <w:t xml:space="preserve">. </w:t>
      </w:r>
    </w:p>
    <w:p w14:paraId="0608F9A9" w14:textId="77777777" w:rsidR="00843651" w:rsidRPr="00D6300C" w:rsidRDefault="00843651" w:rsidP="00FD31AC">
      <w:pPr>
        <w:pStyle w:val="Heading1"/>
        <w:rPr>
          <w:u w:val="single"/>
        </w:rPr>
      </w:pPr>
      <w:r w:rsidRPr="00D6300C">
        <w:rPr>
          <w:u w:val="single"/>
        </w:rPr>
        <w:t>Background</w:t>
      </w:r>
    </w:p>
    <w:p w14:paraId="49259300" w14:textId="2CE86E3F" w:rsidR="00462D23" w:rsidRDefault="00462D23" w:rsidP="00FD31AC">
      <w:r w:rsidRPr="006D68E2">
        <w:t>Northwest Natural Gas Company (NW Natural or</w:t>
      </w:r>
      <w:r>
        <w:t xml:space="preserve"> </w:t>
      </w:r>
      <w:r w:rsidRPr="006D68E2">
        <w:t xml:space="preserve">company) </w:t>
      </w:r>
      <w:r w:rsidR="00EB1DEB">
        <w:t xml:space="preserve">operates </w:t>
      </w:r>
      <w:r w:rsidR="00843651" w:rsidRPr="006D68E2">
        <w:t xml:space="preserve">its energy efficiency programs under </w:t>
      </w:r>
      <w:r w:rsidR="00EA778F" w:rsidRPr="006D68E2">
        <w:t xml:space="preserve">a </w:t>
      </w:r>
      <w:r w:rsidR="00BB3ABD" w:rsidRPr="006D68E2">
        <w:t>settlement s</w:t>
      </w:r>
      <w:r w:rsidR="004D072C" w:rsidRPr="006D68E2">
        <w:t>tipulation</w:t>
      </w:r>
      <w:r w:rsidR="00843651" w:rsidRPr="006D68E2">
        <w:t xml:space="preserve"> approved by the Washington Utilities and Transportation Commission (commission) </w:t>
      </w:r>
      <w:r w:rsidR="004D072C" w:rsidRPr="006D68E2">
        <w:t xml:space="preserve">in Order 04 of Docket UG-080546. </w:t>
      </w:r>
      <w:r w:rsidR="00CB7DF6" w:rsidRPr="006D68E2">
        <w:t>The programs are administered by the Energy Trust of Oregon</w:t>
      </w:r>
      <w:r w:rsidR="001F3CA0" w:rsidRPr="006D68E2">
        <w:t xml:space="preserve"> (ETO)</w:t>
      </w:r>
      <w:r w:rsidR="00CB7DF6" w:rsidRPr="006D68E2">
        <w:t xml:space="preserve"> and reviewed and monitored by </w:t>
      </w:r>
      <w:r w:rsidR="00237022" w:rsidRPr="006D68E2">
        <w:t xml:space="preserve">the company’s Energy Efficiency </w:t>
      </w:r>
      <w:r w:rsidR="00CB7DF6" w:rsidRPr="006D68E2">
        <w:t>Advisory Group (EEAG) in compliance with the</w:t>
      </w:r>
      <w:r w:rsidR="00C9605B" w:rsidRPr="006D68E2">
        <w:t xml:space="preserve"> stipulated agreement</w:t>
      </w:r>
      <w:r w:rsidR="00904430" w:rsidRPr="006D68E2">
        <w:t>.</w:t>
      </w:r>
      <w:r w:rsidR="00303952" w:rsidRPr="006D68E2">
        <w:t xml:space="preserve"> Each year, NW Natural revises its Energy </w:t>
      </w:r>
      <w:r w:rsidR="00303952" w:rsidRPr="006D68E2">
        <w:lastRenderedPageBreak/>
        <w:t xml:space="preserve">Efficiency </w:t>
      </w:r>
      <w:r w:rsidR="004534BD" w:rsidRPr="006D68E2">
        <w:t xml:space="preserve">(EE) </w:t>
      </w:r>
      <w:r w:rsidR="00303952" w:rsidRPr="006D68E2">
        <w:t>Plan to r</w:t>
      </w:r>
      <w:r w:rsidR="00024D69" w:rsidRPr="006D68E2">
        <w:t>eflect program modifications,</w:t>
      </w:r>
      <w:r w:rsidR="00303952" w:rsidRPr="006D68E2">
        <w:t xml:space="preserve"> </w:t>
      </w:r>
      <w:r w:rsidR="004534BD" w:rsidRPr="006D68E2">
        <w:t xml:space="preserve">a revised budget and performance metrics for the upcoming calendar year. </w:t>
      </w:r>
    </w:p>
    <w:p w14:paraId="2F2F5420" w14:textId="77777777" w:rsidR="00462D23" w:rsidRDefault="00462D23" w:rsidP="00FD31AC"/>
    <w:p w14:paraId="0608F9AD" w14:textId="516E703F" w:rsidR="00721488" w:rsidRDefault="00462D23" w:rsidP="00420ACA">
      <w:r>
        <w:t xml:space="preserve">On </w:t>
      </w:r>
      <w:r w:rsidR="00D426A6">
        <w:t>December 1</w:t>
      </w:r>
      <w:r>
        <w:t>, 2016, t</w:t>
      </w:r>
      <w:r w:rsidRPr="006D68E2">
        <w:t xml:space="preserve">he </w:t>
      </w:r>
      <w:r w:rsidR="004534BD" w:rsidRPr="006D68E2">
        <w:t xml:space="preserve">company </w:t>
      </w:r>
      <w:r>
        <w:t xml:space="preserve">timely </w:t>
      </w:r>
      <w:r w:rsidR="004534BD" w:rsidRPr="006D68E2">
        <w:t>submit</w:t>
      </w:r>
      <w:r>
        <w:t>ted</w:t>
      </w:r>
      <w:r w:rsidR="004534BD" w:rsidRPr="006D68E2">
        <w:t xml:space="preserve"> its </w:t>
      </w:r>
      <w:r>
        <w:t>annual</w:t>
      </w:r>
      <w:r w:rsidRPr="006D68E2">
        <w:t xml:space="preserve"> </w:t>
      </w:r>
      <w:r w:rsidR="004534BD" w:rsidRPr="006D68E2">
        <w:t xml:space="preserve">EE Plan to the commission. </w:t>
      </w:r>
      <w:r w:rsidR="00F7409B" w:rsidRPr="006D68E2">
        <w:t xml:space="preserve">The </w:t>
      </w:r>
      <w:r w:rsidR="00EC23E6" w:rsidRPr="006D68E2">
        <w:t>EE P</w:t>
      </w:r>
      <w:r w:rsidR="00F7409B" w:rsidRPr="006D68E2">
        <w:t>la</w:t>
      </w:r>
      <w:r w:rsidR="00F72E98" w:rsidRPr="006D68E2">
        <w:t xml:space="preserve">n </w:t>
      </w:r>
      <w:r>
        <w:t xml:space="preserve">provides </w:t>
      </w:r>
      <w:r w:rsidR="00EC23E6" w:rsidRPr="006F4935">
        <w:t xml:space="preserve">2017 </w:t>
      </w:r>
      <w:r w:rsidR="00F7409B" w:rsidRPr="006F4935">
        <w:t xml:space="preserve">calendar year program goals and </w:t>
      </w:r>
      <w:r w:rsidR="00CD62CB" w:rsidRPr="006F4935">
        <w:t xml:space="preserve">budget </w:t>
      </w:r>
      <w:r w:rsidR="00EC23E6" w:rsidRPr="006F4935">
        <w:t>figures</w:t>
      </w:r>
      <w:r>
        <w:t>, and u</w:t>
      </w:r>
      <w:r w:rsidR="006D68E2" w:rsidRPr="006F4935">
        <w:t>pdate</w:t>
      </w:r>
      <w:r>
        <w:t>s</w:t>
      </w:r>
      <w:r w:rsidR="006D68E2" w:rsidRPr="006F4935">
        <w:t xml:space="preserve"> avoided cost calculations to reflect new natural gas price forecasts</w:t>
      </w:r>
      <w:r w:rsidR="001317A8">
        <w:t xml:space="preserve"> as well as an </w:t>
      </w:r>
      <w:r w:rsidR="00EB1DEB">
        <w:t>uncertain carbon pricing policy</w:t>
      </w:r>
      <w:r w:rsidR="00BE4DBD">
        <w:t>.</w:t>
      </w:r>
    </w:p>
    <w:p w14:paraId="08D2F3F8" w14:textId="77777777" w:rsidR="00462D23" w:rsidRDefault="00462D23" w:rsidP="00420ACA"/>
    <w:p w14:paraId="1FE629F7" w14:textId="4482DDD9" w:rsidR="00462D23" w:rsidRPr="006F4935" w:rsidRDefault="00462D23" w:rsidP="00420ACA">
      <w:r w:rsidRPr="006D68E2">
        <w:t xml:space="preserve">NW Natural serves approximately 70,000 gas customers in Clark, Skamania, and Klickitat counties. </w:t>
      </w:r>
    </w:p>
    <w:p w14:paraId="0608F9B0" w14:textId="77777777" w:rsidR="00843651" w:rsidRPr="00D6300C" w:rsidRDefault="00775224" w:rsidP="00FD31AC">
      <w:pPr>
        <w:pStyle w:val="Heading1"/>
        <w:rPr>
          <w:u w:val="single"/>
        </w:rPr>
      </w:pPr>
      <w:r w:rsidRPr="00D6300C">
        <w:rPr>
          <w:u w:val="single"/>
        </w:rPr>
        <w:t>Discussion</w:t>
      </w:r>
    </w:p>
    <w:p w14:paraId="0608F9B2" w14:textId="56065ABE" w:rsidR="00986533" w:rsidRPr="006D68E2" w:rsidRDefault="00FD31AC" w:rsidP="00FD31AC">
      <w:pPr>
        <w:pStyle w:val="Heading2"/>
      </w:pPr>
      <w:r>
        <w:t>Budget</w:t>
      </w:r>
      <w:r w:rsidR="00B92F2C">
        <w:t xml:space="preserve"> </w:t>
      </w:r>
      <w:r>
        <w:t>c</w:t>
      </w:r>
      <w:r w:rsidR="00B92F2C">
        <w:t>hanges for 2017</w:t>
      </w:r>
    </w:p>
    <w:p w14:paraId="554B9380" w14:textId="04B6B2B5" w:rsidR="006F7FE1" w:rsidRDefault="00EA778F" w:rsidP="00FD31AC">
      <w:r w:rsidRPr="006D68E2">
        <w:t xml:space="preserve">The </w:t>
      </w:r>
      <w:r w:rsidR="00FC683F" w:rsidRPr="006D68E2">
        <w:t>tables below compare</w:t>
      </w:r>
      <w:r w:rsidR="00380BB0" w:rsidRPr="006D68E2">
        <w:t xml:space="preserve"> conservation</w:t>
      </w:r>
      <w:r w:rsidR="00FC683F" w:rsidRPr="006D68E2">
        <w:t xml:space="preserve"> program budgets and savings estimates</w:t>
      </w:r>
      <w:r w:rsidRPr="006D68E2">
        <w:t xml:space="preserve"> for 201</w:t>
      </w:r>
      <w:r w:rsidR="001317A8">
        <w:t>6</w:t>
      </w:r>
      <w:r w:rsidRPr="006D68E2">
        <w:t xml:space="preserve"> and 201</w:t>
      </w:r>
      <w:r w:rsidR="001317A8">
        <w:t>7</w:t>
      </w:r>
      <w:r w:rsidRPr="006D68E2">
        <w:t xml:space="preserve">. </w:t>
      </w:r>
      <w:r w:rsidR="00CE73FC" w:rsidRPr="006D68E2">
        <w:t>In 201</w:t>
      </w:r>
      <w:r w:rsidR="001317A8">
        <w:t>7</w:t>
      </w:r>
      <w:r w:rsidR="00CE73FC" w:rsidRPr="006D68E2">
        <w:t xml:space="preserve">, the company expects to acquire at least </w:t>
      </w:r>
      <w:r w:rsidR="00DD7BDB">
        <w:t>247,478</w:t>
      </w:r>
      <w:r w:rsidR="00CE73FC" w:rsidRPr="006D68E2">
        <w:t xml:space="preserve"> therms for no more than $</w:t>
      </w:r>
      <w:r w:rsidR="007E7E14">
        <w:t>2.2</w:t>
      </w:r>
      <w:r w:rsidR="003D1F41">
        <w:t>7</w:t>
      </w:r>
      <w:r w:rsidR="00CE73FC" w:rsidRPr="006D68E2">
        <w:t xml:space="preserve"> million, a </w:t>
      </w:r>
      <w:r w:rsidR="007E7E14">
        <w:t>2</w:t>
      </w:r>
      <w:r w:rsidR="007F409D">
        <w:t>2</w:t>
      </w:r>
      <w:r w:rsidR="00CE73FC" w:rsidRPr="006D68E2">
        <w:t xml:space="preserve"> </w:t>
      </w:r>
      <w:r w:rsidR="00CE73FC" w:rsidRPr="006D68E2">
        <w:rPr>
          <w:rFonts w:eastAsia="Calibri"/>
        </w:rPr>
        <w:t xml:space="preserve">percent </w:t>
      </w:r>
      <w:r w:rsidR="007E7E14">
        <w:rPr>
          <w:rFonts w:eastAsia="Calibri"/>
        </w:rPr>
        <w:t xml:space="preserve">increase </w:t>
      </w:r>
      <w:r w:rsidR="00CE73FC" w:rsidRPr="006D68E2">
        <w:rPr>
          <w:rFonts w:eastAsia="Calibri"/>
        </w:rPr>
        <w:t xml:space="preserve">in spending </w:t>
      </w:r>
      <w:r w:rsidR="007F409D">
        <w:rPr>
          <w:rFonts w:eastAsia="Calibri"/>
        </w:rPr>
        <w:t>compared</w:t>
      </w:r>
      <w:r w:rsidR="00CE73FC" w:rsidRPr="006D68E2">
        <w:rPr>
          <w:rFonts w:eastAsia="Calibri"/>
        </w:rPr>
        <w:t xml:space="preserve"> to</w:t>
      </w:r>
      <w:r w:rsidR="007E7E14">
        <w:rPr>
          <w:rFonts w:eastAsia="Calibri"/>
        </w:rPr>
        <w:t xml:space="preserve"> the program’s 2016 budget</w:t>
      </w:r>
      <w:r w:rsidR="00CE73FC" w:rsidRPr="006D68E2">
        <w:rPr>
          <w:rFonts w:eastAsia="Calibri"/>
        </w:rPr>
        <w:t>.</w:t>
      </w:r>
      <w:r w:rsidR="00CE73FC" w:rsidRPr="006D68E2">
        <w:rPr>
          <w:rStyle w:val="FootnoteReference"/>
        </w:rPr>
        <w:footnoteReference w:id="2"/>
      </w:r>
      <w:r w:rsidR="00CE73FC" w:rsidRPr="006D68E2">
        <w:t xml:space="preserve"> </w:t>
      </w:r>
      <w:r w:rsidR="006F7FE1" w:rsidRPr="006D68E2">
        <w:t xml:space="preserve">The residential and commerical savings will be delivered by the ETO. The low-income savings will be delivered by Clark County Community Action Agency </w:t>
      </w:r>
      <w:r w:rsidR="006F7FE1">
        <w:t xml:space="preserve">(CCCAA) </w:t>
      </w:r>
      <w:r w:rsidR="006F7FE1" w:rsidRPr="006D68E2">
        <w:t>through the Washington Low Income Energy Efficiency program (WALIEE).</w:t>
      </w:r>
      <w:r w:rsidR="006F7FE1">
        <w:t xml:space="preserve"> </w:t>
      </w:r>
    </w:p>
    <w:p w14:paraId="266B7E0F" w14:textId="77777777" w:rsidR="006F7FE1" w:rsidRDefault="006F7FE1" w:rsidP="00FD31AC"/>
    <w:p w14:paraId="6A6AD33C" w14:textId="77777777" w:rsidR="00D6300C" w:rsidRDefault="00D6300C" w:rsidP="00FD31AC"/>
    <w:p w14:paraId="194FB125" w14:textId="4F666632" w:rsidR="003D1F41" w:rsidRDefault="003D1F41" w:rsidP="00FD31AC">
      <w:r>
        <w:t>There are two main drivers for the substantial budget increase:</w:t>
      </w:r>
    </w:p>
    <w:p w14:paraId="7D8D43AF" w14:textId="023DF459" w:rsidR="006F7FE1" w:rsidRPr="006F7FE1" w:rsidRDefault="003D1F41" w:rsidP="006F7FE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D1F41">
        <w:rPr>
          <w:rFonts w:ascii="Times New Roman" w:hAnsi="Times New Roman"/>
          <w:sz w:val="24"/>
          <w:szCs w:val="24"/>
        </w:rPr>
        <w:lastRenderedPageBreak/>
        <w:t>An</w:t>
      </w:r>
      <w:r w:rsidR="00CE73FC" w:rsidRPr="003D1F41">
        <w:rPr>
          <w:rFonts w:ascii="Times New Roman" w:hAnsi="Times New Roman"/>
          <w:sz w:val="24"/>
          <w:szCs w:val="24"/>
        </w:rPr>
        <w:t xml:space="preserve"> </w:t>
      </w:r>
      <w:r w:rsidR="007E7E14" w:rsidRPr="003D1F41">
        <w:rPr>
          <w:rFonts w:ascii="Times New Roman" w:hAnsi="Times New Roman"/>
          <w:sz w:val="24"/>
          <w:szCs w:val="24"/>
        </w:rPr>
        <w:t>increase</w:t>
      </w:r>
      <w:r w:rsidR="00CE73FC" w:rsidRPr="003D1F41">
        <w:rPr>
          <w:rFonts w:ascii="Times New Roman" w:hAnsi="Times New Roman"/>
          <w:sz w:val="24"/>
          <w:szCs w:val="24"/>
        </w:rPr>
        <w:t xml:space="preserve"> in </w:t>
      </w:r>
      <w:r w:rsidR="002B7FEF">
        <w:rPr>
          <w:rFonts w:ascii="Times New Roman" w:hAnsi="Times New Roman"/>
          <w:sz w:val="24"/>
          <w:szCs w:val="24"/>
        </w:rPr>
        <w:t>program</w:t>
      </w:r>
      <w:r w:rsidR="002B7FEF" w:rsidRPr="003D1F41">
        <w:rPr>
          <w:rFonts w:ascii="Times New Roman" w:hAnsi="Times New Roman"/>
          <w:sz w:val="24"/>
          <w:szCs w:val="24"/>
        </w:rPr>
        <w:t xml:space="preserve"> </w:t>
      </w:r>
      <w:r w:rsidR="00CE73FC" w:rsidRPr="003D1F41">
        <w:rPr>
          <w:rFonts w:ascii="Times New Roman" w:hAnsi="Times New Roman"/>
          <w:sz w:val="24"/>
          <w:szCs w:val="24"/>
        </w:rPr>
        <w:t xml:space="preserve">costs </w:t>
      </w:r>
      <w:r w:rsidR="002B7FEF">
        <w:rPr>
          <w:rFonts w:ascii="Times New Roman" w:hAnsi="Times New Roman"/>
          <w:sz w:val="24"/>
          <w:szCs w:val="24"/>
        </w:rPr>
        <w:t>for</w:t>
      </w:r>
      <w:r w:rsidR="002B7FEF" w:rsidRPr="003D1F41">
        <w:rPr>
          <w:rFonts w:ascii="Times New Roman" w:hAnsi="Times New Roman"/>
          <w:sz w:val="24"/>
          <w:szCs w:val="24"/>
        </w:rPr>
        <w:t xml:space="preserve"> </w:t>
      </w:r>
      <w:r w:rsidR="00CE73FC" w:rsidRPr="003D1F41">
        <w:rPr>
          <w:rFonts w:ascii="Times New Roman" w:hAnsi="Times New Roman"/>
          <w:sz w:val="24"/>
          <w:szCs w:val="24"/>
        </w:rPr>
        <w:t>ETO</w:t>
      </w:r>
      <w:r w:rsidR="00BE4DBD">
        <w:rPr>
          <w:rFonts w:ascii="Times New Roman" w:hAnsi="Times New Roman"/>
          <w:sz w:val="24"/>
          <w:szCs w:val="24"/>
        </w:rPr>
        <w:t>.</w:t>
      </w:r>
    </w:p>
    <w:p w14:paraId="48D4A9D3" w14:textId="3C4536F4" w:rsidR="003D1F41" w:rsidRPr="003D1F41" w:rsidRDefault="006F7FE1" w:rsidP="003D1F4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Growth in new home construction</w:t>
      </w:r>
      <w:r w:rsidR="00A23B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paired </w:t>
      </w:r>
      <w:r w:rsidR="00462D23">
        <w:rPr>
          <w:rFonts w:ascii="Times New Roman" w:hAnsi="Times New Roman"/>
          <w:sz w:val="24"/>
          <w:szCs w:val="24"/>
        </w:rPr>
        <w:t xml:space="preserve">with </w:t>
      </w:r>
      <w:r w:rsidR="00A23BD5">
        <w:rPr>
          <w:rFonts w:ascii="Times New Roman" w:hAnsi="Times New Roman"/>
          <w:sz w:val="24"/>
          <w:szCs w:val="24"/>
        </w:rPr>
        <w:t>new</w:t>
      </w:r>
      <w:r w:rsidR="003D1F41" w:rsidRPr="003D1F41">
        <w:rPr>
          <w:rFonts w:ascii="Times New Roman" w:hAnsi="Times New Roman"/>
          <w:sz w:val="24"/>
          <w:szCs w:val="24"/>
        </w:rPr>
        <w:t xml:space="preserve"> residential building codes </w:t>
      </w:r>
      <w:r w:rsidR="00A23BD5">
        <w:rPr>
          <w:rFonts w:ascii="Times New Roman" w:hAnsi="Times New Roman"/>
          <w:sz w:val="24"/>
          <w:szCs w:val="24"/>
        </w:rPr>
        <w:t xml:space="preserve">which </w:t>
      </w:r>
      <w:r w:rsidR="008B4FBE">
        <w:rPr>
          <w:rFonts w:ascii="Times New Roman" w:hAnsi="Times New Roman"/>
          <w:sz w:val="24"/>
          <w:szCs w:val="24"/>
        </w:rPr>
        <w:t xml:space="preserve">increase the efficiency baselin, thereby increasing </w:t>
      </w:r>
      <w:r w:rsidR="00A23BD5">
        <w:rPr>
          <w:rFonts w:ascii="Times New Roman" w:hAnsi="Times New Roman"/>
          <w:sz w:val="24"/>
          <w:szCs w:val="24"/>
        </w:rPr>
        <w:t>per-</w:t>
      </w:r>
      <w:r w:rsidR="003D1F41" w:rsidRPr="003D1F41">
        <w:rPr>
          <w:rFonts w:ascii="Times New Roman" w:hAnsi="Times New Roman"/>
          <w:sz w:val="24"/>
          <w:szCs w:val="24"/>
        </w:rPr>
        <w:t>therm savings</w:t>
      </w:r>
      <w:r w:rsidR="00A23BD5">
        <w:rPr>
          <w:rFonts w:ascii="Times New Roman" w:hAnsi="Times New Roman"/>
          <w:sz w:val="24"/>
          <w:szCs w:val="24"/>
        </w:rPr>
        <w:t xml:space="preserve"> costs</w:t>
      </w:r>
      <w:r w:rsidR="00BE4DBD">
        <w:rPr>
          <w:rFonts w:ascii="Times New Roman" w:hAnsi="Times New Roman"/>
          <w:sz w:val="24"/>
          <w:szCs w:val="24"/>
        </w:rPr>
        <w:t>.</w:t>
      </w:r>
      <w:r w:rsidR="003D1F41" w:rsidRPr="003D1F41">
        <w:rPr>
          <w:rFonts w:ascii="Times New Roman" w:hAnsi="Times New Roman"/>
          <w:sz w:val="24"/>
          <w:szCs w:val="24"/>
        </w:rPr>
        <w:t xml:space="preserve"> </w:t>
      </w:r>
    </w:p>
    <w:p w14:paraId="603836CF" w14:textId="77777777" w:rsidR="003D1F41" w:rsidRDefault="003D1F41" w:rsidP="003D1F41"/>
    <w:p w14:paraId="0608F9B4" w14:textId="068B20A7" w:rsidR="00CE73FC" w:rsidRPr="006D68E2" w:rsidRDefault="00462D23" w:rsidP="003D1F41">
      <w:r>
        <w:t xml:space="preserve">While </w:t>
      </w:r>
      <w:r w:rsidR="006F7FE1">
        <w:t xml:space="preserve">NW Natural’s 2017 conservation budget is quite a bit higher than their 2016 budget, </w:t>
      </w:r>
      <w:r>
        <w:t>it is similar to</w:t>
      </w:r>
      <w:r w:rsidR="006F7FE1">
        <w:t xml:space="preserve"> 2016 actual spending</w:t>
      </w:r>
      <w:r w:rsidR="008B4FBE">
        <w:t xml:space="preserve"> due to the growth in new home construction.</w:t>
      </w:r>
    </w:p>
    <w:p w14:paraId="0608F9B5" w14:textId="77777777" w:rsidR="00721488" w:rsidRPr="006D68E2" w:rsidRDefault="00721488" w:rsidP="00FD31AC">
      <w:pPr>
        <w:rPr>
          <w:rFonts w:eastAsia="Calibri"/>
        </w:rPr>
      </w:pPr>
    </w:p>
    <w:p w14:paraId="78765806" w14:textId="3227D368" w:rsidR="007E18A2" w:rsidRDefault="007E18A2" w:rsidP="00FD31AC">
      <w:pPr>
        <w:rPr>
          <w:b/>
        </w:rPr>
      </w:pPr>
      <w:r w:rsidRPr="006D68E2">
        <w:rPr>
          <w:b/>
        </w:rPr>
        <w:t>Table 1. Comparison of Budgets from 201</w:t>
      </w:r>
      <w:r w:rsidR="00FD31AC">
        <w:rPr>
          <w:b/>
        </w:rPr>
        <w:t>6</w:t>
      </w:r>
      <w:r w:rsidRPr="006D68E2">
        <w:rPr>
          <w:b/>
        </w:rPr>
        <w:t xml:space="preserve"> and 201</w:t>
      </w:r>
      <w:r w:rsidR="00FD31AC">
        <w:rPr>
          <w:b/>
        </w:rPr>
        <w:t>7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420"/>
        <w:gridCol w:w="1800"/>
        <w:gridCol w:w="450"/>
        <w:gridCol w:w="1890"/>
        <w:gridCol w:w="1620"/>
      </w:tblGrid>
      <w:tr w:rsidR="00462D23" w:rsidRPr="003D1F41" w14:paraId="139EAE24" w14:textId="77777777" w:rsidTr="00D6300C">
        <w:trPr>
          <w:trHeight w:val="663"/>
        </w:trPr>
        <w:tc>
          <w:tcPr>
            <w:tcW w:w="3420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702F7" w14:textId="77777777" w:rsidR="00462D23" w:rsidRPr="003D1F41" w:rsidRDefault="00462D23" w:rsidP="003D1F41">
            <w:pPr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Program Budgets</w:t>
            </w:r>
          </w:p>
        </w:tc>
        <w:tc>
          <w:tcPr>
            <w:tcW w:w="2250" w:type="dxa"/>
            <w:gridSpan w:val="2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98B94" w14:textId="1928B001" w:rsidR="00462D23" w:rsidRPr="003D1F41" w:rsidRDefault="00462D23" w:rsidP="003D1F41">
            <w:pPr>
              <w:jc w:val="center"/>
              <w:rPr>
                <w:b/>
                <w:bCs/>
                <w:color w:val="000000"/>
              </w:rPr>
            </w:pPr>
            <w:bookmarkStart w:id="1" w:name="RANGE!B1"/>
            <w:r w:rsidRPr="003D1F41">
              <w:rPr>
                <w:b/>
                <w:bCs/>
                <w:color w:val="000000"/>
              </w:rPr>
              <w:t xml:space="preserve">2016 </w:t>
            </w:r>
            <w:r>
              <w:rPr>
                <w:b/>
                <w:bCs/>
                <w:color w:val="000000"/>
              </w:rPr>
              <w:t xml:space="preserve">Projected </w:t>
            </w:r>
            <w:r w:rsidRPr="003D1F41">
              <w:rPr>
                <w:b/>
                <w:bCs/>
                <w:color w:val="000000"/>
              </w:rPr>
              <w:t xml:space="preserve">Budget </w:t>
            </w:r>
            <w:bookmarkEnd w:id="1"/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F2A00" w14:textId="59CECCD5" w:rsidR="00462D23" w:rsidRPr="003D1F41" w:rsidRDefault="00462D23" w:rsidP="003D1F41">
            <w:pPr>
              <w:jc w:val="center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 xml:space="preserve">2017 </w:t>
            </w:r>
            <w:r>
              <w:rPr>
                <w:b/>
                <w:bCs/>
                <w:color w:val="000000"/>
              </w:rPr>
              <w:t xml:space="preserve">Projected </w:t>
            </w:r>
            <w:r w:rsidRPr="003D1F41">
              <w:rPr>
                <w:b/>
                <w:bCs/>
                <w:color w:val="000000"/>
              </w:rPr>
              <w:t xml:space="preserve">Budget  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E2FDB" w14:textId="77777777" w:rsidR="00462D23" w:rsidRPr="003D1F41" w:rsidRDefault="00462D23" w:rsidP="003D1F41">
            <w:pPr>
              <w:jc w:val="center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2016-2017 Change (%)</w:t>
            </w:r>
          </w:p>
        </w:tc>
      </w:tr>
      <w:tr w:rsidR="00462D23" w:rsidRPr="003D1F41" w14:paraId="19DEADE5" w14:textId="77777777" w:rsidTr="00D6300C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8B5CCA" w14:textId="77777777" w:rsidR="00462D23" w:rsidRPr="003D1F41" w:rsidRDefault="00462D23" w:rsidP="003D1F41">
            <w:pPr>
              <w:rPr>
                <w:i/>
                <w:iCs/>
                <w:color w:val="000000"/>
              </w:rPr>
            </w:pPr>
            <w:r w:rsidRPr="003D1F41">
              <w:rPr>
                <w:i/>
                <w:iCs/>
                <w:color w:val="000000"/>
              </w:rPr>
              <w:t xml:space="preserve">    Commercial Retrofit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7396B1" w14:textId="77777777" w:rsidR="00462D23" w:rsidRPr="003D1F41" w:rsidRDefault="00462D23" w:rsidP="003D1F41">
            <w:pPr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 xml:space="preserve">$703,629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F23AE6" w14:textId="48E36A45" w:rsidR="00462D23" w:rsidRPr="003D1F41" w:rsidRDefault="00462D23" w:rsidP="008B4FBE">
            <w:pPr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>$847,4</w:t>
            </w:r>
            <w:r w:rsidR="008B4FBE">
              <w:rPr>
                <w:color w:val="000000"/>
              </w:rPr>
              <w:t>9</w:t>
            </w:r>
            <w:r w:rsidRPr="003D1F41">
              <w:rPr>
                <w:color w:val="000000"/>
              </w:rPr>
              <w:t xml:space="preserve">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E016FC" w14:textId="77777777" w:rsidR="00462D23" w:rsidRPr="003D1F41" w:rsidRDefault="00462D23" w:rsidP="00ED5F9D">
            <w:pPr>
              <w:tabs>
                <w:tab w:val="decimal" w:pos="752"/>
              </w:tabs>
              <w:ind w:right="282"/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>20%</w:t>
            </w:r>
          </w:p>
        </w:tc>
      </w:tr>
      <w:tr w:rsidR="00462D23" w:rsidRPr="003D1F41" w14:paraId="1D624A37" w14:textId="77777777" w:rsidTr="00D6300C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C1F6D9" w14:textId="77777777" w:rsidR="00462D23" w:rsidRPr="003D1F41" w:rsidRDefault="00462D23" w:rsidP="003D1F41">
            <w:pPr>
              <w:rPr>
                <w:i/>
                <w:iCs/>
                <w:color w:val="000000"/>
              </w:rPr>
            </w:pPr>
            <w:r w:rsidRPr="003D1F41">
              <w:rPr>
                <w:i/>
                <w:iCs/>
                <w:color w:val="000000"/>
              </w:rPr>
              <w:t xml:space="preserve">    Residential Retrofit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278F57" w14:textId="77777777" w:rsidR="00462D23" w:rsidRPr="003D1F41" w:rsidRDefault="00462D23" w:rsidP="003D1F41">
            <w:pPr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 xml:space="preserve">$488,439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3E6C12" w14:textId="77777777" w:rsidR="00462D23" w:rsidRPr="003D1F41" w:rsidRDefault="00462D23" w:rsidP="003D1F41">
            <w:pPr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 xml:space="preserve">$534,924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11A7E2" w14:textId="77777777" w:rsidR="00462D23" w:rsidRPr="003D1F41" w:rsidRDefault="00462D23" w:rsidP="00ED5F9D">
            <w:pPr>
              <w:tabs>
                <w:tab w:val="decimal" w:pos="752"/>
              </w:tabs>
              <w:ind w:right="282"/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>10%</w:t>
            </w:r>
          </w:p>
        </w:tc>
      </w:tr>
      <w:tr w:rsidR="00462D23" w:rsidRPr="003D1F41" w14:paraId="620FEBC7" w14:textId="77777777" w:rsidTr="00D6300C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C5F3E6" w14:textId="77777777" w:rsidR="00462D23" w:rsidRPr="003D1F41" w:rsidRDefault="00462D23" w:rsidP="003D1F41">
            <w:pPr>
              <w:rPr>
                <w:i/>
                <w:iCs/>
                <w:color w:val="000000"/>
              </w:rPr>
            </w:pPr>
            <w:r w:rsidRPr="003D1F41">
              <w:rPr>
                <w:i/>
                <w:iCs/>
                <w:color w:val="000000"/>
              </w:rPr>
              <w:t xml:space="preserve">    Residential New Homes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2AB4AD" w14:textId="77777777" w:rsidR="00462D23" w:rsidRPr="003D1F41" w:rsidRDefault="00462D23" w:rsidP="003D1F41">
            <w:pPr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 xml:space="preserve">$409,349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FA5AFC" w14:textId="77777777" w:rsidR="00462D23" w:rsidRPr="003D1F41" w:rsidRDefault="00462D23" w:rsidP="003D1F41">
            <w:pPr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 xml:space="preserve">$592,788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EBEDD5" w14:textId="77777777" w:rsidR="00462D23" w:rsidRPr="003D1F41" w:rsidRDefault="00462D23" w:rsidP="00ED5F9D">
            <w:pPr>
              <w:tabs>
                <w:tab w:val="decimal" w:pos="752"/>
              </w:tabs>
              <w:ind w:right="282"/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>45%</w:t>
            </w:r>
          </w:p>
        </w:tc>
      </w:tr>
      <w:tr w:rsidR="00462D23" w:rsidRPr="003D1F41" w14:paraId="70E5F314" w14:textId="77777777" w:rsidTr="00D6300C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7D5249C" w14:textId="77777777" w:rsidR="00462D23" w:rsidRPr="003D1F41" w:rsidRDefault="00462D23" w:rsidP="003D1F41">
            <w:pPr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ETO program subtotal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6EA3D0D" w14:textId="77777777" w:rsidR="00462D23" w:rsidRPr="003D1F41" w:rsidRDefault="00462D23" w:rsidP="003D1F41">
            <w:pPr>
              <w:jc w:val="right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 xml:space="preserve">$1,601,417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4698834" w14:textId="77777777" w:rsidR="00462D23" w:rsidRPr="003D1F41" w:rsidRDefault="00462D23" w:rsidP="003D1F41">
            <w:pPr>
              <w:jc w:val="right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 xml:space="preserve">$1,975,161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CB117AC" w14:textId="77777777" w:rsidR="00462D23" w:rsidRPr="003D1F41" w:rsidRDefault="00462D23" w:rsidP="00ED5F9D">
            <w:pPr>
              <w:tabs>
                <w:tab w:val="decimal" w:pos="752"/>
              </w:tabs>
              <w:ind w:right="282"/>
              <w:jc w:val="right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23%</w:t>
            </w:r>
          </w:p>
        </w:tc>
      </w:tr>
      <w:tr w:rsidR="00462D23" w:rsidRPr="003D1F41" w14:paraId="49201AAC" w14:textId="77777777" w:rsidTr="00D6300C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AB3F0D" w14:textId="6620C093" w:rsidR="00462D23" w:rsidRPr="003D1F41" w:rsidRDefault="00462D23" w:rsidP="003D1F4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WA</w:t>
            </w:r>
            <w:r w:rsidRPr="003D1F41">
              <w:rPr>
                <w:i/>
                <w:iCs/>
                <w:color w:val="000000"/>
              </w:rPr>
              <w:t>LIEE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9EA813" w14:textId="77777777" w:rsidR="00462D23" w:rsidRPr="003D1F41" w:rsidRDefault="00462D23" w:rsidP="003D1F41">
            <w:pPr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 xml:space="preserve">$160,500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F857DE" w14:textId="77777777" w:rsidR="00462D23" w:rsidRPr="003D1F41" w:rsidRDefault="00462D23" w:rsidP="003D1F41">
            <w:pPr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 xml:space="preserve">$186,638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B0725C" w14:textId="77777777" w:rsidR="00462D23" w:rsidRPr="003D1F41" w:rsidRDefault="00462D23" w:rsidP="00ED5F9D">
            <w:pPr>
              <w:tabs>
                <w:tab w:val="decimal" w:pos="752"/>
              </w:tabs>
              <w:ind w:right="282"/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>16%</w:t>
            </w:r>
          </w:p>
        </w:tc>
      </w:tr>
      <w:tr w:rsidR="00462D23" w:rsidRPr="003D1F41" w14:paraId="1621BA03" w14:textId="77777777" w:rsidTr="00D6300C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FAC1DDC" w14:textId="77777777" w:rsidR="00462D23" w:rsidRPr="003D1F41" w:rsidRDefault="00462D23" w:rsidP="003D1F41">
            <w:pPr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NW Natural program subtotal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90277E9" w14:textId="77777777" w:rsidR="00462D23" w:rsidRPr="003D1F41" w:rsidRDefault="00462D23" w:rsidP="003D1F41">
            <w:pPr>
              <w:jc w:val="right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 xml:space="preserve">$1,761,917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D2BAE72" w14:textId="77777777" w:rsidR="00462D23" w:rsidRPr="003D1F41" w:rsidRDefault="00462D23" w:rsidP="003D1F41">
            <w:pPr>
              <w:jc w:val="right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 xml:space="preserve">$2,161,799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20C1F83" w14:textId="77777777" w:rsidR="00462D23" w:rsidRPr="003D1F41" w:rsidRDefault="00462D23" w:rsidP="00ED5F9D">
            <w:pPr>
              <w:tabs>
                <w:tab w:val="decimal" w:pos="752"/>
              </w:tabs>
              <w:ind w:right="282"/>
              <w:jc w:val="right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23%</w:t>
            </w:r>
          </w:p>
        </w:tc>
      </w:tr>
      <w:tr w:rsidR="00462D23" w:rsidRPr="003D1F41" w14:paraId="0E6E9E10" w14:textId="77777777" w:rsidTr="00D6300C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E9BB44" w14:textId="77777777" w:rsidR="00462D23" w:rsidRPr="003D1F41" w:rsidRDefault="00462D23" w:rsidP="003D1F41">
            <w:pPr>
              <w:rPr>
                <w:i/>
                <w:iCs/>
                <w:color w:val="000000"/>
              </w:rPr>
            </w:pPr>
            <w:r w:rsidRPr="003D1F41">
              <w:rPr>
                <w:i/>
                <w:iCs/>
                <w:color w:val="000000"/>
              </w:rPr>
              <w:t xml:space="preserve">    NEEA Pilot Program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C1DFB0" w14:textId="77777777" w:rsidR="00462D23" w:rsidRPr="003D1F41" w:rsidRDefault="00462D23" w:rsidP="003D1F41">
            <w:pPr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 xml:space="preserve">$94,134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65CF" w14:textId="77777777" w:rsidR="00462D23" w:rsidRPr="003D1F41" w:rsidRDefault="00462D23" w:rsidP="003D1F41">
            <w:pPr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 xml:space="preserve">$108,564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7F01A2" w14:textId="77777777" w:rsidR="00462D23" w:rsidRPr="003D1F41" w:rsidRDefault="00462D23" w:rsidP="00ED5F9D">
            <w:pPr>
              <w:tabs>
                <w:tab w:val="decimal" w:pos="752"/>
              </w:tabs>
              <w:ind w:right="282"/>
              <w:jc w:val="right"/>
              <w:rPr>
                <w:color w:val="000000"/>
              </w:rPr>
            </w:pPr>
            <w:r w:rsidRPr="003D1F41">
              <w:rPr>
                <w:color w:val="000000"/>
              </w:rPr>
              <w:t>15%</w:t>
            </w:r>
          </w:p>
        </w:tc>
      </w:tr>
      <w:tr w:rsidR="00462D23" w:rsidRPr="003D1F41" w14:paraId="7DBDEAB4" w14:textId="77777777" w:rsidTr="00D6300C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4B2891B" w14:textId="77777777" w:rsidR="00462D23" w:rsidRPr="003D1F41" w:rsidRDefault="00462D23" w:rsidP="003D1F41">
            <w:pPr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All programs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0429A9E" w14:textId="77777777" w:rsidR="00462D23" w:rsidRPr="003D1F41" w:rsidRDefault="00462D23" w:rsidP="003D1F41">
            <w:pPr>
              <w:jc w:val="right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 xml:space="preserve">$1,856,051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326929C" w14:textId="77777777" w:rsidR="00462D23" w:rsidRPr="003D1F41" w:rsidRDefault="00462D23" w:rsidP="003D1F41">
            <w:pPr>
              <w:jc w:val="right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 xml:space="preserve">$2,270,363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6B66141" w14:textId="77777777" w:rsidR="00462D23" w:rsidRPr="003D1F41" w:rsidRDefault="00462D23" w:rsidP="00ED5F9D">
            <w:pPr>
              <w:tabs>
                <w:tab w:val="decimal" w:pos="752"/>
              </w:tabs>
              <w:ind w:right="282"/>
              <w:jc w:val="right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22%</w:t>
            </w:r>
          </w:p>
        </w:tc>
      </w:tr>
    </w:tbl>
    <w:p w14:paraId="75A1D388" w14:textId="77777777" w:rsidR="007E18A2" w:rsidRPr="006D68E2" w:rsidRDefault="007E18A2" w:rsidP="003D1F41">
      <w:pPr>
        <w:rPr>
          <w:rFonts w:eastAsia="Calibri"/>
        </w:rPr>
      </w:pPr>
    </w:p>
    <w:p w14:paraId="4CD410B3" w14:textId="2E157391" w:rsidR="00FD31AC" w:rsidRDefault="00AF3AA4" w:rsidP="00FD31AC">
      <w:pPr>
        <w:pStyle w:val="Heading2"/>
      </w:pPr>
      <w:r>
        <w:lastRenderedPageBreak/>
        <w:t>Energy s</w:t>
      </w:r>
      <w:r w:rsidR="00FD31AC">
        <w:t>avings changes for 2017</w:t>
      </w:r>
    </w:p>
    <w:p w14:paraId="0608F9D8" w14:textId="5EDEFC4C" w:rsidR="00D91F8E" w:rsidRPr="006D68E2" w:rsidRDefault="00677ACE" w:rsidP="00FD31AC">
      <w:pPr>
        <w:rPr>
          <w:rFonts w:eastAsia="Calibri"/>
        </w:rPr>
      </w:pPr>
      <w:r>
        <w:t xml:space="preserve">NW Natural </w:t>
      </w:r>
      <w:r w:rsidR="00BE7F97" w:rsidRPr="006D68E2">
        <w:t>is proposing a</w:t>
      </w:r>
      <w:r w:rsidR="008B4FBE">
        <w:t>n</w:t>
      </w:r>
      <w:r w:rsidR="00BE7F97" w:rsidRPr="006D68E2">
        <w:t xml:space="preserve"> </w:t>
      </w:r>
      <w:r w:rsidR="008B4FBE">
        <w:t>8.1</w:t>
      </w:r>
      <w:r w:rsidR="00AF3AA4">
        <w:t xml:space="preserve"> percent</w:t>
      </w:r>
      <w:r w:rsidR="00C9605B" w:rsidRPr="006D68E2">
        <w:t xml:space="preserve"> increase in its</w:t>
      </w:r>
      <w:r w:rsidR="00D91F8E" w:rsidRPr="006D68E2">
        <w:t xml:space="preserve"> 201</w:t>
      </w:r>
      <w:r w:rsidR="00AF3AA4">
        <w:t>7</w:t>
      </w:r>
      <w:r w:rsidR="00D91F8E" w:rsidRPr="006D68E2">
        <w:t xml:space="preserve"> therm</w:t>
      </w:r>
      <w:r w:rsidR="0090302B" w:rsidRPr="006D68E2">
        <w:t xml:space="preserve"> savings </w:t>
      </w:r>
      <w:r w:rsidR="00AF3AA4">
        <w:t xml:space="preserve">goal </w:t>
      </w:r>
      <w:r w:rsidR="0090302B" w:rsidRPr="006D68E2">
        <w:t>relative to 201</w:t>
      </w:r>
      <w:r w:rsidR="00AF3AA4">
        <w:t>6</w:t>
      </w:r>
      <w:r>
        <w:t xml:space="preserve">, forecasting </w:t>
      </w:r>
      <w:r w:rsidR="00AF3AA4">
        <w:t>that it will</w:t>
      </w:r>
      <w:r w:rsidR="006C4518" w:rsidRPr="006D68E2">
        <w:t xml:space="preserve"> acquire </w:t>
      </w:r>
      <w:r w:rsidR="007359ED" w:rsidRPr="006D68E2">
        <w:t xml:space="preserve">at least </w:t>
      </w:r>
      <w:r w:rsidR="00AF3AA4" w:rsidRPr="00AF3AA4">
        <w:t>2</w:t>
      </w:r>
      <w:r w:rsidR="007F409D">
        <w:t>40</w:t>
      </w:r>
      <w:r w:rsidR="00AF3AA4">
        <w:t>,</w:t>
      </w:r>
      <w:r w:rsidR="007F409D">
        <w:t>158</w:t>
      </w:r>
      <w:r w:rsidR="00AF3AA4" w:rsidRPr="00AF3AA4">
        <w:t xml:space="preserve"> </w:t>
      </w:r>
      <w:r w:rsidR="006C4518" w:rsidRPr="006D68E2">
        <w:t>therm</w:t>
      </w:r>
      <w:r w:rsidR="00721488" w:rsidRPr="006D68E2">
        <w:t>s</w:t>
      </w:r>
      <w:r w:rsidR="006C4518" w:rsidRPr="006D68E2">
        <w:t xml:space="preserve"> </w:t>
      </w:r>
      <w:r>
        <w:t>in 2017</w:t>
      </w:r>
      <w:r w:rsidR="006F7FE1">
        <w:t xml:space="preserve"> </w:t>
      </w:r>
      <w:r w:rsidR="007359ED" w:rsidRPr="006D68E2">
        <w:t>from its residential and commercial programs</w:t>
      </w:r>
      <w:r w:rsidR="00721488" w:rsidRPr="006D68E2">
        <w:t xml:space="preserve"> administered by ETO</w:t>
      </w:r>
      <w:r>
        <w:t xml:space="preserve">. This is </w:t>
      </w:r>
      <w:r w:rsidR="0090302B" w:rsidRPr="006D68E2">
        <w:t xml:space="preserve">a </w:t>
      </w:r>
      <w:r w:rsidR="008B4FBE">
        <w:t>7.4</w:t>
      </w:r>
      <w:r w:rsidR="0090302B" w:rsidRPr="006D68E2">
        <w:t xml:space="preserve"> percent increase over its</w:t>
      </w:r>
      <w:r w:rsidR="00462D23">
        <w:t xml:space="preserve"> updated</w:t>
      </w:r>
      <w:r w:rsidR="0090302B" w:rsidRPr="006D68E2">
        <w:t xml:space="preserve"> 201</w:t>
      </w:r>
      <w:r>
        <w:t>6</w:t>
      </w:r>
      <w:r w:rsidR="00D91F8E" w:rsidRPr="006D68E2">
        <w:t xml:space="preserve"> savings </w:t>
      </w:r>
      <w:r>
        <w:t xml:space="preserve">projection </w:t>
      </w:r>
      <w:r w:rsidR="00D91F8E" w:rsidRPr="006D68E2">
        <w:t xml:space="preserve">of </w:t>
      </w:r>
      <w:r w:rsidR="008B4FBE">
        <w:t>228,852</w:t>
      </w:r>
      <w:r w:rsidR="00D91F8E" w:rsidRPr="006D68E2">
        <w:t xml:space="preserve"> therms</w:t>
      </w:r>
      <w:r>
        <w:t>, which it expects to achieve based on the most recent quarterly report</w:t>
      </w:r>
      <w:r w:rsidR="00D91F8E" w:rsidRPr="006D68E2">
        <w:t xml:space="preserve">. </w:t>
      </w:r>
      <w:r w:rsidR="00D426A6">
        <w:t xml:space="preserve">NW Natural’s projections estimate that </w:t>
      </w:r>
      <w:r w:rsidR="00721488" w:rsidRPr="006D68E2">
        <w:t xml:space="preserve">Utility Cost </w:t>
      </w:r>
      <w:r>
        <w:t>T</w:t>
      </w:r>
      <w:r w:rsidR="00721488" w:rsidRPr="006D68E2">
        <w:t xml:space="preserve">est and Total Resource Cost ratios </w:t>
      </w:r>
      <w:r w:rsidR="00D426A6">
        <w:t>will</w:t>
      </w:r>
      <w:r w:rsidR="00D426A6" w:rsidRPr="006D68E2">
        <w:t xml:space="preserve"> </w:t>
      </w:r>
      <w:r>
        <w:t xml:space="preserve">both </w:t>
      </w:r>
      <w:r w:rsidR="00D426A6">
        <w:t xml:space="preserve">stay </w:t>
      </w:r>
      <w:r>
        <w:t>above 1.0 at the portfolio level</w:t>
      </w:r>
      <w:r w:rsidR="00D426A6">
        <w:t xml:space="preserve"> for 2017</w:t>
      </w:r>
      <w:r>
        <w:t>.</w:t>
      </w:r>
    </w:p>
    <w:p w14:paraId="0608F9D9" w14:textId="77777777" w:rsidR="0077674A" w:rsidRPr="006D68E2" w:rsidRDefault="0077674A" w:rsidP="00FD31AC"/>
    <w:p w14:paraId="44549476" w14:textId="6DC1912A" w:rsidR="007E18A2" w:rsidRPr="006D68E2" w:rsidRDefault="007E18A2" w:rsidP="00FD31AC">
      <w:pPr>
        <w:rPr>
          <w:b/>
        </w:rPr>
      </w:pPr>
      <w:r w:rsidRPr="006D68E2">
        <w:rPr>
          <w:b/>
        </w:rPr>
        <w:t xml:space="preserve">Table 2. Comparison of </w:t>
      </w:r>
      <w:r w:rsidR="00916755">
        <w:rPr>
          <w:b/>
        </w:rPr>
        <w:t xml:space="preserve">Energy </w:t>
      </w:r>
      <w:r w:rsidRPr="006D68E2">
        <w:rPr>
          <w:b/>
        </w:rPr>
        <w:t>Savings from 201</w:t>
      </w:r>
      <w:r w:rsidR="00FD31AC">
        <w:rPr>
          <w:b/>
        </w:rPr>
        <w:t>6</w:t>
      </w:r>
      <w:r w:rsidRPr="006D68E2">
        <w:rPr>
          <w:b/>
        </w:rPr>
        <w:t xml:space="preserve"> and 201</w:t>
      </w:r>
      <w:r w:rsidR="00FD31AC">
        <w:rPr>
          <w:b/>
        </w:rPr>
        <w:t>7</w:t>
      </w:r>
    </w:p>
    <w:tbl>
      <w:tblPr>
        <w:tblW w:w="8550" w:type="dxa"/>
        <w:tblLook w:val="04A0" w:firstRow="1" w:lastRow="0" w:firstColumn="1" w:lastColumn="0" w:noHBand="0" w:noVBand="1"/>
      </w:tblPr>
      <w:tblGrid>
        <w:gridCol w:w="3420"/>
        <w:gridCol w:w="1800"/>
        <w:gridCol w:w="1800"/>
        <w:gridCol w:w="1530"/>
      </w:tblGrid>
      <w:tr w:rsidR="00462D23" w:rsidRPr="003D1F41" w14:paraId="486D9A1B" w14:textId="77777777" w:rsidTr="00420ACA">
        <w:trPr>
          <w:trHeight w:val="672"/>
        </w:trPr>
        <w:tc>
          <w:tcPr>
            <w:tcW w:w="3420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3846C" w14:textId="6D61AECD" w:rsidR="00462D23" w:rsidRPr="003D1F41" w:rsidRDefault="00462D23" w:rsidP="006F7FE1">
            <w:pPr>
              <w:rPr>
                <w:b/>
                <w:bCs/>
                <w:color w:val="000000"/>
              </w:rPr>
            </w:pPr>
            <w:bookmarkStart w:id="2" w:name="RANGE!A13"/>
            <w:r w:rsidRPr="003D1F41">
              <w:rPr>
                <w:b/>
                <w:bCs/>
                <w:color w:val="000000"/>
              </w:rPr>
              <w:t>Program Energy Savings</w:t>
            </w:r>
            <w:bookmarkEnd w:id="2"/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BF4FB" w14:textId="414C0CC4" w:rsidR="00462D23" w:rsidRPr="003D1F41" w:rsidRDefault="00462D23" w:rsidP="003D1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 Projected Savings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2218C" w14:textId="4B56BBC3" w:rsidR="00462D23" w:rsidRPr="003D1F41" w:rsidRDefault="00462D23" w:rsidP="003D1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 Projected Savings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28824" w14:textId="77777777" w:rsidR="00462D23" w:rsidRPr="003D1F41" w:rsidRDefault="00462D23" w:rsidP="003D1F41">
            <w:pPr>
              <w:jc w:val="center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2016-2017 Change (%)</w:t>
            </w:r>
          </w:p>
        </w:tc>
      </w:tr>
      <w:tr w:rsidR="00462D23" w:rsidRPr="003D1F41" w14:paraId="1678E1D6" w14:textId="77777777" w:rsidTr="00420ACA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BDCD29" w14:textId="77777777" w:rsidR="00462D23" w:rsidRPr="003D1F41" w:rsidRDefault="00462D23" w:rsidP="003D1F41">
            <w:pPr>
              <w:rPr>
                <w:i/>
                <w:iCs/>
                <w:color w:val="000000"/>
              </w:rPr>
            </w:pPr>
            <w:r w:rsidRPr="003D1F41">
              <w:rPr>
                <w:i/>
                <w:iCs/>
                <w:color w:val="000000"/>
              </w:rPr>
              <w:t xml:space="preserve">    Commercial Retrofit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745F16" w14:textId="23ADB858" w:rsidR="00462D23" w:rsidRPr="003D1F41" w:rsidRDefault="00462D23" w:rsidP="00442071">
            <w:pPr>
              <w:tabs>
                <w:tab w:val="decimal" w:pos="968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>128,398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708384" w14:textId="5A85C3D6" w:rsidR="00462D23" w:rsidRPr="003D1F41" w:rsidRDefault="00462D23" w:rsidP="00442071">
            <w:pPr>
              <w:tabs>
                <w:tab w:val="decimal" w:pos="822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>133,046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61EAC9" w14:textId="4E2B0B5B" w:rsidR="00462D23" w:rsidRPr="003D1F41" w:rsidRDefault="00462D23" w:rsidP="00442071">
            <w:pPr>
              <w:tabs>
                <w:tab w:val="decimal" w:pos="302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>3.6%</w:t>
            </w:r>
          </w:p>
        </w:tc>
      </w:tr>
      <w:tr w:rsidR="00462D23" w:rsidRPr="003D1F41" w14:paraId="42D30936" w14:textId="77777777" w:rsidTr="00420ACA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7C86CA" w14:textId="77777777" w:rsidR="00462D23" w:rsidRPr="003D1F41" w:rsidRDefault="00462D23" w:rsidP="003D1F41">
            <w:pPr>
              <w:rPr>
                <w:i/>
                <w:iCs/>
                <w:color w:val="000000"/>
              </w:rPr>
            </w:pPr>
            <w:r w:rsidRPr="003D1F41">
              <w:rPr>
                <w:i/>
                <w:iCs/>
                <w:color w:val="000000"/>
              </w:rPr>
              <w:t xml:space="preserve">    Residential Retrofit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4BC820" w14:textId="0645651E" w:rsidR="00462D23" w:rsidRPr="003D1F41" w:rsidRDefault="008B4FBE" w:rsidP="00442071">
            <w:pPr>
              <w:tabs>
                <w:tab w:val="decimal" w:pos="96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46,796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495E2D" w14:textId="5BAFBB4D" w:rsidR="00462D23" w:rsidRPr="003D1F41" w:rsidRDefault="00462D23" w:rsidP="00442071">
            <w:pPr>
              <w:tabs>
                <w:tab w:val="decimal" w:pos="822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>58,015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AF9424" w14:textId="43964134" w:rsidR="00462D23" w:rsidRPr="003D1F41" w:rsidRDefault="008B4FBE" w:rsidP="00442071">
            <w:pPr>
              <w:tabs>
                <w:tab w:val="decimal" w:pos="30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462D23" w:rsidRPr="003D1F41">
              <w:rPr>
                <w:color w:val="000000"/>
              </w:rPr>
              <w:t>.0%</w:t>
            </w:r>
          </w:p>
        </w:tc>
      </w:tr>
      <w:tr w:rsidR="00462D23" w:rsidRPr="003D1F41" w14:paraId="1B11171E" w14:textId="77777777" w:rsidTr="00420ACA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15382E" w14:textId="77777777" w:rsidR="00462D23" w:rsidRPr="003D1F41" w:rsidRDefault="00462D23" w:rsidP="003D1F41">
            <w:pPr>
              <w:rPr>
                <w:i/>
                <w:iCs/>
                <w:color w:val="000000"/>
              </w:rPr>
            </w:pPr>
            <w:r w:rsidRPr="003D1F41">
              <w:rPr>
                <w:i/>
                <w:iCs/>
                <w:color w:val="000000"/>
              </w:rPr>
              <w:t xml:space="preserve">    Residential New Homes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91534" w14:textId="768CEDFC" w:rsidR="00462D23" w:rsidRPr="003D1F41" w:rsidRDefault="00462D23" w:rsidP="00442071">
            <w:pPr>
              <w:tabs>
                <w:tab w:val="decimal" w:pos="968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>48,513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4F3338" w14:textId="147BAA01" w:rsidR="00462D23" w:rsidRPr="003D1F41" w:rsidRDefault="00462D23" w:rsidP="00442071">
            <w:pPr>
              <w:tabs>
                <w:tab w:val="decimal" w:pos="822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>49,097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B62E0A" w14:textId="3FB08640" w:rsidR="00462D23" w:rsidRPr="003D1F41" w:rsidRDefault="00462D23" w:rsidP="00442071">
            <w:pPr>
              <w:tabs>
                <w:tab w:val="decimal" w:pos="302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>1.2%</w:t>
            </w:r>
          </w:p>
        </w:tc>
      </w:tr>
      <w:tr w:rsidR="00462D23" w:rsidRPr="003D1F41" w14:paraId="3F095ACA" w14:textId="77777777" w:rsidTr="00420ACA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9B0996F" w14:textId="77777777" w:rsidR="00462D23" w:rsidRPr="003D1F41" w:rsidRDefault="00462D23" w:rsidP="003D1F41">
            <w:pPr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ETO program subtotal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6FB38BB" w14:textId="05C512EB" w:rsidR="00462D23" w:rsidRPr="003D1F41" w:rsidRDefault="008B4FBE" w:rsidP="00442071">
            <w:pPr>
              <w:tabs>
                <w:tab w:val="decimal" w:pos="96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EBC05B8" w14:textId="0ED3C55F" w:rsidR="00462D23" w:rsidRPr="003D1F41" w:rsidRDefault="00462D23" w:rsidP="00442071">
            <w:pPr>
              <w:tabs>
                <w:tab w:val="decimal" w:pos="822"/>
              </w:tabs>
              <w:jc w:val="center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240,158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0837AC3" w14:textId="15432B7B" w:rsidR="00462D23" w:rsidRPr="003D1F41" w:rsidRDefault="008B4FBE" w:rsidP="008B4FBE">
            <w:pPr>
              <w:tabs>
                <w:tab w:val="decimal" w:pos="30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62D23" w:rsidRPr="003D1F41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  <w:r w:rsidR="00462D23" w:rsidRPr="003D1F41">
              <w:rPr>
                <w:b/>
                <w:bCs/>
                <w:color w:val="000000"/>
              </w:rPr>
              <w:t>%</w:t>
            </w:r>
          </w:p>
        </w:tc>
      </w:tr>
      <w:tr w:rsidR="00462D23" w:rsidRPr="003D1F41" w14:paraId="6CB1F7D4" w14:textId="77777777" w:rsidTr="00420ACA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ECC9F4" w14:textId="1188AB96" w:rsidR="00462D23" w:rsidRPr="003D1F41" w:rsidRDefault="00462D23" w:rsidP="004642CB">
            <w:pPr>
              <w:rPr>
                <w:i/>
                <w:iCs/>
                <w:color w:val="000000"/>
              </w:rPr>
            </w:pPr>
            <w:r w:rsidRPr="003D1F41">
              <w:rPr>
                <w:i/>
                <w:iCs/>
                <w:color w:val="000000"/>
              </w:rPr>
              <w:t>WALIEE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0C75EC" w14:textId="1C3998A7" w:rsidR="00462D23" w:rsidRPr="003D1F41" w:rsidRDefault="00462D23" w:rsidP="00442071">
            <w:pPr>
              <w:tabs>
                <w:tab w:val="decimal" w:pos="968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>5,145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14C83B" w14:textId="2018B139" w:rsidR="00462D23" w:rsidRPr="003D1F41" w:rsidRDefault="00462D23" w:rsidP="00442071">
            <w:pPr>
              <w:tabs>
                <w:tab w:val="decimal" w:pos="822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>7,320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3E28D9" w14:textId="15D7E348" w:rsidR="00462D23" w:rsidRPr="003D1F41" w:rsidRDefault="00462D23" w:rsidP="00442071">
            <w:pPr>
              <w:tabs>
                <w:tab w:val="decimal" w:pos="302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>42.</w:t>
            </w:r>
            <w:r w:rsidR="00595BAC">
              <w:rPr>
                <w:color w:val="000000"/>
              </w:rPr>
              <w:t>3</w:t>
            </w:r>
            <w:r w:rsidRPr="003D1F41">
              <w:rPr>
                <w:color w:val="000000"/>
              </w:rPr>
              <w:t>%</w:t>
            </w:r>
          </w:p>
        </w:tc>
      </w:tr>
      <w:tr w:rsidR="00462D23" w:rsidRPr="003D1F41" w14:paraId="6EA74E0F" w14:textId="77777777" w:rsidTr="00420ACA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27D688B" w14:textId="77777777" w:rsidR="00462D23" w:rsidRPr="003D1F41" w:rsidRDefault="00462D23" w:rsidP="003D1F41">
            <w:pPr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NW Natural program subtotal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0205EF6" w14:textId="2CDBEE29" w:rsidR="00462D23" w:rsidRPr="003D1F41" w:rsidRDefault="008B4FBE" w:rsidP="00442071">
            <w:pPr>
              <w:tabs>
                <w:tab w:val="decimal" w:pos="96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228,852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4E7BB45" w14:textId="0F431E78" w:rsidR="00462D23" w:rsidRPr="003D1F41" w:rsidRDefault="00462D23" w:rsidP="00442071">
            <w:pPr>
              <w:tabs>
                <w:tab w:val="decimal" w:pos="822"/>
              </w:tabs>
              <w:jc w:val="center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247,478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A9C0638" w14:textId="0455D381" w:rsidR="00462D23" w:rsidRPr="003D1F41" w:rsidRDefault="008B4FBE" w:rsidP="00442071">
            <w:pPr>
              <w:tabs>
                <w:tab w:val="decimal" w:pos="30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8.1</w:t>
            </w:r>
            <w:r w:rsidR="00462D23" w:rsidRPr="003D1F41">
              <w:rPr>
                <w:b/>
                <w:bCs/>
                <w:color w:val="000000"/>
              </w:rPr>
              <w:t>%</w:t>
            </w:r>
          </w:p>
        </w:tc>
      </w:tr>
      <w:tr w:rsidR="00462D23" w:rsidRPr="003D1F41" w14:paraId="463A4CEF" w14:textId="77777777" w:rsidTr="00420ACA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6A8CBD" w14:textId="77777777" w:rsidR="00462D23" w:rsidRPr="003D1F41" w:rsidRDefault="00462D23" w:rsidP="003D1F41">
            <w:pPr>
              <w:rPr>
                <w:i/>
                <w:iCs/>
                <w:color w:val="000000"/>
              </w:rPr>
            </w:pPr>
            <w:r w:rsidRPr="003D1F41">
              <w:rPr>
                <w:i/>
                <w:iCs/>
                <w:color w:val="000000"/>
              </w:rPr>
              <w:t xml:space="preserve">    NEEA Pilot Program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A5E8BB" w14:textId="77777777" w:rsidR="00462D23" w:rsidRPr="003D1F41" w:rsidRDefault="00462D23" w:rsidP="00442071">
            <w:pPr>
              <w:tabs>
                <w:tab w:val="decimal" w:pos="968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 xml:space="preserve"> n/a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DE1F01" w14:textId="77777777" w:rsidR="00462D23" w:rsidRPr="003D1F41" w:rsidRDefault="00462D23" w:rsidP="00442071">
            <w:pPr>
              <w:tabs>
                <w:tab w:val="decimal" w:pos="822"/>
              </w:tabs>
              <w:jc w:val="center"/>
              <w:rPr>
                <w:color w:val="000000"/>
              </w:rPr>
            </w:pPr>
            <w:r w:rsidRPr="003D1F41">
              <w:rPr>
                <w:color w:val="000000"/>
              </w:rPr>
              <w:t xml:space="preserve"> n/a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EAEAB0" w14:textId="7CB7476E" w:rsidR="00462D23" w:rsidRPr="003D1F41" w:rsidRDefault="00462D23" w:rsidP="00442071">
            <w:pPr>
              <w:tabs>
                <w:tab w:val="decimal" w:pos="30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D1F41">
              <w:rPr>
                <w:color w:val="000000"/>
              </w:rPr>
              <w:t>n/a</w:t>
            </w:r>
          </w:p>
        </w:tc>
      </w:tr>
      <w:tr w:rsidR="00462D23" w:rsidRPr="003D1F41" w14:paraId="7CAF2D1E" w14:textId="77777777" w:rsidTr="00420ACA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5A65559" w14:textId="77777777" w:rsidR="00462D23" w:rsidRPr="003D1F41" w:rsidRDefault="00462D23" w:rsidP="003D1F41">
            <w:pPr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All programs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9252016" w14:textId="64D95056" w:rsidR="00462D23" w:rsidRPr="003D1F41" w:rsidRDefault="008B4FBE" w:rsidP="00442071">
            <w:pPr>
              <w:tabs>
                <w:tab w:val="decimal" w:pos="96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228,852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04C9CEC" w14:textId="53D597CF" w:rsidR="00462D23" w:rsidRPr="003D1F41" w:rsidRDefault="00462D23" w:rsidP="00442071">
            <w:pPr>
              <w:tabs>
                <w:tab w:val="decimal" w:pos="822"/>
              </w:tabs>
              <w:jc w:val="center"/>
              <w:rPr>
                <w:b/>
                <w:bCs/>
                <w:color w:val="000000"/>
              </w:rPr>
            </w:pPr>
            <w:r w:rsidRPr="003D1F41">
              <w:rPr>
                <w:b/>
                <w:bCs/>
                <w:color w:val="000000"/>
              </w:rPr>
              <w:t>247,478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407720E" w14:textId="12BC7D2B" w:rsidR="00462D23" w:rsidRPr="003D1F41" w:rsidRDefault="008B4FBE" w:rsidP="00442071">
            <w:pPr>
              <w:tabs>
                <w:tab w:val="decimal" w:pos="302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8.1</w:t>
            </w:r>
            <w:r w:rsidR="00462D23" w:rsidRPr="003D1F41">
              <w:rPr>
                <w:b/>
                <w:bCs/>
                <w:color w:val="000000"/>
              </w:rPr>
              <w:t>%</w:t>
            </w:r>
          </w:p>
        </w:tc>
      </w:tr>
    </w:tbl>
    <w:p w14:paraId="0608F9FB" w14:textId="77777777" w:rsidR="00E2146D" w:rsidRPr="006D68E2" w:rsidRDefault="00E2146D" w:rsidP="00FD31AC">
      <w:pPr>
        <w:rPr>
          <w:rFonts w:eastAsia="Calibri"/>
        </w:rPr>
      </w:pPr>
    </w:p>
    <w:p w14:paraId="00C8FE4D" w14:textId="39D076B6" w:rsidR="00FD31AC" w:rsidRDefault="00FD31AC" w:rsidP="00FD31AC">
      <w:pPr>
        <w:pStyle w:val="Heading2"/>
        <w:rPr>
          <w:rFonts w:eastAsia="Calibri"/>
        </w:rPr>
      </w:pPr>
      <w:r>
        <w:rPr>
          <w:rFonts w:eastAsia="Calibri"/>
        </w:rPr>
        <w:lastRenderedPageBreak/>
        <w:t>Program changes for 2017</w:t>
      </w:r>
    </w:p>
    <w:p w14:paraId="53324542" w14:textId="0DA25017" w:rsidR="000B60E8" w:rsidRDefault="00FA1392" w:rsidP="00FD31AC">
      <w:pPr>
        <w:rPr>
          <w:rFonts w:eastAsia="Calibri"/>
        </w:rPr>
      </w:pPr>
      <w:r>
        <w:rPr>
          <w:rFonts w:eastAsia="Calibri"/>
          <w:u w:val="single"/>
        </w:rPr>
        <w:t>New Homes</w:t>
      </w:r>
      <w:r>
        <w:rPr>
          <w:rFonts w:eastAsia="Calibri"/>
        </w:rPr>
        <w:t>:</w:t>
      </w:r>
      <w:r w:rsidR="00F77F28">
        <w:rPr>
          <w:rFonts w:eastAsia="Calibri"/>
        </w:rPr>
        <w:t xml:space="preserve"> NW Natural’s service area </w:t>
      </w:r>
      <w:r w:rsidR="00A23BD5">
        <w:rPr>
          <w:rFonts w:eastAsia="Calibri"/>
        </w:rPr>
        <w:t xml:space="preserve">in Washington </w:t>
      </w:r>
      <w:r w:rsidR="00F77F28">
        <w:rPr>
          <w:rFonts w:eastAsia="Calibri"/>
        </w:rPr>
        <w:t xml:space="preserve">is enjoying a housing construction boom, which means that this program has been growing quickly. However, </w:t>
      </w:r>
      <w:r w:rsidR="003261DB">
        <w:rPr>
          <w:rFonts w:eastAsia="Calibri"/>
        </w:rPr>
        <w:t xml:space="preserve">while </w:t>
      </w:r>
      <w:r w:rsidR="00F77F28">
        <w:rPr>
          <w:rFonts w:eastAsia="Calibri"/>
        </w:rPr>
        <w:t>there are more new homes to achieve savings, the savings opportunities that can be achieved per home will result in lower and more expensive total savings</w:t>
      </w:r>
      <w:r w:rsidR="00A23BD5">
        <w:rPr>
          <w:rFonts w:eastAsia="Calibri"/>
        </w:rPr>
        <w:t xml:space="preserve"> due to increasing code requirements</w:t>
      </w:r>
      <w:r w:rsidR="00F77F28">
        <w:rPr>
          <w:rFonts w:eastAsia="Calibri"/>
        </w:rPr>
        <w:t>. The result is a 45 percent increase in budget, but a relatively flat savings projection.</w:t>
      </w:r>
      <w:r w:rsidR="00A23BD5">
        <w:rPr>
          <w:rFonts w:eastAsia="Calibri"/>
        </w:rPr>
        <w:t xml:space="preserve"> </w:t>
      </w:r>
      <w:r w:rsidR="008B4FBE">
        <w:rPr>
          <w:rFonts w:eastAsia="Calibri"/>
        </w:rPr>
        <w:t>Programmatically</w:t>
      </w:r>
      <w:r w:rsidR="00A23BD5">
        <w:rPr>
          <w:rFonts w:eastAsia="Calibri"/>
        </w:rPr>
        <w:t xml:space="preserve">, </w:t>
      </w:r>
      <w:r w:rsidR="000B60E8">
        <w:rPr>
          <w:rFonts w:eastAsia="Calibri"/>
        </w:rPr>
        <w:t xml:space="preserve">ETO has </w:t>
      </w:r>
      <w:r w:rsidR="003261DB">
        <w:rPr>
          <w:rFonts w:eastAsia="Calibri"/>
        </w:rPr>
        <w:t>updated</w:t>
      </w:r>
      <w:r w:rsidR="000B60E8">
        <w:rPr>
          <w:rFonts w:eastAsia="Calibri"/>
        </w:rPr>
        <w:t xml:space="preserve"> its energy savings calculation methodology for new homes, using an energy performance score (EPS) system that </w:t>
      </w:r>
      <w:r w:rsidR="003261DB">
        <w:rPr>
          <w:rFonts w:eastAsia="Calibri"/>
        </w:rPr>
        <w:t xml:space="preserve">offers </w:t>
      </w:r>
      <w:r w:rsidR="00A23BD5">
        <w:rPr>
          <w:rFonts w:eastAsia="Calibri"/>
        </w:rPr>
        <w:t>incentives based on tiered efficiency</w:t>
      </w:r>
      <w:r w:rsidR="003261DB">
        <w:rPr>
          <w:rFonts w:eastAsia="Calibri"/>
        </w:rPr>
        <w:t xml:space="preserve"> </w:t>
      </w:r>
      <w:r w:rsidR="00A23BD5">
        <w:rPr>
          <w:rFonts w:eastAsia="Calibri"/>
        </w:rPr>
        <w:t>“</w:t>
      </w:r>
      <w:r w:rsidR="003261DB">
        <w:rPr>
          <w:rFonts w:eastAsia="Calibri"/>
        </w:rPr>
        <w:t>paths</w:t>
      </w:r>
      <w:r w:rsidR="00A23BD5">
        <w:rPr>
          <w:rFonts w:eastAsia="Calibri"/>
        </w:rPr>
        <w:t xml:space="preserve">.” </w:t>
      </w:r>
      <w:r w:rsidR="00472172">
        <w:rPr>
          <w:rFonts w:eastAsia="Calibri"/>
        </w:rPr>
        <w:t xml:space="preserve">More efficient paths are paired </w:t>
      </w:r>
      <w:r w:rsidR="003261DB">
        <w:rPr>
          <w:rFonts w:eastAsia="Calibri"/>
        </w:rPr>
        <w:t xml:space="preserve">with increasing incentives </w:t>
      </w:r>
      <w:r w:rsidR="00472172">
        <w:rPr>
          <w:rFonts w:eastAsia="Calibri"/>
        </w:rPr>
        <w:t xml:space="preserve">for </w:t>
      </w:r>
      <w:r w:rsidR="003261DB">
        <w:rPr>
          <w:rFonts w:eastAsia="Calibri"/>
        </w:rPr>
        <w:t>builders.</w:t>
      </w:r>
    </w:p>
    <w:p w14:paraId="5AE25C6D" w14:textId="77777777" w:rsidR="00FA1392" w:rsidRDefault="00FA1392" w:rsidP="00FD31AC">
      <w:pPr>
        <w:rPr>
          <w:rFonts w:eastAsia="Calibri"/>
        </w:rPr>
      </w:pPr>
    </w:p>
    <w:p w14:paraId="3900A687" w14:textId="65DC4767" w:rsidR="00FA1392" w:rsidRDefault="00FA1392" w:rsidP="00FD31AC">
      <w:pPr>
        <w:rPr>
          <w:rFonts w:eastAsia="Calibri"/>
        </w:rPr>
      </w:pPr>
      <w:r>
        <w:rPr>
          <w:rFonts w:eastAsia="Calibri"/>
          <w:u w:val="single"/>
        </w:rPr>
        <w:t>Commercial</w:t>
      </w:r>
      <w:r>
        <w:rPr>
          <w:rFonts w:eastAsia="Calibri"/>
        </w:rPr>
        <w:t>:</w:t>
      </w:r>
      <w:r w:rsidR="00F77F28">
        <w:rPr>
          <w:rFonts w:eastAsia="Calibri"/>
        </w:rPr>
        <w:t xml:space="preserve"> Savings in this </w:t>
      </w:r>
      <w:r w:rsidR="00D96213">
        <w:rPr>
          <w:rFonts w:eastAsia="Calibri"/>
        </w:rPr>
        <w:t xml:space="preserve">program </w:t>
      </w:r>
      <w:r w:rsidR="00F77F28">
        <w:rPr>
          <w:rFonts w:eastAsia="Calibri"/>
        </w:rPr>
        <w:t xml:space="preserve">have stalled since 2015. </w:t>
      </w:r>
      <w:r w:rsidR="002F17C1">
        <w:rPr>
          <w:rFonts w:eastAsia="Calibri"/>
        </w:rPr>
        <w:t>ETO’s 2015 annual report stated that many commercial projects were delayed in 2015</w:t>
      </w:r>
      <w:r w:rsidR="00FA78FE">
        <w:rPr>
          <w:rFonts w:eastAsia="Calibri"/>
        </w:rPr>
        <w:t>, presumably to be completed in 2016</w:t>
      </w:r>
      <w:r w:rsidR="002F17C1">
        <w:rPr>
          <w:rFonts w:eastAsia="Calibri"/>
        </w:rPr>
        <w:t xml:space="preserve">, so it’s surprising that </w:t>
      </w:r>
      <w:r w:rsidR="00595BAC">
        <w:rPr>
          <w:rFonts w:eastAsia="Calibri"/>
        </w:rPr>
        <w:t>the</w:t>
      </w:r>
      <w:r w:rsidR="002F17C1">
        <w:rPr>
          <w:rFonts w:eastAsia="Calibri"/>
        </w:rPr>
        <w:t xml:space="preserve"> commercial program figures</w:t>
      </w:r>
      <w:r w:rsidR="00595BAC">
        <w:rPr>
          <w:rFonts w:eastAsia="Calibri"/>
        </w:rPr>
        <w:t xml:space="preserve"> for 2016</w:t>
      </w:r>
      <w:r w:rsidR="002F17C1">
        <w:rPr>
          <w:rFonts w:eastAsia="Calibri"/>
        </w:rPr>
        <w:t xml:space="preserve"> are thus far still underwhelming.</w:t>
      </w:r>
      <w:r w:rsidR="002F17C1">
        <w:rPr>
          <w:rStyle w:val="FootnoteReference"/>
          <w:rFonts w:eastAsia="Calibri"/>
        </w:rPr>
        <w:footnoteReference w:id="3"/>
      </w:r>
      <w:r w:rsidR="002F17C1">
        <w:rPr>
          <w:rFonts w:eastAsia="Calibri"/>
        </w:rPr>
        <w:t xml:space="preserve"> </w:t>
      </w:r>
      <w:r w:rsidR="00F77F28">
        <w:rPr>
          <w:rFonts w:eastAsia="Calibri"/>
        </w:rPr>
        <w:t xml:space="preserve">NW Natural and ETO both recognize that this </w:t>
      </w:r>
      <w:r w:rsidR="00717811">
        <w:rPr>
          <w:rFonts w:eastAsia="Calibri"/>
        </w:rPr>
        <w:t>is an area of underperformance</w:t>
      </w:r>
      <w:r w:rsidR="00D96213">
        <w:rPr>
          <w:rFonts w:eastAsia="Calibri"/>
        </w:rPr>
        <w:t xml:space="preserve">. </w:t>
      </w:r>
      <w:r w:rsidR="009447EC">
        <w:rPr>
          <w:rFonts w:eastAsia="Calibri"/>
        </w:rPr>
        <w:t>NW Natural has hired a new employee with a background in commercial energy efficiency</w:t>
      </w:r>
      <w:r w:rsidR="00595BAC">
        <w:rPr>
          <w:rFonts w:eastAsia="Calibri"/>
        </w:rPr>
        <w:t xml:space="preserve">, and </w:t>
      </w:r>
      <w:r w:rsidR="00D96213">
        <w:rPr>
          <w:rFonts w:eastAsia="Calibri"/>
        </w:rPr>
        <w:t>ETO is planning a suite of marketing, outreach, and other efforts to improve p</w:t>
      </w:r>
      <w:r w:rsidR="0089798A">
        <w:rPr>
          <w:rFonts w:eastAsia="Calibri"/>
        </w:rPr>
        <w:t>articipation and savings</w:t>
      </w:r>
      <w:r w:rsidR="00D96213">
        <w:rPr>
          <w:rFonts w:eastAsia="Calibri"/>
        </w:rPr>
        <w:t xml:space="preserve"> in 2017.</w:t>
      </w:r>
      <w:r w:rsidR="009447EC">
        <w:rPr>
          <w:rFonts w:eastAsia="Calibri"/>
        </w:rPr>
        <w:t xml:space="preserve"> </w:t>
      </w:r>
    </w:p>
    <w:p w14:paraId="74611024" w14:textId="77777777" w:rsidR="00FA1392" w:rsidRDefault="00FA1392" w:rsidP="00FD31AC">
      <w:pPr>
        <w:rPr>
          <w:rFonts w:eastAsia="Calibri"/>
        </w:rPr>
      </w:pPr>
    </w:p>
    <w:p w14:paraId="120C052C" w14:textId="68EAB5C1" w:rsidR="00D96213" w:rsidRPr="006D68E2" w:rsidRDefault="00FA1392" w:rsidP="00D96213">
      <w:pPr>
        <w:rPr>
          <w:rFonts w:eastAsia="Calibri"/>
        </w:rPr>
      </w:pPr>
      <w:r>
        <w:rPr>
          <w:rFonts w:eastAsia="Calibri"/>
          <w:u w:val="single"/>
        </w:rPr>
        <w:t>WALIEE</w:t>
      </w:r>
      <w:r>
        <w:rPr>
          <w:rFonts w:eastAsia="Calibri"/>
        </w:rPr>
        <w:t>:</w:t>
      </w:r>
      <w:r w:rsidR="00D96213">
        <w:rPr>
          <w:rFonts w:eastAsia="Calibri"/>
        </w:rPr>
        <w:t xml:space="preserve"> NW Natural </w:t>
      </w:r>
      <w:r w:rsidR="00D96213" w:rsidRPr="006D68E2">
        <w:rPr>
          <w:rFonts w:eastAsia="Calibri"/>
        </w:rPr>
        <w:t>is increasing</w:t>
      </w:r>
      <w:r w:rsidR="00D96213">
        <w:rPr>
          <w:rFonts w:eastAsia="Calibri"/>
        </w:rPr>
        <w:t xml:space="preserve"> both the budget and the expected energy</w:t>
      </w:r>
      <w:r w:rsidR="00D96213" w:rsidRPr="006D68E2">
        <w:rPr>
          <w:rFonts w:eastAsia="Calibri"/>
        </w:rPr>
        <w:t xml:space="preserve"> savings for </w:t>
      </w:r>
      <w:r w:rsidR="00D96213">
        <w:rPr>
          <w:rFonts w:eastAsia="Calibri"/>
        </w:rPr>
        <w:t xml:space="preserve">this </w:t>
      </w:r>
      <w:r w:rsidR="00D96213" w:rsidRPr="006D68E2">
        <w:rPr>
          <w:rFonts w:eastAsia="Calibri"/>
        </w:rPr>
        <w:t>program. The company</w:t>
      </w:r>
      <w:r w:rsidR="00D96213" w:rsidRPr="006D68E2">
        <w:rPr>
          <w:rStyle w:val="CommentReference"/>
          <w:sz w:val="24"/>
          <w:szCs w:val="24"/>
        </w:rPr>
        <w:t xml:space="preserve"> </w:t>
      </w:r>
      <w:r w:rsidR="00D96213" w:rsidRPr="006D68E2">
        <w:rPr>
          <w:rFonts w:eastAsia="Calibri"/>
        </w:rPr>
        <w:t xml:space="preserve">is planning to serve at least 20 homes, </w:t>
      </w:r>
      <w:r w:rsidR="00493D1F">
        <w:rPr>
          <w:rFonts w:eastAsia="Calibri"/>
        </w:rPr>
        <w:t>up from a goal of 15 homes in 2016</w:t>
      </w:r>
      <w:r w:rsidR="00D96213">
        <w:rPr>
          <w:rFonts w:eastAsia="Calibri"/>
        </w:rPr>
        <w:t xml:space="preserve">. </w:t>
      </w:r>
      <w:r w:rsidR="006F7FE1">
        <w:t xml:space="preserve">CCCAA has signaled that average per-home costs for health and safety improvements have exceeded the current $440 </w:t>
      </w:r>
      <w:r w:rsidR="00493D1F">
        <w:t>cap</w:t>
      </w:r>
      <w:r w:rsidR="006F7FE1">
        <w:t xml:space="preserve">, so there will likely be </w:t>
      </w:r>
      <w:r w:rsidR="00595BAC">
        <w:t>a request</w:t>
      </w:r>
      <w:r w:rsidR="006F7FE1">
        <w:t xml:space="preserve"> to increase that cap in the future.</w:t>
      </w:r>
    </w:p>
    <w:p w14:paraId="54968D20" w14:textId="77777777" w:rsidR="00FA1392" w:rsidRDefault="00FA1392" w:rsidP="00FD31AC">
      <w:pPr>
        <w:rPr>
          <w:rFonts w:eastAsia="Calibri"/>
        </w:rPr>
      </w:pPr>
    </w:p>
    <w:p w14:paraId="2EB0E92E" w14:textId="7FFE627C" w:rsidR="00FA1392" w:rsidRDefault="00FA1392" w:rsidP="00FD31AC">
      <w:pPr>
        <w:rPr>
          <w:rFonts w:eastAsia="Calibri"/>
        </w:rPr>
      </w:pPr>
      <w:r>
        <w:rPr>
          <w:rFonts w:eastAsia="Calibri"/>
          <w:u w:val="single"/>
        </w:rPr>
        <w:lastRenderedPageBreak/>
        <w:t>NEEA</w:t>
      </w:r>
      <w:r>
        <w:rPr>
          <w:rFonts w:eastAsia="Calibri"/>
        </w:rPr>
        <w:t>:</w:t>
      </w:r>
      <w:r w:rsidR="00D96213">
        <w:rPr>
          <w:rFonts w:eastAsia="Calibri"/>
        </w:rPr>
        <w:t xml:space="preserve"> </w:t>
      </w:r>
      <w:r w:rsidR="000B60E8">
        <w:rPr>
          <w:rFonts w:eastAsia="Calibri"/>
        </w:rPr>
        <w:t xml:space="preserve">NW Natural will continue its participation in </w:t>
      </w:r>
      <w:r w:rsidR="004642CB">
        <w:rPr>
          <w:rFonts w:eastAsia="Calibri"/>
        </w:rPr>
        <w:t>the Northwest Energy Efficiency Alliance’s (NEEA)</w:t>
      </w:r>
      <w:r w:rsidR="000B60E8">
        <w:rPr>
          <w:rFonts w:eastAsia="Calibri"/>
        </w:rPr>
        <w:t xml:space="preserve"> gas market transformation efforts.</w:t>
      </w:r>
      <w:r w:rsidR="008B4FBE">
        <w:rPr>
          <w:rFonts w:eastAsia="Calibri"/>
        </w:rPr>
        <w:t xml:space="preserve"> As this work is int its third year of a long-term market transformation effort,</w:t>
      </w:r>
      <w:r w:rsidR="000B60E8">
        <w:rPr>
          <w:rFonts w:eastAsia="Calibri"/>
        </w:rPr>
        <w:t xml:space="preserve"> NEEA does not forecast any energy savings for 2017, and as a result </w:t>
      </w:r>
      <w:r w:rsidR="004642CB">
        <w:rPr>
          <w:rFonts w:eastAsia="Calibri"/>
        </w:rPr>
        <w:t>NW Natural</w:t>
      </w:r>
      <w:r w:rsidR="000B60E8">
        <w:rPr>
          <w:rFonts w:eastAsia="Calibri"/>
        </w:rPr>
        <w:t xml:space="preserve"> is not including </w:t>
      </w:r>
      <w:r w:rsidR="004642CB">
        <w:rPr>
          <w:rFonts w:eastAsia="Calibri"/>
        </w:rPr>
        <w:t>this expense</w:t>
      </w:r>
      <w:r w:rsidR="000B60E8">
        <w:rPr>
          <w:rFonts w:eastAsia="Calibri"/>
        </w:rPr>
        <w:t xml:space="preserve"> in its cost effectiveness analys</w:t>
      </w:r>
      <w:r w:rsidR="00A23BD5">
        <w:rPr>
          <w:rFonts w:eastAsia="Calibri"/>
        </w:rPr>
        <w:t>e</w:t>
      </w:r>
      <w:r w:rsidR="000B60E8">
        <w:rPr>
          <w:rFonts w:eastAsia="Calibri"/>
        </w:rPr>
        <w:t>s.</w:t>
      </w:r>
    </w:p>
    <w:p w14:paraId="67CF93DD" w14:textId="77777777" w:rsidR="000B60E8" w:rsidRDefault="000B60E8" w:rsidP="00FD31AC">
      <w:pPr>
        <w:rPr>
          <w:rFonts w:eastAsia="Calibri"/>
        </w:rPr>
      </w:pPr>
    </w:p>
    <w:p w14:paraId="21686E90" w14:textId="2D1872E4" w:rsidR="000B60E8" w:rsidRDefault="000B60E8" w:rsidP="00FD31AC">
      <w:pPr>
        <w:rPr>
          <w:rFonts w:eastAsia="Calibri"/>
        </w:rPr>
      </w:pPr>
      <w:r>
        <w:rPr>
          <w:rFonts w:eastAsia="Calibri"/>
          <w:u w:val="single"/>
        </w:rPr>
        <w:t>Pilots</w:t>
      </w:r>
      <w:r>
        <w:rPr>
          <w:rFonts w:eastAsia="Calibri"/>
        </w:rPr>
        <w:t>: NW Natural will continue its automat</w:t>
      </w:r>
      <w:r w:rsidR="004642CB">
        <w:rPr>
          <w:rFonts w:eastAsia="Calibri"/>
        </w:rPr>
        <w:t>ed thermostat optimization pilo</w:t>
      </w:r>
      <w:r w:rsidR="003261DB">
        <w:rPr>
          <w:rFonts w:eastAsia="Calibri"/>
        </w:rPr>
        <w:t xml:space="preserve">t, which started in June 2016. They plan to file </w:t>
      </w:r>
      <w:r w:rsidR="00016BED">
        <w:rPr>
          <w:rFonts w:eastAsia="Calibri"/>
        </w:rPr>
        <w:t xml:space="preserve">new measures </w:t>
      </w:r>
      <w:r w:rsidR="002F17C1">
        <w:rPr>
          <w:rFonts w:eastAsia="Calibri"/>
        </w:rPr>
        <w:t>later this year</w:t>
      </w:r>
      <w:r w:rsidR="003261DB">
        <w:rPr>
          <w:rFonts w:eastAsia="Calibri"/>
        </w:rPr>
        <w:t>.</w:t>
      </w:r>
    </w:p>
    <w:p w14:paraId="37514033" w14:textId="77777777" w:rsidR="00FA1392" w:rsidRDefault="00FA1392" w:rsidP="00FD31AC">
      <w:pPr>
        <w:rPr>
          <w:rFonts w:eastAsia="Calibri"/>
        </w:rPr>
      </w:pPr>
    </w:p>
    <w:p w14:paraId="5C8A9087" w14:textId="7B89B0F4" w:rsidR="0031628A" w:rsidRDefault="00493D1F" w:rsidP="0031628A">
      <w:pPr>
        <w:pStyle w:val="Heading2"/>
        <w:rPr>
          <w:rFonts w:eastAsia="Calibri"/>
        </w:rPr>
      </w:pPr>
      <w:r>
        <w:rPr>
          <w:rFonts w:eastAsia="Calibri"/>
        </w:rPr>
        <w:t>Tariff revisions</w:t>
      </w:r>
      <w:r w:rsidR="0031628A">
        <w:rPr>
          <w:rFonts w:eastAsia="Calibri"/>
        </w:rPr>
        <w:t xml:space="preserve"> for 2017</w:t>
      </w:r>
    </w:p>
    <w:p w14:paraId="6ABCBEC2" w14:textId="0E10B1A5" w:rsidR="00DD312F" w:rsidRDefault="0031628A" w:rsidP="0031628A">
      <w:pPr>
        <w:rPr>
          <w:rFonts w:eastAsia="Calibri"/>
        </w:rPr>
      </w:pPr>
      <w:r>
        <w:rPr>
          <w:rFonts w:eastAsia="Calibri"/>
          <w:u w:val="single"/>
        </w:rPr>
        <w:t>Schedule G, Sheet G.1</w:t>
      </w:r>
      <w:r>
        <w:rPr>
          <w:rFonts w:eastAsia="Calibri"/>
        </w:rPr>
        <w:t xml:space="preserve">: </w:t>
      </w:r>
      <w:r w:rsidR="00595BAC">
        <w:rPr>
          <w:rFonts w:eastAsia="Calibri"/>
        </w:rPr>
        <w:t>U</w:t>
      </w:r>
      <w:r w:rsidR="00DD312F">
        <w:rPr>
          <w:rFonts w:eastAsia="Calibri"/>
        </w:rPr>
        <w:t>pdat</w:t>
      </w:r>
      <w:r w:rsidR="00595BAC">
        <w:rPr>
          <w:rFonts w:eastAsia="Calibri"/>
        </w:rPr>
        <w:t>es</w:t>
      </w:r>
      <w:r w:rsidR="00DD312F">
        <w:rPr>
          <w:rFonts w:eastAsia="Calibri"/>
        </w:rPr>
        <w:t xml:space="preserve"> the </w:t>
      </w:r>
      <w:r w:rsidR="00493D1F">
        <w:rPr>
          <w:rFonts w:eastAsia="Calibri"/>
        </w:rPr>
        <w:t xml:space="preserve">program </w:t>
      </w:r>
      <w:r w:rsidR="00DD312F">
        <w:rPr>
          <w:rFonts w:eastAsia="Calibri"/>
        </w:rPr>
        <w:t>year from 2016 to 2017.</w:t>
      </w:r>
    </w:p>
    <w:p w14:paraId="201FA20F" w14:textId="77777777" w:rsidR="00DD312F" w:rsidRDefault="00DD312F" w:rsidP="0031628A">
      <w:pPr>
        <w:rPr>
          <w:rFonts w:eastAsia="Calibri"/>
        </w:rPr>
      </w:pPr>
    </w:p>
    <w:p w14:paraId="48289707" w14:textId="317BC9A1" w:rsidR="0031628A" w:rsidRDefault="00DD312F" w:rsidP="0031628A">
      <w:pPr>
        <w:rPr>
          <w:rFonts w:eastAsia="Calibri"/>
        </w:rPr>
      </w:pPr>
      <w:r>
        <w:rPr>
          <w:rFonts w:eastAsia="Calibri"/>
          <w:u w:val="single"/>
        </w:rPr>
        <w:t>Schedule I, Sheet I.1</w:t>
      </w:r>
      <w:r>
        <w:rPr>
          <w:rFonts w:eastAsia="Calibri"/>
        </w:rPr>
        <w:t xml:space="preserve">: </w:t>
      </w:r>
      <w:r w:rsidR="00595BAC">
        <w:rPr>
          <w:rFonts w:eastAsia="Calibri"/>
        </w:rPr>
        <w:t>R</w:t>
      </w:r>
      <w:r>
        <w:rPr>
          <w:rFonts w:eastAsia="Calibri"/>
        </w:rPr>
        <w:t>emoves a one-time cost reimbursement arrangement for increased administrative expenses and outreach efforts in 2016.</w:t>
      </w:r>
    </w:p>
    <w:p w14:paraId="469D2A2C" w14:textId="77777777" w:rsidR="0031628A" w:rsidRDefault="0031628A" w:rsidP="0031628A">
      <w:pPr>
        <w:rPr>
          <w:rFonts w:eastAsia="Calibri"/>
        </w:rPr>
      </w:pPr>
    </w:p>
    <w:p w14:paraId="40D6E20D" w14:textId="5836BA7D" w:rsidR="00FD31AC" w:rsidRDefault="001972FB" w:rsidP="0031628A">
      <w:pPr>
        <w:pStyle w:val="Heading2"/>
      </w:pPr>
      <w:r w:rsidRPr="006D68E2">
        <w:t>Progress in 201</w:t>
      </w:r>
      <w:r w:rsidR="00FD31AC">
        <w:t>6</w:t>
      </w:r>
    </w:p>
    <w:p w14:paraId="10F2A04E" w14:textId="015EA6F3" w:rsidR="00FD31AC" w:rsidRDefault="002F17C1" w:rsidP="00E10A0F">
      <w:pPr>
        <w:rPr>
          <w:rFonts w:eastAsia="Calibri"/>
        </w:rPr>
      </w:pPr>
      <w:r>
        <w:t>Per its third quarter 2016 report, NW Natural</w:t>
      </w:r>
      <w:r w:rsidR="008B4FBE">
        <w:t>’s ETO programs</w:t>
      </w:r>
      <w:r w:rsidR="00354B83" w:rsidRPr="006D68E2">
        <w:t xml:space="preserve"> saved </w:t>
      </w:r>
      <w:r w:rsidR="00F74A0B">
        <w:t>155,370</w:t>
      </w:r>
      <w:r w:rsidR="00354B83" w:rsidRPr="006D68E2">
        <w:t xml:space="preserve"> therms </w:t>
      </w:r>
      <w:r w:rsidR="00B25936">
        <w:t xml:space="preserve">from January through September, </w:t>
      </w:r>
      <w:r w:rsidR="00354B83" w:rsidRPr="006D68E2">
        <w:t>at a cost of $</w:t>
      </w:r>
      <w:r w:rsidR="00B25936">
        <w:t>1,059,189</w:t>
      </w:r>
      <w:r w:rsidR="00354B83" w:rsidRPr="006D68E2">
        <w:t>.</w:t>
      </w:r>
      <w:r w:rsidR="008B4FBE">
        <w:rPr>
          <w:rStyle w:val="FootnoteReference"/>
        </w:rPr>
        <w:footnoteReference w:id="4"/>
      </w:r>
      <w:r w:rsidR="008B4FBE">
        <w:t xml:space="preserve"> The energy savings are </w:t>
      </w:r>
      <w:r w:rsidR="00354B83" w:rsidRPr="006D68E2">
        <w:t xml:space="preserve">roughly </w:t>
      </w:r>
      <w:r w:rsidR="00B25936">
        <w:t>59</w:t>
      </w:r>
      <w:r w:rsidR="00354B83" w:rsidRPr="006D68E2">
        <w:t xml:space="preserve"> percent </w:t>
      </w:r>
      <w:r w:rsidR="008B4FBE">
        <w:t>of the high end of its target savings range for the 2016 program year</w:t>
      </w:r>
      <w:r w:rsidR="00354B83" w:rsidRPr="006D68E2">
        <w:t xml:space="preserve">, </w:t>
      </w:r>
      <w:r w:rsidR="008B4FBE">
        <w:t xml:space="preserve">while the expenditures represent </w:t>
      </w:r>
      <w:r w:rsidR="00B25936">
        <w:t>62</w:t>
      </w:r>
      <w:r w:rsidR="00354B83" w:rsidRPr="006D68E2">
        <w:t xml:space="preserve"> percent of </w:t>
      </w:r>
      <w:r w:rsidR="008B4FBE">
        <w:t xml:space="preserve">NW Natural’s </w:t>
      </w:r>
      <w:r w:rsidR="004642CB" w:rsidRPr="006D68E2">
        <w:t>$</w:t>
      </w:r>
      <w:r w:rsidR="004642CB">
        <w:t>1.7</w:t>
      </w:r>
      <w:r>
        <w:t>6</w:t>
      </w:r>
      <w:r w:rsidR="004642CB" w:rsidRPr="006D68E2">
        <w:t xml:space="preserve"> million </w:t>
      </w:r>
      <w:r w:rsidR="008B4FBE">
        <w:t xml:space="preserve">conseration </w:t>
      </w:r>
      <w:r w:rsidR="00354B83" w:rsidRPr="006D68E2">
        <w:t xml:space="preserve">budget. NW Natural has </w:t>
      </w:r>
      <w:r w:rsidR="00354B83" w:rsidRPr="006D68E2">
        <w:lastRenderedPageBreak/>
        <w:t xml:space="preserve">historically achieved a large proportion of its program goals in the fourth quarter and expects to do so again </w:t>
      </w:r>
      <w:r w:rsidR="00474003">
        <w:t>in 2016</w:t>
      </w:r>
      <w:r w:rsidR="00354B83" w:rsidRPr="006D68E2">
        <w:t>.</w:t>
      </w:r>
      <w:r w:rsidR="00E10A0F" w:rsidRPr="00E10A0F">
        <w:rPr>
          <w:rStyle w:val="FootnoteReference"/>
        </w:rPr>
        <w:t xml:space="preserve"> </w:t>
      </w:r>
      <w:r w:rsidR="00E10A0F">
        <w:rPr>
          <w:rStyle w:val="FootnoteReference"/>
        </w:rPr>
        <w:footnoteReference w:id="5"/>
      </w:r>
      <w:r>
        <w:t xml:space="preserve"> </w:t>
      </w:r>
      <w:r w:rsidR="00354B83" w:rsidRPr="006D68E2">
        <w:t>Commission staff believes that the comp</w:t>
      </w:r>
      <w:r w:rsidR="00E0706F">
        <w:t>any</w:t>
      </w:r>
      <w:r w:rsidR="00AA4D32">
        <w:t xml:space="preserve"> likely</w:t>
      </w:r>
      <w:r w:rsidR="00E0706F">
        <w:t xml:space="preserve"> </w:t>
      </w:r>
      <w:r w:rsidR="00096A2A">
        <w:t>met</w:t>
      </w:r>
      <w:r w:rsidR="00E0706F">
        <w:t xml:space="preserve"> its 2016 savings goals</w:t>
      </w:r>
      <w:r w:rsidR="00096A2A">
        <w:t>, but that</w:t>
      </w:r>
      <w:r w:rsidR="00E0706F">
        <w:rPr>
          <w:rFonts w:eastAsia="Calibri"/>
        </w:rPr>
        <w:t xml:space="preserve"> continued underperformance in the commercial sector is a concern. </w:t>
      </w:r>
    </w:p>
    <w:p w14:paraId="62E70AAF" w14:textId="77777777" w:rsidR="00E10A0F" w:rsidRDefault="00E10A0F" w:rsidP="00E10A0F"/>
    <w:p w14:paraId="515245B2" w14:textId="77777777" w:rsidR="00AA4D32" w:rsidRPr="0045454E" w:rsidRDefault="00AA4D32" w:rsidP="00AA4D32">
      <w:pPr>
        <w:rPr>
          <w:b/>
        </w:rPr>
      </w:pPr>
      <w:r w:rsidRPr="0045454E">
        <w:rPr>
          <w:b/>
        </w:rPr>
        <w:t>Supplemental Budget Analysis</w:t>
      </w:r>
    </w:p>
    <w:p w14:paraId="346CE9CE" w14:textId="77777777" w:rsidR="00AA4D32" w:rsidRDefault="00AA4D32" w:rsidP="00E10A0F"/>
    <w:p w14:paraId="5C1A3A4A" w14:textId="122DD9E9" w:rsidR="00AA4D32" w:rsidRDefault="00AA4D32" w:rsidP="00AA4D32">
      <w:r>
        <w:t xml:space="preserve">During the 2017 annual conservation plan cycle, staff identified a need to analyze </w:t>
      </w:r>
      <w:r w:rsidRPr="006D4131">
        <w:t xml:space="preserve">each utility’s budget </w:t>
      </w:r>
      <w:r>
        <w:t>allocations as an additional metric of program success. Each company was asked to provide data on the programs’ 2017 direct benefit to customers</w:t>
      </w:r>
      <w:r w:rsidRPr="00AB470E">
        <w:rPr>
          <w:vertAlign w:val="superscript"/>
        </w:rPr>
        <w:footnoteReference w:id="6"/>
      </w:r>
      <w:r>
        <w:t xml:space="preserve"> (DBtC) ratio along with an explanation of why the ratio was appropriate for the 2017 conservation program. </w:t>
      </w:r>
    </w:p>
    <w:p w14:paraId="1E34CEEF" w14:textId="77777777" w:rsidR="00AA4D32" w:rsidRDefault="00AA4D32" w:rsidP="00D32857">
      <w:pPr>
        <w:rPr>
          <w:i/>
        </w:rPr>
      </w:pPr>
    </w:p>
    <w:p w14:paraId="101D7706" w14:textId="183BB602" w:rsidR="00A5122E" w:rsidRDefault="00532DDE" w:rsidP="00D32857">
      <w:r>
        <w:t xml:space="preserve">Commission </w:t>
      </w:r>
      <w:r w:rsidR="00D32857">
        <w:t xml:space="preserve">staff </w:t>
      </w:r>
      <w:r w:rsidR="00AA4D32">
        <w:t>recommends</w:t>
      </w:r>
      <w:r w:rsidR="00D32857">
        <w:t xml:space="preserve"> that all conservation programs spend 60 percent or more of their total conservation budgets to provide direct benefits to their customers. </w:t>
      </w:r>
      <w:r w:rsidR="00A5122E">
        <w:t xml:space="preserve">NW Natural filed supplemental materials clarifying its 2017 budget, and provided some historical budget figures. </w:t>
      </w:r>
      <w:r w:rsidR="00916755">
        <w:t xml:space="preserve">After </w:t>
      </w:r>
      <w:r w:rsidR="00A5122E">
        <w:t>appl</w:t>
      </w:r>
      <w:r w:rsidR="00916755">
        <w:t>ying</w:t>
      </w:r>
      <w:r w:rsidR="00A5122E">
        <w:t xml:space="preserve"> </w:t>
      </w:r>
      <w:r w:rsidR="00916755">
        <w:t xml:space="preserve">standardized estimates about NEEA and WALIEE so </w:t>
      </w:r>
      <w:r w:rsidR="00A5122E">
        <w:t>that NW Natural’s metrics could be compared with other companies</w:t>
      </w:r>
      <w:r w:rsidR="00916755">
        <w:t xml:space="preserve">, staff </w:t>
      </w:r>
      <w:r w:rsidR="00A5122E">
        <w:t xml:space="preserve">determined that the company’s metric for 2017 is 48.4 percent, meaning that it </w:t>
      </w:r>
      <w:r w:rsidR="00D32857">
        <w:t xml:space="preserve">will </w:t>
      </w:r>
      <w:r w:rsidR="00A26501">
        <w:rPr>
          <w:i/>
        </w:rPr>
        <w:t xml:space="preserve">not </w:t>
      </w:r>
      <w:r w:rsidR="00A26501">
        <w:t xml:space="preserve">meet </w:t>
      </w:r>
      <w:r w:rsidR="00AA4D32">
        <w:t>staff’s</w:t>
      </w:r>
      <w:r>
        <w:t xml:space="preserve"> </w:t>
      </w:r>
      <w:r w:rsidR="00AA4D32">
        <w:t xml:space="preserve">recommendation </w:t>
      </w:r>
      <w:r w:rsidR="002F17C1">
        <w:t xml:space="preserve">for the 2017 program </w:t>
      </w:r>
      <w:r w:rsidR="00A5122E">
        <w:t>year</w:t>
      </w:r>
      <w:r w:rsidR="00A26501">
        <w:t xml:space="preserve">. </w:t>
      </w:r>
    </w:p>
    <w:p w14:paraId="2625D30E" w14:textId="77777777" w:rsidR="00A5122E" w:rsidRDefault="00A5122E" w:rsidP="00D32857"/>
    <w:p w14:paraId="73D39B23" w14:textId="3DFDE6AE" w:rsidR="00D32857" w:rsidRDefault="00A26501" w:rsidP="00D32857">
      <w:r>
        <w:lastRenderedPageBreak/>
        <w:t xml:space="preserve">In </w:t>
      </w:r>
      <w:r w:rsidR="00916755">
        <w:t xml:space="preserve">NW Natural’s </w:t>
      </w:r>
      <w:r>
        <w:t xml:space="preserve">supplemental filing, </w:t>
      </w:r>
      <w:r w:rsidR="00916755">
        <w:t xml:space="preserve">ETO </w:t>
      </w:r>
      <w:r>
        <w:t xml:space="preserve">contends that </w:t>
      </w:r>
      <w:r w:rsidR="00AA4D32">
        <w:t>the</w:t>
      </w:r>
      <w:r w:rsidR="00532DDE">
        <w:t xml:space="preserve"> </w:t>
      </w:r>
      <w:r>
        <w:t xml:space="preserve">60 percent </w:t>
      </w:r>
      <w:r w:rsidR="00916755">
        <w:t xml:space="preserve">DBtC </w:t>
      </w:r>
      <w:r>
        <w:t>goal may not be appropriate for its particular circumstances</w:t>
      </w:r>
      <w:r w:rsidR="006B7203">
        <w:t xml:space="preserve"> for a number of reasons: </w:t>
      </w:r>
      <w:r w:rsidR="00A5122E">
        <w:t>the</w:t>
      </w:r>
      <w:r w:rsidR="00D426A6">
        <w:t xml:space="preserve"> small</w:t>
      </w:r>
      <w:r w:rsidR="00A5122E">
        <w:t xml:space="preserve"> </w:t>
      </w:r>
      <w:r>
        <w:t>size</w:t>
      </w:r>
      <w:r w:rsidR="006B7203">
        <w:t xml:space="preserve"> of its Washington service area; </w:t>
      </w:r>
      <w:r w:rsidR="00D426A6">
        <w:t xml:space="preserve">maturation of a new conservation program; </w:t>
      </w:r>
      <w:r w:rsidR="006B7203">
        <w:t>lack of economies of scale; lack of partner program to pool shared costs</w:t>
      </w:r>
      <w:r w:rsidR="00E06055">
        <w:t xml:space="preserve">; </w:t>
      </w:r>
      <w:r w:rsidR="00D426A6">
        <w:t xml:space="preserve">low gas prices, which cause many conservation measures to be less than cost-effective; </w:t>
      </w:r>
      <w:r w:rsidR="00AA4D32">
        <w:t xml:space="preserve">and </w:t>
      </w:r>
      <w:r w:rsidR="00E06055">
        <w:t>increased evaluation costs for ETO to develop Washington-specific avoided cost calculations</w:t>
      </w:r>
      <w:r w:rsidR="00916755">
        <w:t>.</w:t>
      </w:r>
    </w:p>
    <w:p w14:paraId="5E4742EA" w14:textId="77777777" w:rsidR="00E06055" w:rsidRDefault="00E06055" w:rsidP="00D32857"/>
    <w:p w14:paraId="07CD4A9C" w14:textId="7F970B8B" w:rsidR="0089798A" w:rsidRDefault="00E06055" w:rsidP="00E10A0F">
      <w:r>
        <w:t>Staff will continue working with NW Natural to better define expenses, and to find efficiencies that will improve the company’s direct benefit to customer metric.</w:t>
      </w:r>
      <w:r w:rsidR="00AA4D32" w:rsidRPr="00AA4D32">
        <w:t xml:space="preserve"> </w:t>
      </w:r>
      <w:r w:rsidR="00AA4D32">
        <w:t>Staff also sees value in coordinating with the company and advisory group to establish a suite of well-defined metrics for judging the health of the conservation program.</w:t>
      </w:r>
    </w:p>
    <w:p w14:paraId="0608FA0D" w14:textId="1AB99A3E" w:rsidR="00843651" w:rsidRPr="00D6300C" w:rsidRDefault="00843651" w:rsidP="00FD31AC">
      <w:pPr>
        <w:pStyle w:val="Heading1"/>
        <w:rPr>
          <w:u w:val="single"/>
        </w:rPr>
      </w:pPr>
      <w:r w:rsidRPr="00D6300C">
        <w:rPr>
          <w:u w:val="single"/>
        </w:rPr>
        <w:t>Conclusion</w:t>
      </w:r>
    </w:p>
    <w:p w14:paraId="0608FA0F" w14:textId="3CEB2FEB" w:rsidR="00843651" w:rsidRPr="006D68E2" w:rsidRDefault="00646F15" w:rsidP="00FD31AC">
      <w:r w:rsidRPr="006D68E2">
        <w:t xml:space="preserve">Take no action, thereby </w:t>
      </w:r>
      <w:r>
        <w:t xml:space="preserve">allowing the proposed tariff revisions to go into effect </w:t>
      </w:r>
      <w:r w:rsidR="009406F9">
        <w:t>by operation of law on January 27</w:t>
      </w:r>
      <w:r>
        <w:t xml:space="preserve">, 2017, and </w:t>
      </w:r>
      <w:r w:rsidRPr="006D68E2">
        <w:t>acknowledging receipt of Northwest Natural Gas Company’s 2017 Energy Efficiency Plan in Docket UG-</w:t>
      </w:r>
      <w:r>
        <w:t>161259</w:t>
      </w:r>
      <w:r w:rsidRPr="006D68E2">
        <w:t xml:space="preserve">. </w:t>
      </w:r>
    </w:p>
    <w:sectPr w:rsidR="00843651" w:rsidRPr="006D68E2" w:rsidSect="00856AC8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811DA" w14:textId="77777777" w:rsidR="00A12E04" w:rsidRDefault="00A12E04" w:rsidP="000E03CA">
      <w:r>
        <w:separator/>
      </w:r>
    </w:p>
  </w:endnote>
  <w:endnote w:type="continuationSeparator" w:id="0">
    <w:p w14:paraId="28647471" w14:textId="77777777" w:rsidR="00A12E04" w:rsidRDefault="00A12E04" w:rsidP="000E03CA">
      <w:r>
        <w:continuationSeparator/>
      </w:r>
    </w:p>
  </w:endnote>
  <w:endnote w:type="continuationNotice" w:id="1">
    <w:p w14:paraId="4BA9EA38" w14:textId="77777777" w:rsidR="00A12E04" w:rsidRDefault="00A12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AD2DA" w14:textId="77777777" w:rsidR="00A12E04" w:rsidRDefault="00A12E04" w:rsidP="000E03CA">
      <w:r>
        <w:separator/>
      </w:r>
    </w:p>
  </w:footnote>
  <w:footnote w:type="continuationSeparator" w:id="0">
    <w:p w14:paraId="2C31B5F1" w14:textId="77777777" w:rsidR="00A12E04" w:rsidRDefault="00A12E04" w:rsidP="000E03CA">
      <w:r>
        <w:continuationSeparator/>
      </w:r>
    </w:p>
  </w:footnote>
  <w:footnote w:type="continuationNotice" w:id="1">
    <w:p w14:paraId="2E5AA6FB" w14:textId="77777777" w:rsidR="00A12E04" w:rsidRDefault="00A12E04"/>
  </w:footnote>
  <w:footnote w:id="2">
    <w:p w14:paraId="0608FA1B" w14:textId="0F56128A" w:rsidR="00A43C2D" w:rsidRDefault="00A43C2D" w:rsidP="00CE73FC">
      <w:pPr>
        <w:pStyle w:val="FootnoteText"/>
      </w:pPr>
      <w:r>
        <w:rPr>
          <w:rStyle w:val="FootnoteReference"/>
        </w:rPr>
        <w:footnoteRef/>
      </w:r>
      <w:r>
        <w:t xml:space="preserve"> NW Natural uses a range of savings targets and budgets. For ease of analysis, staff uses the minimum savings and the maximum spending.</w:t>
      </w:r>
    </w:p>
  </w:footnote>
  <w:footnote w:id="3">
    <w:p w14:paraId="3F242BEA" w14:textId="54520777" w:rsidR="002F17C1" w:rsidRDefault="002F17C1" w:rsidP="002F17C1">
      <w:pPr>
        <w:pStyle w:val="FootnoteText"/>
      </w:pPr>
      <w:r>
        <w:rPr>
          <w:rStyle w:val="FootnoteReference"/>
        </w:rPr>
        <w:footnoteRef/>
      </w:r>
      <w:r>
        <w:t xml:space="preserve"> 2015 Annual Report filed under Docket </w:t>
      </w:r>
      <w:hyperlink r:id="rId1" w:history="1">
        <w:r w:rsidRPr="0031628A">
          <w:rPr>
            <w:rStyle w:val="Hyperlink"/>
          </w:rPr>
          <w:t>UG-143895</w:t>
        </w:r>
      </w:hyperlink>
      <w:r>
        <w:t>. 2015 commercial projects discussed on p. 6.</w:t>
      </w:r>
    </w:p>
  </w:footnote>
  <w:footnote w:id="4">
    <w:p w14:paraId="3A10A321" w14:textId="021606A2" w:rsidR="008B4FBE" w:rsidRDefault="008B4FBE">
      <w:pPr>
        <w:pStyle w:val="FootnoteText"/>
      </w:pPr>
      <w:r>
        <w:rPr>
          <w:rStyle w:val="FootnoteReference"/>
        </w:rPr>
        <w:footnoteRef/>
      </w:r>
      <w:r>
        <w:t xml:space="preserve"> 2016 third quarter report filed under Docket </w:t>
      </w:r>
      <w:hyperlink r:id="rId2" w:history="1">
        <w:r w:rsidRPr="008B4FBE">
          <w:rPr>
            <w:rStyle w:val="Hyperlink"/>
          </w:rPr>
          <w:t>UG-152349</w:t>
        </w:r>
      </w:hyperlink>
      <w:r>
        <w:t>.</w:t>
      </w:r>
    </w:p>
  </w:footnote>
  <w:footnote w:id="5">
    <w:p w14:paraId="1FFC74BB" w14:textId="33E437BD" w:rsidR="00A43C2D" w:rsidRDefault="00A43C2D" w:rsidP="00E10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349B9">
        <w:t xml:space="preserve">Fourth quarter </w:t>
      </w:r>
      <w:r>
        <w:t>savings accounted for roughly 60</w:t>
      </w:r>
      <w:r w:rsidR="006349B9">
        <w:t xml:space="preserve"> percent </w:t>
      </w:r>
      <w:r>
        <w:t>of savings for the program years of 2013 and 2014, when NW Natural met its target. 2013 Annual Report filed under docket UG-121886; 2014 Annual Report under UG-132147.</w:t>
      </w:r>
    </w:p>
  </w:footnote>
  <w:footnote w:id="6">
    <w:p w14:paraId="753B22CA" w14:textId="77777777" w:rsidR="00AA4D32" w:rsidRDefault="00AA4D32" w:rsidP="00AA4D32">
      <w:pPr>
        <w:pStyle w:val="FootnoteText"/>
      </w:pPr>
      <w:r>
        <w:rPr>
          <w:rStyle w:val="FootnoteReference"/>
        </w:rPr>
        <w:footnoteRef/>
      </w:r>
      <w:r>
        <w:t xml:space="preserve"> Direct benefits to customers includes but is not limited to: customer incentives, rebates, bill credits, credits on purchases, payments to community action agencies, free efficiency measures, and upstream incentives to partners or trade allies.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FA16" w14:textId="44C53038" w:rsidR="00A43C2D" w:rsidRPr="000711DE" w:rsidRDefault="00A43C2D">
    <w:pPr>
      <w:pStyle w:val="Header"/>
      <w:rPr>
        <w:sz w:val="20"/>
        <w:szCs w:val="20"/>
      </w:rPr>
    </w:pPr>
    <w:r w:rsidRPr="000711DE">
      <w:rPr>
        <w:sz w:val="20"/>
        <w:szCs w:val="20"/>
      </w:rPr>
      <w:t>DOCKET UG-</w:t>
    </w:r>
    <w:r w:rsidRPr="00D96213">
      <w:rPr>
        <w:sz w:val="20"/>
        <w:szCs w:val="20"/>
      </w:rPr>
      <w:t>161259</w:t>
    </w:r>
  </w:p>
  <w:p w14:paraId="0608FA17" w14:textId="0433A1CB" w:rsidR="00A43C2D" w:rsidRPr="000711DE" w:rsidRDefault="00D32857">
    <w:pPr>
      <w:pStyle w:val="Header"/>
      <w:rPr>
        <w:sz w:val="20"/>
        <w:szCs w:val="20"/>
      </w:rPr>
    </w:pPr>
    <w:r>
      <w:rPr>
        <w:sz w:val="20"/>
        <w:szCs w:val="20"/>
      </w:rPr>
      <w:t>January 26, 2017</w:t>
    </w:r>
  </w:p>
  <w:p w14:paraId="0608FA18" w14:textId="77777777" w:rsidR="00A43C2D" w:rsidRPr="000711DE" w:rsidRDefault="00A43C2D">
    <w:pPr>
      <w:pStyle w:val="Header"/>
      <w:rPr>
        <w:sz w:val="20"/>
        <w:szCs w:val="20"/>
      </w:rPr>
    </w:pPr>
    <w:r w:rsidRPr="000711DE">
      <w:rPr>
        <w:sz w:val="20"/>
        <w:szCs w:val="20"/>
      </w:rPr>
      <w:t xml:space="preserve">Page </w:t>
    </w:r>
    <w:r w:rsidRPr="000711DE">
      <w:rPr>
        <w:sz w:val="20"/>
        <w:szCs w:val="20"/>
      </w:rPr>
      <w:fldChar w:fldCharType="begin"/>
    </w:r>
    <w:r w:rsidRPr="000711DE">
      <w:rPr>
        <w:sz w:val="20"/>
        <w:szCs w:val="20"/>
      </w:rPr>
      <w:instrText xml:space="preserve"> PAGE   \* MERGEFORMAT </w:instrText>
    </w:r>
    <w:r w:rsidRPr="000711DE">
      <w:rPr>
        <w:sz w:val="20"/>
        <w:szCs w:val="20"/>
      </w:rPr>
      <w:fldChar w:fldCharType="separate"/>
    </w:r>
    <w:r w:rsidR="00D646D3">
      <w:rPr>
        <w:noProof/>
        <w:sz w:val="20"/>
        <w:szCs w:val="20"/>
      </w:rPr>
      <w:t>2</w:t>
    </w:r>
    <w:r w:rsidRPr="000711DE">
      <w:rPr>
        <w:noProof/>
        <w:sz w:val="20"/>
        <w:szCs w:val="20"/>
      </w:rPr>
      <w:fldChar w:fldCharType="end"/>
    </w:r>
  </w:p>
  <w:p w14:paraId="0608FA19" w14:textId="77777777" w:rsidR="00A43C2D" w:rsidRDefault="00A43C2D">
    <w:pPr>
      <w:pStyle w:val="Header"/>
      <w:rPr>
        <w:sz w:val="20"/>
        <w:szCs w:val="20"/>
      </w:rPr>
    </w:pPr>
  </w:p>
  <w:p w14:paraId="0608FA1A" w14:textId="77777777" w:rsidR="00A43C2D" w:rsidRPr="00856AC8" w:rsidRDefault="00A43C2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095"/>
    <w:multiLevelType w:val="hybridMultilevel"/>
    <w:tmpl w:val="856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C8B"/>
    <w:multiLevelType w:val="hybridMultilevel"/>
    <w:tmpl w:val="0AB65A76"/>
    <w:lvl w:ilvl="0" w:tplc="8A34527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AC4"/>
    <w:multiLevelType w:val="hybridMultilevel"/>
    <w:tmpl w:val="B906B2BA"/>
    <w:lvl w:ilvl="0" w:tplc="EBB8AE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715A"/>
    <w:multiLevelType w:val="hybridMultilevel"/>
    <w:tmpl w:val="D48479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0D2E26"/>
    <w:multiLevelType w:val="hybridMultilevel"/>
    <w:tmpl w:val="FFD2C426"/>
    <w:lvl w:ilvl="0" w:tplc="8A34527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04200"/>
    <w:multiLevelType w:val="hybridMultilevel"/>
    <w:tmpl w:val="05A60F80"/>
    <w:lvl w:ilvl="0" w:tplc="6380B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A25C2"/>
    <w:multiLevelType w:val="hybridMultilevel"/>
    <w:tmpl w:val="64B26958"/>
    <w:lvl w:ilvl="0" w:tplc="8A34527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CA"/>
    <w:rsid w:val="00015E0A"/>
    <w:rsid w:val="00016BED"/>
    <w:rsid w:val="00024D69"/>
    <w:rsid w:val="00031596"/>
    <w:rsid w:val="000552E0"/>
    <w:rsid w:val="00055548"/>
    <w:rsid w:val="000711DE"/>
    <w:rsid w:val="0008228A"/>
    <w:rsid w:val="00090CBD"/>
    <w:rsid w:val="000911D5"/>
    <w:rsid w:val="00095C2C"/>
    <w:rsid w:val="00096A2A"/>
    <w:rsid w:val="000A2A1B"/>
    <w:rsid w:val="000A70A9"/>
    <w:rsid w:val="000B045B"/>
    <w:rsid w:val="000B60E8"/>
    <w:rsid w:val="000C1B8A"/>
    <w:rsid w:val="000C663F"/>
    <w:rsid w:val="000D59A5"/>
    <w:rsid w:val="000D7EC8"/>
    <w:rsid w:val="000E03CA"/>
    <w:rsid w:val="000E746B"/>
    <w:rsid w:val="00121588"/>
    <w:rsid w:val="00127AC8"/>
    <w:rsid w:val="001307B1"/>
    <w:rsid w:val="001317A8"/>
    <w:rsid w:val="00131B07"/>
    <w:rsid w:val="001328E3"/>
    <w:rsid w:val="00135EAB"/>
    <w:rsid w:val="0015380C"/>
    <w:rsid w:val="00153EA6"/>
    <w:rsid w:val="0015574E"/>
    <w:rsid w:val="00164C3F"/>
    <w:rsid w:val="00174298"/>
    <w:rsid w:val="00183499"/>
    <w:rsid w:val="00190CA5"/>
    <w:rsid w:val="001911DC"/>
    <w:rsid w:val="001972FB"/>
    <w:rsid w:val="001A5A6A"/>
    <w:rsid w:val="001C269A"/>
    <w:rsid w:val="001C5270"/>
    <w:rsid w:val="001C77C6"/>
    <w:rsid w:val="001D421C"/>
    <w:rsid w:val="001D4C70"/>
    <w:rsid w:val="001F02A6"/>
    <w:rsid w:val="001F3CA0"/>
    <w:rsid w:val="002036F1"/>
    <w:rsid w:val="00205760"/>
    <w:rsid w:val="00206811"/>
    <w:rsid w:val="00213EE5"/>
    <w:rsid w:val="00222DD6"/>
    <w:rsid w:val="002235A4"/>
    <w:rsid w:val="00224FA1"/>
    <w:rsid w:val="00235CAC"/>
    <w:rsid w:val="00237022"/>
    <w:rsid w:val="0023790B"/>
    <w:rsid w:val="00242E25"/>
    <w:rsid w:val="00253523"/>
    <w:rsid w:val="0027493C"/>
    <w:rsid w:val="00286580"/>
    <w:rsid w:val="002872C8"/>
    <w:rsid w:val="002A63DC"/>
    <w:rsid w:val="002A7021"/>
    <w:rsid w:val="002B1F69"/>
    <w:rsid w:val="002B6256"/>
    <w:rsid w:val="002B7FEF"/>
    <w:rsid w:val="002D1AB5"/>
    <w:rsid w:val="002D2DE8"/>
    <w:rsid w:val="002D4E22"/>
    <w:rsid w:val="002E3E4D"/>
    <w:rsid w:val="002F17C1"/>
    <w:rsid w:val="002F4A44"/>
    <w:rsid w:val="002F522E"/>
    <w:rsid w:val="003024E1"/>
    <w:rsid w:val="00303952"/>
    <w:rsid w:val="003145A0"/>
    <w:rsid w:val="00315EB6"/>
    <w:rsid w:val="0031628A"/>
    <w:rsid w:val="00320691"/>
    <w:rsid w:val="00321B43"/>
    <w:rsid w:val="003261DB"/>
    <w:rsid w:val="003367A2"/>
    <w:rsid w:val="00337558"/>
    <w:rsid w:val="00341109"/>
    <w:rsid w:val="0034209B"/>
    <w:rsid w:val="00344CC6"/>
    <w:rsid w:val="00354B83"/>
    <w:rsid w:val="00361BE0"/>
    <w:rsid w:val="00361C02"/>
    <w:rsid w:val="00373489"/>
    <w:rsid w:val="00380BB0"/>
    <w:rsid w:val="00384633"/>
    <w:rsid w:val="00386209"/>
    <w:rsid w:val="00386B94"/>
    <w:rsid w:val="0039604F"/>
    <w:rsid w:val="00397C47"/>
    <w:rsid w:val="003A447A"/>
    <w:rsid w:val="003B29FC"/>
    <w:rsid w:val="003C4B5B"/>
    <w:rsid w:val="003D1F41"/>
    <w:rsid w:val="003D59E4"/>
    <w:rsid w:val="003E6BD3"/>
    <w:rsid w:val="003F2FDB"/>
    <w:rsid w:val="003F63B8"/>
    <w:rsid w:val="003F7583"/>
    <w:rsid w:val="00402353"/>
    <w:rsid w:val="00414F4E"/>
    <w:rsid w:val="00420ACA"/>
    <w:rsid w:val="00425399"/>
    <w:rsid w:val="00427769"/>
    <w:rsid w:val="004303FB"/>
    <w:rsid w:val="0043464E"/>
    <w:rsid w:val="00442071"/>
    <w:rsid w:val="00443C4A"/>
    <w:rsid w:val="00447441"/>
    <w:rsid w:val="004534BD"/>
    <w:rsid w:val="00462D23"/>
    <w:rsid w:val="004642CB"/>
    <w:rsid w:val="00466F15"/>
    <w:rsid w:val="00467C9F"/>
    <w:rsid w:val="00472172"/>
    <w:rsid w:val="00474003"/>
    <w:rsid w:val="004840CD"/>
    <w:rsid w:val="004860E2"/>
    <w:rsid w:val="004905B9"/>
    <w:rsid w:val="004931CD"/>
    <w:rsid w:val="00493D1F"/>
    <w:rsid w:val="004972CF"/>
    <w:rsid w:val="004B664E"/>
    <w:rsid w:val="004D072C"/>
    <w:rsid w:val="004E6B58"/>
    <w:rsid w:val="004F0214"/>
    <w:rsid w:val="00505DF2"/>
    <w:rsid w:val="00532DDE"/>
    <w:rsid w:val="0054003E"/>
    <w:rsid w:val="005425CB"/>
    <w:rsid w:val="005474A2"/>
    <w:rsid w:val="00550B49"/>
    <w:rsid w:val="00573364"/>
    <w:rsid w:val="00573694"/>
    <w:rsid w:val="00585D36"/>
    <w:rsid w:val="00586852"/>
    <w:rsid w:val="005927AD"/>
    <w:rsid w:val="00595BAC"/>
    <w:rsid w:val="005B538B"/>
    <w:rsid w:val="005C75A4"/>
    <w:rsid w:val="005E04E4"/>
    <w:rsid w:val="005E1796"/>
    <w:rsid w:val="005F21DC"/>
    <w:rsid w:val="005F38DB"/>
    <w:rsid w:val="00600924"/>
    <w:rsid w:val="006119FE"/>
    <w:rsid w:val="00612326"/>
    <w:rsid w:val="00627BD5"/>
    <w:rsid w:val="006349B9"/>
    <w:rsid w:val="00645BE0"/>
    <w:rsid w:val="00646F15"/>
    <w:rsid w:val="00653237"/>
    <w:rsid w:val="006613A8"/>
    <w:rsid w:val="006638B2"/>
    <w:rsid w:val="0066628F"/>
    <w:rsid w:val="00677ACE"/>
    <w:rsid w:val="00690455"/>
    <w:rsid w:val="006B0D33"/>
    <w:rsid w:val="006B17CF"/>
    <w:rsid w:val="006B7203"/>
    <w:rsid w:val="006C0294"/>
    <w:rsid w:val="006C19A6"/>
    <w:rsid w:val="006C2A64"/>
    <w:rsid w:val="006C4518"/>
    <w:rsid w:val="006D1282"/>
    <w:rsid w:val="006D4F07"/>
    <w:rsid w:val="006D68E2"/>
    <w:rsid w:val="006F0B39"/>
    <w:rsid w:val="006F0EB5"/>
    <w:rsid w:val="006F4935"/>
    <w:rsid w:val="006F7FE1"/>
    <w:rsid w:val="0070169F"/>
    <w:rsid w:val="00707663"/>
    <w:rsid w:val="00713B36"/>
    <w:rsid w:val="00717811"/>
    <w:rsid w:val="00721488"/>
    <w:rsid w:val="0073295A"/>
    <w:rsid w:val="007359ED"/>
    <w:rsid w:val="00743538"/>
    <w:rsid w:val="007610EB"/>
    <w:rsid w:val="0076430E"/>
    <w:rsid w:val="00766124"/>
    <w:rsid w:val="00766CE4"/>
    <w:rsid w:val="0077214D"/>
    <w:rsid w:val="00774A97"/>
    <w:rsid w:val="00775224"/>
    <w:rsid w:val="0077674A"/>
    <w:rsid w:val="007A025C"/>
    <w:rsid w:val="007A4958"/>
    <w:rsid w:val="007B0CE2"/>
    <w:rsid w:val="007B5A4E"/>
    <w:rsid w:val="007C7C2F"/>
    <w:rsid w:val="007E18A2"/>
    <w:rsid w:val="007E5229"/>
    <w:rsid w:val="007E7D82"/>
    <w:rsid w:val="007E7E14"/>
    <w:rsid w:val="007F409D"/>
    <w:rsid w:val="007F6C29"/>
    <w:rsid w:val="007F765D"/>
    <w:rsid w:val="00810D39"/>
    <w:rsid w:val="00811F53"/>
    <w:rsid w:val="0081761C"/>
    <w:rsid w:val="00824D23"/>
    <w:rsid w:val="00833FD6"/>
    <w:rsid w:val="00837DCA"/>
    <w:rsid w:val="00843651"/>
    <w:rsid w:val="00852045"/>
    <w:rsid w:val="00856AC8"/>
    <w:rsid w:val="00856AD3"/>
    <w:rsid w:val="008740F3"/>
    <w:rsid w:val="00876832"/>
    <w:rsid w:val="0089798A"/>
    <w:rsid w:val="008A0E6C"/>
    <w:rsid w:val="008A264B"/>
    <w:rsid w:val="008A61EC"/>
    <w:rsid w:val="008B2B7E"/>
    <w:rsid w:val="008B4FBE"/>
    <w:rsid w:val="008E0C58"/>
    <w:rsid w:val="008E2DE8"/>
    <w:rsid w:val="008F1C93"/>
    <w:rsid w:val="009025B0"/>
    <w:rsid w:val="0090302B"/>
    <w:rsid w:val="00904430"/>
    <w:rsid w:val="00915A42"/>
    <w:rsid w:val="00916755"/>
    <w:rsid w:val="0092049C"/>
    <w:rsid w:val="00931788"/>
    <w:rsid w:val="009377DD"/>
    <w:rsid w:val="009406F9"/>
    <w:rsid w:val="009447EC"/>
    <w:rsid w:val="00944C1D"/>
    <w:rsid w:val="00952F4A"/>
    <w:rsid w:val="0095329E"/>
    <w:rsid w:val="00957947"/>
    <w:rsid w:val="0096146B"/>
    <w:rsid w:val="00961558"/>
    <w:rsid w:val="00962A70"/>
    <w:rsid w:val="00962CA0"/>
    <w:rsid w:val="00967D16"/>
    <w:rsid w:val="00980C07"/>
    <w:rsid w:val="00986533"/>
    <w:rsid w:val="00986ABF"/>
    <w:rsid w:val="009A5BE7"/>
    <w:rsid w:val="009A5C57"/>
    <w:rsid w:val="009A6D5E"/>
    <w:rsid w:val="009B29F7"/>
    <w:rsid w:val="009B5F3F"/>
    <w:rsid w:val="009B6E06"/>
    <w:rsid w:val="009D44E7"/>
    <w:rsid w:val="009D724D"/>
    <w:rsid w:val="009E63EA"/>
    <w:rsid w:val="009F6A84"/>
    <w:rsid w:val="00A056EF"/>
    <w:rsid w:val="00A06588"/>
    <w:rsid w:val="00A12E04"/>
    <w:rsid w:val="00A22E04"/>
    <w:rsid w:val="00A23BD5"/>
    <w:rsid w:val="00A2645F"/>
    <w:rsid w:val="00A26501"/>
    <w:rsid w:val="00A2656C"/>
    <w:rsid w:val="00A324F5"/>
    <w:rsid w:val="00A43C2D"/>
    <w:rsid w:val="00A5122E"/>
    <w:rsid w:val="00A5471D"/>
    <w:rsid w:val="00A568C4"/>
    <w:rsid w:val="00A63258"/>
    <w:rsid w:val="00A63328"/>
    <w:rsid w:val="00A64CDB"/>
    <w:rsid w:val="00A66D93"/>
    <w:rsid w:val="00A8257B"/>
    <w:rsid w:val="00A84D62"/>
    <w:rsid w:val="00A85CCD"/>
    <w:rsid w:val="00A9230C"/>
    <w:rsid w:val="00AA4D32"/>
    <w:rsid w:val="00AA5470"/>
    <w:rsid w:val="00AA6974"/>
    <w:rsid w:val="00AC26E0"/>
    <w:rsid w:val="00AD216F"/>
    <w:rsid w:val="00AE0666"/>
    <w:rsid w:val="00AE2144"/>
    <w:rsid w:val="00AF3AA4"/>
    <w:rsid w:val="00B25936"/>
    <w:rsid w:val="00B275D2"/>
    <w:rsid w:val="00B31E65"/>
    <w:rsid w:val="00B32FCC"/>
    <w:rsid w:val="00B3604D"/>
    <w:rsid w:val="00B46546"/>
    <w:rsid w:val="00B5115B"/>
    <w:rsid w:val="00B709C7"/>
    <w:rsid w:val="00B73210"/>
    <w:rsid w:val="00B830A2"/>
    <w:rsid w:val="00B90D39"/>
    <w:rsid w:val="00B92F2C"/>
    <w:rsid w:val="00BA22C6"/>
    <w:rsid w:val="00BA6FC1"/>
    <w:rsid w:val="00BB3ABD"/>
    <w:rsid w:val="00BC0824"/>
    <w:rsid w:val="00BC11DC"/>
    <w:rsid w:val="00BC3E28"/>
    <w:rsid w:val="00BD3181"/>
    <w:rsid w:val="00BD3EA2"/>
    <w:rsid w:val="00BD5E12"/>
    <w:rsid w:val="00BE08DC"/>
    <w:rsid w:val="00BE4DBD"/>
    <w:rsid w:val="00BE7F97"/>
    <w:rsid w:val="00BF2893"/>
    <w:rsid w:val="00C02A77"/>
    <w:rsid w:val="00C15EFF"/>
    <w:rsid w:val="00C34408"/>
    <w:rsid w:val="00C35217"/>
    <w:rsid w:val="00C36EB2"/>
    <w:rsid w:val="00C641C6"/>
    <w:rsid w:val="00C80050"/>
    <w:rsid w:val="00C9605B"/>
    <w:rsid w:val="00C96BD3"/>
    <w:rsid w:val="00C97F4D"/>
    <w:rsid w:val="00CA4629"/>
    <w:rsid w:val="00CA7938"/>
    <w:rsid w:val="00CB03AE"/>
    <w:rsid w:val="00CB0A8E"/>
    <w:rsid w:val="00CB3FBA"/>
    <w:rsid w:val="00CB6256"/>
    <w:rsid w:val="00CB7DF6"/>
    <w:rsid w:val="00CC0869"/>
    <w:rsid w:val="00CD62CB"/>
    <w:rsid w:val="00CE35C1"/>
    <w:rsid w:val="00CE3C01"/>
    <w:rsid w:val="00CE44A4"/>
    <w:rsid w:val="00CE73FC"/>
    <w:rsid w:val="00CF35C4"/>
    <w:rsid w:val="00CF7862"/>
    <w:rsid w:val="00CF7FA4"/>
    <w:rsid w:val="00D04354"/>
    <w:rsid w:val="00D107A0"/>
    <w:rsid w:val="00D10D5A"/>
    <w:rsid w:val="00D140B1"/>
    <w:rsid w:val="00D27307"/>
    <w:rsid w:val="00D32857"/>
    <w:rsid w:val="00D36D36"/>
    <w:rsid w:val="00D40E36"/>
    <w:rsid w:val="00D426A6"/>
    <w:rsid w:val="00D439BF"/>
    <w:rsid w:val="00D44773"/>
    <w:rsid w:val="00D6300C"/>
    <w:rsid w:val="00D646D3"/>
    <w:rsid w:val="00D72661"/>
    <w:rsid w:val="00D74E52"/>
    <w:rsid w:val="00D75155"/>
    <w:rsid w:val="00D76BBF"/>
    <w:rsid w:val="00D82641"/>
    <w:rsid w:val="00D8496C"/>
    <w:rsid w:val="00D84F78"/>
    <w:rsid w:val="00D91F8E"/>
    <w:rsid w:val="00D94401"/>
    <w:rsid w:val="00D96213"/>
    <w:rsid w:val="00DA322A"/>
    <w:rsid w:val="00DC04C9"/>
    <w:rsid w:val="00DC5524"/>
    <w:rsid w:val="00DD312F"/>
    <w:rsid w:val="00DD6A8A"/>
    <w:rsid w:val="00DD7BDB"/>
    <w:rsid w:val="00DE2708"/>
    <w:rsid w:val="00DF0B2B"/>
    <w:rsid w:val="00DF1684"/>
    <w:rsid w:val="00E00D06"/>
    <w:rsid w:val="00E06055"/>
    <w:rsid w:val="00E0706F"/>
    <w:rsid w:val="00E10A0F"/>
    <w:rsid w:val="00E13BD1"/>
    <w:rsid w:val="00E1436A"/>
    <w:rsid w:val="00E2146D"/>
    <w:rsid w:val="00E22217"/>
    <w:rsid w:val="00E2265A"/>
    <w:rsid w:val="00E23EC2"/>
    <w:rsid w:val="00E3094F"/>
    <w:rsid w:val="00E371D0"/>
    <w:rsid w:val="00E37279"/>
    <w:rsid w:val="00E45F7C"/>
    <w:rsid w:val="00E639CF"/>
    <w:rsid w:val="00E73F28"/>
    <w:rsid w:val="00E91340"/>
    <w:rsid w:val="00E921CD"/>
    <w:rsid w:val="00E941AE"/>
    <w:rsid w:val="00E943B3"/>
    <w:rsid w:val="00EA0E40"/>
    <w:rsid w:val="00EA778F"/>
    <w:rsid w:val="00EB1DEB"/>
    <w:rsid w:val="00EC19DC"/>
    <w:rsid w:val="00EC21A2"/>
    <w:rsid w:val="00EC23E6"/>
    <w:rsid w:val="00EC7823"/>
    <w:rsid w:val="00ED0E1D"/>
    <w:rsid w:val="00ED5F9D"/>
    <w:rsid w:val="00F0631D"/>
    <w:rsid w:val="00F0651A"/>
    <w:rsid w:val="00F30CE9"/>
    <w:rsid w:val="00F311DB"/>
    <w:rsid w:val="00F32FD2"/>
    <w:rsid w:val="00F44817"/>
    <w:rsid w:val="00F453D2"/>
    <w:rsid w:val="00F50725"/>
    <w:rsid w:val="00F560A0"/>
    <w:rsid w:val="00F61160"/>
    <w:rsid w:val="00F62B73"/>
    <w:rsid w:val="00F65F5D"/>
    <w:rsid w:val="00F71965"/>
    <w:rsid w:val="00F7250D"/>
    <w:rsid w:val="00F72E98"/>
    <w:rsid w:val="00F73CD7"/>
    <w:rsid w:val="00F7409B"/>
    <w:rsid w:val="00F74A0B"/>
    <w:rsid w:val="00F75559"/>
    <w:rsid w:val="00F77F28"/>
    <w:rsid w:val="00F820CE"/>
    <w:rsid w:val="00F9063E"/>
    <w:rsid w:val="00F961AF"/>
    <w:rsid w:val="00FA1392"/>
    <w:rsid w:val="00FA4377"/>
    <w:rsid w:val="00FA78FE"/>
    <w:rsid w:val="00FB256C"/>
    <w:rsid w:val="00FC1653"/>
    <w:rsid w:val="00FC64FD"/>
    <w:rsid w:val="00FC683F"/>
    <w:rsid w:val="00FD31AC"/>
    <w:rsid w:val="00FD4359"/>
    <w:rsid w:val="00FD72C6"/>
    <w:rsid w:val="00FE1FB8"/>
    <w:rsid w:val="00FE6AD2"/>
    <w:rsid w:val="00FE71EB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608F99D"/>
  <w15:docId w15:val="{3FF361A8-67AC-49CA-B5AD-044C76E3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651"/>
    <w:pPr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1AC"/>
    <w:pPr>
      <w:keepNext/>
      <w:keepLines/>
      <w:spacing w:before="4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0E03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03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03C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uiPriority w:val="99"/>
    <w:rsid w:val="000E03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6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BF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BF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B2B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B2B"/>
    <w:rPr>
      <w:rFonts w:ascii="Palatino Linotype" w:eastAsia="Times New Roman" w:hAnsi="Palatino Linotype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4365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84365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31AC"/>
    <w:rPr>
      <w:rFonts w:ascii="Times New Roman" w:eastAsiaTheme="majorEastAsia" w:hAnsi="Times New Roman" w:cstheme="majorBidi"/>
      <w:i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3162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F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tc.wa.gov/_layouts/15/CasesPublicWebsite/CaseItem.aspx?item=document&amp;id=40&amp;year=2015&amp;docketNumber=152349" TargetMode="External"/><Relationship Id="rId1" Type="http://schemas.openxmlformats.org/officeDocument/2006/relationships/hyperlink" Target="https://www.utc.wa.gov/_layouts/15/CasesPublicWebsite/Case.aspx?year=2014&amp;docketNumber=143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623939E3483B4E9833454BD2A802FC" ma:contentTypeVersion="104" ma:contentTypeDescription="" ma:contentTypeScope="" ma:versionID="7c527a25141470385cfbd6ecff641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2016-12-01T08:00:00+00:00</OpenedDate>
    <Date1 xmlns="dc463f71-b30c-4ab2-9473-d307f9d35888">2017-01-26T08:00:00+00:00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161259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F2FD1F7-B2EC-4137-9E5C-9FE5329D952E}"/>
</file>

<file path=customXml/itemProps2.xml><?xml version="1.0" encoding="utf-8"?>
<ds:datastoreItem xmlns:ds="http://schemas.openxmlformats.org/officeDocument/2006/customXml" ds:itemID="{835851B4-8732-4529-AD17-CF86DFED6196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751276d0-61bc-4dad-b75c-21dfd12630ad"/>
    <ds:schemaRef ds:uri="1E0C6DC4-A4F6-4390-A2EA-A52E9EFB0EA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3C71BF-BFA8-409F-986B-DB8274228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D9756-C525-4865-AE89-F565A04AFE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18AB27-5BDD-49D8-84F5-5A87B3F3D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UTC Staff Memo - NW Natural 2017 Energy Efficiency Plan</vt:lpstr>
    </vt:vector>
  </TitlesOfParts>
  <Company>Washington Utilities and Transportation Commission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Staff Memo - NW Natural 2017 Energy Efficiency Plan</dc:title>
  <dc:creator>kfrankie@utc.wa.gov</dc:creator>
  <cp:lastModifiedBy>Wyse, Lisa (UTC)</cp:lastModifiedBy>
  <cp:revision>2</cp:revision>
  <dcterms:created xsi:type="dcterms:W3CDTF">2017-01-23T23:40:00Z</dcterms:created>
  <dcterms:modified xsi:type="dcterms:W3CDTF">2017-01-23T23:40:00Z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0x0101006E56B4D1795A2E4DB2F0B01679ED314A00A2623939E3483B4E9833454BD2A802FC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