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496235"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496235"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496235"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164966" w:rsidRPr="00496235" w:rsidRDefault="00ED0DBA" w:rsidP="00ED0DBA">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CUSTOMER STATUS</w:t>
      </w:r>
      <w:r w:rsidR="00E41FFA">
        <w:rPr>
          <w:rFonts w:ascii="Arial" w:hAnsi="Arial" w:cs="Arial"/>
          <w:b/>
          <w:sz w:val="20"/>
          <w:szCs w:val="20"/>
        </w:rPr>
        <w:t xml:space="preserve"> </w:t>
      </w:r>
      <w:r w:rsidR="00E41FFA" w:rsidRPr="00E41FFA">
        <w:rPr>
          <w:rFonts w:ascii="Arial" w:hAnsi="Arial" w:cs="Arial"/>
          <w:sz w:val="20"/>
          <w:szCs w:val="20"/>
        </w:rPr>
        <w:t>(Continued)</w:t>
      </w:r>
    </w:p>
    <w:p w:rsidR="009A4169" w:rsidRDefault="009A4169" w:rsidP="004D6394">
      <w:pPr>
        <w:pStyle w:val="BodyText"/>
        <w:spacing w:after="0" w:line="286" w:lineRule="exact"/>
        <w:ind w:right="720"/>
        <w:rPr>
          <w:rFonts w:ascii="Arial" w:hAnsi="Arial" w:cs="Arial"/>
          <w:sz w:val="20"/>
          <w:szCs w:val="20"/>
        </w:rPr>
      </w:pPr>
    </w:p>
    <w:p w:rsidR="00E41FFA" w:rsidRDefault="00E41FFA" w:rsidP="00E41FFA">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Actions by Market Participants</w:t>
      </w:r>
      <w:r w:rsidRPr="009C467B">
        <w:rPr>
          <w:rFonts w:ascii="Arial" w:hAnsi="Arial" w:cs="Arial"/>
          <w:sz w:val="20"/>
          <w:szCs w:val="20"/>
        </w:rPr>
        <w:t>. A determination that actions by market participants other than Company or Customer are in violation of federal, state, or local law will not impact the obligations of Customer and the Company under this Schedule.</w:t>
      </w:r>
    </w:p>
    <w:p w:rsidR="00E41FFA" w:rsidRPr="009C467B" w:rsidRDefault="00E41FFA" w:rsidP="00E41FFA">
      <w:pPr>
        <w:pStyle w:val="BodyText"/>
        <w:spacing w:after="0" w:line="286" w:lineRule="exact"/>
        <w:ind w:right="360"/>
        <w:rPr>
          <w:rFonts w:ascii="Arial" w:hAnsi="Arial" w:cs="Arial"/>
          <w:sz w:val="20"/>
          <w:szCs w:val="20"/>
        </w:rPr>
      </w:pPr>
    </w:p>
    <w:p w:rsidR="00E41FFA" w:rsidRDefault="00E41FFA" w:rsidP="00E41FFA">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Power Costs Not Grounds For Return to Core Status</w:t>
      </w:r>
      <w:r w:rsidRPr="009C467B">
        <w:rPr>
          <w:rFonts w:ascii="Arial" w:hAnsi="Arial" w:cs="Arial"/>
          <w:sz w:val="20"/>
          <w:szCs w:val="20"/>
        </w:rPr>
        <w:t xml:space="preserve">. The Company may use resources to supply Customer with power in certain circumstances, and the costs of that power may be significantly different from the market price. Such difference will not constitute </w:t>
      </w:r>
      <w:proofErr w:type="gramStart"/>
      <w:r w:rsidRPr="009C467B">
        <w:rPr>
          <w:rFonts w:ascii="Arial" w:hAnsi="Arial" w:cs="Arial"/>
          <w:sz w:val="20"/>
          <w:szCs w:val="20"/>
        </w:rPr>
        <w:t>a grounds</w:t>
      </w:r>
      <w:proofErr w:type="gramEnd"/>
      <w:r w:rsidRPr="009C467B">
        <w:rPr>
          <w:rFonts w:ascii="Arial" w:hAnsi="Arial" w:cs="Arial"/>
          <w:sz w:val="20"/>
          <w:szCs w:val="20"/>
        </w:rPr>
        <w:t xml:space="preserve"> for return to core status, will not entitle a Non-core Customer to service from the Company’s generation resources, and will not entitle a Non-core Customer to service based on the Company’s cost of generation.</w:t>
      </w:r>
    </w:p>
    <w:p w:rsidR="00E41FFA" w:rsidRPr="009C467B" w:rsidRDefault="00E41FFA" w:rsidP="00E41FFA">
      <w:pPr>
        <w:pStyle w:val="BodyText"/>
        <w:spacing w:after="0" w:line="286" w:lineRule="exact"/>
        <w:ind w:right="360"/>
        <w:rPr>
          <w:rFonts w:ascii="Arial" w:hAnsi="Arial" w:cs="Arial"/>
          <w:sz w:val="20"/>
          <w:szCs w:val="20"/>
        </w:rPr>
      </w:pPr>
    </w:p>
    <w:p w:rsidR="00E41FFA" w:rsidRPr="009C467B" w:rsidRDefault="00E41FFA" w:rsidP="00E41FFA">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Customer Accepts Risks</w:t>
      </w:r>
      <w:r w:rsidRPr="009C467B">
        <w:rPr>
          <w:rFonts w:ascii="Arial" w:hAnsi="Arial" w:cs="Arial"/>
          <w:sz w:val="20"/>
          <w:szCs w:val="20"/>
        </w:rPr>
        <w:t>. Customer has employed energy experts and counsel with experience in energy issues to provide advice and assistance in making the decision to accept service as a Non-core Customer that is never entitled to return to core service under any circumstances. Customer fully understands all of the risks of that choice and has considered and accepted those risks in accepting service as a Non-core Customer under this Schedule.</w:t>
      </w:r>
    </w:p>
    <w:p w:rsidR="00E41FFA" w:rsidRDefault="008523E4" w:rsidP="008523E4">
      <w:pPr>
        <w:pStyle w:val="BodyText"/>
        <w:tabs>
          <w:tab w:val="left" w:pos="4770"/>
        </w:tabs>
        <w:spacing w:after="0" w:line="286" w:lineRule="exact"/>
        <w:ind w:right="720"/>
        <w:rPr>
          <w:rFonts w:ascii="Arial" w:hAnsi="Arial" w:cs="Arial"/>
          <w:sz w:val="20"/>
          <w:szCs w:val="20"/>
        </w:rPr>
      </w:pPr>
      <w:r>
        <w:rPr>
          <w:rFonts w:ascii="Arial" w:hAnsi="Arial" w:cs="Arial"/>
          <w:sz w:val="20"/>
          <w:szCs w:val="20"/>
        </w:rPr>
        <w:tab/>
      </w:r>
    </w:p>
    <w:p w:rsidR="00E41FFA" w:rsidRDefault="00E41FFA" w:rsidP="009604A3">
      <w:pPr>
        <w:pStyle w:val="BodyText"/>
        <w:keepNext/>
        <w:keepLines/>
        <w:numPr>
          <w:ilvl w:val="0"/>
          <w:numId w:val="5"/>
        </w:numPr>
        <w:spacing w:after="0" w:line="286" w:lineRule="exact"/>
        <w:rPr>
          <w:rFonts w:ascii="Arial" w:hAnsi="Arial" w:cs="Arial"/>
          <w:b/>
          <w:sz w:val="20"/>
          <w:szCs w:val="20"/>
        </w:rPr>
      </w:pPr>
      <w:r w:rsidRPr="009C467B">
        <w:rPr>
          <w:rFonts w:ascii="Arial" w:hAnsi="Arial" w:cs="Arial"/>
          <w:b/>
          <w:sz w:val="20"/>
          <w:szCs w:val="20"/>
        </w:rPr>
        <w:t>DEFINITIONS</w:t>
      </w:r>
    </w:p>
    <w:p w:rsidR="00E41FFA" w:rsidRPr="009C467B" w:rsidRDefault="00E41FFA" w:rsidP="009604A3">
      <w:pPr>
        <w:pStyle w:val="BodyText"/>
        <w:keepNext/>
        <w:keepLines/>
        <w:spacing w:after="0" w:line="286" w:lineRule="exact"/>
        <w:ind w:left="360"/>
        <w:rPr>
          <w:rFonts w:ascii="Arial" w:hAnsi="Arial" w:cs="Arial"/>
          <w:b/>
          <w:sz w:val="20"/>
          <w:szCs w:val="20"/>
        </w:rPr>
      </w:pPr>
    </w:p>
    <w:p w:rsidR="00E41FFA" w:rsidRPr="009C467B" w:rsidRDefault="00E41FFA" w:rsidP="009604A3">
      <w:pPr>
        <w:pStyle w:val="BodyText"/>
        <w:spacing w:after="0" w:line="286" w:lineRule="exact"/>
        <w:ind w:left="360" w:right="360" w:hanging="7"/>
        <w:rPr>
          <w:rFonts w:ascii="Arial" w:hAnsi="Arial" w:cs="Arial"/>
          <w:sz w:val="20"/>
          <w:szCs w:val="20"/>
        </w:rPr>
      </w:pPr>
      <w:r w:rsidRPr="009C467B">
        <w:rPr>
          <w:rFonts w:ascii="Arial" w:hAnsi="Arial" w:cs="Arial"/>
          <w:sz w:val="20"/>
          <w:szCs w:val="20"/>
        </w:rPr>
        <w:t>Certain terms are defined in the text of this Schedule. In addition, terms that appear with their initial letters capitalized and are not otherwise defined shall have the meanings ascribed to such terms in Schedule 80 or, if defined below, shall have the following meanings for purposes of Schedule 451 unless the context otherwise requires:</w:t>
      </w:r>
    </w:p>
    <w:p w:rsidR="009604A3" w:rsidRDefault="009604A3" w:rsidP="009604A3">
      <w:pPr>
        <w:pStyle w:val="BodyText"/>
        <w:spacing w:after="0" w:line="286" w:lineRule="exact"/>
        <w:ind w:left="360" w:right="360" w:firstLine="7"/>
        <w:rPr>
          <w:rFonts w:ascii="Arial" w:hAnsi="Arial" w:cs="Arial"/>
          <w:sz w:val="20"/>
          <w:szCs w:val="20"/>
        </w:rPr>
      </w:pPr>
    </w:p>
    <w:p w:rsidR="00E41FFA" w:rsidRPr="009C467B" w:rsidRDefault="00E41FFA" w:rsidP="009604A3">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“Ancillary Services” means those services specified by Sections 1.2 and 3 of the OATT.</w:t>
      </w:r>
    </w:p>
    <w:p w:rsidR="009604A3" w:rsidRDefault="009604A3" w:rsidP="009604A3">
      <w:pPr>
        <w:pStyle w:val="BodyText"/>
        <w:spacing w:after="0" w:line="286" w:lineRule="exact"/>
        <w:ind w:left="360" w:right="360" w:firstLine="7"/>
        <w:rPr>
          <w:rFonts w:ascii="Arial" w:hAnsi="Arial" w:cs="Arial"/>
          <w:sz w:val="20"/>
          <w:szCs w:val="20"/>
        </w:rPr>
      </w:pPr>
    </w:p>
    <w:p w:rsidR="009604A3" w:rsidRDefault="009604A3" w:rsidP="009604A3">
      <w:pPr>
        <w:pStyle w:val="BodyText"/>
        <w:spacing w:after="0" w:line="286" w:lineRule="exact"/>
        <w:ind w:left="360" w:right="360" w:firstLine="7"/>
        <w:rPr>
          <w:rFonts w:ascii="Arial" w:hAnsi="Arial" w:cs="Arial"/>
          <w:sz w:val="20"/>
          <w:szCs w:val="20"/>
        </w:rPr>
      </w:pPr>
    </w:p>
    <w:p w:rsidR="007804EB" w:rsidRPr="009C467B" w:rsidRDefault="007804EB" w:rsidP="009604A3">
      <w:pPr>
        <w:pStyle w:val="BodyText"/>
        <w:spacing w:after="0" w:line="286" w:lineRule="exact"/>
        <w:ind w:left="360" w:right="360" w:firstLine="7"/>
        <w:rPr>
          <w:rFonts w:ascii="Arial" w:hAnsi="Arial" w:cs="Arial"/>
          <w:sz w:val="20"/>
          <w:szCs w:val="20"/>
        </w:rPr>
      </w:pPr>
      <w:bookmarkStart w:id="0" w:name="_GoBack"/>
      <w:bookmarkEnd w:id="0"/>
    </w:p>
    <w:p w:rsidR="009604A3" w:rsidRDefault="009604A3" w:rsidP="004D6394">
      <w:pPr>
        <w:pStyle w:val="BodyText"/>
        <w:spacing w:after="0" w:line="286" w:lineRule="exact"/>
        <w:ind w:right="720"/>
        <w:rPr>
          <w:rFonts w:ascii="Arial" w:hAnsi="Arial" w:cs="Arial"/>
          <w:sz w:val="20"/>
          <w:szCs w:val="20"/>
        </w:rPr>
      </w:pPr>
    </w:p>
    <w:p w:rsidR="009A4169" w:rsidRDefault="009A4169" w:rsidP="00496235">
      <w:pPr>
        <w:pStyle w:val="BodyText"/>
        <w:spacing w:after="0" w:line="286" w:lineRule="exact"/>
        <w:ind w:right="720"/>
        <w:rPr>
          <w:rFonts w:ascii="Arial" w:hAnsi="Arial" w:cs="Arial"/>
          <w:sz w:val="20"/>
          <w:szCs w:val="20"/>
        </w:rPr>
      </w:pPr>
    </w:p>
    <w:p w:rsidR="00965E04" w:rsidRDefault="00965E04" w:rsidP="00496235">
      <w:pPr>
        <w:pStyle w:val="BodyText"/>
        <w:spacing w:after="0" w:line="286" w:lineRule="exact"/>
        <w:ind w:right="720"/>
        <w:rPr>
          <w:rFonts w:ascii="Arial" w:hAnsi="Arial" w:cs="Arial"/>
          <w:sz w:val="20"/>
          <w:szCs w:val="20"/>
        </w:rPr>
      </w:pPr>
    </w:p>
    <w:p w:rsidR="00C32776" w:rsidRPr="00164966" w:rsidRDefault="00965E04" w:rsidP="00965E04">
      <w:pPr>
        <w:spacing w:after="0" w:line="240" w:lineRule="auto"/>
        <w:ind w:right="720"/>
        <w:jc w:val="right"/>
        <w:rPr>
          <w:rFonts w:ascii="Arial" w:hAnsi="Arial" w:cs="Arial"/>
          <w:sz w:val="20"/>
          <w:szCs w:val="20"/>
        </w:rPr>
      </w:pPr>
      <w:r>
        <w:rPr>
          <w:rFonts w:ascii="Arial" w:hAnsi="Arial" w:cs="Arial"/>
          <w:sz w:val="20"/>
          <w:szCs w:val="20"/>
        </w:rPr>
        <w:t>(</w:t>
      </w:r>
      <w:r w:rsidR="00C076F4" w:rsidRPr="00164966">
        <w:rPr>
          <w:rFonts w:ascii="Arial" w:hAnsi="Arial" w:cs="Arial"/>
          <w:sz w:val="20"/>
          <w:szCs w:val="20"/>
        </w:rPr>
        <w:t>Continued on Sheet No. 451-</w:t>
      </w:r>
      <w:r w:rsidR="00675483">
        <w:rPr>
          <w:rFonts w:ascii="Arial" w:hAnsi="Arial" w:cs="Arial"/>
          <w:sz w:val="20"/>
          <w:szCs w:val="20"/>
        </w:rPr>
        <w:t>Q</w:t>
      </w:r>
      <w:r w:rsidR="00C076F4" w:rsidRPr="00164966">
        <w:rPr>
          <w:rFonts w:ascii="Arial" w:hAnsi="Arial" w:cs="Arial"/>
          <w:sz w:val="20"/>
          <w:szCs w:val="20"/>
        </w:rPr>
        <w:t>)</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675483">
          <w:rPr>
            <w:u w:val="single"/>
          </w:rPr>
          <w:t>P</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611A7F90"/>
    <w:lvl w:ilvl="0">
      <w:start w:val="4"/>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1AEC4902"/>
    <w:lvl w:ilvl="0" w:tplc="CDD87404">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05D50"/>
    <w:rsid w:val="004139AE"/>
    <w:rsid w:val="00466466"/>
    <w:rsid w:val="00466546"/>
    <w:rsid w:val="00466A71"/>
    <w:rsid w:val="0047056F"/>
    <w:rsid w:val="00496235"/>
    <w:rsid w:val="004A7502"/>
    <w:rsid w:val="004B1B35"/>
    <w:rsid w:val="004D1087"/>
    <w:rsid w:val="004D6394"/>
    <w:rsid w:val="005141B1"/>
    <w:rsid w:val="005149F5"/>
    <w:rsid w:val="005241EE"/>
    <w:rsid w:val="00543EA4"/>
    <w:rsid w:val="005743AB"/>
    <w:rsid w:val="005746B6"/>
    <w:rsid w:val="00575DD5"/>
    <w:rsid w:val="00596AA0"/>
    <w:rsid w:val="005B033D"/>
    <w:rsid w:val="005D7A32"/>
    <w:rsid w:val="005E09BA"/>
    <w:rsid w:val="00616FBB"/>
    <w:rsid w:val="0065551E"/>
    <w:rsid w:val="00663D77"/>
    <w:rsid w:val="00675483"/>
    <w:rsid w:val="006A72BD"/>
    <w:rsid w:val="006C27C7"/>
    <w:rsid w:val="006D2365"/>
    <w:rsid w:val="006E75FB"/>
    <w:rsid w:val="00703E53"/>
    <w:rsid w:val="0070796F"/>
    <w:rsid w:val="00707DF4"/>
    <w:rsid w:val="007106C8"/>
    <w:rsid w:val="00716A97"/>
    <w:rsid w:val="00722E11"/>
    <w:rsid w:val="00730332"/>
    <w:rsid w:val="00757C64"/>
    <w:rsid w:val="00770E9A"/>
    <w:rsid w:val="007804EB"/>
    <w:rsid w:val="00784841"/>
    <w:rsid w:val="00795847"/>
    <w:rsid w:val="007A48CC"/>
    <w:rsid w:val="007B3F61"/>
    <w:rsid w:val="007D11B1"/>
    <w:rsid w:val="007D24F2"/>
    <w:rsid w:val="007D434A"/>
    <w:rsid w:val="007E6230"/>
    <w:rsid w:val="007F3BEC"/>
    <w:rsid w:val="0080589E"/>
    <w:rsid w:val="008312C9"/>
    <w:rsid w:val="008523E4"/>
    <w:rsid w:val="00880B8E"/>
    <w:rsid w:val="00882FF5"/>
    <w:rsid w:val="008A3E31"/>
    <w:rsid w:val="008A7114"/>
    <w:rsid w:val="008A742D"/>
    <w:rsid w:val="008B3592"/>
    <w:rsid w:val="008C1F4D"/>
    <w:rsid w:val="008C5431"/>
    <w:rsid w:val="008D7577"/>
    <w:rsid w:val="008E58E7"/>
    <w:rsid w:val="0091741E"/>
    <w:rsid w:val="009342D5"/>
    <w:rsid w:val="00941F3E"/>
    <w:rsid w:val="00957A0B"/>
    <w:rsid w:val="009604A3"/>
    <w:rsid w:val="00965E04"/>
    <w:rsid w:val="009878A2"/>
    <w:rsid w:val="00993140"/>
    <w:rsid w:val="0099361B"/>
    <w:rsid w:val="009A4169"/>
    <w:rsid w:val="009B1D7A"/>
    <w:rsid w:val="009B7806"/>
    <w:rsid w:val="009C0FDF"/>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E29FC"/>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3D30"/>
    <w:rsid w:val="00DB60D7"/>
    <w:rsid w:val="00DC040E"/>
    <w:rsid w:val="00DC2AAE"/>
    <w:rsid w:val="00DD07CF"/>
    <w:rsid w:val="00DE4028"/>
    <w:rsid w:val="00DF04B6"/>
    <w:rsid w:val="00DF5D0F"/>
    <w:rsid w:val="00E002F2"/>
    <w:rsid w:val="00E042E8"/>
    <w:rsid w:val="00E07D30"/>
    <w:rsid w:val="00E12B4A"/>
    <w:rsid w:val="00E41FFA"/>
    <w:rsid w:val="00E526ED"/>
    <w:rsid w:val="00E61AEC"/>
    <w:rsid w:val="00E72624"/>
    <w:rsid w:val="00E74A20"/>
    <w:rsid w:val="00E84B31"/>
    <w:rsid w:val="00E9001F"/>
    <w:rsid w:val="00E94710"/>
    <w:rsid w:val="00EC4414"/>
    <w:rsid w:val="00ED0DBA"/>
    <w:rsid w:val="00ED6D74"/>
    <w:rsid w:val="00ED7F87"/>
    <w:rsid w:val="00EF663C"/>
    <w:rsid w:val="00F05B1D"/>
    <w:rsid w:val="00F17EB9"/>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AEC417-8465-4D24-BA2D-70A800D85F34}"/>
</file>

<file path=customXml/itemProps2.xml><?xml version="1.0" encoding="utf-8"?>
<ds:datastoreItem xmlns:ds="http://schemas.openxmlformats.org/officeDocument/2006/customXml" ds:itemID="{EFA9865F-4117-498C-9C61-E3DA5F60B5D6}"/>
</file>

<file path=customXml/itemProps3.xml><?xml version="1.0" encoding="utf-8"?>
<ds:datastoreItem xmlns:ds="http://schemas.openxmlformats.org/officeDocument/2006/customXml" ds:itemID="{7CA6FCAE-A6C6-486C-9E7F-C7E14E6FCF14}"/>
</file>

<file path=customXml/itemProps4.xml><?xml version="1.0" encoding="utf-8"?>
<ds:datastoreItem xmlns:ds="http://schemas.openxmlformats.org/officeDocument/2006/customXml" ds:itemID="{AE5C0C83-EAAA-4268-BFC5-BFB9C63683A1}"/>
</file>

<file path=docProps/app.xml><?xml version="1.0" encoding="utf-8"?>
<Properties xmlns="http://schemas.openxmlformats.org/officeDocument/2006/extended-properties" xmlns:vt="http://schemas.openxmlformats.org/officeDocument/2006/docPropsVTypes">
  <Template>(Electric)Tariff Sheet Template.dotx</Template>
  <TotalTime>8</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7</cp:revision>
  <cp:lastPrinted>2016-10-06T18:22:00Z</cp:lastPrinted>
  <dcterms:created xsi:type="dcterms:W3CDTF">2016-10-06T21:00:00Z</dcterms:created>
  <dcterms:modified xsi:type="dcterms:W3CDTF">2016-10-06T22:10:00Z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