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DA" w:rsidRDefault="00773B3B" w:rsidP="00970A9B">
      <w:pPr>
        <w:pStyle w:val="Default"/>
        <w:rPr>
          <w:rFonts w:ascii="Times New Roman" w:hAnsi="Times New Roman" w:cs="Arial"/>
          <w:sz w:val="22"/>
          <w:szCs w:val="22"/>
        </w:rPr>
      </w:pPr>
      <w:r>
        <w:rPr>
          <w:rFonts w:ascii="Times New Roman" w:hAnsi="Times New Roman" w:cs="Arial"/>
          <w:sz w:val="22"/>
          <w:szCs w:val="22"/>
        </w:rPr>
        <w:t>September 23</w:t>
      </w:r>
      <w:r w:rsidR="007A52DA">
        <w:rPr>
          <w:rFonts w:ascii="Times New Roman" w:hAnsi="Times New Roman" w:cs="Arial"/>
          <w:sz w:val="22"/>
          <w:szCs w:val="22"/>
        </w:rPr>
        <w:t>, 2015</w:t>
      </w:r>
    </w:p>
    <w:p w:rsidR="007A52DA" w:rsidRDefault="007A52DA" w:rsidP="00970A9B">
      <w:pPr>
        <w:pStyle w:val="Default"/>
        <w:rPr>
          <w:rFonts w:ascii="Times New Roman" w:hAnsi="Times New Roman" w:cs="Arial"/>
          <w:sz w:val="22"/>
          <w:szCs w:val="22"/>
        </w:rPr>
      </w:pPr>
    </w:p>
    <w:p w:rsidR="00C308EC" w:rsidRDefault="00C308EC" w:rsidP="00C308EC">
      <w:pPr>
        <w:pStyle w:val="Default"/>
        <w:rPr>
          <w:rFonts w:ascii="Times New Roman" w:hAnsi="Times New Roman" w:cs="Arial"/>
          <w:sz w:val="22"/>
          <w:szCs w:val="22"/>
        </w:rPr>
      </w:pPr>
      <w:r>
        <w:rPr>
          <w:rFonts w:ascii="Times New Roman" w:hAnsi="Times New Roman" w:cs="Arial"/>
          <w:sz w:val="22"/>
          <w:szCs w:val="22"/>
        </w:rPr>
        <w:t>Clean Power Development LLC</w:t>
      </w:r>
    </w:p>
    <w:p w:rsidR="00C308EC" w:rsidRDefault="00C308EC" w:rsidP="00970A9B">
      <w:pPr>
        <w:pStyle w:val="Default"/>
        <w:rPr>
          <w:rFonts w:ascii="Times New Roman" w:hAnsi="Times New Roman" w:cs="Arial"/>
          <w:sz w:val="22"/>
          <w:szCs w:val="22"/>
        </w:rPr>
      </w:pPr>
      <w:r>
        <w:rPr>
          <w:rFonts w:ascii="Times New Roman" w:hAnsi="Times New Roman" w:cs="Arial"/>
          <w:sz w:val="22"/>
          <w:szCs w:val="22"/>
        </w:rPr>
        <w:t xml:space="preserve">Nathan A. </w:t>
      </w:r>
      <w:proofErr w:type="spellStart"/>
      <w:r>
        <w:rPr>
          <w:rFonts w:ascii="Times New Roman" w:hAnsi="Times New Roman" w:cs="Arial"/>
          <w:sz w:val="22"/>
          <w:szCs w:val="22"/>
        </w:rPr>
        <w:t>Sandvig</w:t>
      </w:r>
      <w:proofErr w:type="spellEnd"/>
    </w:p>
    <w:p w:rsidR="00C308EC" w:rsidRDefault="00C308EC" w:rsidP="00970A9B">
      <w:pPr>
        <w:pStyle w:val="Default"/>
        <w:rPr>
          <w:rFonts w:ascii="Times New Roman" w:hAnsi="Times New Roman" w:cs="Arial"/>
          <w:sz w:val="22"/>
          <w:szCs w:val="22"/>
        </w:rPr>
      </w:pPr>
      <w:r>
        <w:rPr>
          <w:rFonts w:ascii="Times New Roman" w:hAnsi="Times New Roman" w:cs="Arial"/>
          <w:sz w:val="22"/>
          <w:szCs w:val="22"/>
        </w:rPr>
        <w:t>President</w:t>
      </w:r>
    </w:p>
    <w:p w:rsidR="00C308EC" w:rsidRDefault="00C308EC" w:rsidP="00970A9B">
      <w:pPr>
        <w:pStyle w:val="Default"/>
        <w:rPr>
          <w:rFonts w:ascii="Times New Roman" w:hAnsi="Times New Roman" w:cs="Arial"/>
          <w:sz w:val="22"/>
          <w:szCs w:val="22"/>
        </w:rPr>
      </w:pPr>
      <w:r>
        <w:rPr>
          <w:rFonts w:ascii="Times New Roman" w:hAnsi="Times New Roman" w:cs="Arial"/>
          <w:sz w:val="22"/>
          <w:szCs w:val="22"/>
        </w:rPr>
        <w:t>8024 SE 35</w:t>
      </w:r>
      <w:r w:rsidRPr="00C308EC">
        <w:rPr>
          <w:rFonts w:ascii="Times New Roman" w:hAnsi="Times New Roman" w:cs="Arial"/>
          <w:sz w:val="22"/>
          <w:szCs w:val="22"/>
          <w:vertAlign w:val="superscript"/>
        </w:rPr>
        <w:t>TH</w:t>
      </w:r>
      <w:r>
        <w:rPr>
          <w:rFonts w:ascii="Times New Roman" w:hAnsi="Times New Roman" w:cs="Arial"/>
          <w:sz w:val="22"/>
          <w:szCs w:val="22"/>
        </w:rPr>
        <w:t xml:space="preserve"> Avenue</w:t>
      </w:r>
    </w:p>
    <w:p w:rsidR="00C308EC" w:rsidRDefault="00C308EC" w:rsidP="00970A9B">
      <w:pPr>
        <w:pStyle w:val="Default"/>
        <w:rPr>
          <w:rFonts w:ascii="Times New Roman" w:hAnsi="Times New Roman" w:cs="Arial"/>
          <w:sz w:val="22"/>
          <w:szCs w:val="22"/>
        </w:rPr>
      </w:pPr>
      <w:r>
        <w:rPr>
          <w:rFonts w:ascii="Times New Roman" w:hAnsi="Times New Roman" w:cs="Arial"/>
          <w:sz w:val="22"/>
          <w:szCs w:val="22"/>
        </w:rPr>
        <w:t>Portland, OR  97202</w:t>
      </w:r>
    </w:p>
    <w:p w:rsidR="00C308EC" w:rsidRDefault="00C308EC" w:rsidP="00970A9B">
      <w:pPr>
        <w:pStyle w:val="Default"/>
        <w:rPr>
          <w:rFonts w:ascii="Times New Roman" w:hAnsi="Times New Roman" w:cs="Arial"/>
          <w:sz w:val="22"/>
          <w:szCs w:val="22"/>
        </w:rPr>
      </w:pPr>
    </w:p>
    <w:p w:rsidR="007A52DA" w:rsidRDefault="007A52DA" w:rsidP="00970A9B">
      <w:pPr>
        <w:pStyle w:val="Default"/>
        <w:rPr>
          <w:rFonts w:ascii="Times New Roman" w:hAnsi="Times New Roman" w:cs="Arial"/>
          <w:sz w:val="22"/>
          <w:szCs w:val="22"/>
        </w:rPr>
      </w:pPr>
      <w:r>
        <w:rPr>
          <w:rFonts w:ascii="Times New Roman" w:hAnsi="Times New Roman" w:cs="Arial"/>
          <w:sz w:val="22"/>
          <w:szCs w:val="22"/>
        </w:rPr>
        <w:t>Steven V. King</w:t>
      </w:r>
    </w:p>
    <w:p w:rsidR="007A52DA" w:rsidRDefault="007A52DA" w:rsidP="00970A9B">
      <w:pPr>
        <w:pStyle w:val="Default"/>
        <w:rPr>
          <w:rFonts w:ascii="Times New Roman" w:hAnsi="Times New Roman" w:cs="Arial"/>
          <w:sz w:val="22"/>
          <w:szCs w:val="22"/>
        </w:rPr>
      </w:pPr>
      <w:r>
        <w:rPr>
          <w:rFonts w:ascii="Times New Roman" w:hAnsi="Times New Roman" w:cs="Arial"/>
          <w:sz w:val="22"/>
          <w:szCs w:val="22"/>
        </w:rPr>
        <w:t>Executive Director and Secretary</w:t>
      </w:r>
    </w:p>
    <w:p w:rsidR="007A52DA" w:rsidRDefault="007A52DA" w:rsidP="00970A9B">
      <w:pPr>
        <w:pStyle w:val="Default"/>
        <w:rPr>
          <w:rFonts w:ascii="Times New Roman" w:hAnsi="Times New Roman" w:cs="Arial"/>
          <w:sz w:val="22"/>
          <w:szCs w:val="22"/>
        </w:rPr>
      </w:pPr>
      <w:r>
        <w:rPr>
          <w:rFonts w:ascii="Times New Roman" w:hAnsi="Times New Roman" w:cs="Arial"/>
          <w:sz w:val="22"/>
          <w:szCs w:val="22"/>
        </w:rPr>
        <w:t>Washington Utilities and Transportation Commission</w:t>
      </w:r>
    </w:p>
    <w:p w:rsidR="007A52DA" w:rsidRDefault="007A52DA" w:rsidP="00970A9B">
      <w:pPr>
        <w:pStyle w:val="Default"/>
        <w:rPr>
          <w:rFonts w:ascii="Times New Roman" w:hAnsi="Times New Roman" w:cs="Arial"/>
          <w:sz w:val="22"/>
          <w:szCs w:val="22"/>
        </w:rPr>
      </w:pPr>
      <w:r>
        <w:rPr>
          <w:rFonts w:ascii="Times New Roman" w:hAnsi="Times New Roman" w:cs="Arial"/>
          <w:sz w:val="22"/>
          <w:szCs w:val="22"/>
        </w:rPr>
        <w:t>P.O. Box 47250</w:t>
      </w:r>
    </w:p>
    <w:p w:rsidR="007A52DA" w:rsidRDefault="007A52DA" w:rsidP="00970A9B">
      <w:pPr>
        <w:pStyle w:val="Default"/>
        <w:rPr>
          <w:rFonts w:ascii="Times New Roman" w:hAnsi="Times New Roman" w:cs="Arial"/>
          <w:sz w:val="22"/>
          <w:szCs w:val="22"/>
        </w:rPr>
      </w:pPr>
      <w:proofErr w:type="gramStart"/>
      <w:r>
        <w:rPr>
          <w:rFonts w:ascii="Times New Roman" w:hAnsi="Times New Roman" w:cs="Arial"/>
          <w:sz w:val="22"/>
          <w:szCs w:val="22"/>
        </w:rPr>
        <w:t>1300 S. Evergreen Park Drive S.W.</w:t>
      </w:r>
      <w:proofErr w:type="gramEnd"/>
    </w:p>
    <w:p w:rsidR="007A52DA" w:rsidRDefault="007A52DA" w:rsidP="00970A9B">
      <w:pPr>
        <w:pStyle w:val="Default"/>
        <w:rPr>
          <w:rFonts w:ascii="Times New Roman" w:hAnsi="Times New Roman" w:cs="Arial"/>
          <w:sz w:val="22"/>
          <w:szCs w:val="22"/>
        </w:rPr>
      </w:pPr>
      <w:r>
        <w:rPr>
          <w:rFonts w:ascii="Times New Roman" w:hAnsi="Times New Roman" w:cs="Arial"/>
          <w:sz w:val="22"/>
          <w:szCs w:val="22"/>
        </w:rPr>
        <w:t>Olympia, WA  98504-7250</w:t>
      </w:r>
    </w:p>
    <w:p w:rsidR="007A52DA" w:rsidRDefault="007A52DA" w:rsidP="00970A9B">
      <w:pPr>
        <w:pStyle w:val="Default"/>
        <w:rPr>
          <w:rFonts w:ascii="Times New Roman" w:hAnsi="Times New Roman" w:cs="Arial"/>
          <w:sz w:val="22"/>
          <w:szCs w:val="22"/>
        </w:rPr>
      </w:pPr>
    </w:p>
    <w:p w:rsidR="007A52DA" w:rsidRPr="007A52DA" w:rsidRDefault="007A52DA" w:rsidP="00970A9B">
      <w:pPr>
        <w:pStyle w:val="Default"/>
        <w:rPr>
          <w:rFonts w:ascii="Times New Roman" w:hAnsi="Times New Roman" w:cs="Arial"/>
          <w:b/>
          <w:sz w:val="22"/>
          <w:szCs w:val="22"/>
        </w:rPr>
      </w:pPr>
      <w:r w:rsidRPr="007A52DA">
        <w:rPr>
          <w:rFonts w:ascii="Times New Roman" w:hAnsi="Times New Roman" w:cs="Arial"/>
          <w:b/>
          <w:sz w:val="22"/>
          <w:szCs w:val="22"/>
        </w:rPr>
        <w:t>RE:  Modeling energy storage in integrated resource planning, Docket UE-151069</w:t>
      </w:r>
    </w:p>
    <w:p w:rsidR="007A52DA" w:rsidRDefault="007A52DA" w:rsidP="00970A9B">
      <w:pPr>
        <w:pStyle w:val="Default"/>
        <w:rPr>
          <w:rFonts w:ascii="Times New Roman" w:hAnsi="Times New Roman" w:cs="Arial"/>
          <w:sz w:val="22"/>
          <w:szCs w:val="22"/>
        </w:rPr>
      </w:pPr>
    </w:p>
    <w:p w:rsidR="00FB51C9" w:rsidRPr="00C8114D" w:rsidRDefault="00773B3B" w:rsidP="00970A9B">
      <w:pPr>
        <w:pStyle w:val="Default"/>
        <w:rPr>
          <w:rFonts w:ascii="Times New Roman" w:hAnsi="Times New Roman" w:cs="Arial"/>
          <w:sz w:val="22"/>
          <w:szCs w:val="22"/>
        </w:rPr>
      </w:pPr>
      <w:r>
        <w:rPr>
          <w:rFonts w:ascii="Times New Roman" w:hAnsi="Times New Roman" w:cs="Arial"/>
          <w:sz w:val="22"/>
          <w:szCs w:val="22"/>
        </w:rPr>
        <w:t xml:space="preserve">Clean </w:t>
      </w:r>
      <w:r w:rsidR="00FB51C9" w:rsidRPr="00C8114D">
        <w:rPr>
          <w:rFonts w:ascii="Times New Roman" w:hAnsi="Times New Roman" w:cs="Arial"/>
          <w:sz w:val="22"/>
          <w:szCs w:val="22"/>
        </w:rPr>
        <w:t>Power Development</w:t>
      </w:r>
      <w:r w:rsidR="00970A9B" w:rsidRPr="00C8114D">
        <w:rPr>
          <w:rFonts w:ascii="Times New Roman" w:hAnsi="Times New Roman" w:cs="Arial"/>
          <w:sz w:val="22"/>
          <w:szCs w:val="22"/>
        </w:rPr>
        <w:t xml:space="preserve"> LLC</w:t>
      </w:r>
      <w:r>
        <w:rPr>
          <w:rFonts w:ascii="Times New Roman" w:hAnsi="Times New Roman" w:cs="Arial"/>
          <w:sz w:val="22"/>
          <w:szCs w:val="22"/>
        </w:rPr>
        <w:t xml:space="preserve"> (CPD LLC)</w:t>
      </w:r>
      <w:r w:rsidR="00970A9B" w:rsidRPr="00C8114D">
        <w:rPr>
          <w:rFonts w:ascii="Times New Roman" w:hAnsi="Times New Roman" w:cs="Arial"/>
          <w:sz w:val="22"/>
          <w:szCs w:val="22"/>
        </w:rPr>
        <w:t xml:space="preserve"> </w:t>
      </w:r>
      <w:r>
        <w:rPr>
          <w:rFonts w:ascii="Times New Roman" w:hAnsi="Times New Roman" w:cs="Arial"/>
          <w:sz w:val="22"/>
          <w:szCs w:val="22"/>
        </w:rPr>
        <w:t xml:space="preserve">appreciates the opportunity to comment.  CPD LLC </w:t>
      </w:r>
      <w:r w:rsidR="00FB51C9" w:rsidRPr="00C8114D">
        <w:rPr>
          <w:rFonts w:ascii="Times New Roman" w:hAnsi="Times New Roman" w:cs="Arial"/>
          <w:sz w:val="22"/>
          <w:szCs w:val="22"/>
        </w:rPr>
        <w:t>was formed</w:t>
      </w:r>
      <w:r w:rsidR="00970A9B" w:rsidRPr="00C8114D">
        <w:rPr>
          <w:rFonts w:ascii="Times New Roman" w:hAnsi="Times New Roman" w:cs="Arial"/>
          <w:sz w:val="22"/>
          <w:szCs w:val="22"/>
        </w:rPr>
        <w:t xml:space="preserve"> to support </w:t>
      </w:r>
      <w:r w:rsidR="00CC621D">
        <w:rPr>
          <w:rFonts w:ascii="Times New Roman" w:hAnsi="Times New Roman" w:cs="Arial"/>
          <w:sz w:val="22"/>
          <w:szCs w:val="22"/>
        </w:rPr>
        <w:t xml:space="preserve">policy and </w:t>
      </w:r>
      <w:r w:rsidR="00970A9B" w:rsidRPr="00C8114D">
        <w:rPr>
          <w:rFonts w:ascii="Times New Roman" w:hAnsi="Times New Roman" w:cs="Arial"/>
          <w:sz w:val="22"/>
          <w:szCs w:val="22"/>
        </w:rPr>
        <w:t xml:space="preserve">renewable energy project development, capitalizing on the need for future reliable clean energy to successfully implement the </w:t>
      </w:r>
      <w:r w:rsidR="00C8114D" w:rsidRPr="00C8114D">
        <w:rPr>
          <w:rFonts w:ascii="Times New Roman" w:hAnsi="Times New Roman" w:cs="Arial"/>
          <w:sz w:val="22"/>
          <w:szCs w:val="22"/>
        </w:rPr>
        <w:t>E</w:t>
      </w:r>
      <w:r w:rsidR="00C8114D">
        <w:rPr>
          <w:rFonts w:ascii="Times New Roman" w:hAnsi="Times New Roman" w:cs="Arial"/>
          <w:sz w:val="22"/>
          <w:szCs w:val="22"/>
        </w:rPr>
        <w:t xml:space="preserve">nvironmental </w:t>
      </w:r>
      <w:r w:rsidR="00970A9B" w:rsidRPr="00C8114D">
        <w:rPr>
          <w:rFonts w:ascii="Times New Roman" w:hAnsi="Times New Roman" w:cs="Arial"/>
          <w:sz w:val="22"/>
          <w:szCs w:val="22"/>
        </w:rPr>
        <w:t>P</w:t>
      </w:r>
      <w:r w:rsidR="00C8114D">
        <w:rPr>
          <w:rFonts w:ascii="Times New Roman" w:hAnsi="Times New Roman" w:cs="Arial"/>
          <w:sz w:val="22"/>
          <w:szCs w:val="22"/>
        </w:rPr>
        <w:t xml:space="preserve">rotection </w:t>
      </w:r>
      <w:r w:rsidR="00970A9B" w:rsidRPr="00C8114D">
        <w:rPr>
          <w:rFonts w:ascii="Times New Roman" w:hAnsi="Times New Roman" w:cs="Arial"/>
          <w:sz w:val="22"/>
          <w:szCs w:val="22"/>
        </w:rPr>
        <w:t>A</w:t>
      </w:r>
      <w:r w:rsidR="00C8114D">
        <w:rPr>
          <w:rFonts w:ascii="Times New Roman" w:hAnsi="Times New Roman" w:cs="Arial"/>
          <w:sz w:val="22"/>
          <w:szCs w:val="22"/>
        </w:rPr>
        <w:t>gency</w:t>
      </w:r>
      <w:r w:rsidR="00970A9B" w:rsidRPr="00C8114D">
        <w:rPr>
          <w:rFonts w:ascii="Times New Roman" w:hAnsi="Times New Roman" w:cs="Arial"/>
          <w:sz w:val="22"/>
          <w:szCs w:val="22"/>
        </w:rPr>
        <w:t>’s</w:t>
      </w:r>
      <w:r w:rsidR="00C8114D">
        <w:rPr>
          <w:rFonts w:ascii="Times New Roman" w:hAnsi="Times New Roman" w:cs="Arial"/>
          <w:sz w:val="22"/>
          <w:szCs w:val="22"/>
        </w:rPr>
        <w:t xml:space="preserve"> (EPA)</w:t>
      </w:r>
      <w:r w:rsidR="00970A9B" w:rsidRPr="00C8114D">
        <w:rPr>
          <w:rFonts w:ascii="Times New Roman" w:hAnsi="Times New Roman" w:cs="Arial"/>
          <w:sz w:val="22"/>
          <w:szCs w:val="22"/>
        </w:rPr>
        <w:t xml:space="preserve"> Clean Power Plan in </w:t>
      </w:r>
      <w:r w:rsidR="0002137C">
        <w:rPr>
          <w:rFonts w:ascii="Times New Roman" w:hAnsi="Times New Roman" w:cs="Arial"/>
          <w:sz w:val="22"/>
          <w:szCs w:val="22"/>
        </w:rPr>
        <w:t xml:space="preserve">successfully de-carbonizing our power system cost-effectively.    </w:t>
      </w:r>
    </w:p>
    <w:p w:rsidR="00FB51C9" w:rsidRPr="00C8114D" w:rsidRDefault="00FB51C9" w:rsidP="00970A9B">
      <w:pPr>
        <w:pStyle w:val="Default"/>
        <w:rPr>
          <w:rFonts w:ascii="Times New Roman" w:hAnsi="Times New Roman" w:cs="Arial"/>
          <w:sz w:val="22"/>
          <w:szCs w:val="22"/>
        </w:rPr>
      </w:pPr>
    </w:p>
    <w:p w:rsidR="00FB51C9" w:rsidRPr="00C8114D" w:rsidRDefault="00FB51C9" w:rsidP="00FB51C9">
      <w:pPr>
        <w:pStyle w:val="NormalWeb"/>
        <w:shd w:val="clear" w:color="auto" w:fill="FFFFFF"/>
        <w:spacing w:before="2" w:after="2"/>
        <w:rPr>
          <w:rFonts w:ascii="Times New Roman" w:hAnsi="Times New Roman"/>
          <w:sz w:val="22"/>
          <w:szCs w:val="24"/>
        </w:rPr>
      </w:pPr>
      <w:r w:rsidRPr="00C8114D">
        <w:rPr>
          <w:rFonts w:ascii="Times New Roman" w:hAnsi="Times New Roman"/>
          <w:sz w:val="22"/>
          <w:szCs w:val="24"/>
        </w:rPr>
        <w:t xml:space="preserve">Over the past decade, the Northwest has seen explosive growth in wind generation. Wind generation on Bonneville Power Administration’s </w:t>
      </w:r>
      <w:r w:rsidR="00E36C56" w:rsidRPr="00C8114D">
        <w:rPr>
          <w:rFonts w:ascii="Times New Roman" w:hAnsi="Times New Roman"/>
          <w:sz w:val="22"/>
          <w:szCs w:val="24"/>
        </w:rPr>
        <w:t xml:space="preserve">(BPA) </w:t>
      </w:r>
      <w:r w:rsidRPr="00C8114D">
        <w:rPr>
          <w:rFonts w:ascii="Times New Roman" w:hAnsi="Times New Roman"/>
          <w:sz w:val="22"/>
          <w:szCs w:val="24"/>
        </w:rPr>
        <w:t>balancing authority in the Northwest grew from almost n</w:t>
      </w:r>
      <w:r w:rsidR="00E36C56" w:rsidRPr="00C8114D">
        <w:rPr>
          <w:rFonts w:ascii="Times New Roman" w:hAnsi="Times New Roman"/>
          <w:sz w:val="22"/>
          <w:szCs w:val="24"/>
        </w:rPr>
        <w:t>othing in 1998, to over 4,700 megawatts (MW)</w:t>
      </w:r>
      <w:r w:rsidR="00CC621D">
        <w:rPr>
          <w:rFonts w:ascii="Times New Roman" w:hAnsi="Times New Roman"/>
          <w:sz w:val="22"/>
          <w:szCs w:val="24"/>
        </w:rPr>
        <w:t xml:space="preserve"> today</w:t>
      </w:r>
      <w:r w:rsidRPr="00C8114D">
        <w:rPr>
          <w:rFonts w:ascii="Times New Roman" w:hAnsi="Times New Roman"/>
          <w:sz w:val="22"/>
          <w:szCs w:val="24"/>
        </w:rPr>
        <w:t xml:space="preserve">. </w:t>
      </w:r>
    </w:p>
    <w:p w:rsidR="00FB51C9" w:rsidRPr="00C8114D" w:rsidRDefault="00FB51C9" w:rsidP="00FB51C9">
      <w:pPr>
        <w:pStyle w:val="NormalWeb"/>
        <w:shd w:val="clear" w:color="auto" w:fill="FFFFFF"/>
        <w:spacing w:before="2" w:after="2"/>
        <w:rPr>
          <w:rFonts w:ascii="Times New Roman" w:hAnsi="Times New Roman"/>
          <w:sz w:val="22"/>
          <w:szCs w:val="24"/>
        </w:rPr>
      </w:pPr>
    </w:p>
    <w:p w:rsidR="00FB51C9" w:rsidRPr="00C8114D" w:rsidRDefault="00FB51C9" w:rsidP="00FB51C9">
      <w:pPr>
        <w:pStyle w:val="NormalWeb"/>
        <w:shd w:val="clear" w:color="auto" w:fill="FFFFFF"/>
        <w:spacing w:before="2" w:after="2"/>
        <w:rPr>
          <w:rFonts w:ascii="Times New Roman" w:hAnsi="Times New Roman"/>
          <w:sz w:val="22"/>
        </w:rPr>
      </w:pPr>
      <w:r w:rsidRPr="00C8114D">
        <w:rPr>
          <w:rFonts w:ascii="Times New Roman" w:hAnsi="Times New Roman"/>
          <w:sz w:val="22"/>
          <w:szCs w:val="24"/>
        </w:rPr>
        <w:t>As a result of this exponential growth, the installed operating wind energy capacity in the Northwest is one of the highest in the country as a percentage of load (15% wind penetration) with the majority located in t</w:t>
      </w:r>
      <w:r w:rsidR="00E36C56" w:rsidRPr="00C8114D">
        <w:rPr>
          <w:rFonts w:ascii="Times New Roman" w:hAnsi="Times New Roman"/>
          <w:sz w:val="22"/>
          <w:szCs w:val="24"/>
        </w:rPr>
        <w:t xml:space="preserve">he Columbia River Gorge </w:t>
      </w:r>
      <w:r w:rsidRPr="00C8114D">
        <w:rPr>
          <w:rFonts w:ascii="Times New Roman" w:hAnsi="Times New Roman"/>
          <w:sz w:val="22"/>
          <w:szCs w:val="24"/>
        </w:rPr>
        <w:t>representing o</w:t>
      </w:r>
      <w:r w:rsidR="0013432D">
        <w:rPr>
          <w:rFonts w:ascii="Times New Roman" w:hAnsi="Times New Roman"/>
          <w:sz w:val="22"/>
          <w:szCs w:val="24"/>
        </w:rPr>
        <w:t>ver a $6</w:t>
      </w:r>
      <w:r w:rsidR="00CC621D">
        <w:rPr>
          <w:rFonts w:ascii="Times New Roman" w:hAnsi="Times New Roman"/>
          <w:sz w:val="22"/>
          <w:szCs w:val="24"/>
        </w:rPr>
        <w:t xml:space="preserve"> Billion </w:t>
      </w:r>
      <w:r w:rsidRPr="00C8114D">
        <w:rPr>
          <w:rFonts w:ascii="Times New Roman" w:hAnsi="Times New Roman"/>
          <w:sz w:val="22"/>
          <w:szCs w:val="24"/>
        </w:rPr>
        <w:t>clean energy inve</w:t>
      </w:r>
      <w:r w:rsidR="00E36C56" w:rsidRPr="00C8114D">
        <w:rPr>
          <w:rFonts w:ascii="Times New Roman" w:hAnsi="Times New Roman"/>
          <w:sz w:val="22"/>
          <w:szCs w:val="24"/>
        </w:rPr>
        <w:t>stment and substantial rural economic development.</w:t>
      </w:r>
    </w:p>
    <w:p w:rsidR="00FB51C9" w:rsidRPr="00C8114D" w:rsidRDefault="00FB51C9" w:rsidP="00FB51C9">
      <w:pPr>
        <w:pStyle w:val="NormalWeb"/>
        <w:shd w:val="clear" w:color="auto" w:fill="FFFFFF"/>
        <w:spacing w:before="2" w:after="2"/>
        <w:rPr>
          <w:rFonts w:ascii="Times New Roman" w:hAnsi="Times New Roman"/>
          <w:sz w:val="22"/>
        </w:rPr>
      </w:pPr>
    </w:p>
    <w:p w:rsidR="00C8114D" w:rsidRDefault="00C8114D" w:rsidP="00FB51C9">
      <w:pPr>
        <w:rPr>
          <w:rFonts w:ascii="Times New Roman" w:hAnsi="Times New Roman"/>
          <w:sz w:val="22"/>
        </w:rPr>
      </w:pPr>
      <w:r w:rsidRPr="00C8114D">
        <w:rPr>
          <w:rFonts w:ascii="Times New Roman" w:hAnsi="Times New Roman"/>
          <w:sz w:val="22"/>
        </w:rPr>
        <w:t>Unfortunately</w:t>
      </w:r>
      <w:r w:rsidR="00CC621D">
        <w:rPr>
          <w:rFonts w:ascii="Times New Roman" w:hAnsi="Times New Roman"/>
          <w:sz w:val="22"/>
        </w:rPr>
        <w:t xml:space="preserve">, new wind project development </w:t>
      </w:r>
      <w:r>
        <w:rPr>
          <w:rFonts w:ascii="Times New Roman" w:hAnsi="Times New Roman"/>
          <w:sz w:val="22"/>
        </w:rPr>
        <w:t>in the Northwest</w:t>
      </w:r>
      <w:r w:rsidR="00FB51C9" w:rsidRPr="00C8114D">
        <w:rPr>
          <w:rFonts w:ascii="Times New Roman" w:hAnsi="Times New Roman"/>
          <w:sz w:val="22"/>
        </w:rPr>
        <w:t xml:space="preserve"> effectively died </w:t>
      </w:r>
      <w:r w:rsidR="00C27091">
        <w:rPr>
          <w:rFonts w:ascii="Times New Roman" w:hAnsi="Times New Roman"/>
          <w:sz w:val="22"/>
        </w:rPr>
        <w:t xml:space="preserve">several years ago </w:t>
      </w:r>
      <w:r w:rsidR="00FB51C9" w:rsidRPr="00C8114D">
        <w:rPr>
          <w:rFonts w:ascii="Times New Roman" w:hAnsi="Times New Roman"/>
          <w:sz w:val="22"/>
        </w:rPr>
        <w:t xml:space="preserve">due to California fencing out </w:t>
      </w:r>
      <w:proofErr w:type="spellStart"/>
      <w:r w:rsidR="00FB51C9" w:rsidRPr="00C8114D">
        <w:rPr>
          <w:rFonts w:ascii="Times New Roman" w:hAnsi="Times New Roman"/>
          <w:sz w:val="22"/>
        </w:rPr>
        <w:t>renewables</w:t>
      </w:r>
      <w:proofErr w:type="spellEnd"/>
      <w:r w:rsidR="00FB51C9" w:rsidRPr="00C8114D">
        <w:rPr>
          <w:rFonts w:ascii="Times New Roman" w:hAnsi="Times New Roman"/>
          <w:sz w:val="22"/>
        </w:rPr>
        <w:t xml:space="preserve"> and the region’</w:t>
      </w:r>
      <w:r w:rsidR="00E36C56" w:rsidRPr="00C8114D">
        <w:rPr>
          <w:rFonts w:ascii="Times New Roman" w:hAnsi="Times New Roman"/>
          <w:sz w:val="22"/>
        </w:rPr>
        <w:t>s Renewable Portfolio Standards</w:t>
      </w:r>
      <w:r w:rsidR="00FB51C9" w:rsidRPr="00C8114D">
        <w:rPr>
          <w:rFonts w:ascii="Times New Roman" w:hAnsi="Times New Roman"/>
          <w:sz w:val="22"/>
        </w:rPr>
        <w:t xml:space="preserve"> largely met. </w:t>
      </w:r>
      <w:r w:rsidR="00E36C56" w:rsidRPr="00C8114D">
        <w:rPr>
          <w:rFonts w:ascii="Times New Roman" w:hAnsi="Times New Roman"/>
          <w:sz w:val="22"/>
        </w:rPr>
        <w:t xml:space="preserve"> What was left was BPA trying to integrate all this</w:t>
      </w:r>
      <w:r w:rsidR="00CC621D">
        <w:rPr>
          <w:rFonts w:ascii="Times New Roman" w:hAnsi="Times New Roman"/>
          <w:sz w:val="22"/>
        </w:rPr>
        <w:t xml:space="preserve"> non-</w:t>
      </w:r>
      <w:proofErr w:type="spellStart"/>
      <w:r w:rsidR="00CC621D">
        <w:rPr>
          <w:rFonts w:ascii="Times New Roman" w:hAnsi="Times New Roman"/>
          <w:sz w:val="22"/>
        </w:rPr>
        <w:t>dispatchable</w:t>
      </w:r>
      <w:proofErr w:type="spellEnd"/>
      <w:r w:rsidR="00E36C56" w:rsidRPr="00C8114D">
        <w:rPr>
          <w:rFonts w:ascii="Times New Roman" w:hAnsi="Times New Roman"/>
          <w:sz w:val="22"/>
        </w:rPr>
        <w:t xml:space="preserve"> wind on their system</w:t>
      </w:r>
      <w:r>
        <w:rPr>
          <w:rFonts w:ascii="Times New Roman" w:hAnsi="Times New Roman"/>
          <w:sz w:val="22"/>
        </w:rPr>
        <w:t>.  Still</w:t>
      </w:r>
      <w:r w:rsidR="0013432D">
        <w:rPr>
          <w:rFonts w:ascii="Times New Roman" w:hAnsi="Times New Roman"/>
          <w:sz w:val="22"/>
        </w:rPr>
        <w:t>, their</w:t>
      </w:r>
      <w:r w:rsidR="00E36C56" w:rsidRPr="00C8114D">
        <w:rPr>
          <w:rFonts w:ascii="Times New Roman" w:hAnsi="Times New Roman"/>
          <w:sz w:val="22"/>
        </w:rPr>
        <w:t xml:space="preserve"> transmission interconnection queue currently </w:t>
      </w:r>
      <w:r>
        <w:rPr>
          <w:rFonts w:ascii="Times New Roman" w:hAnsi="Times New Roman"/>
          <w:sz w:val="22"/>
        </w:rPr>
        <w:t xml:space="preserve">has </w:t>
      </w:r>
      <w:r w:rsidR="00E36C56" w:rsidRPr="00C8114D">
        <w:rPr>
          <w:rFonts w:ascii="Times New Roman" w:hAnsi="Times New Roman"/>
          <w:sz w:val="22"/>
        </w:rPr>
        <w:t xml:space="preserve">over 7,600 MW in study with over 8,000 MW likely by 2024.  </w:t>
      </w:r>
    </w:p>
    <w:p w:rsidR="00C8114D" w:rsidRDefault="00C8114D" w:rsidP="00FB51C9">
      <w:pPr>
        <w:rPr>
          <w:rFonts w:ascii="Times New Roman" w:hAnsi="Times New Roman"/>
          <w:sz w:val="22"/>
        </w:rPr>
      </w:pPr>
    </w:p>
    <w:p w:rsidR="00E36C56" w:rsidRPr="00C8114D" w:rsidRDefault="00E36C56" w:rsidP="00FB51C9">
      <w:pPr>
        <w:rPr>
          <w:rFonts w:ascii="Times New Roman" w:hAnsi="Times New Roman"/>
          <w:sz w:val="22"/>
        </w:rPr>
      </w:pPr>
      <w:r w:rsidRPr="00C8114D">
        <w:rPr>
          <w:rFonts w:ascii="Times New Roman" w:hAnsi="Times New Roman"/>
          <w:sz w:val="22"/>
        </w:rPr>
        <w:t xml:space="preserve">As a result of this operating </w:t>
      </w:r>
      <w:r w:rsidR="00C8114D">
        <w:rPr>
          <w:rFonts w:ascii="Times New Roman" w:hAnsi="Times New Roman"/>
          <w:sz w:val="22"/>
        </w:rPr>
        <w:t xml:space="preserve">“must take” wind </w:t>
      </w:r>
      <w:r w:rsidRPr="00C8114D">
        <w:rPr>
          <w:rFonts w:ascii="Times New Roman" w:hAnsi="Times New Roman"/>
          <w:sz w:val="22"/>
        </w:rPr>
        <w:t>capacity, th</w:t>
      </w:r>
      <w:r w:rsidR="00C308EC">
        <w:rPr>
          <w:rFonts w:ascii="Times New Roman" w:hAnsi="Times New Roman"/>
          <w:sz w:val="22"/>
        </w:rPr>
        <w:t>e Northwest’s hydropower assets</w:t>
      </w:r>
      <w:r w:rsidR="0013432D">
        <w:rPr>
          <w:rFonts w:ascii="Times New Roman" w:hAnsi="Times New Roman"/>
          <w:sz w:val="22"/>
        </w:rPr>
        <w:t xml:space="preserve"> </w:t>
      </w:r>
      <w:r w:rsidRPr="00C8114D">
        <w:rPr>
          <w:rFonts w:ascii="Times New Roman" w:hAnsi="Times New Roman"/>
          <w:sz w:val="22"/>
        </w:rPr>
        <w:t xml:space="preserve">are at the very edge of their capability with little flexibility left for future expansion to integrate additionally intermittent resources.  Plus, these </w:t>
      </w:r>
      <w:r w:rsidR="00C8114D">
        <w:rPr>
          <w:rFonts w:ascii="Times New Roman" w:hAnsi="Times New Roman"/>
          <w:sz w:val="22"/>
        </w:rPr>
        <w:t xml:space="preserve">hydropower </w:t>
      </w:r>
      <w:r w:rsidRPr="00C8114D">
        <w:rPr>
          <w:rFonts w:ascii="Times New Roman" w:hAnsi="Times New Roman"/>
          <w:sz w:val="22"/>
        </w:rPr>
        <w:t>leviathans were not designed to ramp at the speed and frequency necessary to balance this variable carbon-free resource.</w:t>
      </w:r>
    </w:p>
    <w:p w:rsidR="00E36C56" w:rsidRPr="00C8114D" w:rsidRDefault="00E36C56" w:rsidP="00FB51C9">
      <w:pPr>
        <w:rPr>
          <w:rFonts w:ascii="Times New Roman" w:hAnsi="Times New Roman"/>
          <w:sz w:val="22"/>
        </w:rPr>
      </w:pPr>
    </w:p>
    <w:p w:rsidR="00E36C56" w:rsidRPr="00C8114D" w:rsidRDefault="00CC621D" w:rsidP="00FB51C9">
      <w:pPr>
        <w:rPr>
          <w:rFonts w:ascii="Times New Roman" w:hAnsi="Times New Roman"/>
          <w:sz w:val="22"/>
        </w:rPr>
      </w:pPr>
      <w:r>
        <w:rPr>
          <w:rFonts w:ascii="Times New Roman" w:hAnsi="Times New Roman"/>
          <w:sz w:val="22"/>
        </w:rPr>
        <w:t>Taking into account the social cost of carbon, t</w:t>
      </w:r>
      <w:r w:rsidR="00C8114D">
        <w:rPr>
          <w:rFonts w:ascii="Times New Roman" w:hAnsi="Times New Roman"/>
          <w:sz w:val="22"/>
        </w:rPr>
        <w:t>he EPA</w:t>
      </w:r>
      <w:r w:rsidR="00E36C56" w:rsidRPr="00C8114D">
        <w:rPr>
          <w:rFonts w:ascii="Times New Roman" w:hAnsi="Times New Roman"/>
          <w:sz w:val="22"/>
        </w:rPr>
        <w:t xml:space="preserve"> has announced rules to curb </w:t>
      </w:r>
      <w:r>
        <w:rPr>
          <w:rFonts w:ascii="Times New Roman" w:hAnsi="Times New Roman"/>
          <w:sz w:val="22"/>
        </w:rPr>
        <w:t>greenhouse gas</w:t>
      </w:r>
      <w:r w:rsidR="00E36C56" w:rsidRPr="00C8114D">
        <w:rPr>
          <w:rFonts w:ascii="Times New Roman" w:hAnsi="Times New Roman"/>
          <w:sz w:val="22"/>
        </w:rPr>
        <w:t xml:space="preserve"> emissions in a big way over a number of years with their Clean Power Plan.  The benefits of this plan have </w:t>
      </w:r>
      <w:r w:rsidR="00C27091" w:rsidRPr="00C8114D">
        <w:rPr>
          <w:rFonts w:ascii="Times New Roman" w:hAnsi="Times New Roman"/>
          <w:sz w:val="22"/>
        </w:rPr>
        <w:t>a huge societal benefit</w:t>
      </w:r>
      <w:r w:rsidR="00E36C56" w:rsidRPr="00C8114D">
        <w:rPr>
          <w:rFonts w:ascii="Times New Roman" w:hAnsi="Times New Roman"/>
          <w:sz w:val="22"/>
        </w:rPr>
        <w:t xml:space="preserve"> in addressing climate change</w:t>
      </w:r>
      <w:r>
        <w:rPr>
          <w:rFonts w:ascii="Times New Roman" w:hAnsi="Times New Roman"/>
          <w:sz w:val="22"/>
        </w:rPr>
        <w:t xml:space="preserve"> in a significant way</w:t>
      </w:r>
      <w:r w:rsidR="00E36C56" w:rsidRPr="00C8114D">
        <w:rPr>
          <w:rFonts w:ascii="Times New Roman" w:hAnsi="Times New Roman"/>
          <w:sz w:val="22"/>
        </w:rPr>
        <w:t xml:space="preserve">.  </w:t>
      </w:r>
      <w:r w:rsidR="00C308EC">
        <w:rPr>
          <w:rFonts w:ascii="Times New Roman" w:hAnsi="Times New Roman"/>
          <w:sz w:val="22"/>
        </w:rPr>
        <w:t>Nationally, t</w:t>
      </w:r>
      <w:r w:rsidR="00E36C56" w:rsidRPr="00C8114D">
        <w:rPr>
          <w:rFonts w:ascii="Times New Roman" w:hAnsi="Times New Roman"/>
          <w:sz w:val="22"/>
        </w:rPr>
        <w:t xml:space="preserve">he proposed rules target coal plants and impact Washington State more than any other state.  </w:t>
      </w:r>
    </w:p>
    <w:p w:rsidR="00E36C56" w:rsidRPr="00C8114D" w:rsidRDefault="00E36C56" w:rsidP="00FB51C9">
      <w:pPr>
        <w:rPr>
          <w:rFonts w:ascii="Times New Roman" w:hAnsi="Times New Roman"/>
          <w:sz w:val="22"/>
        </w:rPr>
      </w:pPr>
    </w:p>
    <w:p w:rsidR="00C8114D" w:rsidRPr="00C8114D" w:rsidRDefault="00C8114D" w:rsidP="00FB51C9">
      <w:pPr>
        <w:rPr>
          <w:rFonts w:ascii="Times New Roman" w:hAnsi="Times New Roman"/>
          <w:sz w:val="22"/>
        </w:rPr>
      </w:pPr>
      <w:r w:rsidRPr="00C8114D">
        <w:rPr>
          <w:rFonts w:ascii="Times New Roman" w:hAnsi="Times New Roman"/>
          <w:sz w:val="22"/>
        </w:rPr>
        <w:t xml:space="preserve">Big changes regionally will be necessary to meet the goals of the EPA’s Clean Power Plan.  With the coals plants serving the Northwest currently, there will be a considerable need for low-carbon replacement capacity.  Over the next 20 years, PacifiCorp alone is planning to take down 2,800 MW of coal-fired generation in the West.  Aging infrastructure is another driving factor for retirement, with the average age of these coal plants being over </w:t>
      </w:r>
      <w:r w:rsidR="0013432D">
        <w:rPr>
          <w:rFonts w:ascii="Times New Roman" w:hAnsi="Times New Roman"/>
          <w:sz w:val="22"/>
        </w:rPr>
        <w:t>40 years old.</w:t>
      </w:r>
      <w:r w:rsidR="00CC621D">
        <w:rPr>
          <w:rFonts w:ascii="Times New Roman" w:hAnsi="Times New Roman"/>
          <w:sz w:val="22"/>
        </w:rPr>
        <w:t xml:space="preserve"> </w:t>
      </w:r>
    </w:p>
    <w:p w:rsidR="00C8114D" w:rsidRPr="00C8114D" w:rsidRDefault="00C8114D" w:rsidP="00FB51C9">
      <w:pPr>
        <w:rPr>
          <w:rFonts w:ascii="Times New Roman" w:hAnsi="Times New Roman"/>
          <w:sz w:val="22"/>
        </w:rPr>
      </w:pPr>
    </w:p>
    <w:p w:rsidR="00C8114D" w:rsidRPr="00C8114D" w:rsidRDefault="00C8114D" w:rsidP="00C8114D">
      <w:pPr>
        <w:rPr>
          <w:rFonts w:ascii="Times New Roman" w:hAnsi="Times New Roman"/>
          <w:sz w:val="22"/>
          <w:szCs w:val="36"/>
        </w:rPr>
      </w:pPr>
      <w:r w:rsidRPr="00C8114D">
        <w:rPr>
          <w:rFonts w:ascii="Times New Roman" w:hAnsi="Times New Roman"/>
          <w:sz w:val="22"/>
          <w:szCs w:val="36"/>
        </w:rPr>
        <w:t xml:space="preserve">With the procurement options available for new generation on an unsubsidized and </w:t>
      </w:r>
      <w:proofErr w:type="spellStart"/>
      <w:r w:rsidRPr="00C8114D">
        <w:rPr>
          <w:rFonts w:ascii="Times New Roman" w:hAnsi="Times New Roman"/>
          <w:sz w:val="22"/>
          <w:szCs w:val="36"/>
        </w:rPr>
        <w:t>levelized</w:t>
      </w:r>
      <w:proofErr w:type="spellEnd"/>
      <w:r w:rsidRPr="00C8114D">
        <w:rPr>
          <w:rFonts w:ascii="Times New Roman" w:hAnsi="Times New Roman"/>
          <w:sz w:val="22"/>
          <w:szCs w:val="36"/>
        </w:rPr>
        <w:t xml:space="preserve"> cost of energy basis, assuming new </w:t>
      </w:r>
      <w:r w:rsidR="00C308EC">
        <w:rPr>
          <w:rFonts w:ascii="Times New Roman" w:hAnsi="Times New Roman"/>
          <w:sz w:val="22"/>
          <w:szCs w:val="36"/>
        </w:rPr>
        <w:t xml:space="preserve">run-of-the-river </w:t>
      </w:r>
      <w:r w:rsidRPr="00C8114D">
        <w:rPr>
          <w:rFonts w:ascii="Times New Roman" w:hAnsi="Times New Roman"/>
          <w:sz w:val="22"/>
          <w:szCs w:val="36"/>
        </w:rPr>
        <w:t>hydropower is largely built out, wind energy is one of the most affordable forms of electricity today to meet clean energ</w:t>
      </w:r>
      <w:r w:rsidR="0013432D">
        <w:rPr>
          <w:rFonts w:ascii="Times New Roman" w:hAnsi="Times New Roman"/>
          <w:sz w:val="22"/>
          <w:szCs w:val="36"/>
        </w:rPr>
        <w:t>y and carbon reduction goals.  In the Columbia River Gorge</w:t>
      </w:r>
      <w:r w:rsidR="009B5D00">
        <w:rPr>
          <w:rFonts w:ascii="Times New Roman" w:hAnsi="Times New Roman"/>
          <w:sz w:val="22"/>
          <w:szCs w:val="36"/>
        </w:rPr>
        <w:t xml:space="preserve"> in Washington and Oregon</w:t>
      </w:r>
      <w:r w:rsidR="0013432D">
        <w:rPr>
          <w:rFonts w:ascii="Times New Roman" w:hAnsi="Times New Roman"/>
          <w:sz w:val="22"/>
          <w:szCs w:val="36"/>
        </w:rPr>
        <w:t xml:space="preserve">, there is a substantial amount of additional </w:t>
      </w:r>
      <w:r w:rsidR="009C0DC2">
        <w:rPr>
          <w:rFonts w:ascii="Times New Roman" w:hAnsi="Times New Roman"/>
          <w:sz w:val="22"/>
          <w:szCs w:val="36"/>
        </w:rPr>
        <w:t xml:space="preserve">wind </w:t>
      </w:r>
      <w:r w:rsidR="0013432D">
        <w:rPr>
          <w:rFonts w:ascii="Times New Roman" w:hAnsi="Times New Roman"/>
          <w:sz w:val="22"/>
          <w:szCs w:val="36"/>
        </w:rPr>
        <w:t>project</w:t>
      </w:r>
      <w:r w:rsidR="00C27091">
        <w:rPr>
          <w:rFonts w:ascii="Times New Roman" w:hAnsi="Times New Roman"/>
          <w:sz w:val="22"/>
          <w:szCs w:val="36"/>
        </w:rPr>
        <w:t>s</w:t>
      </w:r>
      <w:r w:rsidR="0013432D">
        <w:rPr>
          <w:rFonts w:ascii="Times New Roman" w:hAnsi="Times New Roman"/>
          <w:sz w:val="22"/>
          <w:szCs w:val="36"/>
        </w:rPr>
        <w:t xml:space="preserve"> proposed in this rich res</w:t>
      </w:r>
      <w:r w:rsidR="009C0DC2">
        <w:rPr>
          <w:rFonts w:ascii="Times New Roman" w:hAnsi="Times New Roman"/>
          <w:sz w:val="22"/>
          <w:szCs w:val="36"/>
        </w:rPr>
        <w:t xml:space="preserve">ource area that can be </w:t>
      </w:r>
      <w:r w:rsidR="00FA6870">
        <w:rPr>
          <w:rFonts w:ascii="Times New Roman" w:hAnsi="Times New Roman"/>
          <w:sz w:val="22"/>
          <w:szCs w:val="36"/>
        </w:rPr>
        <w:t>developed without significant environmental impact.</w:t>
      </w:r>
    </w:p>
    <w:p w:rsidR="00C8114D" w:rsidRPr="00C8114D" w:rsidRDefault="00C8114D" w:rsidP="00C8114D">
      <w:pPr>
        <w:rPr>
          <w:rFonts w:ascii="Times New Roman" w:hAnsi="Times New Roman"/>
          <w:sz w:val="22"/>
          <w:szCs w:val="36"/>
        </w:rPr>
      </w:pPr>
    </w:p>
    <w:p w:rsidR="00C8114D" w:rsidRPr="00C8114D" w:rsidRDefault="00C8114D" w:rsidP="00C8114D">
      <w:pPr>
        <w:rPr>
          <w:rFonts w:ascii="Times New Roman" w:hAnsi="Times New Roman"/>
          <w:sz w:val="22"/>
          <w:szCs w:val="36"/>
        </w:rPr>
      </w:pPr>
      <w:r w:rsidRPr="00C8114D">
        <w:rPr>
          <w:rFonts w:ascii="Times New Roman" w:hAnsi="Times New Roman"/>
          <w:sz w:val="22"/>
          <w:szCs w:val="36"/>
        </w:rPr>
        <w:t xml:space="preserve">However, the Achilles’ heel of wind integration </w:t>
      </w:r>
      <w:r w:rsidR="009C0DC2" w:rsidRPr="00C8114D">
        <w:rPr>
          <w:rFonts w:ascii="Times New Roman" w:hAnsi="Times New Roman"/>
          <w:sz w:val="22"/>
          <w:szCs w:val="36"/>
        </w:rPr>
        <w:t>lies</w:t>
      </w:r>
      <w:r w:rsidRPr="00C8114D">
        <w:rPr>
          <w:rFonts w:ascii="Times New Roman" w:hAnsi="Times New Roman"/>
          <w:sz w:val="22"/>
          <w:szCs w:val="36"/>
        </w:rPr>
        <w:t xml:space="preserve"> in the intra</w:t>
      </w:r>
      <w:r w:rsidRPr="00C8114D">
        <w:rPr>
          <w:sz w:val="22"/>
          <w:szCs w:val="36"/>
        </w:rPr>
        <w:t>‐</w:t>
      </w:r>
      <w:r w:rsidRPr="00C8114D">
        <w:rPr>
          <w:rFonts w:ascii="Times New Roman" w:hAnsi="Times New Roman"/>
          <w:sz w:val="22"/>
          <w:szCs w:val="36"/>
        </w:rPr>
        <w:t>hour variability and uncertainty of wind, making this r</w:t>
      </w:r>
      <w:r w:rsidR="0013432D">
        <w:rPr>
          <w:rFonts w:ascii="Times New Roman" w:hAnsi="Times New Roman"/>
          <w:sz w:val="22"/>
          <w:szCs w:val="36"/>
        </w:rPr>
        <w:t xml:space="preserve">esource difficult to dispatch.  </w:t>
      </w:r>
      <w:r w:rsidRPr="00C8114D">
        <w:rPr>
          <w:rFonts w:ascii="Times New Roman" w:hAnsi="Times New Roman"/>
          <w:sz w:val="22"/>
          <w:szCs w:val="36"/>
        </w:rPr>
        <w:t xml:space="preserve">The challenge is to find a way to make wind energy and other intermittent resources in synch and balanced with load on a real-time basis. </w:t>
      </w:r>
    </w:p>
    <w:p w:rsidR="00C8114D" w:rsidRPr="00C8114D" w:rsidRDefault="00C8114D" w:rsidP="00C8114D">
      <w:pPr>
        <w:rPr>
          <w:rFonts w:ascii="Times New Roman" w:hAnsi="Times New Roman"/>
          <w:sz w:val="22"/>
          <w:szCs w:val="36"/>
        </w:rPr>
      </w:pPr>
    </w:p>
    <w:p w:rsidR="00C8114D" w:rsidRPr="00C8114D" w:rsidRDefault="00C8114D" w:rsidP="00C8114D">
      <w:pPr>
        <w:rPr>
          <w:rFonts w:ascii="Times New Roman" w:hAnsi="Times New Roman"/>
          <w:sz w:val="22"/>
          <w:szCs w:val="36"/>
        </w:rPr>
      </w:pPr>
      <w:r w:rsidRPr="00C8114D">
        <w:rPr>
          <w:rFonts w:ascii="Times New Roman" w:hAnsi="Times New Roman"/>
          <w:sz w:val="22"/>
          <w:szCs w:val="36"/>
        </w:rPr>
        <w:t xml:space="preserve">Combining energy storage with intermittent </w:t>
      </w:r>
      <w:proofErr w:type="spellStart"/>
      <w:r w:rsidRPr="00C8114D">
        <w:rPr>
          <w:rFonts w:ascii="Times New Roman" w:hAnsi="Times New Roman"/>
          <w:sz w:val="22"/>
          <w:szCs w:val="36"/>
        </w:rPr>
        <w:t>renewables</w:t>
      </w:r>
      <w:proofErr w:type="spellEnd"/>
      <w:r w:rsidRPr="00C8114D">
        <w:rPr>
          <w:rFonts w:ascii="Times New Roman" w:hAnsi="Times New Roman"/>
          <w:sz w:val="22"/>
          <w:szCs w:val="36"/>
        </w:rPr>
        <w:t xml:space="preserve"> holds great promise for the wind industry in the Northwest and the next quantum leap in market growth. </w:t>
      </w:r>
      <w:r w:rsidR="0013432D">
        <w:rPr>
          <w:rFonts w:ascii="Times New Roman" w:hAnsi="Times New Roman"/>
          <w:sz w:val="22"/>
          <w:szCs w:val="36"/>
        </w:rPr>
        <w:t xml:space="preserve"> </w:t>
      </w:r>
      <w:r w:rsidRPr="00C8114D">
        <w:rPr>
          <w:rFonts w:ascii="Times New Roman" w:hAnsi="Times New Roman"/>
          <w:sz w:val="22"/>
          <w:szCs w:val="36"/>
        </w:rPr>
        <w:t xml:space="preserve">Storage can unlock the greater value of existing and future </w:t>
      </w:r>
      <w:proofErr w:type="spellStart"/>
      <w:r w:rsidRPr="00C8114D">
        <w:rPr>
          <w:rFonts w:ascii="Times New Roman" w:hAnsi="Times New Roman"/>
          <w:sz w:val="22"/>
          <w:szCs w:val="36"/>
        </w:rPr>
        <w:t>renewables</w:t>
      </w:r>
      <w:proofErr w:type="spellEnd"/>
      <w:r w:rsidRPr="00C8114D">
        <w:rPr>
          <w:rFonts w:ascii="Times New Roman" w:hAnsi="Times New Roman"/>
          <w:sz w:val="22"/>
          <w:szCs w:val="36"/>
        </w:rPr>
        <w:t xml:space="preserve"> by integrating them with no carbon emissions. What is needed is </w:t>
      </w:r>
      <w:r w:rsidR="0013432D">
        <w:rPr>
          <w:rFonts w:ascii="Times New Roman" w:hAnsi="Times New Roman"/>
          <w:sz w:val="22"/>
          <w:szCs w:val="36"/>
        </w:rPr>
        <w:t xml:space="preserve">bulk </w:t>
      </w:r>
      <w:r w:rsidRPr="00C8114D">
        <w:rPr>
          <w:rFonts w:ascii="Times New Roman" w:hAnsi="Times New Roman"/>
          <w:sz w:val="22"/>
          <w:szCs w:val="36"/>
        </w:rPr>
        <w:t xml:space="preserve">carbon-free storage with high operability and flexibility to not only respond quickly when power is needed, but to absorb excess energy in </w:t>
      </w:r>
      <w:proofErr w:type="spellStart"/>
      <w:r w:rsidRPr="00C8114D">
        <w:rPr>
          <w:rFonts w:ascii="Times New Roman" w:hAnsi="Times New Roman"/>
          <w:sz w:val="22"/>
          <w:szCs w:val="36"/>
        </w:rPr>
        <w:t>overgeneration</w:t>
      </w:r>
      <w:proofErr w:type="spellEnd"/>
      <w:r w:rsidRPr="00C8114D">
        <w:rPr>
          <w:rFonts w:ascii="Times New Roman" w:hAnsi="Times New Roman"/>
          <w:sz w:val="22"/>
          <w:szCs w:val="36"/>
        </w:rPr>
        <w:t xml:space="preserve"> conditions.</w:t>
      </w:r>
    </w:p>
    <w:p w:rsidR="00C8114D" w:rsidRPr="00C8114D" w:rsidRDefault="00C8114D" w:rsidP="00C8114D">
      <w:pPr>
        <w:rPr>
          <w:rFonts w:ascii="Times New Roman" w:hAnsi="Times New Roman"/>
          <w:sz w:val="22"/>
          <w:szCs w:val="36"/>
        </w:rPr>
      </w:pPr>
    </w:p>
    <w:p w:rsidR="00C27091" w:rsidRDefault="00C8114D" w:rsidP="00C8114D">
      <w:pPr>
        <w:rPr>
          <w:rFonts w:ascii="Times New Roman" w:hAnsi="Times New Roman"/>
          <w:sz w:val="22"/>
          <w:szCs w:val="36"/>
        </w:rPr>
      </w:pPr>
      <w:r w:rsidRPr="00C8114D">
        <w:rPr>
          <w:rFonts w:ascii="Times New Roman" w:hAnsi="Times New Roman"/>
          <w:sz w:val="22"/>
          <w:szCs w:val="36"/>
        </w:rPr>
        <w:t>O</w:t>
      </w:r>
      <w:r w:rsidR="00FA6870">
        <w:rPr>
          <w:rFonts w:ascii="Times New Roman" w:hAnsi="Times New Roman"/>
          <w:sz w:val="22"/>
          <w:szCs w:val="36"/>
        </w:rPr>
        <w:t>f the viable, least-cost storage options available</w:t>
      </w:r>
      <w:r w:rsidRPr="00C8114D">
        <w:rPr>
          <w:rFonts w:ascii="Times New Roman" w:hAnsi="Times New Roman"/>
          <w:sz w:val="22"/>
          <w:szCs w:val="36"/>
        </w:rPr>
        <w:t xml:space="preserve">, pumped storage </w:t>
      </w:r>
      <w:r w:rsidR="0013432D">
        <w:rPr>
          <w:rFonts w:ascii="Times New Roman" w:hAnsi="Times New Roman"/>
          <w:sz w:val="22"/>
          <w:szCs w:val="36"/>
        </w:rPr>
        <w:t xml:space="preserve">is the ideal </w:t>
      </w:r>
      <w:r w:rsidR="00FA6870">
        <w:rPr>
          <w:rFonts w:ascii="Times New Roman" w:hAnsi="Times New Roman"/>
          <w:sz w:val="22"/>
          <w:szCs w:val="36"/>
        </w:rPr>
        <w:t xml:space="preserve">grid-scale </w:t>
      </w:r>
      <w:r w:rsidR="0013432D">
        <w:rPr>
          <w:rFonts w:ascii="Times New Roman" w:hAnsi="Times New Roman"/>
          <w:sz w:val="22"/>
          <w:szCs w:val="36"/>
        </w:rPr>
        <w:t>solution</w:t>
      </w:r>
      <w:r w:rsidR="00FA6870">
        <w:rPr>
          <w:rFonts w:ascii="Times New Roman" w:hAnsi="Times New Roman"/>
          <w:sz w:val="22"/>
          <w:szCs w:val="36"/>
        </w:rPr>
        <w:t xml:space="preserve"> </w:t>
      </w:r>
      <w:r w:rsidR="00B96D54">
        <w:rPr>
          <w:rFonts w:ascii="Times New Roman" w:hAnsi="Times New Roman"/>
          <w:sz w:val="22"/>
          <w:szCs w:val="36"/>
        </w:rPr>
        <w:t>and complementary to batteries on a distribution level.  Pumped storage</w:t>
      </w:r>
      <w:r w:rsidR="0013432D">
        <w:rPr>
          <w:rFonts w:ascii="Times New Roman" w:hAnsi="Times New Roman"/>
          <w:sz w:val="22"/>
          <w:szCs w:val="36"/>
        </w:rPr>
        <w:t xml:space="preserve"> </w:t>
      </w:r>
      <w:r w:rsidRPr="00C8114D">
        <w:rPr>
          <w:rFonts w:ascii="Times New Roman" w:hAnsi="Times New Roman"/>
          <w:sz w:val="22"/>
          <w:szCs w:val="36"/>
        </w:rPr>
        <w:t>is ultra-mature, proven, and essentially the biggest, cost-effective batteries on the planet</w:t>
      </w:r>
      <w:r w:rsidR="00C27091">
        <w:rPr>
          <w:rFonts w:ascii="Times New Roman" w:hAnsi="Times New Roman"/>
          <w:sz w:val="22"/>
          <w:szCs w:val="36"/>
        </w:rPr>
        <w:t xml:space="preserve"> with staggering potential for economic development. </w:t>
      </w:r>
      <w:r w:rsidR="00FA6870">
        <w:rPr>
          <w:rFonts w:ascii="Times New Roman" w:hAnsi="Times New Roman"/>
          <w:sz w:val="22"/>
          <w:szCs w:val="36"/>
        </w:rPr>
        <w:t xml:space="preserve"> Albeit, pumped storage projects require a long-view to realize and </w:t>
      </w:r>
      <w:r w:rsidR="009B5D00">
        <w:rPr>
          <w:rFonts w:ascii="Times New Roman" w:hAnsi="Times New Roman"/>
          <w:sz w:val="22"/>
          <w:szCs w:val="36"/>
        </w:rPr>
        <w:t xml:space="preserve">are upfront capital intensive.  </w:t>
      </w:r>
    </w:p>
    <w:p w:rsidR="00C8114D" w:rsidRPr="00C8114D" w:rsidRDefault="00C8114D" w:rsidP="00C8114D">
      <w:pPr>
        <w:rPr>
          <w:rFonts w:ascii="Times New Roman" w:hAnsi="Times New Roman"/>
          <w:sz w:val="22"/>
          <w:szCs w:val="36"/>
        </w:rPr>
      </w:pPr>
    </w:p>
    <w:p w:rsidR="00C8114D" w:rsidRPr="00C8114D" w:rsidRDefault="00C8114D" w:rsidP="00C8114D">
      <w:pPr>
        <w:rPr>
          <w:rFonts w:ascii="Times New Roman" w:hAnsi="Times New Roman"/>
          <w:sz w:val="22"/>
          <w:szCs w:val="36"/>
        </w:rPr>
      </w:pPr>
      <w:r w:rsidRPr="00C8114D">
        <w:rPr>
          <w:rFonts w:ascii="Times New Roman" w:hAnsi="Times New Roman"/>
          <w:sz w:val="22"/>
          <w:szCs w:val="36"/>
        </w:rPr>
        <w:t>A dedicated off</w:t>
      </w:r>
      <w:r w:rsidRPr="00C8114D">
        <w:rPr>
          <w:sz w:val="22"/>
          <w:szCs w:val="36"/>
        </w:rPr>
        <w:t>‐</w:t>
      </w:r>
      <w:r w:rsidRPr="00C8114D">
        <w:rPr>
          <w:rFonts w:ascii="Times New Roman" w:hAnsi="Times New Roman"/>
          <w:sz w:val="22"/>
          <w:szCs w:val="36"/>
        </w:rPr>
        <w:t xml:space="preserve">river or “closed loop” pumped storage project </w:t>
      </w:r>
      <w:r w:rsidR="009B5D00">
        <w:rPr>
          <w:rFonts w:ascii="Times New Roman" w:hAnsi="Times New Roman"/>
          <w:sz w:val="22"/>
          <w:szCs w:val="36"/>
        </w:rPr>
        <w:t xml:space="preserve">such as the Klickitat Public Utility District’s JD Pool Pumped Storage Project </w:t>
      </w:r>
      <w:r w:rsidRPr="00C8114D">
        <w:rPr>
          <w:rFonts w:ascii="Times New Roman" w:hAnsi="Times New Roman"/>
          <w:sz w:val="22"/>
          <w:szCs w:val="36"/>
        </w:rPr>
        <w:t xml:space="preserve">does not have the operational </w:t>
      </w:r>
      <w:r w:rsidR="009B5D00">
        <w:rPr>
          <w:rFonts w:ascii="Times New Roman" w:hAnsi="Times New Roman"/>
          <w:sz w:val="22"/>
          <w:szCs w:val="36"/>
        </w:rPr>
        <w:t xml:space="preserve">and environmental </w:t>
      </w:r>
      <w:r w:rsidRPr="00C8114D">
        <w:rPr>
          <w:rFonts w:ascii="Times New Roman" w:hAnsi="Times New Roman"/>
          <w:sz w:val="22"/>
          <w:szCs w:val="36"/>
        </w:rPr>
        <w:t>restrictions imposed such as t</w:t>
      </w:r>
      <w:r w:rsidR="00CC621D">
        <w:rPr>
          <w:rFonts w:ascii="Times New Roman" w:hAnsi="Times New Roman"/>
          <w:sz w:val="22"/>
          <w:szCs w:val="36"/>
        </w:rPr>
        <w:t xml:space="preserve">he run-of-the-river dams </w:t>
      </w:r>
      <w:r w:rsidRPr="00C8114D">
        <w:rPr>
          <w:rFonts w:ascii="Times New Roman" w:hAnsi="Times New Roman"/>
          <w:sz w:val="22"/>
          <w:szCs w:val="36"/>
        </w:rPr>
        <w:t>that occur on the Columbia River, and hence, can freely start, stop, reverse, and fluctuate as needed by the power system without negatively impacting the aquatic species, or adversely impact other demands such as food control, fish passage, navigation, irrigation and recreation.</w:t>
      </w:r>
    </w:p>
    <w:p w:rsidR="00C8114D" w:rsidRPr="00C8114D" w:rsidRDefault="00C8114D" w:rsidP="00C8114D">
      <w:pPr>
        <w:rPr>
          <w:rFonts w:ascii="Times New Roman" w:hAnsi="Times New Roman"/>
          <w:sz w:val="22"/>
          <w:szCs w:val="36"/>
        </w:rPr>
      </w:pPr>
    </w:p>
    <w:p w:rsidR="00C8114D" w:rsidRPr="009B5D00" w:rsidRDefault="00C8114D" w:rsidP="00C8114D">
      <w:pPr>
        <w:rPr>
          <w:rFonts w:ascii="Times New Roman" w:hAnsi="Times New Roman"/>
          <w:sz w:val="22"/>
          <w:szCs w:val="36"/>
        </w:rPr>
      </w:pPr>
      <w:r w:rsidRPr="00C8114D">
        <w:rPr>
          <w:rFonts w:ascii="Times New Roman" w:hAnsi="Times New Roman"/>
          <w:sz w:val="22"/>
          <w:szCs w:val="36"/>
        </w:rPr>
        <w:t xml:space="preserve">Pumped can respond to load changes within seconds and can operate </w:t>
      </w:r>
      <w:r w:rsidRPr="009B5D00">
        <w:rPr>
          <w:rFonts w:ascii="Times New Roman" w:hAnsi="Times New Roman"/>
          <w:sz w:val="22"/>
          <w:szCs w:val="36"/>
        </w:rPr>
        <w:t xml:space="preserve">across a broad range of </w:t>
      </w:r>
      <w:r w:rsidR="009B5D00" w:rsidRPr="009B5D00">
        <w:rPr>
          <w:rFonts w:ascii="Times New Roman" w:hAnsi="Times New Roman"/>
          <w:sz w:val="22"/>
          <w:szCs w:val="36"/>
        </w:rPr>
        <w:t xml:space="preserve">all </w:t>
      </w:r>
      <w:r w:rsidRPr="009B5D00">
        <w:rPr>
          <w:rFonts w:ascii="Times New Roman" w:hAnsi="Times New Roman"/>
          <w:sz w:val="22"/>
          <w:szCs w:val="36"/>
        </w:rPr>
        <w:t>time scales, from seconds through hours, to days and months, to ensure that sufficient generation will always be available to meet load and match changes in generation and demand on a real-time basis, and on an hour-to-hour and sub-hour time-frame.</w:t>
      </w:r>
    </w:p>
    <w:p w:rsidR="00C8114D" w:rsidRPr="009B5D00" w:rsidRDefault="00C8114D" w:rsidP="00C8114D">
      <w:pPr>
        <w:rPr>
          <w:rFonts w:ascii="Times New Roman" w:hAnsi="Times New Roman"/>
          <w:sz w:val="22"/>
          <w:szCs w:val="36"/>
        </w:rPr>
      </w:pPr>
    </w:p>
    <w:p w:rsidR="00C308EC" w:rsidRDefault="00C8114D" w:rsidP="00C8114D">
      <w:pPr>
        <w:rPr>
          <w:rFonts w:ascii="Times New Roman" w:hAnsi="Times New Roman"/>
          <w:sz w:val="22"/>
          <w:szCs w:val="36"/>
        </w:rPr>
      </w:pPr>
      <w:r w:rsidRPr="009B5D00">
        <w:rPr>
          <w:rFonts w:ascii="Times New Roman" w:hAnsi="Times New Roman"/>
          <w:sz w:val="22"/>
          <w:szCs w:val="36"/>
        </w:rPr>
        <w:t xml:space="preserve">At the tip of the spear for “barriers to overcome” is the economic analysis and modeling of </w:t>
      </w:r>
      <w:r w:rsidR="007A52DA" w:rsidRPr="009B5D00">
        <w:rPr>
          <w:rFonts w:ascii="Times New Roman" w:hAnsi="Times New Roman"/>
          <w:sz w:val="22"/>
          <w:szCs w:val="36"/>
        </w:rPr>
        <w:t xml:space="preserve">storage </w:t>
      </w:r>
      <w:r w:rsidRPr="009B5D00">
        <w:rPr>
          <w:rFonts w:ascii="Times New Roman" w:hAnsi="Times New Roman"/>
          <w:sz w:val="22"/>
          <w:szCs w:val="36"/>
        </w:rPr>
        <w:t>sub-hourly energy grid services and environmental benefits at a regional level</w:t>
      </w:r>
      <w:r w:rsidRPr="00C8114D">
        <w:rPr>
          <w:rFonts w:ascii="Times New Roman" w:hAnsi="Times New Roman"/>
          <w:sz w:val="22"/>
          <w:szCs w:val="36"/>
        </w:rPr>
        <w:t xml:space="preserve"> to capture the revenue and cost savings pumped storage bring both as generation and load</w:t>
      </w:r>
      <w:r w:rsidR="00FA6870">
        <w:rPr>
          <w:rFonts w:ascii="Times New Roman" w:hAnsi="Times New Roman"/>
          <w:sz w:val="22"/>
          <w:szCs w:val="36"/>
        </w:rPr>
        <w:t xml:space="preserve"> in a Balkanized grid with no </w:t>
      </w:r>
      <w:r w:rsidR="00CC621D">
        <w:rPr>
          <w:rFonts w:ascii="Times New Roman" w:hAnsi="Times New Roman"/>
          <w:sz w:val="22"/>
          <w:szCs w:val="36"/>
        </w:rPr>
        <w:t xml:space="preserve">regional </w:t>
      </w:r>
      <w:r w:rsidR="00FA6870">
        <w:rPr>
          <w:rFonts w:ascii="Times New Roman" w:hAnsi="Times New Roman"/>
          <w:sz w:val="22"/>
          <w:szCs w:val="36"/>
        </w:rPr>
        <w:t>organized market, I</w:t>
      </w:r>
      <w:r w:rsidR="00CC621D">
        <w:rPr>
          <w:rFonts w:ascii="Times New Roman" w:hAnsi="Times New Roman"/>
          <w:sz w:val="22"/>
          <w:szCs w:val="36"/>
        </w:rPr>
        <w:t xml:space="preserve">ndependent </w:t>
      </w:r>
      <w:r w:rsidR="00FA6870">
        <w:rPr>
          <w:rFonts w:ascii="Times New Roman" w:hAnsi="Times New Roman"/>
          <w:sz w:val="22"/>
          <w:szCs w:val="36"/>
        </w:rPr>
        <w:t>S</w:t>
      </w:r>
      <w:r w:rsidR="00CC621D">
        <w:rPr>
          <w:rFonts w:ascii="Times New Roman" w:hAnsi="Times New Roman"/>
          <w:sz w:val="22"/>
          <w:szCs w:val="36"/>
        </w:rPr>
        <w:t xml:space="preserve">ystem </w:t>
      </w:r>
      <w:r w:rsidR="00FA6870">
        <w:rPr>
          <w:rFonts w:ascii="Times New Roman" w:hAnsi="Times New Roman"/>
          <w:sz w:val="22"/>
          <w:szCs w:val="36"/>
        </w:rPr>
        <w:t>O</w:t>
      </w:r>
      <w:r w:rsidR="00CC621D">
        <w:rPr>
          <w:rFonts w:ascii="Times New Roman" w:hAnsi="Times New Roman"/>
          <w:sz w:val="22"/>
          <w:szCs w:val="36"/>
        </w:rPr>
        <w:t>perator</w:t>
      </w:r>
      <w:r w:rsidR="00FA6870">
        <w:rPr>
          <w:rFonts w:ascii="Times New Roman" w:hAnsi="Times New Roman"/>
          <w:sz w:val="22"/>
          <w:szCs w:val="36"/>
        </w:rPr>
        <w:t xml:space="preserve"> or R</w:t>
      </w:r>
      <w:r w:rsidR="00CC621D">
        <w:rPr>
          <w:rFonts w:ascii="Times New Roman" w:hAnsi="Times New Roman"/>
          <w:sz w:val="22"/>
          <w:szCs w:val="36"/>
        </w:rPr>
        <w:t xml:space="preserve">egional </w:t>
      </w:r>
      <w:r w:rsidR="00FA6870">
        <w:rPr>
          <w:rFonts w:ascii="Times New Roman" w:hAnsi="Times New Roman"/>
          <w:sz w:val="22"/>
          <w:szCs w:val="36"/>
        </w:rPr>
        <w:t>T</w:t>
      </w:r>
      <w:r w:rsidR="00CC621D">
        <w:rPr>
          <w:rFonts w:ascii="Times New Roman" w:hAnsi="Times New Roman"/>
          <w:sz w:val="22"/>
          <w:szCs w:val="36"/>
        </w:rPr>
        <w:t>ransmission Organization</w:t>
      </w:r>
      <w:r w:rsidR="00FA6870">
        <w:rPr>
          <w:rFonts w:ascii="Times New Roman" w:hAnsi="Times New Roman"/>
          <w:sz w:val="22"/>
          <w:szCs w:val="36"/>
        </w:rPr>
        <w:t xml:space="preserve">.  </w:t>
      </w:r>
      <w:r w:rsidR="0013432D">
        <w:rPr>
          <w:rFonts w:ascii="Times New Roman" w:hAnsi="Times New Roman"/>
          <w:sz w:val="22"/>
          <w:szCs w:val="36"/>
        </w:rPr>
        <w:t>Ma</w:t>
      </w:r>
      <w:r w:rsidR="009C0DC2">
        <w:rPr>
          <w:rFonts w:ascii="Times New Roman" w:hAnsi="Times New Roman"/>
          <w:sz w:val="22"/>
          <w:szCs w:val="36"/>
        </w:rPr>
        <w:t>n</w:t>
      </w:r>
      <w:r w:rsidR="0013432D">
        <w:rPr>
          <w:rFonts w:ascii="Times New Roman" w:hAnsi="Times New Roman"/>
          <w:sz w:val="22"/>
          <w:szCs w:val="36"/>
        </w:rPr>
        <w:t>y of these modeling tools have been developed by Argonne National Laboratory for California and can be economically adopted by Pacific Northwest National Laboratory for the Northwest</w:t>
      </w:r>
      <w:r w:rsidR="00FA6870">
        <w:rPr>
          <w:rFonts w:ascii="Times New Roman" w:hAnsi="Times New Roman"/>
          <w:sz w:val="22"/>
          <w:szCs w:val="36"/>
        </w:rPr>
        <w:t xml:space="preserve"> region</w:t>
      </w:r>
      <w:r w:rsidR="00CC621D">
        <w:rPr>
          <w:rFonts w:ascii="Times New Roman" w:hAnsi="Times New Roman"/>
          <w:sz w:val="22"/>
          <w:szCs w:val="36"/>
        </w:rPr>
        <w:t xml:space="preserve"> with the proper policy direction and funding.  </w:t>
      </w:r>
    </w:p>
    <w:p w:rsidR="00C308EC" w:rsidRDefault="00C308EC" w:rsidP="00C8114D">
      <w:pPr>
        <w:rPr>
          <w:rFonts w:ascii="Times New Roman" w:hAnsi="Times New Roman"/>
          <w:sz w:val="22"/>
        </w:rPr>
      </w:pPr>
      <w:r>
        <w:rPr>
          <w:rFonts w:ascii="Times New Roman" w:hAnsi="Times New Roman"/>
          <w:sz w:val="22"/>
        </w:rPr>
        <w:t xml:space="preserve"> </w:t>
      </w:r>
    </w:p>
    <w:p w:rsidR="00C308EC" w:rsidRDefault="00C308EC" w:rsidP="00C8114D">
      <w:pPr>
        <w:rPr>
          <w:rFonts w:ascii="Times New Roman" w:hAnsi="Times New Roman"/>
          <w:sz w:val="22"/>
        </w:rPr>
      </w:pPr>
      <w:r>
        <w:rPr>
          <w:rFonts w:ascii="Times New Roman" w:hAnsi="Times New Roman"/>
          <w:sz w:val="22"/>
        </w:rPr>
        <w:t>Sincerely,</w:t>
      </w:r>
    </w:p>
    <w:p w:rsidR="00C308EC" w:rsidRPr="00CC621D" w:rsidRDefault="00C27091" w:rsidP="00C8114D">
      <w:pPr>
        <w:rPr>
          <w:rFonts w:ascii="Mistral" w:hAnsi="Mistral"/>
          <w:sz w:val="36"/>
        </w:rPr>
      </w:pPr>
      <w:r w:rsidRPr="00C27091">
        <w:rPr>
          <w:rFonts w:ascii="Mistral" w:hAnsi="Mistral"/>
          <w:sz w:val="36"/>
        </w:rPr>
        <w:t xml:space="preserve">Nathan A. </w:t>
      </w:r>
      <w:proofErr w:type="spellStart"/>
      <w:r w:rsidRPr="00C27091">
        <w:rPr>
          <w:rFonts w:ascii="Mistral" w:hAnsi="Mistral"/>
          <w:sz w:val="36"/>
        </w:rPr>
        <w:t>Sandvig</w:t>
      </w:r>
      <w:proofErr w:type="spellEnd"/>
    </w:p>
    <w:p w:rsidR="00C308EC" w:rsidRDefault="00C308EC" w:rsidP="00C8114D">
      <w:pPr>
        <w:rPr>
          <w:rFonts w:ascii="Times New Roman" w:hAnsi="Times New Roman"/>
          <w:sz w:val="22"/>
        </w:rPr>
      </w:pPr>
      <w:r>
        <w:rPr>
          <w:rFonts w:ascii="Times New Roman" w:hAnsi="Times New Roman"/>
          <w:sz w:val="22"/>
        </w:rPr>
        <w:t>President</w:t>
      </w:r>
    </w:p>
    <w:p w:rsidR="00FB51C9" w:rsidRPr="00C8114D" w:rsidRDefault="00C308EC" w:rsidP="00C8114D">
      <w:pPr>
        <w:rPr>
          <w:rFonts w:ascii="Times New Roman" w:hAnsi="Times New Roman"/>
          <w:sz w:val="22"/>
        </w:rPr>
      </w:pPr>
      <w:r>
        <w:rPr>
          <w:rFonts w:ascii="Times New Roman" w:hAnsi="Times New Roman"/>
          <w:sz w:val="22"/>
        </w:rPr>
        <w:t>Clean Power Development LLC</w:t>
      </w:r>
    </w:p>
    <w:sectPr w:rsidR="00FB51C9" w:rsidRPr="00C8114D" w:rsidSect="00FB51C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stral">
    <w:panose1 w:val="03090702030407020403"/>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70A9B"/>
    <w:rsid w:val="0002137C"/>
    <w:rsid w:val="0013432D"/>
    <w:rsid w:val="004809E7"/>
    <w:rsid w:val="005B0849"/>
    <w:rsid w:val="00773B3B"/>
    <w:rsid w:val="007A52DA"/>
    <w:rsid w:val="00970A9B"/>
    <w:rsid w:val="009B5D00"/>
    <w:rsid w:val="009C0DC2"/>
    <w:rsid w:val="00B96D54"/>
    <w:rsid w:val="00C034DE"/>
    <w:rsid w:val="00C27091"/>
    <w:rsid w:val="00C308EC"/>
    <w:rsid w:val="00C8114D"/>
    <w:rsid w:val="00CC621D"/>
    <w:rsid w:val="00E36C56"/>
    <w:rsid w:val="00FA6870"/>
    <w:rsid w:val="00FB51C9"/>
  </w:rsids>
  <m:mathPr>
    <m:mathFont m:val="Bookman Old Sty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970A9B"/>
    <w:pPr>
      <w:autoSpaceDE w:val="0"/>
      <w:autoSpaceDN w:val="0"/>
      <w:adjustRightInd w:val="0"/>
    </w:pPr>
    <w:rPr>
      <w:rFonts w:ascii="Calibri" w:hAnsi="Calibri" w:cs="Calibri"/>
      <w:color w:val="000000"/>
    </w:rPr>
  </w:style>
  <w:style w:type="paragraph" w:styleId="NormalWeb">
    <w:name w:val="Normal (Web)"/>
    <w:basedOn w:val="Normal"/>
    <w:uiPriority w:val="99"/>
    <w:rsid w:val="00FB51C9"/>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580868350">
      <w:bodyDiv w:val="1"/>
      <w:marLeft w:val="0"/>
      <w:marRight w:val="0"/>
      <w:marTop w:val="0"/>
      <w:marBottom w:val="0"/>
      <w:divBdr>
        <w:top w:val="none" w:sz="0" w:space="0" w:color="auto"/>
        <w:left w:val="none" w:sz="0" w:space="0" w:color="auto"/>
        <w:bottom w:val="none" w:sz="0" w:space="0" w:color="auto"/>
        <w:right w:val="none" w:sz="0" w:space="0" w:color="auto"/>
      </w:divBdr>
      <w:divsChild>
        <w:div w:id="278924550">
          <w:marLeft w:val="0"/>
          <w:marRight w:val="0"/>
          <w:marTop w:val="0"/>
          <w:marBottom w:val="0"/>
          <w:divBdr>
            <w:top w:val="none" w:sz="0" w:space="0" w:color="auto"/>
            <w:left w:val="none" w:sz="0" w:space="0" w:color="auto"/>
            <w:bottom w:val="none" w:sz="0" w:space="0" w:color="auto"/>
            <w:right w:val="none" w:sz="0" w:space="0" w:color="auto"/>
          </w:divBdr>
          <w:divsChild>
            <w:div w:id="1766610640">
              <w:marLeft w:val="0"/>
              <w:marRight w:val="0"/>
              <w:marTop w:val="0"/>
              <w:marBottom w:val="0"/>
              <w:divBdr>
                <w:top w:val="none" w:sz="0" w:space="0" w:color="auto"/>
                <w:left w:val="none" w:sz="0" w:space="0" w:color="auto"/>
                <w:bottom w:val="none" w:sz="0" w:space="0" w:color="auto"/>
                <w:right w:val="none" w:sz="0" w:space="0" w:color="auto"/>
              </w:divBdr>
              <w:divsChild>
                <w:div w:id="1535196988">
                  <w:marLeft w:val="0"/>
                  <w:marRight w:val="0"/>
                  <w:marTop w:val="0"/>
                  <w:marBottom w:val="0"/>
                  <w:divBdr>
                    <w:top w:val="none" w:sz="0" w:space="0" w:color="auto"/>
                    <w:left w:val="none" w:sz="0" w:space="0" w:color="auto"/>
                    <w:bottom w:val="none" w:sz="0" w:space="0" w:color="auto"/>
                    <w:right w:val="none" w:sz="0" w:space="0" w:color="auto"/>
                  </w:divBdr>
                  <w:divsChild>
                    <w:div w:id="14720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0335">
      <w:bodyDiv w:val="1"/>
      <w:marLeft w:val="0"/>
      <w:marRight w:val="0"/>
      <w:marTop w:val="0"/>
      <w:marBottom w:val="0"/>
      <w:divBdr>
        <w:top w:val="none" w:sz="0" w:space="0" w:color="auto"/>
        <w:left w:val="none" w:sz="0" w:space="0" w:color="auto"/>
        <w:bottom w:val="none" w:sz="0" w:space="0" w:color="auto"/>
        <w:right w:val="none" w:sz="0" w:space="0" w:color="auto"/>
      </w:divBdr>
      <w:divsChild>
        <w:div w:id="1640458963">
          <w:marLeft w:val="0"/>
          <w:marRight w:val="0"/>
          <w:marTop w:val="0"/>
          <w:marBottom w:val="0"/>
          <w:divBdr>
            <w:top w:val="none" w:sz="0" w:space="0" w:color="auto"/>
            <w:left w:val="none" w:sz="0" w:space="0" w:color="auto"/>
            <w:bottom w:val="none" w:sz="0" w:space="0" w:color="auto"/>
            <w:right w:val="none" w:sz="0" w:space="0" w:color="auto"/>
          </w:divBdr>
          <w:divsChild>
            <w:div w:id="138301678">
              <w:marLeft w:val="0"/>
              <w:marRight w:val="0"/>
              <w:marTop w:val="0"/>
              <w:marBottom w:val="0"/>
              <w:divBdr>
                <w:top w:val="none" w:sz="0" w:space="0" w:color="auto"/>
                <w:left w:val="none" w:sz="0" w:space="0" w:color="auto"/>
                <w:bottom w:val="none" w:sz="0" w:space="0" w:color="auto"/>
                <w:right w:val="none" w:sz="0" w:space="0" w:color="auto"/>
              </w:divBdr>
              <w:divsChild>
                <w:div w:id="1390306838">
                  <w:marLeft w:val="0"/>
                  <w:marRight w:val="0"/>
                  <w:marTop w:val="0"/>
                  <w:marBottom w:val="0"/>
                  <w:divBdr>
                    <w:top w:val="none" w:sz="0" w:space="0" w:color="auto"/>
                    <w:left w:val="none" w:sz="0" w:space="0" w:color="auto"/>
                    <w:bottom w:val="none" w:sz="0" w:space="0" w:color="auto"/>
                    <w:right w:val="none" w:sz="0" w:space="0" w:color="auto"/>
                  </w:divBdr>
                  <w:divsChild>
                    <w:div w:id="17246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2015-05-18T07:00:00+00:00</OpenedDate>
    <Date1 xmlns="dc463f71-b30c-4ab2-9473-d307f9d35888">2015-09-23T07:00:00+00:00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151069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265E5B3AF5A498F041FB34EEA8E7E" ma:contentTypeVersion="119" ma:contentTypeDescription="" ma:contentTypeScope="" ma:versionID="edca5ab1cda14bc272c7078bec096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CF8299-DBD5-4BAB-92A5-400DC98CA3F2}"/>
</file>

<file path=customXml/itemProps2.xml><?xml version="1.0" encoding="utf-8"?>
<ds:datastoreItem xmlns:ds="http://schemas.openxmlformats.org/officeDocument/2006/customXml" ds:itemID="{4556CAA5-4AF5-4A85-8BA9-ED3F89F53191}"/>
</file>

<file path=customXml/itemProps3.xml><?xml version="1.0" encoding="utf-8"?>
<ds:datastoreItem xmlns:ds="http://schemas.openxmlformats.org/officeDocument/2006/customXml" ds:itemID="{E0BDE057-AEAF-4F04-A393-38C611AFD6EE}"/>
</file>

<file path=customXml/itemProps4.xml><?xml version="1.0" encoding="utf-8"?>
<ds:datastoreItem xmlns:ds="http://schemas.openxmlformats.org/officeDocument/2006/customXml" ds:itemID="{81EE0982-EEB7-4B66-ADB2-595E3A246EA0}"/>
</file>

<file path=docProps/app.xml><?xml version="1.0" encoding="utf-8"?>
<Properties xmlns="http://schemas.openxmlformats.org/officeDocument/2006/extended-properties" xmlns:vt="http://schemas.openxmlformats.org/officeDocument/2006/docPropsVTypes">
  <Template>Normal.dotm</Template>
  <TotalTime>79</TotalTime>
  <Pages>2</Pages>
  <Words>901</Words>
  <Characters>5141</Characters>
  <Application>Microsoft Macintosh Word</Application>
  <DocSecurity>0</DocSecurity>
  <Lines>42</Lines>
  <Paragraphs>10</Paragraphs>
  <ScaleCrop>false</ScaleCrop>
  <Company>Micro Systems Engineering</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Nate Sandvig</cp:lastModifiedBy>
  <cp:revision>7</cp:revision>
  <cp:lastPrinted>2015-09-23T17:25:00Z</cp:lastPrinted>
  <dcterms:created xsi:type="dcterms:W3CDTF">2015-09-11T03:51:00Z</dcterms:created>
  <dcterms:modified xsi:type="dcterms:W3CDTF">2015-09-23T17:25:00Z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0x0101006E56B4D1795A2E4DB2F0B01679ED314A0025F265E5B3AF5A498F041FB34EEA8E7E</vt:lpwstr>
  </property>
  <property fmtid="{D5CDD505-2E9C-101B-9397-08002B2CF9AE}" pid="3" name="_docset_NoMedatataSyncRequired">
    <vt:lpwstr>False</vt:lpwstr>
  </property>
</Properties>
</file>