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7B97D" w14:textId="77777777" w:rsidR="00C011AB" w:rsidRPr="00C44C94" w:rsidRDefault="00C011AB" w:rsidP="009644ED">
      <w:pPr>
        <w:pStyle w:val="BodyText"/>
        <w:spacing w:line="264" w:lineRule="auto"/>
        <w:rPr>
          <w:b/>
          <w:bCs/>
          <w:sz w:val="25"/>
          <w:szCs w:val="25"/>
        </w:rPr>
      </w:pPr>
      <w:r w:rsidRPr="00C44C94">
        <w:rPr>
          <w:b/>
          <w:bCs/>
          <w:sz w:val="25"/>
          <w:szCs w:val="25"/>
        </w:rPr>
        <w:t>BEFORE THE WASHINGTON</w:t>
      </w:r>
    </w:p>
    <w:p w14:paraId="1213BB91" w14:textId="77777777" w:rsidR="00C011AB" w:rsidRPr="00C44C94" w:rsidRDefault="00C011AB" w:rsidP="009644ED">
      <w:pPr>
        <w:pStyle w:val="BodyText"/>
        <w:spacing w:line="264" w:lineRule="auto"/>
        <w:rPr>
          <w:b/>
          <w:bCs/>
          <w:sz w:val="25"/>
          <w:szCs w:val="25"/>
        </w:rPr>
      </w:pPr>
      <w:r w:rsidRPr="00C44C94">
        <w:rPr>
          <w:b/>
          <w:bCs/>
          <w:sz w:val="25"/>
          <w:szCs w:val="25"/>
        </w:rPr>
        <w:t>UTILITIES AND TRANSPORTATION COMMISSION</w:t>
      </w:r>
    </w:p>
    <w:p w14:paraId="392D588C" w14:textId="77777777" w:rsidR="009644ED" w:rsidRPr="00C44C94" w:rsidRDefault="009644ED" w:rsidP="009644ED">
      <w:pPr>
        <w:pStyle w:val="BodyText"/>
        <w:spacing w:line="264" w:lineRule="auto"/>
        <w:rPr>
          <w:sz w:val="25"/>
          <w:szCs w:val="25"/>
        </w:rPr>
      </w:pPr>
    </w:p>
    <w:tbl>
      <w:tblPr>
        <w:tblW w:w="0" w:type="auto"/>
        <w:tblLayout w:type="fixed"/>
        <w:tblLook w:val="0000" w:firstRow="0" w:lastRow="0" w:firstColumn="0" w:lastColumn="0" w:noHBand="0" w:noVBand="0"/>
      </w:tblPr>
      <w:tblGrid>
        <w:gridCol w:w="4402"/>
        <w:gridCol w:w="237"/>
        <w:gridCol w:w="3915"/>
      </w:tblGrid>
      <w:tr w:rsidR="00C011AB" w:rsidRPr="00C44C94" w14:paraId="19FAF6DE" w14:textId="77777777" w:rsidTr="009F7817">
        <w:trPr>
          <w:trHeight w:val="2263"/>
        </w:trPr>
        <w:tc>
          <w:tcPr>
            <w:tcW w:w="4402" w:type="dxa"/>
          </w:tcPr>
          <w:p w14:paraId="5B86868D" w14:textId="77777777" w:rsidR="00DB78B7" w:rsidRPr="00C44C94" w:rsidRDefault="00B97D0B" w:rsidP="009644ED">
            <w:pPr>
              <w:spacing w:line="264" w:lineRule="auto"/>
              <w:rPr>
                <w:bCs/>
                <w:sz w:val="25"/>
                <w:szCs w:val="25"/>
              </w:rPr>
            </w:pPr>
            <w:r w:rsidRPr="00C44C94">
              <w:rPr>
                <w:bCs/>
                <w:sz w:val="25"/>
                <w:szCs w:val="25"/>
              </w:rPr>
              <w:t>In the Matter of a</w:t>
            </w:r>
            <w:r w:rsidR="00ED0C7E" w:rsidRPr="00C44C94">
              <w:rPr>
                <w:bCs/>
                <w:sz w:val="25"/>
                <w:szCs w:val="25"/>
              </w:rPr>
              <w:t xml:space="preserve"> </w:t>
            </w:r>
            <w:r w:rsidR="00A01D98" w:rsidRPr="00C44C94">
              <w:rPr>
                <w:bCs/>
                <w:sz w:val="25"/>
                <w:szCs w:val="25"/>
              </w:rPr>
              <w:t xml:space="preserve">Penalty Assessment Against </w:t>
            </w:r>
          </w:p>
          <w:p w14:paraId="52E4C71B" w14:textId="77777777" w:rsidR="00DB78B7" w:rsidRPr="00C44C94" w:rsidRDefault="00DB78B7" w:rsidP="009644ED">
            <w:pPr>
              <w:spacing w:line="264" w:lineRule="auto"/>
              <w:rPr>
                <w:bCs/>
                <w:sz w:val="25"/>
                <w:szCs w:val="25"/>
              </w:rPr>
            </w:pPr>
          </w:p>
          <w:p w14:paraId="2DB748A0" w14:textId="2AAC2823" w:rsidR="00005893" w:rsidRPr="00C44C94" w:rsidRDefault="000376E4" w:rsidP="009644ED">
            <w:pPr>
              <w:spacing w:line="264" w:lineRule="auto"/>
              <w:rPr>
                <w:bCs/>
                <w:sz w:val="25"/>
                <w:szCs w:val="25"/>
              </w:rPr>
            </w:pPr>
            <w:r w:rsidRPr="00C44C94">
              <w:rPr>
                <w:bCs/>
                <w:sz w:val="25"/>
                <w:szCs w:val="25"/>
              </w:rPr>
              <w:t>PMC MOVING, LLC</w:t>
            </w:r>
          </w:p>
          <w:p w14:paraId="6B69F897" w14:textId="77777777" w:rsidR="00F13566" w:rsidRPr="00C44C94" w:rsidRDefault="00F13566" w:rsidP="009644ED">
            <w:pPr>
              <w:spacing w:line="264" w:lineRule="auto"/>
              <w:rPr>
                <w:bCs/>
                <w:sz w:val="25"/>
                <w:szCs w:val="25"/>
              </w:rPr>
            </w:pPr>
          </w:p>
          <w:p w14:paraId="5B72AA38" w14:textId="77777777" w:rsidR="00A01D98" w:rsidRDefault="00A01D98" w:rsidP="009644ED">
            <w:pPr>
              <w:spacing w:line="264" w:lineRule="auto"/>
              <w:rPr>
                <w:bCs/>
                <w:sz w:val="25"/>
                <w:szCs w:val="25"/>
              </w:rPr>
            </w:pPr>
            <w:r w:rsidRPr="00C44C94">
              <w:rPr>
                <w:bCs/>
                <w:sz w:val="25"/>
                <w:szCs w:val="25"/>
              </w:rPr>
              <w:t>in the amount of $</w:t>
            </w:r>
            <w:r w:rsidR="000376E4" w:rsidRPr="00C44C94">
              <w:rPr>
                <w:bCs/>
                <w:sz w:val="25"/>
                <w:szCs w:val="25"/>
              </w:rPr>
              <w:t>5,900</w:t>
            </w:r>
          </w:p>
          <w:p w14:paraId="0236C3CF" w14:textId="77777777" w:rsidR="009644ED" w:rsidRPr="00C44C94" w:rsidRDefault="009644ED" w:rsidP="009644ED">
            <w:pPr>
              <w:spacing w:line="264" w:lineRule="auto"/>
              <w:rPr>
                <w:sz w:val="25"/>
                <w:szCs w:val="25"/>
              </w:rPr>
            </w:pPr>
          </w:p>
          <w:p w14:paraId="58F91FCD" w14:textId="77777777" w:rsidR="00C011AB" w:rsidRPr="00C44C94" w:rsidRDefault="00C011AB" w:rsidP="009644ED">
            <w:pPr>
              <w:spacing w:line="264" w:lineRule="auto"/>
              <w:rPr>
                <w:sz w:val="25"/>
                <w:szCs w:val="25"/>
              </w:rPr>
            </w:pPr>
            <w:r w:rsidRPr="00C44C94">
              <w:rPr>
                <w:sz w:val="25"/>
                <w:szCs w:val="25"/>
              </w:rPr>
              <w:t xml:space="preserve">. . . . . . . . . . . . . . . . . . . . . . . . . . . . . . . . . </w:t>
            </w:r>
          </w:p>
        </w:tc>
        <w:tc>
          <w:tcPr>
            <w:tcW w:w="237" w:type="dxa"/>
          </w:tcPr>
          <w:p w14:paraId="6845E62B" w14:textId="77777777" w:rsidR="00C011AB" w:rsidRPr="00C44C94" w:rsidRDefault="00C011AB" w:rsidP="009644ED">
            <w:pPr>
              <w:spacing w:line="264" w:lineRule="auto"/>
              <w:rPr>
                <w:sz w:val="25"/>
                <w:szCs w:val="25"/>
              </w:rPr>
            </w:pPr>
            <w:r w:rsidRPr="00C44C94">
              <w:rPr>
                <w:sz w:val="25"/>
                <w:szCs w:val="25"/>
              </w:rPr>
              <w:t>)</w:t>
            </w:r>
          </w:p>
          <w:p w14:paraId="5C9BF2A2" w14:textId="77777777" w:rsidR="00C011AB" w:rsidRPr="00C44C94" w:rsidRDefault="00C011AB" w:rsidP="009644ED">
            <w:pPr>
              <w:spacing w:line="264" w:lineRule="auto"/>
              <w:rPr>
                <w:sz w:val="25"/>
                <w:szCs w:val="25"/>
              </w:rPr>
            </w:pPr>
            <w:r w:rsidRPr="00C44C94">
              <w:rPr>
                <w:sz w:val="25"/>
                <w:szCs w:val="25"/>
              </w:rPr>
              <w:t>)</w:t>
            </w:r>
          </w:p>
          <w:p w14:paraId="65B82A15" w14:textId="77777777" w:rsidR="00C011AB" w:rsidRPr="00C44C94" w:rsidRDefault="00C011AB" w:rsidP="009644ED">
            <w:pPr>
              <w:spacing w:line="264" w:lineRule="auto"/>
              <w:rPr>
                <w:sz w:val="25"/>
                <w:szCs w:val="25"/>
              </w:rPr>
            </w:pPr>
            <w:r w:rsidRPr="00C44C94">
              <w:rPr>
                <w:sz w:val="25"/>
                <w:szCs w:val="25"/>
              </w:rPr>
              <w:t>)</w:t>
            </w:r>
          </w:p>
          <w:p w14:paraId="653363C8" w14:textId="77777777" w:rsidR="00C011AB" w:rsidRPr="00C44C94" w:rsidRDefault="00C011AB" w:rsidP="009644ED">
            <w:pPr>
              <w:spacing w:line="264" w:lineRule="auto"/>
              <w:rPr>
                <w:sz w:val="25"/>
                <w:szCs w:val="25"/>
              </w:rPr>
            </w:pPr>
            <w:r w:rsidRPr="00C44C94">
              <w:rPr>
                <w:sz w:val="25"/>
                <w:szCs w:val="25"/>
              </w:rPr>
              <w:t>)</w:t>
            </w:r>
          </w:p>
          <w:p w14:paraId="7F87EF08" w14:textId="77777777" w:rsidR="00C011AB" w:rsidRPr="00C44C94" w:rsidRDefault="00C011AB" w:rsidP="009644ED">
            <w:pPr>
              <w:spacing w:line="264" w:lineRule="auto"/>
              <w:rPr>
                <w:sz w:val="25"/>
                <w:szCs w:val="25"/>
              </w:rPr>
            </w:pPr>
            <w:r w:rsidRPr="00C44C94">
              <w:rPr>
                <w:sz w:val="25"/>
                <w:szCs w:val="25"/>
              </w:rPr>
              <w:t>)</w:t>
            </w:r>
          </w:p>
          <w:p w14:paraId="1CE9FE05" w14:textId="77777777" w:rsidR="00C011AB" w:rsidRPr="00C44C94" w:rsidRDefault="00C011AB" w:rsidP="009644ED">
            <w:pPr>
              <w:spacing w:line="264" w:lineRule="auto"/>
              <w:rPr>
                <w:sz w:val="25"/>
                <w:szCs w:val="25"/>
              </w:rPr>
            </w:pPr>
            <w:r w:rsidRPr="00C44C94">
              <w:rPr>
                <w:sz w:val="25"/>
                <w:szCs w:val="25"/>
              </w:rPr>
              <w:t>)</w:t>
            </w:r>
          </w:p>
          <w:p w14:paraId="0A027F0B" w14:textId="77777777" w:rsidR="006C5AA6" w:rsidRDefault="000E4BC7" w:rsidP="009644ED">
            <w:pPr>
              <w:spacing w:line="264" w:lineRule="auto"/>
              <w:rPr>
                <w:sz w:val="25"/>
                <w:szCs w:val="25"/>
              </w:rPr>
            </w:pPr>
            <w:r w:rsidRPr="00C44C94">
              <w:rPr>
                <w:sz w:val="25"/>
                <w:szCs w:val="25"/>
              </w:rPr>
              <w:t>)</w:t>
            </w:r>
          </w:p>
          <w:p w14:paraId="57C2BFE2" w14:textId="1CD08E3C" w:rsidR="009644ED" w:rsidRPr="00C44C94" w:rsidRDefault="009644ED" w:rsidP="009644ED">
            <w:pPr>
              <w:spacing w:line="264" w:lineRule="auto"/>
              <w:rPr>
                <w:sz w:val="25"/>
                <w:szCs w:val="25"/>
              </w:rPr>
            </w:pPr>
            <w:r>
              <w:rPr>
                <w:sz w:val="25"/>
                <w:szCs w:val="25"/>
              </w:rPr>
              <w:t>)</w:t>
            </w:r>
          </w:p>
        </w:tc>
        <w:tc>
          <w:tcPr>
            <w:tcW w:w="3915" w:type="dxa"/>
          </w:tcPr>
          <w:p w14:paraId="65483889" w14:textId="77777777" w:rsidR="00C011AB" w:rsidRPr="00C44C94" w:rsidRDefault="00C011AB" w:rsidP="009644ED">
            <w:pPr>
              <w:spacing w:line="264" w:lineRule="auto"/>
              <w:rPr>
                <w:sz w:val="25"/>
                <w:szCs w:val="25"/>
              </w:rPr>
            </w:pPr>
            <w:r w:rsidRPr="00C44C94">
              <w:rPr>
                <w:sz w:val="25"/>
                <w:szCs w:val="25"/>
              </w:rPr>
              <w:t xml:space="preserve">DOCKET </w:t>
            </w:r>
            <w:r w:rsidR="00D91A9A" w:rsidRPr="00C44C94">
              <w:rPr>
                <w:bCs/>
                <w:sz w:val="25"/>
                <w:szCs w:val="25"/>
              </w:rPr>
              <w:t>T</w:t>
            </w:r>
            <w:r w:rsidR="00F13566" w:rsidRPr="00C44C94">
              <w:rPr>
                <w:bCs/>
                <w:sz w:val="25"/>
                <w:szCs w:val="25"/>
              </w:rPr>
              <w:t>V</w:t>
            </w:r>
            <w:r w:rsidR="00C05407" w:rsidRPr="00C44C94">
              <w:rPr>
                <w:bCs/>
                <w:sz w:val="25"/>
                <w:szCs w:val="25"/>
              </w:rPr>
              <w:t>-</w:t>
            </w:r>
            <w:r w:rsidR="008A54E8" w:rsidRPr="00C44C94">
              <w:rPr>
                <w:bCs/>
                <w:sz w:val="25"/>
                <w:szCs w:val="25"/>
              </w:rPr>
              <w:t>14</w:t>
            </w:r>
            <w:r w:rsidR="00EB5624" w:rsidRPr="00C44C94">
              <w:rPr>
                <w:bCs/>
                <w:sz w:val="25"/>
                <w:szCs w:val="25"/>
              </w:rPr>
              <w:t>3</w:t>
            </w:r>
            <w:r w:rsidR="000376E4" w:rsidRPr="00C44C94">
              <w:rPr>
                <w:bCs/>
                <w:sz w:val="25"/>
                <w:szCs w:val="25"/>
              </w:rPr>
              <w:t>221</w:t>
            </w:r>
          </w:p>
          <w:p w14:paraId="1EADCE24" w14:textId="77777777" w:rsidR="00C011AB" w:rsidRPr="00C44C94" w:rsidRDefault="00C011AB" w:rsidP="009644ED">
            <w:pPr>
              <w:spacing w:line="264" w:lineRule="auto"/>
              <w:rPr>
                <w:sz w:val="25"/>
                <w:szCs w:val="25"/>
              </w:rPr>
            </w:pPr>
          </w:p>
          <w:p w14:paraId="0CCA03E9" w14:textId="5C3FE831" w:rsidR="00C011AB" w:rsidRPr="00C44C94" w:rsidRDefault="00C011AB" w:rsidP="009644ED">
            <w:pPr>
              <w:spacing w:line="264" w:lineRule="auto"/>
              <w:rPr>
                <w:sz w:val="25"/>
                <w:szCs w:val="25"/>
              </w:rPr>
            </w:pPr>
            <w:r w:rsidRPr="00C44C94">
              <w:rPr>
                <w:sz w:val="25"/>
                <w:szCs w:val="25"/>
              </w:rPr>
              <w:t>ORDER 0</w:t>
            </w:r>
            <w:r w:rsidR="00747095" w:rsidRPr="00C44C94">
              <w:rPr>
                <w:bCs/>
                <w:sz w:val="25"/>
                <w:szCs w:val="25"/>
              </w:rPr>
              <w:t>2</w:t>
            </w:r>
          </w:p>
          <w:p w14:paraId="3D04CA67" w14:textId="77777777" w:rsidR="00C011AB" w:rsidRPr="00C44C94" w:rsidRDefault="00C011AB" w:rsidP="009644ED">
            <w:pPr>
              <w:spacing w:line="264" w:lineRule="auto"/>
              <w:rPr>
                <w:sz w:val="25"/>
                <w:szCs w:val="25"/>
              </w:rPr>
            </w:pPr>
          </w:p>
          <w:p w14:paraId="7BD59334" w14:textId="2D53026E" w:rsidR="000E4BC7" w:rsidRPr="00C44C94" w:rsidRDefault="00F13566" w:rsidP="009644ED">
            <w:pPr>
              <w:spacing w:line="264" w:lineRule="auto"/>
              <w:rPr>
                <w:sz w:val="25"/>
                <w:szCs w:val="25"/>
              </w:rPr>
            </w:pPr>
            <w:r w:rsidRPr="00C44C94">
              <w:rPr>
                <w:sz w:val="25"/>
                <w:szCs w:val="25"/>
              </w:rPr>
              <w:t xml:space="preserve">ORDER </w:t>
            </w:r>
            <w:r w:rsidR="00D76FBF">
              <w:rPr>
                <w:sz w:val="25"/>
                <w:szCs w:val="25"/>
              </w:rPr>
              <w:t>ON REVIEW</w:t>
            </w:r>
          </w:p>
          <w:p w14:paraId="4B7D1E29" w14:textId="77777777" w:rsidR="00A84893" w:rsidRPr="00C44C94" w:rsidRDefault="005E6451" w:rsidP="009644ED">
            <w:pPr>
              <w:pStyle w:val="Header"/>
              <w:tabs>
                <w:tab w:val="clear" w:pos="4320"/>
                <w:tab w:val="clear" w:pos="8640"/>
              </w:tabs>
              <w:spacing w:line="264" w:lineRule="auto"/>
              <w:rPr>
                <w:sz w:val="25"/>
                <w:szCs w:val="25"/>
              </w:rPr>
            </w:pPr>
            <w:r w:rsidRPr="00C44C94">
              <w:rPr>
                <w:sz w:val="25"/>
                <w:szCs w:val="25"/>
              </w:rPr>
              <w:br/>
            </w:r>
          </w:p>
        </w:tc>
      </w:tr>
    </w:tbl>
    <w:p w14:paraId="1BAACAE7" w14:textId="77777777" w:rsidR="009644ED" w:rsidRPr="00C44C94" w:rsidRDefault="009644ED" w:rsidP="009644ED">
      <w:pPr>
        <w:spacing w:line="264" w:lineRule="auto"/>
        <w:jc w:val="center"/>
        <w:rPr>
          <w:b/>
          <w:sz w:val="25"/>
          <w:szCs w:val="25"/>
        </w:rPr>
      </w:pPr>
    </w:p>
    <w:p w14:paraId="09850A07" w14:textId="77777777" w:rsidR="002E3C80" w:rsidRPr="00C44C94" w:rsidRDefault="00F32856" w:rsidP="009644ED">
      <w:pPr>
        <w:spacing w:line="264" w:lineRule="auto"/>
        <w:jc w:val="center"/>
        <w:rPr>
          <w:b/>
          <w:sz w:val="25"/>
          <w:szCs w:val="25"/>
        </w:rPr>
      </w:pPr>
      <w:r w:rsidRPr="00C44C94">
        <w:rPr>
          <w:b/>
          <w:sz w:val="25"/>
          <w:szCs w:val="25"/>
        </w:rPr>
        <w:t>BACKGROUND</w:t>
      </w:r>
    </w:p>
    <w:p w14:paraId="4FDE6457" w14:textId="77777777" w:rsidR="005F24F9" w:rsidRPr="00C44C94" w:rsidRDefault="005F24F9" w:rsidP="009644ED">
      <w:pPr>
        <w:tabs>
          <w:tab w:val="left" w:pos="720"/>
        </w:tabs>
        <w:spacing w:line="264" w:lineRule="auto"/>
        <w:rPr>
          <w:sz w:val="25"/>
          <w:szCs w:val="25"/>
        </w:rPr>
      </w:pPr>
    </w:p>
    <w:p w14:paraId="21BC477B" w14:textId="77777777" w:rsidR="0003347C" w:rsidRPr="00C44C94" w:rsidRDefault="00E7048D" w:rsidP="009644ED">
      <w:pPr>
        <w:numPr>
          <w:ilvl w:val="0"/>
          <w:numId w:val="1"/>
        </w:numPr>
        <w:tabs>
          <w:tab w:val="clear" w:pos="1080"/>
          <w:tab w:val="left" w:pos="0"/>
        </w:tabs>
        <w:spacing w:line="264" w:lineRule="auto"/>
        <w:ind w:left="0" w:hanging="720"/>
        <w:rPr>
          <w:rStyle w:val="CommentReference"/>
          <w:sz w:val="25"/>
          <w:szCs w:val="25"/>
        </w:rPr>
      </w:pPr>
      <w:r w:rsidRPr="00C44C94">
        <w:rPr>
          <w:bCs/>
          <w:sz w:val="25"/>
          <w:szCs w:val="25"/>
        </w:rPr>
        <w:t xml:space="preserve">On </w:t>
      </w:r>
      <w:r w:rsidR="000376E4" w:rsidRPr="00C44C94">
        <w:rPr>
          <w:bCs/>
          <w:sz w:val="25"/>
          <w:szCs w:val="25"/>
        </w:rPr>
        <w:t>September 18</w:t>
      </w:r>
      <w:r w:rsidRPr="00C44C94">
        <w:rPr>
          <w:bCs/>
          <w:sz w:val="25"/>
          <w:szCs w:val="25"/>
        </w:rPr>
        <w:t xml:space="preserve">, 2014, </w:t>
      </w:r>
      <w:r w:rsidR="00355F62" w:rsidRPr="00C44C94">
        <w:rPr>
          <w:bCs/>
          <w:sz w:val="25"/>
          <w:szCs w:val="25"/>
        </w:rPr>
        <w:t xml:space="preserve">the Washington Utilities and Transportation </w:t>
      </w:r>
      <w:r w:rsidR="00E34DFE" w:rsidRPr="00C44C94">
        <w:rPr>
          <w:bCs/>
          <w:sz w:val="25"/>
          <w:szCs w:val="25"/>
        </w:rPr>
        <w:t>Commission (</w:t>
      </w:r>
      <w:r w:rsidR="00355F62" w:rsidRPr="00C44C94">
        <w:rPr>
          <w:bCs/>
          <w:sz w:val="25"/>
          <w:szCs w:val="25"/>
        </w:rPr>
        <w:t>Commission) assessed a penalty of $</w:t>
      </w:r>
      <w:r w:rsidR="000376E4" w:rsidRPr="00C44C94">
        <w:rPr>
          <w:bCs/>
          <w:sz w:val="25"/>
          <w:szCs w:val="25"/>
        </w:rPr>
        <w:t>5</w:t>
      </w:r>
      <w:r w:rsidR="00355F62" w:rsidRPr="00C44C94">
        <w:rPr>
          <w:bCs/>
          <w:sz w:val="25"/>
          <w:szCs w:val="25"/>
        </w:rPr>
        <w:t>,</w:t>
      </w:r>
      <w:r w:rsidR="000376E4" w:rsidRPr="00C44C94">
        <w:rPr>
          <w:bCs/>
          <w:sz w:val="25"/>
          <w:szCs w:val="25"/>
        </w:rPr>
        <w:t>9</w:t>
      </w:r>
      <w:r w:rsidR="00355F62" w:rsidRPr="00C44C94">
        <w:rPr>
          <w:bCs/>
          <w:sz w:val="25"/>
          <w:szCs w:val="25"/>
        </w:rPr>
        <w:t>00</w:t>
      </w:r>
      <w:r w:rsidR="00182DFC" w:rsidRPr="00C44C94">
        <w:rPr>
          <w:bCs/>
          <w:sz w:val="25"/>
          <w:szCs w:val="25"/>
        </w:rPr>
        <w:t xml:space="preserve"> (Penalty Assessment)</w:t>
      </w:r>
      <w:r w:rsidR="00355F62" w:rsidRPr="00C44C94">
        <w:rPr>
          <w:bCs/>
          <w:sz w:val="25"/>
          <w:szCs w:val="25"/>
        </w:rPr>
        <w:t xml:space="preserve"> against </w:t>
      </w:r>
      <w:r w:rsidR="000376E4" w:rsidRPr="00C44C94">
        <w:rPr>
          <w:bCs/>
          <w:sz w:val="25"/>
          <w:szCs w:val="25"/>
        </w:rPr>
        <w:t>PMC Moving, LLC</w:t>
      </w:r>
      <w:r w:rsidR="00355F62" w:rsidRPr="00C44C94">
        <w:rPr>
          <w:bCs/>
          <w:sz w:val="25"/>
          <w:szCs w:val="25"/>
        </w:rPr>
        <w:t xml:space="preserve"> (</w:t>
      </w:r>
      <w:r w:rsidR="000376E4" w:rsidRPr="00C44C94">
        <w:rPr>
          <w:bCs/>
          <w:sz w:val="25"/>
          <w:szCs w:val="25"/>
        </w:rPr>
        <w:t>PMC</w:t>
      </w:r>
      <w:r w:rsidR="00355F62" w:rsidRPr="00C44C94">
        <w:rPr>
          <w:bCs/>
          <w:sz w:val="25"/>
          <w:szCs w:val="25"/>
        </w:rPr>
        <w:t xml:space="preserve"> or Company) for </w:t>
      </w:r>
      <w:r w:rsidR="000376E4" w:rsidRPr="00C44C94">
        <w:rPr>
          <w:bCs/>
          <w:sz w:val="25"/>
          <w:szCs w:val="25"/>
        </w:rPr>
        <w:t>58</w:t>
      </w:r>
      <w:r w:rsidR="00FD4FDC" w:rsidRPr="00C44C94">
        <w:rPr>
          <w:bCs/>
          <w:sz w:val="25"/>
          <w:szCs w:val="25"/>
        </w:rPr>
        <w:t xml:space="preserve"> </w:t>
      </w:r>
      <w:r w:rsidR="00355F62" w:rsidRPr="00C44C94">
        <w:rPr>
          <w:bCs/>
          <w:sz w:val="25"/>
          <w:szCs w:val="25"/>
        </w:rPr>
        <w:t xml:space="preserve">violations of </w:t>
      </w:r>
      <w:r w:rsidR="005E6451" w:rsidRPr="00C44C94">
        <w:rPr>
          <w:bCs/>
          <w:sz w:val="25"/>
          <w:szCs w:val="25"/>
        </w:rPr>
        <w:t xml:space="preserve">Washington Administrative Code (WAC) </w:t>
      </w:r>
      <w:r w:rsidR="00355F62" w:rsidRPr="00C44C94">
        <w:rPr>
          <w:bCs/>
          <w:sz w:val="25"/>
          <w:szCs w:val="25"/>
        </w:rPr>
        <w:t>480-15</w:t>
      </w:r>
      <w:r w:rsidR="005E6451" w:rsidRPr="00C44C94">
        <w:rPr>
          <w:bCs/>
          <w:sz w:val="25"/>
          <w:szCs w:val="25"/>
        </w:rPr>
        <w:t>-5</w:t>
      </w:r>
      <w:r w:rsidR="00FD4FDC" w:rsidRPr="00C44C94">
        <w:rPr>
          <w:bCs/>
          <w:sz w:val="25"/>
          <w:szCs w:val="25"/>
        </w:rPr>
        <w:t>7</w:t>
      </w:r>
      <w:r w:rsidR="005E6451" w:rsidRPr="00C44C94">
        <w:rPr>
          <w:bCs/>
          <w:sz w:val="25"/>
          <w:szCs w:val="25"/>
        </w:rPr>
        <w:t>0</w:t>
      </w:r>
      <w:r w:rsidR="00FD4FDC" w:rsidRPr="00C44C94">
        <w:rPr>
          <w:bCs/>
          <w:sz w:val="25"/>
          <w:szCs w:val="25"/>
        </w:rPr>
        <w:t>, which adopts by reference 49 C.F.R. Part 391 related to driver qualifications and hours of service, and one violation of WAC</w:t>
      </w:r>
      <w:r w:rsidR="005E6451" w:rsidRPr="00C44C94">
        <w:rPr>
          <w:bCs/>
          <w:sz w:val="25"/>
          <w:szCs w:val="25"/>
        </w:rPr>
        <w:t xml:space="preserve"> 480-15-5</w:t>
      </w:r>
      <w:r w:rsidR="00FD4FDC" w:rsidRPr="00C44C94">
        <w:rPr>
          <w:bCs/>
          <w:sz w:val="25"/>
          <w:szCs w:val="25"/>
        </w:rPr>
        <w:t>6</w:t>
      </w:r>
      <w:r w:rsidR="005E6451" w:rsidRPr="00C44C94">
        <w:rPr>
          <w:bCs/>
          <w:sz w:val="25"/>
          <w:szCs w:val="25"/>
        </w:rPr>
        <w:t>0</w:t>
      </w:r>
      <w:r w:rsidR="00FD4FDC" w:rsidRPr="00C44C94">
        <w:rPr>
          <w:bCs/>
          <w:sz w:val="25"/>
          <w:szCs w:val="25"/>
        </w:rPr>
        <w:t xml:space="preserve">, which adopts </w:t>
      </w:r>
      <w:r w:rsidR="009212F2" w:rsidRPr="00C44C94">
        <w:rPr>
          <w:bCs/>
          <w:sz w:val="25"/>
          <w:szCs w:val="25"/>
        </w:rPr>
        <w:t xml:space="preserve">49 </w:t>
      </w:r>
      <w:r w:rsidR="00FD4FDC" w:rsidRPr="00C44C94">
        <w:rPr>
          <w:bCs/>
          <w:sz w:val="25"/>
          <w:szCs w:val="25"/>
        </w:rPr>
        <w:t>C.F.R. Part 396 related to vehicle inspection, repair</w:t>
      </w:r>
      <w:r w:rsidR="005B3D1B" w:rsidRPr="00C44C94">
        <w:rPr>
          <w:bCs/>
          <w:sz w:val="25"/>
          <w:szCs w:val="25"/>
        </w:rPr>
        <w:t>,</w:t>
      </w:r>
      <w:r w:rsidR="00FD4FDC" w:rsidRPr="00C44C94">
        <w:rPr>
          <w:bCs/>
          <w:sz w:val="25"/>
          <w:szCs w:val="25"/>
        </w:rPr>
        <w:t xml:space="preserve"> and maintenance</w:t>
      </w:r>
      <w:r w:rsidR="00E34DFE" w:rsidRPr="00C44C94">
        <w:rPr>
          <w:bCs/>
          <w:sz w:val="25"/>
          <w:szCs w:val="25"/>
        </w:rPr>
        <w:t>.</w:t>
      </w:r>
      <w:r w:rsidR="005E6451" w:rsidRPr="00C44C94">
        <w:rPr>
          <w:bCs/>
          <w:sz w:val="25"/>
          <w:szCs w:val="25"/>
        </w:rPr>
        <w:t xml:space="preserve">    </w:t>
      </w:r>
    </w:p>
    <w:p w14:paraId="4F0F0669" w14:textId="77777777" w:rsidR="0003347C" w:rsidRPr="00C44C94" w:rsidRDefault="0003347C" w:rsidP="009644ED">
      <w:pPr>
        <w:pStyle w:val="ListParagraph"/>
        <w:spacing w:line="264" w:lineRule="auto"/>
        <w:rPr>
          <w:sz w:val="25"/>
          <w:szCs w:val="25"/>
        </w:rPr>
      </w:pPr>
    </w:p>
    <w:p w14:paraId="7A451208" w14:textId="1F1E2042" w:rsidR="00747095" w:rsidRPr="00C44C94" w:rsidRDefault="0003347C" w:rsidP="009644ED">
      <w:pPr>
        <w:numPr>
          <w:ilvl w:val="0"/>
          <w:numId w:val="1"/>
        </w:numPr>
        <w:tabs>
          <w:tab w:val="clear" w:pos="1080"/>
          <w:tab w:val="left" w:pos="0"/>
        </w:tabs>
        <w:spacing w:line="264" w:lineRule="auto"/>
        <w:ind w:left="0" w:hanging="720"/>
        <w:rPr>
          <w:sz w:val="25"/>
          <w:szCs w:val="25"/>
        </w:rPr>
      </w:pPr>
      <w:r w:rsidRPr="00C44C94">
        <w:rPr>
          <w:sz w:val="25"/>
          <w:szCs w:val="25"/>
        </w:rPr>
        <w:t xml:space="preserve">On </w:t>
      </w:r>
      <w:r w:rsidR="000376E4" w:rsidRPr="00C44C94">
        <w:rPr>
          <w:sz w:val="25"/>
          <w:szCs w:val="25"/>
        </w:rPr>
        <w:t>October 6</w:t>
      </w:r>
      <w:r w:rsidRPr="00C44C94">
        <w:rPr>
          <w:sz w:val="25"/>
          <w:szCs w:val="25"/>
        </w:rPr>
        <w:t xml:space="preserve">, 2014, </w:t>
      </w:r>
      <w:r w:rsidR="000376E4" w:rsidRPr="00C44C94">
        <w:rPr>
          <w:bCs/>
          <w:sz w:val="25"/>
          <w:szCs w:val="25"/>
        </w:rPr>
        <w:t>PMC</w:t>
      </w:r>
      <w:r w:rsidR="00E34DFE" w:rsidRPr="00C44C94">
        <w:rPr>
          <w:bCs/>
          <w:sz w:val="25"/>
          <w:szCs w:val="25"/>
        </w:rPr>
        <w:t xml:space="preserve"> </w:t>
      </w:r>
      <w:r w:rsidR="008A54E8" w:rsidRPr="00C44C94">
        <w:rPr>
          <w:sz w:val="25"/>
          <w:szCs w:val="25"/>
        </w:rPr>
        <w:t>r</w:t>
      </w:r>
      <w:r w:rsidR="00371E20" w:rsidRPr="00C44C94">
        <w:rPr>
          <w:sz w:val="25"/>
          <w:szCs w:val="25"/>
        </w:rPr>
        <w:t>esponded</w:t>
      </w:r>
      <w:r w:rsidR="00264C0F" w:rsidRPr="00C44C94">
        <w:rPr>
          <w:sz w:val="25"/>
          <w:szCs w:val="25"/>
        </w:rPr>
        <w:t xml:space="preserve"> to the </w:t>
      </w:r>
      <w:r w:rsidR="00182DFC" w:rsidRPr="00C44C94">
        <w:rPr>
          <w:sz w:val="25"/>
          <w:szCs w:val="25"/>
        </w:rPr>
        <w:t>P</w:t>
      </w:r>
      <w:r w:rsidR="00B77835" w:rsidRPr="00C44C94">
        <w:rPr>
          <w:sz w:val="25"/>
          <w:szCs w:val="25"/>
        </w:rPr>
        <w:t xml:space="preserve">enalty </w:t>
      </w:r>
      <w:r w:rsidR="00182DFC" w:rsidRPr="00C44C94">
        <w:rPr>
          <w:sz w:val="25"/>
          <w:szCs w:val="25"/>
        </w:rPr>
        <w:t>A</w:t>
      </w:r>
      <w:r w:rsidR="0014354E" w:rsidRPr="00C44C94">
        <w:rPr>
          <w:sz w:val="25"/>
          <w:szCs w:val="25"/>
        </w:rPr>
        <w:t>ssessment</w:t>
      </w:r>
      <w:r w:rsidR="00E34DFE" w:rsidRPr="00C44C94">
        <w:rPr>
          <w:sz w:val="25"/>
          <w:szCs w:val="25"/>
        </w:rPr>
        <w:t xml:space="preserve"> admitting the violations and requesting mitigation of the penalty based on the written information provided</w:t>
      </w:r>
      <w:r w:rsidR="00734F03" w:rsidRPr="00C44C94">
        <w:rPr>
          <w:sz w:val="25"/>
          <w:szCs w:val="25"/>
        </w:rPr>
        <w:t xml:space="preserve">, which Commission Staff (Staff) opposed.  </w:t>
      </w:r>
      <w:r w:rsidR="00A10E87" w:rsidRPr="00C44C94">
        <w:rPr>
          <w:sz w:val="25"/>
          <w:szCs w:val="25"/>
        </w:rPr>
        <w:t xml:space="preserve">On November 4, 2014, the Commission issued </w:t>
      </w:r>
      <w:r w:rsidR="000014DD" w:rsidRPr="00C44C94">
        <w:rPr>
          <w:sz w:val="25"/>
          <w:szCs w:val="25"/>
        </w:rPr>
        <w:t xml:space="preserve">Delegated </w:t>
      </w:r>
      <w:r w:rsidR="00A10E87" w:rsidRPr="00C44C94">
        <w:rPr>
          <w:sz w:val="25"/>
          <w:szCs w:val="25"/>
        </w:rPr>
        <w:t>Order 01 denying the Company’s request for mitigation.</w:t>
      </w:r>
      <w:r w:rsidR="00747095" w:rsidRPr="00C44C94">
        <w:rPr>
          <w:sz w:val="25"/>
          <w:szCs w:val="25"/>
        </w:rPr>
        <w:br/>
      </w:r>
    </w:p>
    <w:p w14:paraId="1596C011" w14:textId="0AFFB984" w:rsidR="00747095" w:rsidRPr="00C44C94" w:rsidRDefault="00747095" w:rsidP="009644ED">
      <w:pPr>
        <w:numPr>
          <w:ilvl w:val="0"/>
          <w:numId w:val="1"/>
        </w:numPr>
        <w:tabs>
          <w:tab w:val="clear" w:pos="1080"/>
          <w:tab w:val="left" w:pos="0"/>
        </w:tabs>
        <w:spacing w:line="264" w:lineRule="auto"/>
        <w:ind w:left="0" w:hanging="720"/>
        <w:rPr>
          <w:sz w:val="25"/>
          <w:szCs w:val="25"/>
        </w:rPr>
      </w:pPr>
      <w:r w:rsidRPr="00C44C94">
        <w:rPr>
          <w:sz w:val="25"/>
          <w:szCs w:val="25"/>
        </w:rPr>
        <w:t xml:space="preserve">On </w:t>
      </w:r>
      <w:r w:rsidRPr="00C44C94">
        <w:rPr>
          <w:bCs/>
          <w:sz w:val="25"/>
          <w:szCs w:val="25"/>
        </w:rPr>
        <w:t xml:space="preserve">November 13, 2014, the Company </w:t>
      </w:r>
      <w:r w:rsidR="000014DD" w:rsidRPr="00C44C94">
        <w:rPr>
          <w:bCs/>
          <w:sz w:val="25"/>
          <w:szCs w:val="25"/>
        </w:rPr>
        <w:t>fil</w:t>
      </w:r>
      <w:r w:rsidR="007E0F23">
        <w:rPr>
          <w:bCs/>
          <w:sz w:val="25"/>
          <w:szCs w:val="25"/>
        </w:rPr>
        <w:t>e</w:t>
      </w:r>
      <w:r w:rsidR="000014DD" w:rsidRPr="00C44C94">
        <w:rPr>
          <w:bCs/>
          <w:sz w:val="25"/>
          <w:szCs w:val="25"/>
        </w:rPr>
        <w:t>d a letter requesting</w:t>
      </w:r>
      <w:r w:rsidRPr="00C44C94">
        <w:rPr>
          <w:bCs/>
          <w:sz w:val="25"/>
          <w:szCs w:val="25"/>
        </w:rPr>
        <w:t xml:space="preserve"> review of Order 01</w:t>
      </w:r>
      <w:r w:rsidR="006B0FE3" w:rsidRPr="00C44C94">
        <w:rPr>
          <w:rStyle w:val="FootnoteReference"/>
          <w:bCs/>
          <w:sz w:val="25"/>
          <w:szCs w:val="25"/>
        </w:rPr>
        <w:footnoteReference w:id="1"/>
      </w:r>
      <w:r w:rsidR="006B0FE3" w:rsidRPr="00C44C94">
        <w:rPr>
          <w:bCs/>
          <w:sz w:val="25"/>
          <w:szCs w:val="25"/>
        </w:rPr>
        <w:t xml:space="preserve"> </w:t>
      </w:r>
      <w:r w:rsidRPr="00C44C94">
        <w:rPr>
          <w:bCs/>
          <w:sz w:val="25"/>
          <w:szCs w:val="25"/>
        </w:rPr>
        <w:t xml:space="preserve">to address some of the points in </w:t>
      </w:r>
      <w:r w:rsidR="00B95D85" w:rsidRPr="00C44C94">
        <w:rPr>
          <w:bCs/>
          <w:sz w:val="25"/>
          <w:szCs w:val="25"/>
        </w:rPr>
        <w:t>its</w:t>
      </w:r>
      <w:r w:rsidRPr="00C44C94">
        <w:rPr>
          <w:bCs/>
          <w:sz w:val="25"/>
          <w:szCs w:val="25"/>
        </w:rPr>
        <w:t xml:space="preserve"> mitigation request </w:t>
      </w:r>
      <w:r w:rsidR="00B95D85" w:rsidRPr="00C44C94">
        <w:rPr>
          <w:bCs/>
          <w:sz w:val="25"/>
          <w:szCs w:val="25"/>
        </w:rPr>
        <w:t xml:space="preserve">that </w:t>
      </w:r>
      <w:r w:rsidRPr="00C44C94">
        <w:rPr>
          <w:bCs/>
          <w:sz w:val="25"/>
          <w:szCs w:val="25"/>
        </w:rPr>
        <w:t>the Company believes were overlooked, including alleged</w:t>
      </w:r>
      <w:r w:rsidR="00E260DB" w:rsidRPr="00C44C94">
        <w:rPr>
          <w:bCs/>
          <w:sz w:val="25"/>
          <w:szCs w:val="25"/>
        </w:rPr>
        <w:t xml:space="preserve"> inaccuracies in Staff’s report.</w:t>
      </w:r>
      <w:r w:rsidR="00734F03" w:rsidRPr="00C44C94">
        <w:rPr>
          <w:bCs/>
          <w:sz w:val="25"/>
          <w:szCs w:val="25"/>
        </w:rPr>
        <w:t xml:space="preserve"> </w:t>
      </w:r>
      <w:r w:rsidRPr="00C44C94">
        <w:rPr>
          <w:bCs/>
          <w:sz w:val="25"/>
          <w:szCs w:val="25"/>
        </w:rPr>
        <w:br/>
      </w:r>
    </w:p>
    <w:p w14:paraId="64160E4C" w14:textId="6018CBA2" w:rsidR="00B41A0C" w:rsidRPr="00124DB9" w:rsidRDefault="00124DB9" w:rsidP="009644ED">
      <w:pPr>
        <w:numPr>
          <w:ilvl w:val="0"/>
          <w:numId w:val="1"/>
        </w:numPr>
        <w:tabs>
          <w:tab w:val="clear" w:pos="1080"/>
          <w:tab w:val="left" w:pos="0"/>
        </w:tabs>
        <w:spacing w:line="264" w:lineRule="auto"/>
        <w:ind w:left="0" w:hanging="720"/>
        <w:rPr>
          <w:sz w:val="25"/>
          <w:szCs w:val="25"/>
        </w:rPr>
      </w:pPr>
      <w:r w:rsidRPr="00C44C94">
        <w:rPr>
          <w:bCs/>
          <w:sz w:val="25"/>
          <w:szCs w:val="25"/>
        </w:rPr>
        <w:t xml:space="preserve">The Penalty Assessment included a penalty of $100 for three violations of 49 C.F.R. Part 396 related to vehicle inspection, repair, and maintenance. </w:t>
      </w:r>
      <w:r w:rsidR="008846A5">
        <w:rPr>
          <w:bCs/>
          <w:sz w:val="25"/>
          <w:szCs w:val="25"/>
        </w:rPr>
        <w:t xml:space="preserve"> </w:t>
      </w:r>
      <w:r w:rsidR="00747095" w:rsidRPr="00C44C94">
        <w:rPr>
          <w:bCs/>
          <w:sz w:val="25"/>
          <w:szCs w:val="25"/>
        </w:rPr>
        <w:t xml:space="preserve">The Penalty Assessment </w:t>
      </w:r>
      <w:r w:rsidR="008846A5" w:rsidRPr="00C44C94">
        <w:rPr>
          <w:bCs/>
          <w:sz w:val="25"/>
          <w:szCs w:val="25"/>
        </w:rPr>
        <w:t xml:space="preserve">also </w:t>
      </w:r>
      <w:r w:rsidR="00747095" w:rsidRPr="00C44C94">
        <w:rPr>
          <w:bCs/>
          <w:sz w:val="25"/>
          <w:szCs w:val="25"/>
        </w:rPr>
        <w:t>included $100 penalties for each of 58 violations of 49 C.F.R. Part 391.45(b)(1) because the company failed to ensure its three drivers were medically examined and certified.  During the compliance review, Staff found that in June 2014, three company drivers drove without the required medical certification for a total of 58 days: Nickolas Urbach drove 17 days, Julian Lave drove 20 days, a</w:t>
      </w:r>
      <w:r w:rsidR="00B41A0C" w:rsidRPr="00C44C94">
        <w:rPr>
          <w:bCs/>
          <w:sz w:val="25"/>
          <w:szCs w:val="25"/>
        </w:rPr>
        <w:t xml:space="preserve">nd Tyler Prall </w:t>
      </w:r>
      <w:r w:rsidR="00B41A0C" w:rsidRPr="00C44C94">
        <w:rPr>
          <w:bCs/>
          <w:sz w:val="25"/>
          <w:szCs w:val="25"/>
        </w:rPr>
        <w:lastRenderedPageBreak/>
        <w:t xml:space="preserve">drove 21 days.  </w:t>
      </w:r>
      <w:r w:rsidR="008E236F" w:rsidRPr="00C44C94">
        <w:rPr>
          <w:sz w:val="25"/>
          <w:szCs w:val="25"/>
        </w:rPr>
        <w:t xml:space="preserve">The Company claims that Staff’s violation count is incorrect with respect to Mr. Prall because </w:t>
      </w:r>
      <w:r w:rsidR="002C4994" w:rsidRPr="00C44C94">
        <w:rPr>
          <w:sz w:val="25"/>
          <w:szCs w:val="25"/>
        </w:rPr>
        <w:t xml:space="preserve">the Commission’s safety inspector “misconstrued” Company </w:t>
      </w:r>
      <w:r>
        <w:rPr>
          <w:sz w:val="25"/>
          <w:szCs w:val="25"/>
        </w:rPr>
        <w:t>records</w:t>
      </w:r>
      <w:r w:rsidR="006B0FE3" w:rsidRPr="00C44C94">
        <w:rPr>
          <w:sz w:val="25"/>
          <w:szCs w:val="25"/>
        </w:rPr>
        <w:t>; the Company</w:t>
      </w:r>
      <w:r w:rsidR="008E236F" w:rsidRPr="00C44C94">
        <w:rPr>
          <w:sz w:val="25"/>
          <w:szCs w:val="25"/>
        </w:rPr>
        <w:t xml:space="preserve"> argues that Mr. Prall drove on 10 days, not 21. </w:t>
      </w:r>
      <w:r w:rsidR="00B41A0C" w:rsidRPr="00124DB9">
        <w:rPr>
          <w:bCs/>
          <w:sz w:val="25"/>
          <w:szCs w:val="25"/>
        </w:rPr>
        <w:br/>
      </w:r>
    </w:p>
    <w:p w14:paraId="2DB21411" w14:textId="2BBADEF2" w:rsidR="00747095" w:rsidRPr="00C44C94" w:rsidRDefault="00B41A0C" w:rsidP="009644ED">
      <w:pPr>
        <w:numPr>
          <w:ilvl w:val="0"/>
          <w:numId w:val="1"/>
        </w:numPr>
        <w:tabs>
          <w:tab w:val="clear" w:pos="1080"/>
          <w:tab w:val="left" w:pos="0"/>
        </w:tabs>
        <w:spacing w:line="264" w:lineRule="auto"/>
        <w:ind w:left="0" w:hanging="720"/>
        <w:rPr>
          <w:sz w:val="25"/>
          <w:szCs w:val="25"/>
        </w:rPr>
      </w:pPr>
      <w:r w:rsidRPr="008E2513">
        <w:rPr>
          <w:bCs/>
          <w:sz w:val="25"/>
          <w:szCs w:val="25"/>
        </w:rPr>
        <w:t xml:space="preserve">At the Commission’s December 11, 2014, open meeting, Alex Lutz, owner of PMC Moving, </w:t>
      </w:r>
      <w:r w:rsidR="008E2513">
        <w:rPr>
          <w:bCs/>
          <w:sz w:val="25"/>
          <w:szCs w:val="25"/>
        </w:rPr>
        <w:t>presented Company time sheets showing that Mr. Prall drove on just seven days in June rather than 21.</w:t>
      </w:r>
      <w:r w:rsidR="004B2554">
        <w:rPr>
          <w:bCs/>
          <w:sz w:val="25"/>
          <w:szCs w:val="25"/>
        </w:rPr>
        <w:t xml:space="preserve">  Staff verified the</w:t>
      </w:r>
      <w:r w:rsidR="004F208E">
        <w:rPr>
          <w:bCs/>
          <w:sz w:val="25"/>
          <w:szCs w:val="25"/>
        </w:rPr>
        <w:t xml:space="preserve"> accuracy of the</w:t>
      </w:r>
      <w:r w:rsidR="004B2554">
        <w:rPr>
          <w:bCs/>
          <w:sz w:val="25"/>
          <w:szCs w:val="25"/>
        </w:rPr>
        <w:t xml:space="preserve"> </w:t>
      </w:r>
      <w:r w:rsidR="004F208E">
        <w:rPr>
          <w:bCs/>
          <w:sz w:val="25"/>
          <w:szCs w:val="25"/>
        </w:rPr>
        <w:t>time sheets</w:t>
      </w:r>
      <w:r w:rsidR="004B2554">
        <w:rPr>
          <w:bCs/>
          <w:sz w:val="25"/>
          <w:szCs w:val="25"/>
        </w:rPr>
        <w:t xml:space="preserve">, but noted that </w:t>
      </w:r>
      <w:r w:rsidR="008846A5">
        <w:rPr>
          <w:bCs/>
          <w:sz w:val="25"/>
          <w:szCs w:val="25"/>
        </w:rPr>
        <w:t>the</w:t>
      </w:r>
      <w:r w:rsidR="004F208E">
        <w:rPr>
          <w:bCs/>
          <w:sz w:val="25"/>
          <w:szCs w:val="25"/>
        </w:rPr>
        <w:t xml:space="preserve"> records</w:t>
      </w:r>
      <w:r w:rsidR="008846A5">
        <w:rPr>
          <w:bCs/>
          <w:sz w:val="25"/>
          <w:szCs w:val="25"/>
        </w:rPr>
        <w:t xml:space="preserve"> </w:t>
      </w:r>
      <w:r w:rsidR="004B2554">
        <w:rPr>
          <w:bCs/>
          <w:sz w:val="25"/>
          <w:szCs w:val="25"/>
        </w:rPr>
        <w:t xml:space="preserve">should have been </w:t>
      </w:r>
      <w:r w:rsidR="00DE03B3">
        <w:rPr>
          <w:bCs/>
          <w:sz w:val="25"/>
          <w:szCs w:val="25"/>
        </w:rPr>
        <w:t xml:space="preserve">made </w:t>
      </w:r>
      <w:r w:rsidR="004B2554">
        <w:rPr>
          <w:bCs/>
          <w:sz w:val="25"/>
          <w:szCs w:val="25"/>
        </w:rPr>
        <w:t xml:space="preserve">available during the </w:t>
      </w:r>
      <w:r w:rsidR="004F208E">
        <w:rPr>
          <w:bCs/>
          <w:sz w:val="25"/>
          <w:szCs w:val="25"/>
        </w:rPr>
        <w:t xml:space="preserve">July 2014 </w:t>
      </w:r>
      <w:r w:rsidR="004B2554">
        <w:rPr>
          <w:bCs/>
          <w:sz w:val="25"/>
          <w:szCs w:val="25"/>
        </w:rPr>
        <w:t>compliance review, or, at the very least, pr</w:t>
      </w:r>
      <w:r w:rsidR="00A8123F">
        <w:rPr>
          <w:bCs/>
          <w:sz w:val="25"/>
          <w:szCs w:val="25"/>
        </w:rPr>
        <w:t>ovided</w:t>
      </w:r>
      <w:r w:rsidR="004B2554">
        <w:rPr>
          <w:bCs/>
          <w:sz w:val="25"/>
          <w:szCs w:val="25"/>
        </w:rPr>
        <w:t xml:space="preserve"> </w:t>
      </w:r>
      <w:r w:rsidR="004F208E">
        <w:rPr>
          <w:bCs/>
          <w:sz w:val="25"/>
          <w:szCs w:val="25"/>
        </w:rPr>
        <w:t>with the</w:t>
      </w:r>
      <w:r w:rsidR="004B2554">
        <w:rPr>
          <w:bCs/>
          <w:sz w:val="25"/>
          <w:szCs w:val="25"/>
        </w:rPr>
        <w:t xml:space="preserve"> Company</w:t>
      </w:r>
      <w:r w:rsidR="004F208E">
        <w:rPr>
          <w:bCs/>
          <w:sz w:val="25"/>
          <w:szCs w:val="25"/>
        </w:rPr>
        <w:t>’s</w:t>
      </w:r>
      <w:r w:rsidR="004B2554">
        <w:rPr>
          <w:bCs/>
          <w:sz w:val="25"/>
          <w:szCs w:val="25"/>
        </w:rPr>
        <w:t xml:space="preserve"> initial mitigation request.  </w:t>
      </w:r>
      <w:r w:rsidR="008846A5">
        <w:rPr>
          <w:bCs/>
          <w:sz w:val="25"/>
          <w:szCs w:val="25"/>
        </w:rPr>
        <w:t>Based on those factors</w:t>
      </w:r>
      <w:r w:rsidR="00A8123F">
        <w:rPr>
          <w:bCs/>
          <w:sz w:val="25"/>
          <w:szCs w:val="25"/>
        </w:rPr>
        <w:t xml:space="preserve">, Staff does not support mitigation. </w:t>
      </w:r>
      <w:r w:rsidR="00747095" w:rsidRPr="00C44C94">
        <w:rPr>
          <w:bCs/>
          <w:sz w:val="25"/>
          <w:szCs w:val="25"/>
        </w:rPr>
        <w:br/>
      </w:r>
    </w:p>
    <w:p w14:paraId="6DD3B36E" w14:textId="77777777" w:rsidR="00841996" w:rsidRPr="00C44C94" w:rsidRDefault="00F32856" w:rsidP="009644ED">
      <w:pPr>
        <w:tabs>
          <w:tab w:val="left" w:pos="0"/>
        </w:tabs>
        <w:spacing w:line="264" w:lineRule="auto"/>
        <w:jc w:val="center"/>
        <w:rPr>
          <w:b/>
          <w:sz w:val="25"/>
          <w:szCs w:val="25"/>
        </w:rPr>
      </w:pPr>
      <w:r w:rsidRPr="00C44C94">
        <w:rPr>
          <w:b/>
          <w:sz w:val="25"/>
          <w:szCs w:val="25"/>
        </w:rPr>
        <w:t>DISCUSSION</w:t>
      </w:r>
      <w:r w:rsidR="00CF51DB" w:rsidRPr="00C44C94">
        <w:rPr>
          <w:b/>
          <w:sz w:val="25"/>
          <w:szCs w:val="25"/>
        </w:rPr>
        <w:t xml:space="preserve"> AND DECISION</w:t>
      </w:r>
    </w:p>
    <w:p w14:paraId="6D977560" w14:textId="77777777" w:rsidR="001A220D" w:rsidRPr="00C44C94" w:rsidRDefault="001A220D" w:rsidP="009644ED">
      <w:pPr>
        <w:spacing w:line="264" w:lineRule="auto"/>
        <w:rPr>
          <w:sz w:val="25"/>
          <w:szCs w:val="25"/>
        </w:rPr>
      </w:pPr>
    </w:p>
    <w:p w14:paraId="7209303E" w14:textId="0B81BF32" w:rsidR="00A8123F" w:rsidRPr="00A8123F" w:rsidRDefault="00A8123F" w:rsidP="009644ED">
      <w:pPr>
        <w:numPr>
          <w:ilvl w:val="0"/>
          <w:numId w:val="1"/>
        </w:numPr>
        <w:tabs>
          <w:tab w:val="clear" w:pos="1080"/>
          <w:tab w:val="left" w:pos="0"/>
        </w:tabs>
        <w:spacing w:line="264" w:lineRule="auto"/>
        <w:ind w:left="0" w:hanging="720"/>
        <w:rPr>
          <w:sz w:val="25"/>
          <w:szCs w:val="25"/>
        </w:rPr>
      </w:pPr>
      <w:r>
        <w:rPr>
          <w:bCs/>
          <w:sz w:val="25"/>
          <w:szCs w:val="25"/>
        </w:rPr>
        <w:t>PMC Moving</w:t>
      </w:r>
      <w:r w:rsidR="00E50B59" w:rsidRPr="00A8123F">
        <w:rPr>
          <w:bCs/>
          <w:sz w:val="25"/>
          <w:szCs w:val="25"/>
        </w:rPr>
        <w:t xml:space="preserve"> present</w:t>
      </w:r>
      <w:r w:rsidRPr="00A8123F">
        <w:rPr>
          <w:bCs/>
          <w:sz w:val="25"/>
          <w:szCs w:val="25"/>
        </w:rPr>
        <w:t>ed</w:t>
      </w:r>
      <w:r w:rsidR="00E50B59" w:rsidRPr="00A8123F">
        <w:rPr>
          <w:bCs/>
          <w:sz w:val="25"/>
          <w:szCs w:val="25"/>
        </w:rPr>
        <w:t xml:space="preserve"> </w:t>
      </w:r>
      <w:r w:rsidR="00DE03B3">
        <w:rPr>
          <w:bCs/>
          <w:sz w:val="25"/>
          <w:szCs w:val="25"/>
        </w:rPr>
        <w:t>documentation</w:t>
      </w:r>
      <w:r>
        <w:rPr>
          <w:bCs/>
          <w:sz w:val="25"/>
          <w:szCs w:val="25"/>
        </w:rPr>
        <w:t xml:space="preserve"> at the Commission’s December 11, 2014, open meeting</w:t>
      </w:r>
      <w:r w:rsidR="00E50B59" w:rsidRPr="00A8123F">
        <w:rPr>
          <w:bCs/>
          <w:sz w:val="25"/>
          <w:szCs w:val="25"/>
        </w:rPr>
        <w:t xml:space="preserve"> </w:t>
      </w:r>
      <w:r>
        <w:rPr>
          <w:bCs/>
          <w:sz w:val="25"/>
          <w:szCs w:val="25"/>
        </w:rPr>
        <w:t>demonstrating that Mr. Prall drove on only seven occasions in June</w:t>
      </w:r>
      <w:r w:rsidR="00AE2129" w:rsidRPr="00A8123F">
        <w:rPr>
          <w:bCs/>
          <w:sz w:val="25"/>
          <w:szCs w:val="25"/>
        </w:rPr>
        <w:t xml:space="preserve"> </w:t>
      </w:r>
      <w:r w:rsidR="00AE2129">
        <w:rPr>
          <w:bCs/>
          <w:sz w:val="25"/>
          <w:szCs w:val="25"/>
        </w:rPr>
        <w:t>rather</w:t>
      </w:r>
      <w:r w:rsidR="008C377D">
        <w:rPr>
          <w:bCs/>
          <w:sz w:val="25"/>
          <w:szCs w:val="25"/>
        </w:rPr>
        <w:t xml:space="preserve"> than</w:t>
      </w:r>
      <w:r>
        <w:rPr>
          <w:bCs/>
          <w:sz w:val="25"/>
          <w:szCs w:val="25"/>
        </w:rPr>
        <w:t xml:space="preserve"> 21</w:t>
      </w:r>
      <w:r w:rsidR="008C377D">
        <w:rPr>
          <w:bCs/>
          <w:sz w:val="25"/>
          <w:szCs w:val="25"/>
        </w:rPr>
        <w:t xml:space="preserve"> as Staff originally concluded based on records provided during the Company’s compliance review</w:t>
      </w:r>
      <w:r>
        <w:rPr>
          <w:bCs/>
          <w:sz w:val="25"/>
          <w:szCs w:val="25"/>
        </w:rPr>
        <w:t xml:space="preserve">.  </w:t>
      </w:r>
      <w:r w:rsidR="00AE2129">
        <w:rPr>
          <w:bCs/>
          <w:sz w:val="25"/>
          <w:szCs w:val="25"/>
        </w:rPr>
        <w:t xml:space="preserve">Although Staff continues to oppose mitigation, we are inclined to give the Company the benefit of the doubt based on Mr. Lutz’s assurances of future compliance.  </w:t>
      </w:r>
      <w:r>
        <w:rPr>
          <w:bCs/>
          <w:sz w:val="25"/>
          <w:szCs w:val="25"/>
        </w:rPr>
        <w:t>W</w:t>
      </w:r>
      <w:r w:rsidR="00E50B59" w:rsidRPr="00A8123F">
        <w:rPr>
          <w:bCs/>
          <w:sz w:val="25"/>
          <w:szCs w:val="25"/>
        </w:rPr>
        <w:t xml:space="preserve">e </w:t>
      </w:r>
      <w:r>
        <w:rPr>
          <w:bCs/>
          <w:sz w:val="25"/>
          <w:szCs w:val="25"/>
        </w:rPr>
        <w:t>therefore reverse the findings in</w:t>
      </w:r>
      <w:r w:rsidR="00BB4CC6" w:rsidRPr="00A8123F">
        <w:rPr>
          <w:bCs/>
          <w:sz w:val="25"/>
          <w:szCs w:val="25"/>
        </w:rPr>
        <w:t xml:space="preserve"> </w:t>
      </w:r>
      <w:r w:rsidR="006B0FE3" w:rsidRPr="00A8123F">
        <w:rPr>
          <w:bCs/>
          <w:sz w:val="25"/>
          <w:szCs w:val="25"/>
        </w:rPr>
        <w:t>Order 01</w:t>
      </w:r>
      <w:r>
        <w:rPr>
          <w:bCs/>
          <w:sz w:val="25"/>
          <w:szCs w:val="25"/>
        </w:rPr>
        <w:t xml:space="preserve"> with respect to Mr. Prall and find seven violations of WAC </w:t>
      </w:r>
      <w:r w:rsidRPr="00C44C94">
        <w:rPr>
          <w:bCs/>
          <w:sz w:val="25"/>
          <w:szCs w:val="25"/>
        </w:rPr>
        <w:t>480-15-570</w:t>
      </w:r>
      <w:r>
        <w:rPr>
          <w:bCs/>
          <w:sz w:val="25"/>
          <w:szCs w:val="25"/>
        </w:rPr>
        <w:t xml:space="preserve"> and </w:t>
      </w:r>
      <w:r w:rsidRPr="00C44C94">
        <w:rPr>
          <w:bCs/>
          <w:sz w:val="25"/>
          <w:szCs w:val="25"/>
        </w:rPr>
        <w:t>49 C.F.R. Part 391.45(b)(1)</w:t>
      </w:r>
      <w:r w:rsidR="006B0FE3" w:rsidRPr="00A8123F">
        <w:rPr>
          <w:bCs/>
          <w:sz w:val="25"/>
          <w:szCs w:val="25"/>
        </w:rPr>
        <w:t>.</w:t>
      </w:r>
      <w:r w:rsidR="008B3567" w:rsidRPr="00A8123F">
        <w:rPr>
          <w:bCs/>
          <w:sz w:val="25"/>
          <w:szCs w:val="25"/>
        </w:rPr>
        <w:t xml:space="preserve"> </w:t>
      </w:r>
      <w:r w:rsidR="006B0FE3" w:rsidRPr="00A8123F">
        <w:rPr>
          <w:bCs/>
          <w:sz w:val="25"/>
          <w:szCs w:val="25"/>
        </w:rPr>
        <w:t xml:space="preserve"> </w:t>
      </w:r>
      <w:r>
        <w:rPr>
          <w:bCs/>
          <w:sz w:val="25"/>
          <w:szCs w:val="25"/>
        </w:rPr>
        <w:t xml:space="preserve">This reduces the total violation count from 59 to 45, and correspondingly reduces the penalty </w:t>
      </w:r>
      <w:r w:rsidR="00AC1FF7">
        <w:rPr>
          <w:bCs/>
          <w:sz w:val="25"/>
          <w:szCs w:val="25"/>
        </w:rPr>
        <w:t xml:space="preserve">from $5,900 </w:t>
      </w:r>
      <w:r>
        <w:rPr>
          <w:bCs/>
          <w:sz w:val="25"/>
          <w:szCs w:val="25"/>
        </w:rPr>
        <w:t>to $4,500.  Because a penalty of this size is significant for a small company, PMC Moving may pay the penalty in seven installments, as follows:</w:t>
      </w:r>
      <w:r>
        <w:rPr>
          <w:bCs/>
          <w:sz w:val="25"/>
          <w:szCs w:val="25"/>
        </w:rPr>
        <w:br/>
      </w:r>
    </w:p>
    <w:p w14:paraId="5A35AD7F" w14:textId="77777777" w:rsidR="00A8123F" w:rsidRDefault="00A8123F" w:rsidP="009644ED">
      <w:pPr>
        <w:tabs>
          <w:tab w:val="left" w:pos="0"/>
        </w:tabs>
        <w:spacing w:line="264" w:lineRule="auto"/>
        <w:rPr>
          <w:bCs/>
          <w:sz w:val="25"/>
          <w:szCs w:val="25"/>
        </w:rPr>
      </w:pPr>
      <w:r>
        <w:rPr>
          <w:bCs/>
          <w:sz w:val="25"/>
          <w:szCs w:val="25"/>
        </w:rPr>
        <w:tab/>
      </w:r>
      <w:r>
        <w:rPr>
          <w:bCs/>
          <w:sz w:val="25"/>
          <w:szCs w:val="25"/>
        </w:rPr>
        <w:tab/>
        <w:t xml:space="preserve">December 30, 2014 </w:t>
      </w:r>
      <w:r>
        <w:rPr>
          <w:bCs/>
          <w:sz w:val="25"/>
          <w:szCs w:val="25"/>
        </w:rPr>
        <w:tab/>
      </w:r>
      <w:r>
        <w:rPr>
          <w:bCs/>
          <w:sz w:val="25"/>
          <w:szCs w:val="25"/>
        </w:rPr>
        <w:tab/>
        <w:t>$642.85</w:t>
      </w:r>
    </w:p>
    <w:p w14:paraId="4F0C80B4" w14:textId="101DD547" w:rsidR="00A8123F" w:rsidRDefault="00A8123F" w:rsidP="009644ED">
      <w:pPr>
        <w:tabs>
          <w:tab w:val="left" w:pos="0"/>
        </w:tabs>
        <w:spacing w:line="264" w:lineRule="auto"/>
        <w:rPr>
          <w:bCs/>
          <w:sz w:val="25"/>
          <w:szCs w:val="25"/>
        </w:rPr>
      </w:pPr>
      <w:r>
        <w:rPr>
          <w:bCs/>
          <w:sz w:val="25"/>
          <w:szCs w:val="25"/>
        </w:rPr>
        <w:tab/>
      </w:r>
      <w:r>
        <w:rPr>
          <w:bCs/>
          <w:sz w:val="25"/>
          <w:szCs w:val="25"/>
        </w:rPr>
        <w:tab/>
        <w:t xml:space="preserve">    January 30, 2014</w:t>
      </w:r>
      <w:r>
        <w:rPr>
          <w:bCs/>
          <w:sz w:val="25"/>
          <w:szCs w:val="25"/>
        </w:rPr>
        <w:tab/>
      </w:r>
      <w:r>
        <w:rPr>
          <w:bCs/>
          <w:sz w:val="25"/>
          <w:szCs w:val="25"/>
        </w:rPr>
        <w:tab/>
        <w:t>$642.85</w:t>
      </w:r>
    </w:p>
    <w:p w14:paraId="18839170" w14:textId="638BCA1A" w:rsidR="00A8123F" w:rsidRDefault="00A8123F" w:rsidP="009644ED">
      <w:pPr>
        <w:tabs>
          <w:tab w:val="left" w:pos="0"/>
        </w:tabs>
        <w:spacing w:line="264" w:lineRule="auto"/>
        <w:rPr>
          <w:bCs/>
          <w:sz w:val="25"/>
          <w:szCs w:val="25"/>
        </w:rPr>
      </w:pPr>
      <w:r>
        <w:rPr>
          <w:bCs/>
          <w:sz w:val="25"/>
          <w:szCs w:val="25"/>
        </w:rPr>
        <w:tab/>
      </w:r>
      <w:r>
        <w:rPr>
          <w:bCs/>
          <w:sz w:val="25"/>
          <w:szCs w:val="25"/>
        </w:rPr>
        <w:tab/>
        <w:t xml:space="preserve">  February 27, 2015</w:t>
      </w:r>
      <w:r>
        <w:rPr>
          <w:bCs/>
          <w:sz w:val="25"/>
          <w:szCs w:val="25"/>
        </w:rPr>
        <w:tab/>
      </w:r>
      <w:r>
        <w:rPr>
          <w:bCs/>
          <w:sz w:val="25"/>
          <w:szCs w:val="25"/>
        </w:rPr>
        <w:tab/>
        <w:t>$642.85</w:t>
      </w:r>
    </w:p>
    <w:p w14:paraId="100E85FA" w14:textId="04D521F6" w:rsidR="00A8123F" w:rsidRDefault="00A8123F" w:rsidP="009644ED">
      <w:pPr>
        <w:tabs>
          <w:tab w:val="left" w:pos="0"/>
        </w:tabs>
        <w:spacing w:line="264" w:lineRule="auto"/>
        <w:rPr>
          <w:bCs/>
          <w:sz w:val="25"/>
          <w:szCs w:val="25"/>
        </w:rPr>
      </w:pPr>
      <w:r>
        <w:rPr>
          <w:bCs/>
          <w:sz w:val="25"/>
          <w:szCs w:val="25"/>
        </w:rPr>
        <w:tab/>
      </w:r>
      <w:r>
        <w:rPr>
          <w:bCs/>
          <w:sz w:val="25"/>
          <w:szCs w:val="25"/>
        </w:rPr>
        <w:tab/>
        <w:t xml:space="preserve">      March 30, 2015</w:t>
      </w:r>
      <w:r>
        <w:rPr>
          <w:bCs/>
          <w:sz w:val="25"/>
          <w:szCs w:val="25"/>
        </w:rPr>
        <w:tab/>
      </w:r>
      <w:r>
        <w:rPr>
          <w:bCs/>
          <w:sz w:val="25"/>
          <w:szCs w:val="25"/>
        </w:rPr>
        <w:tab/>
        <w:t>$642.85</w:t>
      </w:r>
    </w:p>
    <w:p w14:paraId="0FEBB7AF" w14:textId="1481EA92" w:rsidR="00A8123F" w:rsidRDefault="00A8123F" w:rsidP="009644ED">
      <w:pPr>
        <w:tabs>
          <w:tab w:val="left" w:pos="0"/>
        </w:tabs>
        <w:spacing w:line="264" w:lineRule="auto"/>
        <w:ind w:left="810" w:hanging="720"/>
        <w:rPr>
          <w:sz w:val="25"/>
          <w:szCs w:val="25"/>
        </w:rPr>
      </w:pPr>
      <w:r>
        <w:rPr>
          <w:bCs/>
          <w:sz w:val="25"/>
          <w:szCs w:val="25"/>
        </w:rPr>
        <w:tab/>
      </w:r>
      <w:r>
        <w:rPr>
          <w:bCs/>
          <w:sz w:val="25"/>
          <w:szCs w:val="25"/>
        </w:rPr>
        <w:tab/>
        <w:t xml:space="preserve">        April 30, 2015</w:t>
      </w:r>
      <w:r>
        <w:rPr>
          <w:bCs/>
          <w:sz w:val="25"/>
          <w:szCs w:val="25"/>
        </w:rPr>
        <w:tab/>
      </w:r>
      <w:r>
        <w:rPr>
          <w:bCs/>
          <w:sz w:val="25"/>
          <w:szCs w:val="25"/>
        </w:rPr>
        <w:tab/>
        <w:t>$642.85</w:t>
      </w:r>
      <w:r>
        <w:rPr>
          <w:bCs/>
          <w:sz w:val="25"/>
          <w:szCs w:val="25"/>
        </w:rPr>
        <w:br/>
      </w:r>
      <w:r w:rsidR="008C377D">
        <w:rPr>
          <w:sz w:val="25"/>
          <w:szCs w:val="25"/>
        </w:rPr>
        <w:t xml:space="preserve">                   </w:t>
      </w:r>
      <w:r>
        <w:rPr>
          <w:sz w:val="25"/>
          <w:szCs w:val="25"/>
        </w:rPr>
        <w:t>May 29, 2015</w:t>
      </w:r>
      <w:r>
        <w:rPr>
          <w:sz w:val="25"/>
          <w:szCs w:val="25"/>
        </w:rPr>
        <w:tab/>
      </w:r>
      <w:r>
        <w:rPr>
          <w:sz w:val="25"/>
          <w:szCs w:val="25"/>
        </w:rPr>
        <w:tab/>
        <w:t>$642.85</w:t>
      </w:r>
    </w:p>
    <w:p w14:paraId="4E2182AD" w14:textId="05ED45E5" w:rsidR="008846A5" w:rsidRDefault="00A8123F" w:rsidP="009644ED">
      <w:pPr>
        <w:tabs>
          <w:tab w:val="left" w:pos="0"/>
        </w:tabs>
        <w:spacing w:line="264" w:lineRule="auto"/>
        <w:ind w:left="720" w:hanging="720"/>
        <w:rPr>
          <w:b/>
          <w:bCs/>
          <w:sz w:val="25"/>
          <w:szCs w:val="25"/>
        </w:rPr>
      </w:pPr>
      <w:r>
        <w:rPr>
          <w:sz w:val="25"/>
          <w:szCs w:val="25"/>
        </w:rPr>
        <w:t xml:space="preserve">                               </w:t>
      </w:r>
      <w:r w:rsidR="008C377D">
        <w:rPr>
          <w:sz w:val="25"/>
          <w:szCs w:val="25"/>
        </w:rPr>
        <w:t xml:space="preserve"> </w:t>
      </w:r>
      <w:r>
        <w:rPr>
          <w:sz w:val="25"/>
          <w:szCs w:val="25"/>
        </w:rPr>
        <w:t>June 30, 2015</w:t>
      </w:r>
      <w:r>
        <w:rPr>
          <w:sz w:val="25"/>
          <w:szCs w:val="25"/>
        </w:rPr>
        <w:tab/>
      </w:r>
      <w:r>
        <w:rPr>
          <w:sz w:val="25"/>
          <w:szCs w:val="25"/>
        </w:rPr>
        <w:tab/>
        <w:t>$6</w:t>
      </w:r>
      <w:r w:rsidR="00AC1FF7">
        <w:rPr>
          <w:sz w:val="25"/>
          <w:szCs w:val="25"/>
        </w:rPr>
        <w:t>42</w:t>
      </w:r>
      <w:r>
        <w:rPr>
          <w:sz w:val="25"/>
          <w:szCs w:val="25"/>
        </w:rPr>
        <w:t>.90</w:t>
      </w:r>
      <w:r w:rsidR="00C44C94" w:rsidRPr="00A8123F">
        <w:rPr>
          <w:sz w:val="25"/>
          <w:szCs w:val="25"/>
        </w:rPr>
        <w:br/>
      </w:r>
    </w:p>
    <w:p w14:paraId="3BFDE682" w14:textId="77777777" w:rsidR="00C44C94" w:rsidRPr="00C44C94" w:rsidRDefault="00C44C94" w:rsidP="009644ED">
      <w:pPr>
        <w:spacing w:line="264" w:lineRule="auto"/>
        <w:jc w:val="center"/>
        <w:rPr>
          <w:b/>
          <w:sz w:val="25"/>
          <w:szCs w:val="25"/>
        </w:rPr>
      </w:pPr>
      <w:r w:rsidRPr="00C44C94">
        <w:rPr>
          <w:b/>
          <w:bCs/>
          <w:sz w:val="25"/>
          <w:szCs w:val="25"/>
        </w:rPr>
        <w:t>FINDINGS AND CONCLUSIONS</w:t>
      </w:r>
    </w:p>
    <w:p w14:paraId="1680EBC3" w14:textId="77777777" w:rsidR="00C44C94" w:rsidRPr="00C44C94" w:rsidRDefault="00C44C94" w:rsidP="009644ED">
      <w:pPr>
        <w:spacing w:line="264" w:lineRule="auto"/>
        <w:rPr>
          <w:b/>
          <w:sz w:val="25"/>
          <w:szCs w:val="25"/>
        </w:rPr>
      </w:pPr>
    </w:p>
    <w:p w14:paraId="6AE145D8" w14:textId="4407B347" w:rsidR="00C44C94" w:rsidRPr="00C44C94" w:rsidRDefault="00C44C94" w:rsidP="009644ED">
      <w:pPr>
        <w:numPr>
          <w:ilvl w:val="0"/>
          <w:numId w:val="1"/>
        </w:numPr>
        <w:tabs>
          <w:tab w:val="clear" w:pos="1080"/>
          <w:tab w:val="num" w:pos="180"/>
        </w:tabs>
        <w:spacing w:line="264" w:lineRule="auto"/>
        <w:ind w:left="720" w:hanging="1440"/>
        <w:rPr>
          <w:b/>
          <w:sz w:val="25"/>
          <w:szCs w:val="25"/>
        </w:rPr>
      </w:pPr>
      <w:r w:rsidRPr="00C44C94">
        <w:rPr>
          <w:sz w:val="25"/>
          <w:szCs w:val="25"/>
        </w:rPr>
        <w:t>(1)</w:t>
      </w:r>
      <w:r w:rsidRPr="00C44C94">
        <w:rPr>
          <w:sz w:val="25"/>
          <w:szCs w:val="25"/>
        </w:rPr>
        <w:tab/>
        <w:t>The Utilities and Transportation Commission is an agency of the State of Washington which may assess financial penalties against regulated household goods carriers that are in violation of commission order, rule, regulation</w:t>
      </w:r>
      <w:r>
        <w:rPr>
          <w:sz w:val="25"/>
          <w:szCs w:val="25"/>
        </w:rPr>
        <w:t>,</w:t>
      </w:r>
      <w:r w:rsidRPr="00C44C94">
        <w:rPr>
          <w:sz w:val="25"/>
          <w:szCs w:val="25"/>
        </w:rPr>
        <w:t xml:space="preserve"> or decision of the </w:t>
      </w:r>
      <w:r>
        <w:rPr>
          <w:sz w:val="25"/>
          <w:szCs w:val="25"/>
        </w:rPr>
        <w:t>C</w:t>
      </w:r>
      <w:r w:rsidRPr="00C44C94">
        <w:rPr>
          <w:sz w:val="25"/>
          <w:szCs w:val="25"/>
        </w:rPr>
        <w:t>ommission pursuant RCW 81.04.405.</w:t>
      </w:r>
    </w:p>
    <w:p w14:paraId="5F415D89" w14:textId="0B33A79F" w:rsidR="00FA25C6" w:rsidRDefault="00FA25C6">
      <w:pPr>
        <w:rPr>
          <w:b/>
          <w:sz w:val="25"/>
          <w:szCs w:val="25"/>
        </w:rPr>
      </w:pPr>
      <w:r>
        <w:rPr>
          <w:b/>
          <w:sz w:val="25"/>
          <w:szCs w:val="25"/>
        </w:rPr>
        <w:br w:type="page"/>
      </w:r>
    </w:p>
    <w:p w14:paraId="57B237A2" w14:textId="77777777" w:rsidR="00C44C94" w:rsidRPr="00C44C94" w:rsidRDefault="00C44C94" w:rsidP="009644ED">
      <w:pPr>
        <w:tabs>
          <w:tab w:val="num" w:pos="180"/>
        </w:tabs>
        <w:spacing w:line="264" w:lineRule="auto"/>
        <w:ind w:left="720" w:hanging="1440"/>
        <w:rPr>
          <w:b/>
          <w:sz w:val="25"/>
          <w:szCs w:val="25"/>
        </w:rPr>
      </w:pPr>
    </w:p>
    <w:p w14:paraId="69AE4A87" w14:textId="17599669" w:rsidR="00C44C94" w:rsidRPr="00C44C94" w:rsidRDefault="00C44C94" w:rsidP="009644ED">
      <w:pPr>
        <w:numPr>
          <w:ilvl w:val="0"/>
          <w:numId w:val="1"/>
        </w:numPr>
        <w:tabs>
          <w:tab w:val="clear" w:pos="1080"/>
          <w:tab w:val="num" w:pos="180"/>
        </w:tabs>
        <w:spacing w:line="264" w:lineRule="auto"/>
        <w:ind w:left="720" w:hanging="1440"/>
        <w:rPr>
          <w:sz w:val="25"/>
          <w:szCs w:val="25"/>
        </w:rPr>
      </w:pPr>
      <w:r w:rsidRPr="00C44C94">
        <w:rPr>
          <w:sz w:val="25"/>
          <w:szCs w:val="25"/>
        </w:rPr>
        <w:t>(2)</w:t>
      </w:r>
      <w:r w:rsidRPr="00C44C94">
        <w:rPr>
          <w:sz w:val="25"/>
          <w:szCs w:val="25"/>
        </w:rPr>
        <w:tab/>
        <w:t xml:space="preserve">This matter was brought before the Commission at its regularly scheduled meeting on </w:t>
      </w:r>
      <w:r>
        <w:rPr>
          <w:sz w:val="25"/>
          <w:szCs w:val="25"/>
        </w:rPr>
        <w:t>December 11, 2014</w:t>
      </w:r>
      <w:r w:rsidRPr="00C44C94">
        <w:rPr>
          <w:sz w:val="25"/>
          <w:szCs w:val="25"/>
        </w:rPr>
        <w:t>.</w:t>
      </w:r>
    </w:p>
    <w:p w14:paraId="5E6DFD40" w14:textId="77777777" w:rsidR="00C44C94" w:rsidRPr="00C44C94" w:rsidRDefault="00C44C94" w:rsidP="009644ED">
      <w:pPr>
        <w:tabs>
          <w:tab w:val="num" w:pos="180"/>
        </w:tabs>
        <w:spacing w:line="264" w:lineRule="auto"/>
        <w:ind w:left="720" w:hanging="1440"/>
        <w:rPr>
          <w:sz w:val="25"/>
          <w:szCs w:val="25"/>
        </w:rPr>
      </w:pPr>
    </w:p>
    <w:p w14:paraId="164E09E3" w14:textId="668DDCCB" w:rsidR="009F7817" w:rsidRPr="00DE03B3" w:rsidRDefault="00C44C94" w:rsidP="009644ED">
      <w:pPr>
        <w:numPr>
          <w:ilvl w:val="0"/>
          <w:numId w:val="1"/>
        </w:numPr>
        <w:tabs>
          <w:tab w:val="clear" w:pos="1080"/>
          <w:tab w:val="num" w:pos="180"/>
        </w:tabs>
        <w:spacing w:line="264" w:lineRule="auto"/>
        <w:ind w:left="720" w:hanging="1440"/>
        <w:rPr>
          <w:sz w:val="25"/>
          <w:szCs w:val="25"/>
        </w:rPr>
      </w:pPr>
      <w:r w:rsidRPr="00C44C94">
        <w:rPr>
          <w:sz w:val="25"/>
          <w:szCs w:val="25"/>
        </w:rPr>
        <w:t>(3)</w:t>
      </w:r>
      <w:r w:rsidRPr="00C44C94">
        <w:rPr>
          <w:sz w:val="25"/>
          <w:szCs w:val="25"/>
        </w:rPr>
        <w:tab/>
      </w:r>
      <w:r w:rsidR="00CE72B1">
        <w:rPr>
          <w:sz w:val="25"/>
          <w:szCs w:val="25"/>
        </w:rPr>
        <w:t xml:space="preserve">Based on </w:t>
      </w:r>
      <w:r w:rsidR="00DE03B3">
        <w:rPr>
          <w:sz w:val="25"/>
          <w:szCs w:val="25"/>
        </w:rPr>
        <w:t>the documentation</w:t>
      </w:r>
      <w:r w:rsidR="00CE72B1">
        <w:rPr>
          <w:sz w:val="25"/>
          <w:szCs w:val="25"/>
        </w:rPr>
        <w:t xml:space="preserve"> presented by the Company</w:t>
      </w:r>
      <w:r w:rsidR="00DE03B3">
        <w:rPr>
          <w:sz w:val="25"/>
          <w:szCs w:val="25"/>
        </w:rPr>
        <w:t xml:space="preserve"> at the Commission’s December 11, 2014</w:t>
      </w:r>
      <w:r w:rsidRPr="00C44C94">
        <w:rPr>
          <w:sz w:val="25"/>
          <w:szCs w:val="25"/>
        </w:rPr>
        <w:t>,</w:t>
      </w:r>
      <w:r w:rsidR="00DE03B3">
        <w:rPr>
          <w:sz w:val="25"/>
          <w:szCs w:val="25"/>
        </w:rPr>
        <w:t xml:space="preserve"> open meeting,</w:t>
      </w:r>
      <w:r w:rsidRPr="00C44C94">
        <w:rPr>
          <w:sz w:val="25"/>
          <w:szCs w:val="25"/>
        </w:rPr>
        <w:t xml:space="preserve"> </w:t>
      </w:r>
      <w:r w:rsidR="008846A5">
        <w:rPr>
          <w:sz w:val="25"/>
          <w:szCs w:val="25"/>
        </w:rPr>
        <w:t>the</w:t>
      </w:r>
      <w:r w:rsidRPr="00C44C94">
        <w:rPr>
          <w:sz w:val="25"/>
          <w:szCs w:val="25"/>
        </w:rPr>
        <w:t xml:space="preserve"> </w:t>
      </w:r>
      <w:r w:rsidR="008846A5">
        <w:rPr>
          <w:sz w:val="25"/>
          <w:szCs w:val="25"/>
        </w:rPr>
        <w:t xml:space="preserve">violation count with respect to Mr. Prall should be reduced from 21 to seven, and the </w:t>
      </w:r>
      <w:r w:rsidRPr="00C44C94">
        <w:rPr>
          <w:sz w:val="25"/>
          <w:szCs w:val="25"/>
        </w:rPr>
        <w:t xml:space="preserve">penalty </w:t>
      </w:r>
      <w:r w:rsidR="00CE72B1">
        <w:rPr>
          <w:sz w:val="25"/>
          <w:szCs w:val="25"/>
        </w:rPr>
        <w:t xml:space="preserve">should be </w:t>
      </w:r>
      <w:r w:rsidR="008846A5">
        <w:rPr>
          <w:sz w:val="25"/>
          <w:szCs w:val="25"/>
        </w:rPr>
        <w:t>reduced</w:t>
      </w:r>
      <w:r w:rsidR="00CE72B1">
        <w:rPr>
          <w:sz w:val="25"/>
          <w:szCs w:val="25"/>
        </w:rPr>
        <w:t xml:space="preserve"> </w:t>
      </w:r>
      <w:r w:rsidR="008846A5">
        <w:rPr>
          <w:sz w:val="25"/>
          <w:szCs w:val="25"/>
        </w:rPr>
        <w:t xml:space="preserve">accordingly, </w:t>
      </w:r>
      <w:r w:rsidR="00CE72B1">
        <w:rPr>
          <w:sz w:val="25"/>
          <w:szCs w:val="25"/>
        </w:rPr>
        <w:t>to $4,500</w:t>
      </w:r>
      <w:r w:rsidR="008846A5">
        <w:rPr>
          <w:sz w:val="25"/>
          <w:szCs w:val="25"/>
        </w:rPr>
        <w:t>.  T</w:t>
      </w:r>
      <w:r w:rsidR="00DE03B3">
        <w:rPr>
          <w:sz w:val="25"/>
          <w:szCs w:val="25"/>
        </w:rPr>
        <w:t xml:space="preserve">he Company should be permitted to pay the penalty in seven installments, </w:t>
      </w:r>
      <w:r w:rsidR="008846A5">
        <w:rPr>
          <w:sz w:val="25"/>
          <w:szCs w:val="25"/>
        </w:rPr>
        <w:t>outlined above, by</w:t>
      </w:r>
      <w:r w:rsidR="00DE03B3">
        <w:rPr>
          <w:sz w:val="25"/>
          <w:szCs w:val="25"/>
        </w:rPr>
        <w:t xml:space="preserve"> June 30, 2015.</w:t>
      </w:r>
      <w:r w:rsidR="008846A5">
        <w:rPr>
          <w:sz w:val="25"/>
          <w:szCs w:val="25"/>
        </w:rPr>
        <w:br/>
      </w:r>
    </w:p>
    <w:p w14:paraId="4ADDF8BF" w14:textId="77777777" w:rsidR="00F32856" w:rsidRPr="00C44C94" w:rsidRDefault="00F32856" w:rsidP="009644ED">
      <w:pPr>
        <w:spacing w:line="264" w:lineRule="auto"/>
        <w:jc w:val="center"/>
        <w:rPr>
          <w:b/>
          <w:sz w:val="25"/>
          <w:szCs w:val="25"/>
        </w:rPr>
      </w:pPr>
      <w:r w:rsidRPr="00C44C94">
        <w:rPr>
          <w:b/>
          <w:sz w:val="25"/>
          <w:szCs w:val="25"/>
        </w:rPr>
        <w:t>ORDER</w:t>
      </w:r>
    </w:p>
    <w:p w14:paraId="409C8277" w14:textId="77777777" w:rsidR="00892232" w:rsidRPr="00C44C94" w:rsidRDefault="00892232" w:rsidP="009644ED">
      <w:pPr>
        <w:pStyle w:val="ListParagraph"/>
        <w:spacing w:line="264" w:lineRule="auto"/>
        <w:ind w:left="0"/>
        <w:rPr>
          <w:sz w:val="25"/>
          <w:szCs w:val="25"/>
        </w:rPr>
      </w:pPr>
    </w:p>
    <w:p w14:paraId="4F45E938" w14:textId="77777777" w:rsidR="00F32856" w:rsidRPr="00C44C94" w:rsidRDefault="00F32856" w:rsidP="009644ED">
      <w:pPr>
        <w:spacing w:line="264" w:lineRule="auto"/>
        <w:rPr>
          <w:sz w:val="25"/>
          <w:szCs w:val="25"/>
        </w:rPr>
      </w:pPr>
      <w:r w:rsidRPr="00C44C94">
        <w:rPr>
          <w:sz w:val="25"/>
          <w:szCs w:val="25"/>
        </w:rPr>
        <w:t>T</w:t>
      </w:r>
      <w:r w:rsidR="005E3095" w:rsidRPr="00C44C94">
        <w:rPr>
          <w:sz w:val="25"/>
          <w:szCs w:val="25"/>
        </w:rPr>
        <w:t>HE COMMISSION ORDERS</w:t>
      </w:r>
      <w:r w:rsidRPr="00C44C94">
        <w:rPr>
          <w:sz w:val="25"/>
          <w:szCs w:val="25"/>
        </w:rPr>
        <w:t>:</w:t>
      </w:r>
      <w:r w:rsidR="008741D9" w:rsidRPr="00C44C94">
        <w:rPr>
          <w:sz w:val="25"/>
          <w:szCs w:val="25"/>
        </w:rPr>
        <w:t xml:space="preserve"> </w:t>
      </w:r>
    </w:p>
    <w:p w14:paraId="4810E8F4" w14:textId="77777777" w:rsidR="00F32856" w:rsidRPr="00C44C94" w:rsidRDefault="00F32856" w:rsidP="009644ED">
      <w:pPr>
        <w:spacing w:line="264" w:lineRule="auto"/>
        <w:ind w:left="720"/>
        <w:rPr>
          <w:sz w:val="25"/>
          <w:szCs w:val="25"/>
        </w:rPr>
      </w:pPr>
    </w:p>
    <w:p w14:paraId="4BC5A9CA" w14:textId="56086C3E" w:rsidR="005E3095" w:rsidRPr="00C44C94" w:rsidRDefault="005E3095" w:rsidP="009644ED">
      <w:pPr>
        <w:numPr>
          <w:ilvl w:val="0"/>
          <w:numId w:val="1"/>
        </w:numPr>
        <w:tabs>
          <w:tab w:val="clear" w:pos="1080"/>
          <w:tab w:val="left" w:pos="0"/>
        </w:tabs>
        <w:spacing w:line="264" w:lineRule="auto"/>
        <w:ind w:left="720" w:hanging="1440"/>
        <w:rPr>
          <w:sz w:val="25"/>
          <w:szCs w:val="25"/>
        </w:rPr>
      </w:pPr>
      <w:r w:rsidRPr="00C44C94">
        <w:rPr>
          <w:sz w:val="25"/>
          <w:szCs w:val="25"/>
        </w:rPr>
        <w:t>(1)</w:t>
      </w:r>
      <w:r w:rsidRPr="00C44C94">
        <w:rPr>
          <w:sz w:val="25"/>
          <w:szCs w:val="25"/>
        </w:rPr>
        <w:tab/>
      </w:r>
      <w:r w:rsidR="00D10DF0" w:rsidRPr="00C44C94">
        <w:rPr>
          <w:sz w:val="25"/>
          <w:szCs w:val="25"/>
        </w:rPr>
        <w:t xml:space="preserve">The </w:t>
      </w:r>
      <w:r w:rsidRPr="00C44C94">
        <w:rPr>
          <w:sz w:val="25"/>
          <w:szCs w:val="25"/>
        </w:rPr>
        <w:t xml:space="preserve">request of </w:t>
      </w:r>
      <w:r w:rsidR="00FF7D5E" w:rsidRPr="00C44C94">
        <w:rPr>
          <w:bCs/>
          <w:sz w:val="25"/>
          <w:szCs w:val="25"/>
        </w:rPr>
        <w:t>PMC Moving</w:t>
      </w:r>
      <w:r w:rsidR="00E34DFE" w:rsidRPr="00C44C94">
        <w:rPr>
          <w:bCs/>
          <w:sz w:val="25"/>
          <w:szCs w:val="25"/>
        </w:rPr>
        <w:t xml:space="preserve">, LLC </w:t>
      </w:r>
      <w:r w:rsidRPr="00C44C94">
        <w:rPr>
          <w:sz w:val="25"/>
          <w:szCs w:val="25"/>
        </w:rPr>
        <w:t xml:space="preserve">for </w:t>
      </w:r>
      <w:r w:rsidR="006140A4" w:rsidRPr="00C44C94">
        <w:rPr>
          <w:sz w:val="25"/>
          <w:szCs w:val="25"/>
        </w:rPr>
        <w:t xml:space="preserve">mitigation </w:t>
      </w:r>
      <w:r w:rsidRPr="00C44C94">
        <w:rPr>
          <w:sz w:val="25"/>
          <w:szCs w:val="25"/>
        </w:rPr>
        <w:t xml:space="preserve">of the </w:t>
      </w:r>
      <w:r w:rsidR="008E0C97" w:rsidRPr="00C44C94">
        <w:rPr>
          <w:sz w:val="25"/>
          <w:szCs w:val="25"/>
        </w:rPr>
        <w:t>$</w:t>
      </w:r>
      <w:r w:rsidR="00FF7D5E" w:rsidRPr="00C44C94">
        <w:rPr>
          <w:sz w:val="25"/>
          <w:szCs w:val="25"/>
        </w:rPr>
        <w:t>5</w:t>
      </w:r>
      <w:r w:rsidR="005B45C7" w:rsidRPr="00C44C94">
        <w:rPr>
          <w:sz w:val="25"/>
          <w:szCs w:val="25"/>
        </w:rPr>
        <w:t>,</w:t>
      </w:r>
      <w:r w:rsidR="00FF7D5E" w:rsidRPr="00C44C94">
        <w:rPr>
          <w:sz w:val="25"/>
          <w:szCs w:val="25"/>
        </w:rPr>
        <w:t>9</w:t>
      </w:r>
      <w:r w:rsidR="005B45C7" w:rsidRPr="00C44C94">
        <w:rPr>
          <w:sz w:val="25"/>
          <w:szCs w:val="25"/>
        </w:rPr>
        <w:t>00</w:t>
      </w:r>
      <w:r w:rsidR="00E0789C" w:rsidRPr="00C44C94">
        <w:rPr>
          <w:sz w:val="25"/>
          <w:szCs w:val="25"/>
        </w:rPr>
        <w:t xml:space="preserve"> penalty </w:t>
      </w:r>
      <w:r w:rsidR="006A0236" w:rsidRPr="00C44C94">
        <w:rPr>
          <w:sz w:val="25"/>
          <w:szCs w:val="25"/>
        </w:rPr>
        <w:t xml:space="preserve">is </w:t>
      </w:r>
      <w:r w:rsidR="00D1287C">
        <w:rPr>
          <w:sz w:val="25"/>
          <w:szCs w:val="25"/>
        </w:rPr>
        <w:t>GRANTED, in part, and the penalty is reduced to $4,500</w:t>
      </w:r>
      <w:r w:rsidR="00E0789C" w:rsidRPr="00C44C94">
        <w:rPr>
          <w:sz w:val="25"/>
          <w:szCs w:val="25"/>
        </w:rPr>
        <w:t xml:space="preserve">.  </w:t>
      </w:r>
    </w:p>
    <w:p w14:paraId="790F795B" w14:textId="77777777" w:rsidR="005E3095" w:rsidRPr="00C44C94" w:rsidRDefault="005E3095" w:rsidP="009644ED">
      <w:pPr>
        <w:spacing w:line="264" w:lineRule="auto"/>
        <w:ind w:left="720"/>
        <w:rPr>
          <w:sz w:val="25"/>
          <w:szCs w:val="25"/>
        </w:rPr>
      </w:pPr>
    </w:p>
    <w:p w14:paraId="61AF8321" w14:textId="103E2019" w:rsidR="00D10DF0" w:rsidRDefault="005E3095" w:rsidP="009644ED">
      <w:pPr>
        <w:numPr>
          <w:ilvl w:val="0"/>
          <w:numId w:val="1"/>
        </w:numPr>
        <w:tabs>
          <w:tab w:val="clear" w:pos="1080"/>
          <w:tab w:val="left" w:pos="0"/>
        </w:tabs>
        <w:spacing w:line="264" w:lineRule="auto"/>
        <w:ind w:left="0" w:hanging="720"/>
        <w:rPr>
          <w:sz w:val="25"/>
          <w:szCs w:val="25"/>
        </w:rPr>
      </w:pPr>
      <w:r w:rsidRPr="00C44C94">
        <w:rPr>
          <w:sz w:val="25"/>
          <w:szCs w:val="25"/>
        </w:rPr>
        <w:t>(2)</w:t>
      </w:r>
      <w:r w:rsidRPr="00C44C94">
        <w:rPr>
          <w:sz w:val="25"/>
          <w:szCs w:val="25"/>
        </w:rPr>
        <w:tab/>
      </w:r>
      <w:r w:rsidR="00D1287C">
        <w:rPr>
          <w:bCs/>
          <w:sz w:val="25"/>
          <w:szCs w:val="25"/>
        </w:rPr>
        <w:t xml:space="preserve">The $4,500 penalty </w:t>
      </w:r>
      <w:r w:rsidR="00D1287C" w:rsidRPr="00C36865">
        <w:rPr>
          <w:sz w:val="25"/>
          <w:szCs w:val="25"/>
        </w:rPr>
        <w:t xml:space="preserve">is due and payable to the Commission </w:t>
      </w:r>
      <w:r w:rsidR="00D1287C">
        <w:rPr>
          <w:sz w:val="25"/>
          <w:szCs w:val="25"/>
        </w:rPr>
        <w:t xml:space="preserve">according to the  </w:t>
      </w:r>
      <w:r w:rsidR="00D1287C">
        <w:rPr>
          <w:sz w:val="25"/>
          <w:szCs w:val="25"/>
        </w:rPr>
        <w:br/>
        <w:t xml:space="preserve"> </w:t>
      </w:r>
      <w:r w:rsidR="00D1287C">
        <w:rPr>
          <w:sz w:val="25"/>
          <w:szCs w:val="25"/>
        </w:rPr>
        <w:tab/>
        <w:t xml:space="preserve">following </w:t>
      </w:r>
      <w:r w:rsidR="00D1287C" w:rsidRPr="00C36865">
        <w:rPr>
          <w:sz w:val="25"/>
          <w:szCs w:val="25"/>
        </w:rPr>
        <w:t>installment</w:t>
      </w:r>
      <w:r w:rsidR="00D1287C">
        <w:rPr>
          <w:sz w:val="25"/>
          <w:szCs w:val="25"/>
        </w:rPr>
        <w:t xml:space="preserve"> schedule</w:t>
      </w:r>
      <w:r w:rsidR="00D1287C" w:rsidRPr="00C36865">
        <w:rPr>
          <w:sz w:val="25"/>
          <w:szCs w:val="25"/>
        </w:rPr>
        <w:t>:</w:t>
      </w:r>
    </w:p>
    <w:p w14:paraId="5E52366C" w14:textId="77777777" w:rsidR="00D1287C" w:rsidRDefault="00D1287C" w:rsidP="009644ED">
      <w:pPr>
        <w:pStyle w:val="ListParagraph"/>
        <w:spacing w:line="264" w:lineRule="auto"/>
        <w:rPr>
          <w:sz w:val="25"/>
          <w:szCs w:val="25"/>
        </w:rPr>
      </w:pPr>
    </w:p>
    <w:p w14:paraId="7B8738E1" w14:textId="77777777" w:rsidR="00D1287C" w:rsidRDefault="00D1287C" w:rsidP="009644ED">
      <w:pPr>
        <w:tabs>
          <w:tab w:val="left" w:pos="0"/>
        </w:tabs>
        <w:spacing w:line="264" w:lineRule="auto"/>
        <w:rPr>
          <w:bCs/>
          <w:sz w:val="25"/>
          <w:szCs w:val="25"/>
        </w:rPr>
      </w:pPr>
      <w:r>
        <w:rPr>
          <w:sz w:val="25"/>
          <w:szCs w:val="25"/>
        </w:rPr>
        <w:t xml:space="preserve"> </w:t>
      </w:r>
      <w:r>
        <w:rPr>
          <w:sz w:val="25"/>
          <w:szCs w:val="25"/>
        </w:rPr>
        <w:tab/>
      </w:r>
      <w:r>
        <w:rPr>
          <w:sz w:val="25"/>
          <w:szCs w:val="25"/>
        </w:rPr>
        <w:tab/>
      </w:r>
      <w:r>
        <w:rPr>
          <w:bCs/>
          <w:sz w:val="25"/>
          <w:szCs w:val="25"/>
        </w:rPr>
        <w:t xml:space="preserve">December 30, 2014 </w:t>
      </w:r>
      <w:r>
        <w:rPr>
          <w:bCs/>
          <w:sz w:val="25"/>
          <w:szCs w:val="25"/>
        </w:rPr>
        <w:tab/>
      </w:r>
      <w:r>
        <w:rPr>
          <w:bCs/>
          <w:sz w:val="25"/>
          <w:szCs w:val="25"/>
        </w:rPr>
        <w:tab/>
        <w:t>$642.85</w:t>
      </w:r>
    </w:p>
    <w:p w14:paraId="0D9DFC9D" w14:textId="77777777" w:rsidR="00D1287C" w:rsidRDefault="00D1287C" w:rsidP="009644ED">
      <w:pPr>
        <w:tabs>
          <w:tab w:val="left" w:pos="0"/>
        </w:tabs>
        <w:spacing w:line="264" w:lineRule="auto"/>
        <w:rPr>
          <w:bCs/>
          <w:sz w:val="25"/>
          <w:szCs w:val="25"/>
        </w:rPr>
      </w:pPr>
      <w:r>
        <w:rPr>
          <w:bCs/>
          <w:sz w:val="25"/>
          <w:szCs w:val="25"/>
        </w:rPr>
        <w:tab/>
      </w:r>
      <w:r>
        <w:rPr>
          <w:bCs/>
          <w:sz w:val="25"/>
          <w:szCs w:val="25"/>
        </w:rPr>
        <w:tab/>
        <w:t xml:space="preserve">    January 30, 2014</w:t>
      </w:r>
      <w:r>
        <w:rPr>
          <w:bCs/>
          <w:sz w:val="25"/>
          <w:szCs w:val="25"/>
        </w:rPr>
        <w:tab/>
      </w:r>
      <w:r>
        <w:rPr>
          <w:bCs/>
          <w:sz w:val="25"/>
          <w:szCs w:val="25"/>
        </w:rPr>
        <w:tab/>
        <w:t>$642.85</w:t>
      </w:r>
    </w:p>
    <w:p w14:paraId="00F0C3AB" w14:textId="77777777" w:rsidR="00D1287C" w:rsidRDefault="00D1287C" w:rsidP="009644ED">
      <w:pPr>
        <w:tabs>
          <w:tab w:val="left" w:pos="0"/>
        </w:tabs>
        <w:spacing w:line="264" w:lineRule="auto"/>
        <w:rPr>
          <w:bCs/>
          <w:sz w:val="25"/>
          <w:szCs w:val="25"/>
        </w:rPr>
      </w:pPr>
      <w:r>
        <w:rPr>
          <w:bCs/>
          <w:sz w:val="25"/>
          <w:szCs w:val="25"/>
        </w:rPr>
        <w:tab/>
      </w:r>
      <w:r>
        <w:rPr>
          <w:bCs/>
          <w:sz w:val="25"/>
          <w:szCs w:val="25"/>
        </w:rPr>
        <w:tab/>
        <w:t xml:space="preserve">  February 27, 2015</w:t>
      </w:r>
      <w:r>
        <w:rPr>
          <w:bCs/>
          <w:sz w:val="25"/>
          <w:szCs w:val="25"/>
        </w:rPr>
        <w:tab/>
      </w:r>
      <w:r>
        <w:rPr>
          <w:bCs/>
          <w:sz w:val="25"/>
          <w:szCs w:val="25"/>
        </w:rPr>
        <w:tab/>
        <w:t>$642.85</w:t>
      </w:r>
    </w:p>
    <w:p w14:paraId="2F8F262D" w14:textId="77777777" w:rsidR="00D1287C" w:rsidRDefault="00D1287C" w:rsidP="009644ED">
      <w:pPr>
        <w:tabs>
          <w:tab w:val="left" w:pos="0"/>
        </w:tabs>
        <w:spacing w:line="264" w:lineRule="auto"/>
        <w:rPr>
          <w:bCs/>
          <w:sz w:val="25"/>
          <w:szCs w:val="25"/>
        </w:rPr>
      </w:pPr>
      <w:r>
        <w:rPr>
          <w:bCs/>
          <w:sz w:val="25"/>
          <w:szCs w:val="25"/>
        </w:rPr>
        <w:tab/>
      </w:r>
      <w:r>
        <w:rPr>
          <w:bCs/>
          <w:sz w:val="25"/>
          <w:szCs w:val="25"/>
        </w:rPr>
        <w:tab/>
        <w:t xml:space="preserve">      March 30, 2015</w:t>
      </w:r>
      <w:r>
        <w:rPr>
          <w:bCs/>
          <w:sz w:val="25"/>
          <w:szCs w:val="25"/>
        </w:rPr>
        <w:tab/>
      </w:r>
      <w:r>
        <w:rPr>
          <w:bCs/>
          <w:sz w:val="25"/>
          <w:szCs w:val="25"/>
        </w:rPr>
        <w:tab/>
        <w:t>$642.85</w:t>
      </w:r>
    </w:p>
    <w:p w14:paraId="21B868E3" w14:textId="77777777" w:rsidR="00D1287C" w:rsidRDefault="00D1287C" w:rsidP="009644ED">
      <w:pPr>
        <w:tabs>
          <w:tab w:val="left" w:pos="0"/>
        </w:tabs>
        <w:spacing w:line="264" w:lineRule="auto"/>
        <w:ind w:left="810" w:hanging="720"/>
        <w:rPr>
          <w:sz w:val="25"/>
          <w:szCs w:val="25"/>
        </w:rPr>
      </w:pPr>
      <w:r>
        <w:rPr>
          <w:bCs/>
          <w:sz w:val="25"/>
          <w:szCs w:val="25"/>
        </w:rPr>
        <w:tab/>
      </w:r>
      <w:r>
        <w:rPr>
          <w:bCs/>
          <w:sz w:val="25"/>
          <w:szCs w:val="25"/>
        </w:rPr>
        <w:tab/>
        <w:t xml:space="preserve">        April 30, 2015</w:t>
      </w:r>
      <w:r>
        <w:rPr>
          <w:bCs/>
          <w:sz w:val="25"/>
          <w:szCs w:val="25"/>
        </w:rPr>
        <w:tab/>
      </w:r>
      <w:r>
        <w:rPr>
          <w:bCs/>
          <w:sz w:val="25"/>
          <w:szCs w:val="25"/>
        </w:rPr>
        <w:tab/>
        <w:t>$642.85</w:t>
      </w:r>
      <w:r>
        <w:rPr>
          <w:bCs/>
          <w:sz w:val="25"/>
          <w:szCs w:val="25"/>
        </w:rPr>
        <w:br/>
      </w:r>
      <w:r>
        <w:rPr>
          <w:sz w:val="25"/>
          <w:szCs w:val="25"/>
        </w:rPr>
        <w:t xml:space="preserve">                   May 29, 2015</w:t>
      </w:r>
      <w:r>
        <w:rPr>
          <w:sz w:val="25"/>
          <w:szCs w:val="25"/>
        </w:rPr>
        <w:tab/>
      </w:r>
      <w:r>
        <w:rPr>
          <w:sz w:val="25"/>
          <w:szCs w:val="25"/>
        </w:rPr>
        <w:tab/>
        <w:t>$642.85</w:t>
      </w:r>
    </w:p>
    <w:p w14:paraId="3A620B24" w14:textId="4D1A7FD1" w:rsidR="00D1287C" w:rsidRPr="00C44C94" w:rsidRDefault="00D1287C" w:rsidP="009644ED">
      <w:pPr>
        <w:tabs>
          <w:tab w:val="left" w:pos="0"/>
        </w:tabs>
        <w:spacing w:line="264" w:lineRule="auto"/>
        <w:rPr>
          <w:sz w:val="25"/>
          <w:szCs w:val="25"/>
        </w:rPr>
      </w:pPr>
      <w:r>
        <w:rPr>
          <w:sz w:val="25"/>
          <w:szCs w:val="25"/>
        </w:rPr>
        <w:t xml:space="preserve">                                June 30, 2015</w:t>
      </w:r>
      <w:r>
        <w:rPr>
          <w:sz w:val="25"/>
          <w:szCs w:val="25"/>
        </w:rPr>
        <w:tab/>
      </w:r>
      <w:r>
        <w:rPr>
          <w:sz w:val="25"/>
          <w:szCs w:val="25"/>
        </w:rPr>
        <w:tab/>
        <w:t>$6</w:t>
      </w:r>
      <w:r w:rsidR="00AC1FF7">
        <w:rPr>
          <w:sz w:val="25"/>
          <w:szCs w:val="25"/>
        </w:rPr>
        <w:t>42</w:t>
      </w:r>
      <w:r>
        <w:rPr>
          <w:sz w:val="25"/>
          <w:szCs w:val="25"/>
        </w:rPr>
        <w:t>.90</w:t>
      </w:r>
    </w:p>
    <w:p w14:paraId="5CFE9D9E" w14:textId="77777777" w:rsidR="00860038" w:rsidRPr="00C44C94" w:rsidRDefault="00860038" w:rsidP="009644ED">
      <w:pPr>
        <w:spacing w:line="264" w:lineRule="auto"/>
        <w:rPr>
          <w:sz w:val="25"/>
          <w:szCs w:val="25"/>
        </w:rPr>
      </w:pPr>
    </w:p>
    <w:p w14:paraId="2EF1A48B" w14:textId="332B0C19" w:rsidR="00C011AB" w:rsidRPr="00C44C94" w:rsidRDefault="00BD11E4" w:rsidP="009644ED">
      <w:pPr>
        <w:spacing w:line="264" w:lineRule="auto"/>
        <w:rPr>
          <w:sz w:val="25"/>
          <w:szCs w:val="25"/>
        </w:rPr>
      </w:pPr>
      <w:r w:rsidRPr="00C44C94">
        <w:rPr>
          <w:sz w:val="25"/>
          <w:szCs w:val="25"/>
        </w:rPr>
        <w:t>DATED</w:t>
      </w:r>
      <w:r w:rsidR="00C011AB" w:rsidRPr="00C44C94">
        <w:rPr>
          <w:sz w:val="25"/>
          <w:szCs w:val="25"/>
        </w:rPr>
        <w:t xml:space="preserve"> at Olympia, Washington</w:t>
      </w:r>
      <w:r w:rsidR="00E17725" w:rsidRPr="00C44C94">
        <w:rPr>
          <w:sz w:val="25"/>
          <w:szCs w:val="25"/>
        </w:rPr>
        <w:t xml:space="preserve">, and effective </w:t>
      </w:r>
      <w:r w:rsidR="00E50B59" w:rsidRPr="00C44C94">
        <w:rPr>
          <w:sz w:val="25"/>
          <w:szCs w:val="25"/>
        </w:rPr>
        <w:t>December 1</w:t>
      </w:r>
      <w:r w:rsidR="007A2CD7">
        <w:rPr>
          <w:sz w:val="25"/>
          <w:szCs w:val="25"/>
        </w:rPr>
        <w:t>5</w:t>
      </w:r>
      <w:r w:rsidR="008A54E8" w:rsidRPr="00C44C94">
        <w:rPr>
          <w:sz w:val="25"/>
          <w:szCs w:val="25"/>
        </w:rPr>
        <w:t>, 2014</w:t>
      </w:r>
      <w:r w:rsidR="00C011AB" w:rsidRPr="00C44C94">
        <w:rPr>
          <w:sz w:val="25"/>
          <w:szCs w:val="25"/>
        </w:rPr>
        <w:t>.</w:t>
      </w:r>
    </w:p>
    <w:p w14:paraId="074242CA" w14:textId="77777777" w:rsidR="00C011AB" w:rsidRPr="00C44C94" w:rsidRDefault="00C011AB" w:rsidP="009644ED">
      <w:pPr>
        <w:pStyle w:val="Header"/>
        <w:tabs>
          <w:tab w:val="clear" w:pos="4320"/>
          <w:tab w:val="clear" w:pos="8640"/>
        </w:tabs>
        <w:spacing w:line="264" w:lineRule="auto"/>
        <w:rPr>
          <w:sz w:val="25"/>
          <w:szCs w:val="25"/>
        </w:rPr>
      </w:pPr>
    </w:p>
    <w:p w14:paraId="1408EE24" w14:textId="77777777" w:rsidR="00C011AB" w:rsidRPr="00C44C94" w:rsidRDefault="00C011AB" w:rsidP="009644ED">
      <w:pPr>
        <w:spacing w:line="264" w:lineRule="auto"/>
        <w:jc w:val="center"/>
        <w:rPr>
          <w:sz w:val="25"/>
          <w:szCs w:val="25"/>
        </w:rPr>
      </w:pPr>
      <w:r w:rsidRPr="00C44C94">
        <w:rPr>
          <w:sz w:val="25"/>
          <w:szCs w:val="25"/>
        </w:rPr>
        <w:t>WASHINGTON UTILITIES AND TRANSPORTATION COMMISSION</w:t>
      </w:r>
    </w:p>
    <w:p w14:paraId="1F02AEE3" w14:textId="77777777" w:rsidR="00E23096" w:rsidRDefault="00E23096" w:rsidP="009644ED">
      <w:pPr>
        <w:spacing w:line="264" w:lineRule="auto"/>
        <w:rPr>
          <w:sz w:val="25"/>
          <w:szCs w:val="25"/>
        </w:rPr>
      </w:pPr>
    </w:p>
    <w:p w14:paraId="43224BFD" w14:textId="77777777" w:rsidR="00E23096" w:rsidRDefault="00E23096" w:rsidP="009644ED">
      <w:pPr>
        <w:spacing w:line="264" w:lineRule="auto"/>
        <w:rPr>
          <w:sz w:val="25"/>
          <w:szCs w:val="25"/>
        </w:rPr>
      </w:pPr>
    </w:p>
    <w:p w14:paraId="2C587311" w14:textId="77777777" w:rsidR="000C2061" w:rsidRPr="000C2061" w:rsidRDefault="000C2061" w:rsidP="009644ED">
      <w:pPr>
        <w:spacing w:line="264" w:lineRule="auto"/>
        <w:ind w:left="3600" w:firstLine="720"/>
        <w:rPr>
          <w:sz w:val="25"/>
          <w:szCs w:val="25"/>
        </w:rPr>
      </w:pPr>
      <w:r w:rsidRPr="000C2061">
        <w:rPr>
          <w:sz w:val="25"/>
          <w:szCs w:val="25"/>
        </w:rPr>
        <w:t>DAVID W. DANNER, Chairman</w:t>
      </w:r>
    </w:p>
    <w:p w14:paraId="584326B8" w14:textId="77777777" w:rsidR="000C2061" w:rsidRPr="000C2061" w:rsidRDefault="000C2061" w:rsidP="009644ED">
      <w:pPr>
        <w:spacing w:line="264" w:lineRule="auto"/>
        <w:ind w:hanging="720"/>
        <w:rPr>
          <w:sz w:val="25"/>
          <w:szCs w:val="25"/>
        </w:rPr>
      </w:pPr>
    </w:p>
    <w:p w14:paraId="35B01A33" w14:textId="77777777" w:rsidR="000C2061" w:rsidRPr="000C2061" w:rsidRDefault="000C2061" w:rsidP="009644ED">
      <w:pPr>
        <w:spacing w:line="264" w:lineRule="auto"/>
        <w:ind w:hanging="720"/>
        <w:rPr>
          <w:sz w:val="25"/>
          <w:szCs w:val="25"/>
        </w:rPr>
      </w:pPr>
    </w:p>
    <w:p w14:paraId="3FE9EBA5" w14:textId="77777777" w:rsidR="000C2061" w:rsidRPr="000C2061" w:rsidRDefault="000C2061" w:rsidP="009644ED">
      <w:pPr>
        <w:spacing w:line="264" w:lineRule="auto"/>
        <w:ind w:hanging="720"/>
        <w:rPr>
          <w:sz w:val="25"/>
          <w:szCs w:val="25"/>
        </w:rPr>
      </w:pPr>
      <w:r w:rsidRPr="000C2061">
        <w:rPr>
          <w:sz w:val="25"/>
          <w:szCs w:val="25"/>
        </w:rPr>
        <w:tab/>
      </w:r>
      <w:r w:rsidRPr="000C2061">
        <w:rPr>
          <w:sz w:val="25"/>
          <w:szCs w:val="25"/>
        </w:rPr>
        <w:tab/>
      </w:r>
      <w:r w:rsidRPr="000C2061">
        <w:rPr>
          <w:sz w:val="25"/>
          <w:szCs w:val="25"/>
        </w:rPr>
        <w:tab/>
      </w:r>
      <w:r w:rsidRPr="000C2061">
        <w:rPr>
          <w:sz w:val="25"/>
          <w:szCs w:val="25"/>
        </w:rPr>
        <w:tab/>
      </w:r>
      <w:r w:rsidRPr="000C2061">
        <w:rPr>
          <w:sz w:val="25"/>
          <w:szCs w:val="25"/>
        </w:rPr>
        <w:tab/>
      </w:r>
      <w:r w:rsidRPr="000C2061">
        <w:rPr>
          <w:sz w:val="25"/>
          <w:szCs w:val="25"/>
        </w:rPr>
        <w:tab/>
      </w:r>
      <w:r w:rsidRPr="000C2061">
        <w:rPr>
          <w:sz w:val="25"/>
          <w:szCs w:val="25"/>
        </w:rPr>
        <w:tab/>
        <w:t>PHILIP B. JONES, Commissioner</w:t>
      </w:r>
    </w:p>
    <w:p w14:paraId="0C01FFF9" w14:textId="77777777" w:rsidR="000C2061" w:rsidRPr="000C2061" w:rsidRDefault="000C2061" w:rsidP="009644ED">
      <w:pPr>
        <w:spacing w:line="264" w:lineRule="auto"/>
        <w:ind w:hanging="720"/>
        <w:rPr>
          <w:sz w:val="25"/>
          <w:szCs w:val="25"/>
        </w:rPr>
      </w:pPr>
    </w:p>
    <w:p w14:paraId="0F3AA0AA" w14:textId="77777777" w:rsidR="000C2061" w:rsidRPr="000C2061" w:rsidRDefault="000C2061" w:rsidP="009644ED">
      <w:pPr>
        <w:spacing w:line="264" w:lineRule="auto"/>
        <w:ind w:hanging="720"/>
        <w:rPr>
          <w:sz w:val="25"/>
          <w:szCs w:val="25"/>
        </w:rPr>
      </w:pPr>
    </w:p>
    <w:p w14:paraId="57325D31" w14:textId="77777777" w:rsidR="000C2061" w:rsidRPr="00291B63" w:rsidRDefault="000C2061" w:rsidP="009644ED">
      <w:pPr>
        <w:spacing w:line="264" w:lineRule="auto"/>
        <w:ind w:hanging="720"/>
      </w:pPr>
      <w:r w:rsidRPr="000C2061">
        <w:rPr>
          <w:sz w:val="25"/>
          <w:szCs w:val="25"/>
        </w:rPr>
        <w:tab/>
      </w:r>
      <w:r w:rsidRPr="000C2061">
        <w:rPr>
          <w:sz w:val="25"/>
          <w:szCs w:val="25"/>
        </w:rPr>
        <w:tab/>
      </w:r>
      <w:r w:rsidRPr="000C2061">
        <w:rPr>
          <w:sz w:val="25"/>
          <w:szCs w:val="25"/>
        </w:rPr>
        <w:tab/>
      </w:r>
      <w:r w:rsidRPr="000C2061">
        <w:rPr>
          <w:sz w:val="25"/>
          <w:szCs w:val="25"/>
        </w:rPr>
        <w:tab/>
      </w:r>
      <w:r w:rsidRPr="000C2061">
        <w:rPr>
          <w:sz w:val="25"/>
          <w:szCs w:val="25"/>
        </w:rPr>
        <w:tab/>
      </w:r>
      <w:r w:rsidRPr="000C2061">
        <w:rPr>
          <w:sz w:val="25"/>
          <w:szCs w:val="25"/>
        </w:rPr>
        <w:tab/>
      </w:r>
      <w:r w:rsidRPr="000C2061">
        <w:rPr>
          <w:sz w:val="25"/>
          <w:szCs w:val="25"/>
        </w:rPr>
        <w:tab/>
        <w:t>JEFFREY D. GOLTZ, Commissioner</w:t>
      </w:r>
      <w:r w:rsidRPr="00291B63">
        <w:tab/>
      </w:r>
    </w:p>
    <w:p w14:paraId="18363600" w14:textId="6B0D1685" w:rsidR="00FA25C6" w:rsidRDefault="00FA25C6">
      <w:pPr>
        <w:rPr>
          <w:sz w:val="25"/>
          <w:szCs w:val="25"/>
        </w:rPr>
      </w:pPr>
      <w:r>
        <w:rPr>
          <w:sz w:val="25"/>
          <w:szCs w:val="25"/>
        </w:rPr>
        <w:br w:type="page"/>
      </w:r>
    </w:p>
    <w:p w14:paraId="19417120" w14:textId="77777777" w:rsidR="00FA25C6" w:rsidRPr="00FA25C6" w:rsidRDefault="00FA25C6" w:rsidP="00FA25C6">
      <w:pPr>
        <w:pStyle w:val="BodyText2"/>
        <w:spacing w:after="0" w:line="264" w:lineRule="auto"/>
        <w:rPr>
          <w:b/>
          <w:sz w:val="25"/>
          <w:szCs w:val="25"/>
        </w:rPr>
      </w:pPr>
      <w:r w:rsidRPr="00FA25C6">
        <w:rPr>
          <w:b/>
          <w:sz w:val="25"/>
          <w:szCs w:val="25"/>
        </w:rPr>
        <w:lastRenderedPageBreak/>
        <w:t xml:space="preserve">NOTICE TO PARTIES:  This is a final order of the Commission.  In addition to judicial review, administrative relief may be available through a petition for reconsideration, filed within 10 days of the service of this order pursuant to </w:t>
      </w:r>
      <w:proofErr w:type="spellStart"/>
      <w:r w:rsidRPr="00FA25C6">
        <w:rPr>
          <w:b/>
          <w:sz w:val="25"/>
          <w:szCs w:val="25"/>
        </w:rPr>
        <w:t>RCW</w:t>
      </w:r>
      <w:proofErr w:type="spellEnd"/>
      <w:r w:rsidRPr="00FA25C6">
        <w:rPr>
          <w:b/>
          <w:sz w:val="25"/>
          <w:szCs w:val="25"/>
        </w:rPr>
        <w:t xml:space="preserve"> 34.05.470 and WAC 480-07-850, or a petition for rehearing pursuant to </w:t>
      </w:r>
      <w:proofErr w:type="spellStart"/>
      <w:r w:rsidRPr="00FA25C6">
        <w:rPr>
          <w:b/>
          <w:sz w:val="25"/>
          <w:szCs w:val="25"/>
        </w:rPr>
        <w:t>RCW</w:t>
      </w:r>
      <w:proofErr w:type="spellEnd"/>
      <w:r w:rsidRPr="00FA25C6">
        <w:rPr>
          <w:b/>
          <w:sz w:val="25"/>
          <w:szCs w:val="25"/>
        </w:rPr>
        <w:t xml:space="preserve"> 80.04.200 or </w:t>
      </w:r>
      <w:proofErr w:type="spellStart"/>
      <w:r w:rsidRPr="00FA25C6">
        <w:rPr>
          <w:b/>
          <w:sz w:val="25"/>
          <w:szCs w:val="25"/>
        </w:rPr>
        <w:t>RCW</w:t>
      </w:r>
      <w:proofErr w:type="spellEnd"/>
      <w:r w:rsidRPr="00FA25C6">
        <w:rPr>
          <w:b/>
          <w:sz w:val="25"/>
          <w:szCs w:val="25"/>
        </w:rPr>
        <w:t xml:space="preserve"> 81.04.200 and WAC 480-07-870.</w:t>
      </w:r>
    </w:p>
    <w:p w14:paraId="7025CFE5" w14:textId="77777777" w:rsidR="006972FB" w:rsidRPr="00C44C94" w:rsidRDefault="006972FB" w:rsidP="009644ED">
      <w:pPr>
        <w:spacing w:line="264" w:lineRule="auto"/>
        <w:rPr>
          <w:sz w:val="25"/>
          <w:szCs w:val="25"/>
        </w:rPr>
      </w:pPr>
      <w:bookmarkStart w:id="0" w:name="_GoBack"/>
      <w:bookmarkEnd w:id="0"/>
    </w:p>
    <w:sectPr w:rsidR="006972FB" w:rsidRPr="00C44C94" w:rsidSect="00FA25C6">
      <w:headerReference w:type="default" r:id="rId8"/>
      <w:headerReference w:type="first" r:id="rId9"/>
      <w:type w:val="continuous"/>
      <w:pgSz w:w="12240" w:h="15840" w:code="1"/>
      <w:pgMar w:top="1440" w:right="1440" w:bottom="994"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E4EE5" w14:textId="77777777" w:rsidR="001D3BE1" w:rsidRDefault="001D3BE1">
      <w:r>
        <w:separator/>
      </w:r>
    </w:p>
  </w:endnote>
  <w:endnote w:type="continuationSeparator" w:id="0">
    <w:p w14:paraId="25E6F75D" w14:textId="77777777" w:rsidR="001D3BE1" w:rsidRDefault="001D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BA07F" w14:textId="77777777" w:rsidR="001D3BE1" w:rsidRDefault="001D3BE1">
      <w:r>
        <w:separator/>
      </w:r>
    </w:p>
  </w:footnote>
  <w:footnote w:type="continuationSeparator" w:id="0">
    <w:p w14:paraId="714A9E6F" w14:textId="77777777" w:rsidR="001D3BE1" w:rsidRDefault="001D3BE1">
      <w:r>
        <w:continuationSeparator/>
      </w:r>
    </w:p>
  </w:footnote>
  <w:footnote w:id="1">
    <w:p w14:paraId="36E8C19C" w14:textId="3D2BCB89" w:rsidR="006B0FE3" w:rsidRPr="009644ED" w:rsidRDefault="006B0FE3" w:rsidP="006B0FE3">
      <w:pPr>
        <w:pStyle w:val="FootnoteText"/>
        <w:rPr>
          <w:sz w:val="22"/>
          <w:szCs w:val="22"/>
        </w:rPr>
      </w:pPr>
      <w:r w:rsidRPr="009644ED">
        <w:rPr>
          <w:rStyle w:val="FootnoteReference"/>
          <w:sz w:val="22"/>
          <w:szCs w:val="22"/>
        </w:rPr>
        <w:footnoteRef/>
      </w:r>
      <w:r w:rsidRPr="009644ED">
        <w:rPr>
          <w:bCs/>
          <w:sz w:val="22"/>
          <w:szCs w:val="22"/>
        </w:rPr>
        <w:t xml:space="preserve"> Order 01 was delegated to the Executive Secretary for decision.  Petitions for review of delegated orders are heard at the Commission’s regularly scheduled open meeting.</w:t>
      </w:r>
      <w:r w:rsidRPr="009644ED">
        <w:rPr>
          <w:i/>
          <w:sz w:val="22"/>
          <w:szCs w:val="22"/>
        </w:rPr>
        <w:t xml:space="preserve"> See</w:t>
      </w:r>
      <w:r w:rsidRPr="009644ED">
        <w:rPr>
          <w:sz w:val="22"/>
          <w:szCs w:val="22"/>
        </w:rPr>
        <w:t xml:space="preserve"> WAC 480-07-904(3).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0C097" w14:textId="77777777" w:rsidR="009345E5" w:rsidRPr="00B85B2D" w:rsidRDefault="009345E5">
    <w:pPr>
      <w:pStyle w:val="Header"/>
      <w:tabs>
        <w:tab w:val="clear" w:pos="8640"/>
        <w:tab w:val="right" w:pos="8100"/>
      </w:tabs>
      <w:rPr>
        <w:rStyle w:val="PageNumber"/>
        <w:b/>
        <w:bCs/>
        <w:sz w:val="20"/>
        <w:szCs w:val="20"/>
      </w:rPr>
    </w:pPr>
    <w:r w:rsidRPr="00B85B2D">
      <w:rPr>
        <w:b/>
        <w:bCs/>
        <w:sz w:val="20"/>
        <w:szCs w:val="20"/>
      </w:rPr>
      <w:t xml:space="preserve">DOCKET </w:t>
    </w:r>
    <w:r>
      <w:rPr>
        <w:b/>
        <w:bCs/>
        <w:sz w:val="20"/>
        <w:szCs w:val="20"/>
      </w:rPr>
      <w:t>TV-1</w:t>
    </w:r>
    <w:r w:rsidR="0076509F">
      <w:rPr>
        <w:b/>
        <w:bCs/>
        <w:sz w:val="20"/>
        <w:szCs w:val="20"/>
      </w:rPr>
      <w:t>4</w:t>
    </w:r>
    <w:r w:rsidR="00596E25">
      <w:rPr>
        <w:b/>
        <w:bCs/>
        <w:sz w:val="20"/>
        <w:szCs w:val="20"/>
      </w:rPr>
      <w:t>3</w:t>
    </w:r>
    <w:r w:rsidR="004B4875">
      <w:rPr>
        <w:b/>
        <w:bCs/>
        <w:sz w:val="20"/>
        <w:szCs w:val="20"/>
      </w:rPr>
      <w:t>221</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FA25C6">
      <w:rPr>
        <w:rStyle w:val="PageNumber"/>
        <w:b/>
        <w:bCs/>
        <w:noProof/>
        <w:sz w:val="20"/>
        <w:szCs w:val="20"/>
      </w:rPr>
      <w:t>4</w:t>
    </w:r>
    <w:r w:rsidRPr="00B85B2D">
      <w:rPr>
        <w:rStyle w:val="PageNumber"/>
        <w:b/>
        <w:bCs/>
        <w:sz w:val="20"/>
        <w:szCs w:val="20"/>
      </w:rPr>
      <w:fldChar w:fldCharType="end"/>
    </w:r>
  </w:p>
  <w:p w14:paraId="29895898" w14:textId="22199B8D" w:rsidR="009345E5" w:rsidRPr="00B85B2D" w:rsidRDefault="009345E5">
    <w:pPr>
      <w:pStyle w:val="Header"/>
      <w:tabs>
        <w:tab w:val="clear" w:pos="8640"/>
        <w:tab w:val="right" w:pos="8100"/>
      </w:tabs>
      <w:rPr>
        <w:rStyle w:val="PageNumber"/>
        <w:b/>
        <w:bCs/>
        <w:sz w:val="20"/>
        <w:szCs w:val="20"/>
      </w:rPr>
    </w:pPr>
    <w:r w:rsidRPr="00B85B2D">
      <w:rPr>
        <w:rStyle w:val="PageNumber"/>
        <w:b/>
        <w:bCs/>
        <w:sz w:val="20"/>
        <w:szCs w:val="20"/>
      </w:rPr>
      <w:t>ORDER 0</w:t>
    </w:r>
    <w:r w:rsidR="00734F03">
      <w:rPr>
        <w:rStyle w:val="PageNumber"/>
        <w:b/>
        <w:bCs/>
        <w:sz w:val="20"/>
        <w:szCs w:val="20"/>
      </w:rPr>
      <w:t>2</w:t>
    </w:r>
  </w:p>
  <w:p w14:paraId="15187CBD" w14:textId="77777777" w:rsidR="009345E5" w:rsidRPr="00B85B2D" w:rsidRDefault="009345E5">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C3DE5" w14:textId="39A7345E" w:rsidR="00C466C3" w:rsidRPr="00C466C3" w:rsidRDefault="00C466C3" w:rsidP="00C466C3">
    <w:pPr>
      <w:pStyle w:val="Header"/>
      <w:tabs>
        <w:tab w:val="clear" w:pos="4320"/>
      </w:tabs>
      <w:rPr>
        <w:b/>
        <w:sz w:val="20"/>
        <w:szCs w:val="20"/>
      </w:rPr>
    </w:pPr>
    <w:r>
      <w:tab/>
    </w:r>
    <w:r w:rsidRPr="00C466C3">
      <w:rPr>
        <w:b/>
        <w:sz w:val="20"/>
        <w:szCs w:val="20"/>
      </w:rPr>
      <w:t>[Service Date December 15,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54941546"/>
    <w:lvl w:ilvl="0" w:tplc="9B4E97CE">
      <w:start w:val="1"/>
      <w:numFmt w:val="decimal"/>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4DD"/>
    <w:rsid w:val="000015DC"/>
    <w:rsid w:val="00005893"/>
    <w:rsid w:val="00007D4A"/>
    <w:rsid w:val="00010C84"/>
    <w:rsid w:val="00011DA9"/>
    <w:rsid w:val="00013BD4"/>
    <w:rsid w:val="000164A8"/>
    <w:rsid w:val="000210D8"/>
    <w:rsid w:val="0002339B"/>
    <w:rsid w:val="00023460"/>
    <w:rsid w:val="00033213"/>
    <w:rsid w:val="0003347C"/>
    <w:rsid w:val="000376E4"/>
    <w:rsid w:val="00040C1A"/>
    <w:rsid w:val="000425D2"/>
    <w:rsid w:val="000426C0"/>
    <w:rsid w:val="00052588"/>
    <w:rsid w:val="00052765"/>
    <w:rsid w:val="00064277"/>
    <w:rsid w:val="00064471"/>
    <w:rsid w:val="000677EC"/>
    <w:rsid w:val="00071611"/>
    <w:rsid w:val="00084377"/>
    <w:rsid w:val="00090712"/>
    <w:rsid w:val="000A14A5"/>
    <w:rsid w:val="000A38A3"/>
    <w:rsid w:val="000A424F"/>
    <w:rsid w:val="000A60F5"/>
    <w:rsid w:val="000B3F21"/>
    <w:rsid w:val="000B4183"/>
    <w:rsid w:val="000B7854"/>
    <w:rsid w:val="000B7F83"/>
    <w:rsid w:val="000C0323"/>
    <w:rsid w:val="000C2061"/>
    <w:rsid w:val="000C6E2F"/>
    <w:rsid w:val="000D254E"/>
    <w:rsid w:val="000D3ACC"/>
    <w:rsid w:val="000D4261"/>
    <w:rsid w:val="000D77CC"/>
    <w:rsid w:val="000E0772"/>
    <w:rsid w:val="000E1EB1"/>
    <w:rsid w:val="000E4BC7"/>
    <w:rsid w:val="000F0649"/>
    <w:rsid w:val="00101D97"/>
    <w:rsid w:val="00111219"/>
    <w:rsid w:val="00111B07"/>
    <w:rsid w:val="00112B93"/>
    <w:rsid w:val="001155A4"/>
    <w:rsid w:val="00117299"/>
    <w:rsid w:val="001179CD"/>
    <w:rsid w:val="0012204A"/>
    <w:rsid w:val="00124DB9"/>
    <w:rsid w:val="0012548B"/>
    <w:rsid w:val="00126995"/>
    <w:rsid w:val="00127197"/>
    <w:rsid w:val="00131166"/>
    <w:rsid w:val="00131E06"/>
    <w:rsid w:val="00135751"/>
    <w:rsid w:val="00136247"/>
    <w:rsid w:val="00136868"/>
    <w:rsid w:val="0014054F"/>
    <w:rsid w:val="0014354E"/>
    <w:rsid w:val="00152F28"/>
    <w:rsid w:val="001537A6"/>
    <w:rsid w:val="0015682A"/>
    <w:rsid w:val="00160AF2"/>
    <w:rsid w:val="0016160B"/>
    <w:rsid w:val="00164F15"/>
    <w:rsid w:val="001664DB"/>
    <w:rsid w:val="0017431C"/>
    <w:rsid w:val="00174556"/>
    <w:rsid w:val="00176046"/>
    <w:rsid w:val="00177D68"/>
    <w:rsid w:val="00182298"/>
    <w:rsid w:val="00182DFC"/>
    <w:rsid w:val="00186814"/>
    <w:rsid w:val="00190A10"/>
    <w:rsid w:val="00190E92"/>
    <w:rsid w:val="0019411E"/>
    <w:rsid w:val="001A0000"/>
    <w:rsid w:val="001A1541"/>
    <w:rsid w:val="001A220D"/>
    <w:rsid w:val="001C10D0"/>
    <w:rsid w:val="001C1DAE"/>
    <w:rsid w:val="001C7A05"/>
    <w:rsid w:val="001D0DC8"/>
    <w:rsid w:val="001D1073"/>
    <w:rsid w:val="001D3BE1"/>
    <w:rsid w:val="001D765C"/>
    <w:rsid w:val="001E64D7"/>
    <w:rsid w:val="001F6CA6"/>
    <w:rsid w:val="00203697"/>
    <w:rsid w:val="00212C4A"/>
    <w:rsid w:val="00217765"/>
    <w:rsid w:val="00223687"/>
    <w:rsid w:val="00226090"/>
    <w:rsid w:val="002260E1"/>
    <w:rsid w:val="00230FD0"/>
    <w:rsid w:val="00233D02"/>
    <w:rsid w:val="00236B98"/>
    <w:rsid w:val="0024097E"/>
    <w:rsid w:val="00241EFB"/>
    <w:rsid w:val="002443C1"/>
    <w:rsid w:val="00244A75"/>
    <w:rsid w:val="00251255"/>
    <w:rsid w:val="0025542C"/>
    <w:rsid w:val="002558D0"/>
    <w:rsid w:val="0025776E"/>
    <w:rsid w:val="002601B6"/>
    <w:rsid w:val="00264C0F"/>
    <w:rsid w:val="002656EB"/>
    <w:rsid w:val="0026688A"/>
    <w:rsid w:val="002728F6"/>
    <w:rsid w:val="00275F04"/>
    <w:rsid w:val="0028147A"/>
    <w:rsid w:val="00281ABD"/>
    <w:rsid w:val="002834B4"/>
    <w:rsid w:val="00285B43"/>
    <w:rsid w:val="0028697C"/>
    <w:rsid w:val="00287672"/>
    <w:rsid w:val="00287B09"/>
    <w:rsid w:val="00291285"/>
    <w:rsid w:val="00291C3E"/>
    <w:rsid w:val="00293EC2"/>
    <w:rsid w:val="002969C0"/>
    <w:rsid w:val="002A44FE"/>
    <w:rsid w:val="002A547A"/>
    <w:rsid w:val="002B0F91"/>
    <w:rsid w:val="002C03F6"/>
    <w:rsid w:val="002C1C05"/>
    <w:rsid w:val="002C2FA6"/>
    <w:rsid w:val="002C4994"/>
    <w:rsid w:val="002C5131"/>
    <w:rsid w:val="002E1E12"/>
    <w:rsid w:val="002E3C80"/>
    <w:rsid w:val="002E59AC"/>
    <w:rsid w:val="002F169B"/>
    <w:rsid w:val="002F698C"/>
    <w:rsid w:val="002F71C2"/>
    <w:rsid w:val="00301107"/>
    <w:rsid w:val="0030487D"/>
    <w:rsid w:val="00304888"/>
    <w:rsid w:val="003072AB"/>
    <w:rsid w:val="00311EBF"/>
    <w:rsid w:val="0031607C"/>
    <w:rsid w:val="00316961"/>
    <w:rsid w:val="00320A02"/>
    <w:rsid w:val="003221C8"/>
    <w:rsid w:val="00325033"/>
    <w:rsid w:val="00343FAD"/>
    <w:rsid w:val="00347054"/>
    <w:rsid w:val="003470BB"/>
    <w:rsid w:val="00355F62"/>
    <w:rsid w:val="00361888"/>
    <w:rsid w:val="00362AC7"/>
    <w:rsid w:val="00363B2A"/>
    <w:rsid w:val="0036709D"/>
    <w:rsid w:val="003717D9"/>
    <w:rsid w:val="00371E20"/>
    <w:rsid w:val="00372516"/>
    <w:rsid w:val="003815A3"/>
    <w:rsid w:val="00382522"/>
    <w:rsid w:val="00383B52"/>
    <w:rsid w:val="00386898"/>
    <w:rsid w:val="00387620"/>
    <w:rsid w:val="00392258"/>
    <w:rsid w:val="00397A87"/>
    <w:rsid w:val="003A38E3"/>
    <w:rsid w:val="003A7B35"/>
    <w:rsid w:val="003B10D2"/>
    <w:rsid w:val="003C70EB"/>
    <w:rsid w:val="003D404F"/>
    <w:rsid w:val="003D4639"/>
    <w:rsid w:val="003D4B3F"/>
    <w:rsid w:val="003D52BA"/>
    <w:rsid w:val="003D5644"/>
    <w:rsid w:val="003D740F"/>
    <w:rsid w:val="003E01D8"/>
    <w:rsid w:val="003F2A20"/>
    <w:rsid w:val="003F4ACF"/>
    <w:rsid w:val="00405642"/>
    <w:rsid w:val="00406DDA"/>
    <w:rsid w:val="004074DC"/>
    <w:rsid w:val="00413546"/>
    <w:rsid w:val="00421B3A"/>
    <w:rsid w:val="004226B7"/>
    <w:rsid w:val="0042443B"/>
    <w:rsid w:val="00426C92"/>
    <w:rsid w:val="00430F4E"/>
    <w:rsid w:val="004342E8"/>
    <w:rsid w:val="004344AD"/>
    <w:rsid w:val="00436446"/>
    <w:rsid w:val="00441E21"/>
    <w:rsid w:val="00444529"/>
    <w:rsid w:val="00444E53"/>
    <w:rsid w:val="0044560D"/>
    <w:rsid w:val="00447286"/>
    <w:rsid w:val="00450C85"/>
    <w:rsid w:val="0046023D"/>
    <w:rsid w:val="004614D7"/>
    <w:rsid w:val="004734A9"/>
    <w:rsid w:val="004744A9"/>
    <w:rsid w:val="00475E8F"/>
    <w:rsid w:val="00482044"/>
    <w:rsid w:val="004878BC"/>
    <w:rsid w:val="00490617"/>
    <w:rsid w:val="00491D29"/>
    <w:rsid w:val="00496AC5"/>
    <w:rsid w:val="00497C39"/>
    <w:rsid w:val="004A11F3"/>
    <w:rsid w:val="004A1A6D"/>
    <w:rsid w:val="004A3E2A"/>
    <w:rsid w:val="004A74A6"/>
    <w:rsid w:val="004B2554"/>
    <w:rsid w:val="004B4875"/>
    <w:rsid w:val="004B4BCD"/>
    <w:rsid w:val="004C0175"/>
    <w:rsid w:val="004C1E66"/>
    <w:rsid w:val="004C4B31"/>
    <w:rsid w:val="004D13B8"/>
    <w:rsid w:val="004D2214"/>
    <w:rsid w:val="004D24E3"/>
    <w:rsid w:val="004D2B76"/>
    <w:rsid w:val="004D7804"/>
    <w:rsid w:val="004E14C5"/>
    <w:rsid w:val="004F19C5"/>
    <w:rsid w:val="004F208E"/>
    <w:rsid w:val="004F5A39"/>
    <w:rsid w:val="00502698"/>
    <w:rsid w:val="00506F82"/>
    <w:rsid w:val="00515AC4"/>
    <w:rsid w:val="00516019"/>
    <w:rsid w:val="00521A82"/>
    <w:rsid w:val="00524F39"/>
    <w:rsid w:val="00543264"/>
    <w:rsid w:val="00545137"/>
    <w:rsid w:val="00547078"/>
    <w:rsid w:val="00551071"/>
    <w:rsid w:val="005519EF"/>
    <w:rsid w:val="00551E82"/>
    <w:rsid w:val="0055204F"/>
    <w:rsid w:val="00552401"/>
    <w:rsid w:val="00555C15"/>
    <w:rsid w:val="00564C22"/>
    <w:rsid w:val="0057202D"/>
    <w:rsid w:val="005760DD"/>
    <w:rsid w:val="005817DB"/>
    <w:rsid w:val="00583BE2"/>
    <w:rsid w:val="0058665D"/>
    <w:rsid w:val="005868BB"/>
    <w:rsid w:val="00587170"/>
    <w:rsid w:val="00596E25"/>
    <w:rsid w:val="00597B2E"/>
    <w:rsid w:val="005A3AD9"/>
    <w:rsid w:val="005A53AE"/>
    <w:rsid w:val="005A7177"/>
    <w:rsid w:val="005B14FF"/>
    <w:rsid w:val="005B2395"/>
    <w:rsid w:val="005B2C2C"/>
    <w:rsid w:val="005B3D1B"/>
    <w:rsid w:val="005B3D6F"/>
    <w:rsid w:val="005B45BF"/>
    <w:rsid w:val="005B45C7"/>
    <w:rsid w:val="005B5ED6"/>
    <w:rsid w:val="005B60F9"/>
    <w:rsid w:val="005C0B6F"/>
    <w:rsid w:val="005C21BF"/>
    <w:rsid w:val="005C64B0"/>
    <w:rsid w:val="005D084E"/>
    <w:rsid w:val="005D7A9C"/>
    <w:rsid w:val="005E07B6"/>
    <w:rsid w:val="005E1DD1"/>
    <w:rsid w:val="005E1EA6"/>
    <w:rsid w:val="005E3095"/>
    <w:rsid w:val="005E5A03"/>
    <w:rsid w:val="005E6451"/>
    <w:rsid w:val="005F0705"/>
    <w:rsid w:val="005F24F9"/>
    <w:rsid w:val="005F6F49"/>
    <w:rsid w:val="005F75C6"/>
    <w:rsid w:val="006005B9"/>
    <w:rsid w:val="0060406D"/>
    <w:rsid w:val="006060EF"/>
    <w:rsid w:val="00606C8D"/>
    <w:rsid w:val="006140A4"/>
    <w:rsid w:val="00620F94"/>
    <w:rsid w:val="00622F11"/>
    <w:rsid w:val="00623107"/>
    <w:rsid w:val="00630B45"/>
    <w:rsid w:val="0063197C"/>
    <w:rsid w:val="00633CE8"/>
    <w:rsid w:val="0064785C"/>
    <w:rsid w:val="006552B9"/>
    <w:rsid w:val="00655F61"/>
    <w:rsid w:val="00664F60"/>
    <w:rsid w:val="00664F6A"/>
    <w:rsid w:val="00667F91"/>
    <w:rsid w:val="006704C8"/>
    <w:rsid w:val="00672F09"/>
    <w:rsid w:val="006736DC"/>
    <w:rsid w:val="00675C9A"/>
    <w:rsid w:val="00683BD2"/>
    <w:rsid w:val="00683D80"/>
    <w:rsid w:val="00684895"/>
    <w:rsid w:val="006972FB"/>
    <w:rsid w:val="006A0236"/>
    <w:rsid w:val="006A2DCA"/>
    <w:rsid w:val="006B0FE3"/>
    <w:rsid w:val="006B2972"/>
    <w:rsid w:val="006B41C6"/>
    <w:rsid w:val="006B6062"/>
    <w:rsid w:val="006B619B"/>
    <w:rsid w:val="006B6EDA"/>
    <w:rsid w:val="006C5AA6"/>
    <w:rsid w:val="006C67EE"/>
    <w:rsid w:val="006C746B"/>
    <w:rsid w:val="006D1F48"/>
    <w:rsid w:val="006D3BA8"/>
    <w:rsid w:val="006E06FD"/>
    <w:rsid w:val="006E4AD2"/>
    <w:rsid w:val="006F0806"/>
    <w:rsid w:val="006F1B9B"/>
    <w:rsid w:val="006F1CFA"/>
    <w:rsid w:val="006F2E4D"/>
    <w:rsid w:val="006F5053"/>
    <w:rsid w:val="006F7C3C"/>
    <w:rsid w:val="00706248"/>
    <w:rsid w:val="00711962"/>
    <w:rsid w:val="00714FA1"/>
    <w:rsid w:val="007151B4"/>
    <w:rsid w:val="00717D10"/>
    <w:rsid w:val="007201A1"/>
    <w:rsid w:val="0073050C"/>
    <w:rsid w:val="0073407F"/>
    <w:rsid w:val="00734F03"/>
    <w:rsid w:val="00737EB2"/>
    <w:rsid w:val="00745582"/>
    <w:rsid w:val="00747095"/>
    <w:rsid w:val="007510EC"/>
    <w:rsid w:val="0075129E"/>
    <w:rsid w:val="007535A9"/>
    <w:rsid w:val="0076093A"/>
    <w:rsid w:val="0076509F"/>
    <w:rsid w:val="00771A32"/>
    <w:rsid w:val="00771BA2"/>
    <w:rsid w:val="00772D78"/>
    <w:rsid w:val="007742B0"/>
    <w:rsid w:val="0077507E"/>
    <w:rsid w:val="00775994"/>
    <w:rsid w:val="00775FEF"/>
    <w:rsid w:val="007767BA"/>
    <w:rsid w:val="00781CE1"/>
    <w:rsid w:val="00790390"/>
    <w:rsid w:val="007956DD"/>
    <w:rsid w:val="007977BC"/>
    <w:rsid w:val="007A0EF6"/>
    <w:rsid w:val="007A25D0"/>
    <w:rsid w:val="007A2CD7"/>
    <w:rsid w:val="007A3293"/>
    <w:rsid w:val="007A7AE7"/>
    <w:rsid w:val="007B0073"/>
    <w:rsid w:val="007B082C"/>
    <w:rsid w:val="007B74DA"/>
    <w:rsid w:val="007C1AF6"/>
    <w:rsid w:val="007D1ED9"/>
    <w:rsid w:val="007D348E"/>
    <w:rsid w:val="007E0F23"/>
    <w:rsid w:val="007E43FB"/>
    <w:rsid w:val="007E6EE7"/>
    <w:rsid w:val="007E70A0"/>
    <w:rsid w:val="007F2230"/>
    <w:rsid w:val="007F2B40"/>
    <w:rsid w:val="008002A6"/>
    <w:rsid w:val="00801D54"/>
    <w:rsid w:val="00805912"/>
    <w:rsid w:val="00805D66"/>
    <w:rsid w:val="00807A37"/>
    <w:rsid w:val="00811797"/>
    <w:rsid w:val="0081220C"/>
    <w:rsid w:val="0082073A"/>
    <w:rsid w:val="00820BD5"/>
    <w:rsid w:val="00820F42"/>
    <w:rsid w:val="008215F8"/>
    <w:rsid w:val="008263FC"/>
    <w:rsid w:val="00827DA2"/>
    <w:rsid w:val="00827DCB"/>
    <w:rsid w:val="00830040"/>
    <w:rsid w:val="00834160"/>
    <w:rsid w:val="0084064A"/>
    <w:rsid w:val="00841996"/>
    <w:rsid w:val="008441D8"/>
    <w:rsid w:val="00845187"/>
    <w:rsid w:val="00845C37"/>
    <w:rsid w:val="00845CD0"/>
    <w:rsid w:val="00852803"/>
    <w:rsid w:val="008554A7"/>
    <w:rsid w:val="00857E91"/>
    <w:rsid w:val="00860038"/>
    <w:rsid w:val="00872122"/>
    <w:rsid w:val="0087222E"/>
    <w:rsid w:val="008723C5"/>
    <w:rsid w:val="00873AC9"/>
    <w:rsid w:val="008741D9"/>
    <w:rsid w:val="008767DF"/>
    <w:rsid w:val="00880E68"/>
    <w:rsid w:val="008846A5"/>
    <w:rsid w:val="00885B06"/>
    <w:rsid w:val="00892232"/>
    <w:rsid w:val="0089291C"/>
    <w:rsid w:val="008A04E5"/>
    <w:rsid w:val="008A11E5"/>
    <w:rsid w:val="008A1FFC"/>
    <w:rsid w:val="008A3701"/>
    <w:rsid w:val="008A37A3"/>
    <w:rsid w:val="008A54E8"/>
    <w:rsid w:val="008A6086"/>
    <w:rsid w:val="008A617E"/>
    <w:rsid w:val="008A6CA1"/>
    <w:rsid w:val="008A70E9"/>
    <w:rsid w:val="008B3567"/>
    <w:rsid w:val="008B450B"/>
    <w:rsid w:val="008B5BE7"/>
    <w:rsid w:val="008B67DE"/>
    <w:rsid w:val="008C1EED"/>
    <w:rsid w:val="008C377D"/>
    <w:rsid w:val="008C52B4"/>
    <w:rsid w:val="008C6DFB"/>
    <w:rsid w:val="008D3B2D"/>
    <w:rsid w:val="008D559C"/>
    <w:rsid w:val="008E0C97"/>
    <w:rsid w:val="008E236F"/>
    <w:rsid w:val="008E2513"/>
    <w:rsid w:val="008F39D6"/>
    <w:rsid w:val="0090526A"/>
    <w:rsid w:val="00910B77"/>
    <w:rsid w:val="00912358"/>
    <w:rsid w:val="00916379"/>
    <w:rsid w:val="00916BAF"/>
    <w:rsid w:val="00917092"/>
    <w:rsid w:val="00917138"/>
    <w:rsid w:val="009212F2"/>
    <w:rsid w:val="0092251C"/>
    <w:rsid w:val="00930F0E"/>
    <w:rsid w:val="009323D2"/>
    <w:rsid w:val="009345E5"/>
    <w:rsid w:val="0093548C"/>
    <w:rsid w:val="009359C8"/>
    <w:rsid w:val="0094190D"/>
    <w:rsid w:val="00950F3F"/>
    <w:rsid w:val="00951B71"/>
    <w:rsid w:val="009644ED"/>
    <w:rsid w:val="009732C4"/>
    <w:rsid w:val="00974895"/>
    <w:rsid w:val="00977283"/>
    <w:rsid w:val="00981531"/>
    <w:rsid w:val="0098271D"/>
    <w:rsid w:val="009839F8"/>
    <w:rsid w:val="00992ED9"/>
    <w:rsid w:val="009946AD"/>
    <w:rsid w:val="0099595F"/>
    <w:rsid w:val="00996773"/>
    <w:rsid w:val="0099740E"/>
    <w:rsid w:val="009A1B9B"/>
    <w:rsid w:val="009B1AB0"/>
    <w:rsid w:val="009B2A6B"/>
    <w:rsid w:val="009B4C93"/>
    <w:rsid w:val="009D1F5D"/>
    <w:rsid w:val="009D5079"/>
    <w:rsid w:val="009D5FD8"/>
    <w:rsid w:val="009E3AA6"/>
    <w:rsid w:val="009E6A0C"/>
    <w:rsid w:val="009F44BC"/>
    <w:rsid w:val="009F7817"/>
    <w:rsid w:val="009F7B0E"/>
    <w:rsid w:val="00A01D98"/>
    <w:rsid w:val="00A02940"/>
    <w:rsid w:val="00A05824"/>
    <w:rsid w:val="00A05D98"/>
    <w:rsid w:val="00A10E87"/>
    <w:rsid w:val="00A110DA"/>
    <w:rsid w:val="00A127E7"/>
    <w:rsid w:val="00A13825"/>
    <w:rsid w:val="00A14614"/>
    <w:rsid w:val="00A14D36"/>
    <w:rsid w:val="00A25153"/>
    <w:rsid w:val="00A26A46"/>
    <w:rsid w:val="00A27867"/>
    <w:rsid w:val="00A31FF3"/>
    <w:rsid w:val="00A353E9"/>
    <w:rsid w:val="00A40ACE"/>
    <w:rsid w:val="00A423ED"/>
    <w:rsid w:val="00A42493"/>
    <w:rsid w:val="00A445FF"/>
    <w:rsid w:val="00A60CCC"/>
    <w:rsid w:val="00A61B61"/>
    <w:rsid w:val="00A61EDE"/>
    <w:rsid w:val="00A63EF8"/>
    <w:rsid w:val="00A71D58"/>
    <w:rsid w:val="00A7478B"/>
    <w:rsid w:val="00A75C9C"/>
    <w:rsid w:val="00A8123F"/>
    <w:rsid w:val="00A83C11"/>
    <w:rsid w:val="00A84893"/>
    <w:rsid w:val="00A86F74"/>
    <w:rsid w:val="00A91A82"/>
    <w:rsid w:val="00A92BD3"/>
    <w:rsid w:val="00A97601"/>
    <w:rsid w:val="00A979BA"/>
    <w:rsid w:val="00AA0CA2"/>
    <w:rsid w:val="00AA2706"/>
    <w:rsid w:val="00AA2BC6"/>
    <w:rsid w:val="00AA3E8B"/>
    <w:rsid w:val="00AA4F6D"/>
    <w:rsid w:val="00AA6988"/>
    <w:rsid w:val="00AB2053"/>
    <w:rsid w:val="00AB6223"/>
    <w:rsid w:val="00AB79E8"/>
    <w:rsid w:val="00AC1FF7"/>
    <w:rsid w:val="00AC77DA"/>
    <w:rsid w:val="00AC7EA1"/>
    <w:rsid w:val="00AD0555"/>
    <w:rsid w:val="00AD202F"/>
    <w:rsid w:val="00AD7BE5"/>
    <w:rsid w:val="00AE2129"/>
    <w:rsid w:val="00AE2B02"/>
    <w:rsid w:val="00AE4B14"/>
    <w:rsid w:val="00AE5D6D"/>
    <w:rsid w:val="00AE6240"/>
    <w:rsid w:val="00AE72F9"/>
    <w:rsid w:val="00B119B7"/>
    <w:rsid w:val="00B152B0"/>
    <w:rsid w:val="00B20685"/>
    <w:rsid w:val="00B210FE"/>
    <w:rsid w:val="00B21414"/>
    <w:rsid w:val="00B24948"/>
    <w:rsid w:val="00B2625D"/>
    <w:rsid w:val="00B276F2"/>
    <w:rsid w:val="00B316C7"/>
    <w:rsid w:val="00B345FC"/>
    <w:rsid w:val="00B41A0C"/>
    <w:rsid w:val="00B517D3"/>
    <w:rsid w:val="00B6015A"/>
    <w:rsid w:val="00B60347"/>
    <w:rsid w:val="00B61EFD"/>
    <w:rsid w:val="00B6636A"/>
    <w:rsid w:val="00B75DBB"/>
    <w:rsid w:val="00B76991"/>
    <w:rsid w:val="00B76AFB"/>
    <w:rsid w:val="00B77172"/>
    <w:rsid w:val="00B77835"/>
    <w:rsid w:val="00B85B2D"/>
    <w:rsid w:val="00B85D6D"/>
    <w:rsid w:val="00B86A5E"/>
    <w:rsid w:val="00B91FB5"/>
    <w:rsid w:val="00B92CD6"/>
    <w:rsid w:val="00B9398A"/>
    <w:rsid w:val="00B9495E"/>
    <w:rsid w:val="00B95D85"/>
    <w:rsid w:val="00B97D0B"/>
    <w:rsid w:val="00BA610A"/>
    <w:rsid w:val="00BB03CF"/>
    <w:rsid w:val="00BB1728"/>
    <w:rsid w:val="00BB1E9B"/>
    <w:rsid w:val="00BB2383"/>
    <w:rsid w:val="00BB255F"/>
    <w:rsid w:val="00BB4CC6"/>
    <w:rsid w:val="00BC15F7"/>
    <w:rsid w:val="00BC76DB"/>
    <w:rsid w:val="00BD0396"/>
    <w:rsid w:val="00BD11E4"/>
    <w:rsid w:val="00BD603A"/>
    <w:rsid w:val="00BD6F14"/>
    <w:rsid w:val="00BE1C42"/>
    <w:rsid w:val="00BE236C"/>
    <w:rsid w:val="00BE25AA"/>
    <w:rsid w:val="00BE5C44"/>
    <w:rsid w:val="00BF3C2B"/>
    <w:rsid w:val="00BF4A8E"/>
    <w:rsid w:val="00BF7D17"/>
    <w:rsid w:val="00C011AB"/>
    <w:rsid w:val="00C05407"/>
    <w:rsid w:val="00C07073"/>
    <w:rsid w:val="00C103A5"/>
    <w:rsid w:val="00C11191"/>
    <w:rsid w:val="00C12426"/>
    <w:rsid w:val="00C12C77"/>
    <w:rsid w:val="00C2364D"/>
    <w:rsid w:val="00C26F2D"/>
    <w:rsid w:val="00C26FF1"/>
    <w:rsid w:val="00C425BC"/>
    <w:rsid w:val="00C44ACA"/>
    <w:rsid w:val="00C44C94"/>
    <w:rsid w:val="00C466A8"/>
    <w:rsid w:val="00C466C3"/>
    <w:rsid w:val="00C47129"/>
    <w:rsid w:val="00C55C49"/>
    <w:rsid w:val="00C620F0"/>
    <w:rsid w:val="00C633CB"/>
    <w:rsid w:val="00C71783"/>
    <w:rsid w:val="00C829A5"/>
    <w:rsid w:val="00C84737"/>
    <w:rsid w:val="00C92A52"/>
    <w:rsid w:val="00C942DD"/>
    <w:rsid w:val="00C94AC0"/>
    <w:rsid w:val="00CA0EC2"/>
    <w:rsid w:val="00CA18D9"/>
    <w:rsid w:val="00CB3321"/>
    <w:rsid w:val="00CC2029"/>
    <w:rsid w:val="00CC56C9"/>
    <w:rsid w:val="00CC6B86"/>
    <w:rsid w:val="00CD595A"/>
    <w:rsid w:val="00CD6B55"/>
    <w:rsid w:val="00CE72B1"/>
    <w:rsid w:val="00CE75C7"/>
    <w:rsid w:val="00CF301F"/>
    <w:rsid w:val="00CF402B"/>
    <w:rsid w:val="00CF46A5"/>
    <w:rsid w:val="00CF51DB"/>
    <w:rsid w:val="00D05636"/>
    <w:rsid w:val="00D10DF0"/>
    <w:rsid w:val="00D110C3"/>
    <w:rsid w:val="00D1287C"/>
    <w:rsid w:val="00D165B1"/>
    <w:rsid w:val="00D17A2B"/>
    <w:rsid w:val="00D21002"/>
    <w:rsid w:val="00D232AD"/>
    <w:rsid w:val="00D263A6"/>
    <w:rsid w:val="00D26BA0"/>
    <w:rsid w:val="00D26E66"/>
    <w:rsid w:val="00D40452"/>
    <w:rsid w:val="00D41200"/>
    <w:rsid w:val="00D41C73"/>
    <w:rsid w:val="00D440F4"/>
    <w:rsid w:val="00D44F83"/>
    <w:rsid w:val="00D50BF5"/>
    <w:rsid w:val="00D526A9"/>
    <w:rsid w:val="00D5334A"/>
    <w:rsid w:val="00D600A4"/>
    <w:rsid w:val="00D61A89"/>
    <w:rsid w:val="00D660CB"/>
    <w:rsid w:val="00D74337"/>
    <w:rsid w:val="00D74382"/>
    <w:rsid w:val="00D76FBF"/>
    <w:rsid w:val="00D8205D"/>
    <w:rsid w:val="00D83729"/>
    <w:rsid w:val="00D90AEB"/>
    <w:rsid w:val="00D91720"/>
    <w:rsid w:val="00D91A9A"/>
    <w:rsid w:val="00D92A0C"/>
    <w:rsid w:val="00D95114"/>
    <w:rsid w:val="00D9783E"/>
    <w:rsid w:val="00D97F9A"/>
    <w:rsid w:val="00DA4003"/>
    <w:rsid w:val="00DA4312"/>
    <w:rsid w:val="00DA5917"/>
    <w:rsid w:val="00DB36C5"/>
    <w:rsid w:val="00DB6BDF"/>
    <w:rsid w:val="00DB78B7"/>
    <w:rsid w:val="00DC0704"/>
    <w:rsid w:val="00DC762E"/>
    <w:rsid w:val="00DD2202"/>
    <w:rsid w:val="00DD5707"/>
    <w:rsid w:val="00DD5AD4"/>
    <w:rsid w:val="00DD74BD"/>
    <w:rsid w:val="00DE03B3"/>
    <w:rsid w:val="00DE1066"/>
    <w:rsid w:val="00DE142A"/>
    <w:rsid w:val="00DE1AD6"/>
    <w:rsid w:val="00DF04D8"/>
    <w:rsid w:val="00DF0C89"/>
    <w:rsid w:val="00DF4EBF"/>
    <w:rsid w:val="00DF5B49"/>
    <w:rsid w:val="00DF674B"/>
    <w:rsid w:val="00DF696F"/>
    <w:rsid w:val="00E04C7A"/>
    <w:rsid w:val="00E05117"/>
    <w:rsid w:val="00E06E2A"/>
    <w:rsid w:val="00E0789C"/>
    <w:rsid w:val="00E1208D"/>
    <w:rsid w:val="00E125FE"/>
    <w:rsid w:val="00E12E35"/>
    <w:rsid w:val="00E13D6F"/>
    <w:rsid w:val="00E17250"/>
    <w:rsid w:val="00E17611"/>
    <w:rsid w:val="00E17725"/>
    <w:rsid w:val="00E21CCA"/>
    <w:rsid w:val="00E23096"/>
    <w:rsid w:val="00E256FB"/>
    <w:rsid w:val="00E260DB"/>
    <w:rsid w:val="00E31C5E"/>
    <w:rsid w:val="00E3354E"/>
    <w:rsid w:val="00E34DFE"/>
    <w:rsid w:val="00E41FE9"/>
    <w:rsid w:val="00E42106"/>
    <w:rsid w:val="00E45D2E"/>
    <w:rsid w:val="00E50B59"/>
    <w:rsid w:val="00E55973"/>
    <w:rsid w:val="00E559D5"/>
    <w:rsid w:val="00E57072"/>
    <w:rsid w:val="00E636DE"/>
    <w:rsid w:val="00E7048D"/>
    <w:rsid w:val="00E74052"/>
    <w:rsid w:val="00E77F4E"/>
    <w:rsid w:val="00E81174"/>
    <w:rsid w:val="00E82E17"/>
    <w:rsid w:val="00E83794"/>
    <w:rsid w:val="00E8422F"/>
    <w:rsid w:val="00E84EA6"/>
    <w:rsid w:val="00E85340"/>
    <w:rsid w:val="00E924E8"/>
    <w:rsid w:val="00E97729"/>
    <w:rsid w:val="00E97923"/>
    <w:rsid w:val="00EA6F73"/>
    <w:rsid w:val="00EB5624"/>
    <w:rsid w:val="00EC408E"/>
    <w:rsid w:val="00ED0C7E"/>
    <w:rsid w:val="00EE05D8"/>
    <w:rsid w:val="00EE0B4D"/>
    <w:rsid w:val="00EE49DE"/>
    <w:rsid w:val="00EE7F1C"/>
    <w:rsid w:val="00EF2565"/>
    <w:rsid w:val="00F02433"/>
    <w:rsid w:val="00F02CEA"/>
    <w:rsid w:val="00F0357E"/>
    <w:rsid w:val="00F101D6"/>
    <w:rsid w:val="00F12E35"/>
    <w:rsid w:val="00F13566"/>
    <w:rsid w:val="00F207F0"/>
    <w:rsid w:val="00F228D5"/>
    <w:rsid w:val="00F230DF"/>
    <w:rsid w:val="00F24170"/>
    <w:rsid w:val="00F24AE8"/>
    <w:rsid w:val="00F32856"/>
    <w:rsid w:val="00F3450B"/>
    <w:rsid w:val="00F37B8C"/>
    <w:rsid w:val="00F42087"/>
    <w:rsid w:val="00F51228"/>
    <w:rsid w:val="00F5374F"/>
    <w:rsid w:val="00F57FC6"/>
    <w:rsid w:val="00F637C2"/>
    <w:rsid w:val="00F65A70"/>
    <w:rsid w:val="00F663D9"/>
    <w:rsid w:val="00F66A79"/>
    <w:rsid w:val="00F80B51"/>
    <w:rsid w:val="00F929AB"/>
    <w:rsid w:val="00F97DF3"/>
    <w:rsid w:val="00FA063E"/>
    <w:rsid w:val="00FA0DB5"/>
    <w:rsid w:val="00FA25C6"/>
    <w:rsid w:val="00FA27CA"/>
    <w:rsid w:val="00FA48E9"/>
    <w:rsid w:val="00FA6B16"/>
    <w:rsid w:val="00FB01DD"/>
    <w:rsid w:val="00FB0242"/>
    <w:rsid w:val="00FB7781"/>
    <w:rsid w:val="00FC65C6"/>
    <w:rsid w:val="00FD186A"/>
    <w:rsid w:val="00FD45FC"/>
    <w:rsid w:val="00FD4FDC"/>
    <w:rsid w:val="00FD7227"/>
    <w:rsid w:val="00FE14A7"/>
    <w:rsid w:val="00FE4F7B"/>
    <w:rsid w:val="00FE65B7"/>
    <w:rsid w:val="00FE7170"/>
    <w:rsid w:val="00FF340E"/>
    <w:rsid w:val="00FF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FFEC4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C466C3"/>
    <w:rPr>
      <w:sz w:val="24"/>
      <w:szCs w:val="24"/>
    </w:rPr>
  </w:style>
  <w:style w:type="paragraph" w:styleId="BodyText2">
    <w:name w:val="Body Text 2"/>
    <w:basedOn w:val="Normal"/>
    <w:link w:val="BodyText2Char"/>
    <w:rsid w:val="00FA25C6"/>
    <w:pPr>
      <w:spacing w:after="120" w:line="480" w:lineRule="auto"/>
    </w:pPr>
  </w:style>
  <w:style w:type="character" w:customStyle="1" w:styleId="BodyText2Char">
    <w:name w:val="Body Text 2 Char"/>
    <w:basedOn w:val="DefaultParagraphFont"/>
    <w:link w:val="BodyText2"/>
    <w:rsid w:val="00FA25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495751">
      <w:bodyDiv w:val="1"/>
      <w:marLeft w:val="0"/>
      <w:marRight w:val="0"/>
      <w:marTop w:val="0"/>
      <w:marBottom w:val="0"/>
      <w:divBdr>
        <w:top w:val="none" w:sz="0" w:space="0" w:color="auto"/>
        <w:left w:val="none" w:sz="0" w:space="0" w:color="auto"/>
        <w:bottom w:val="none" w:sz="0" w:space="0" w:color="auto"/>
        <w:right w:val="none" w:sz="0" w:space="0" w:color="auto"/>
      </w:divBdr>
    </w:div>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2014-08-28T07:00:00+00:00</OpenedDate>
    <Date1 xmlns="dc463f71-b30c-4ab2-9473-d307f9d35888">2014-12-15T08:00:00+00:00</Date1>
    <IsDocumentOrder xmlns="dc463f71-b30c-4ab2-9473-d307f9d35888">true</IsDocumentOrder>
    <IsHighlyConfidential xmlns="dc463f71-b30c-4ab2-9473-d307f9d35888">false</IsHighlyConfidential>
    <CaseCompanyNames xmlns="dc463f71-b30c-4ab2-9473-d307f9d35888">PMC Moving, LLC</CaseCompanyNames>
    <DocketNumber xmlns="dc463f71-b30c-4ab2-9473-d307f9d35888">143221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88B5C8C6E0A846AD09C05DDFAEFD90" ma:contentTypeVersion="175" ma:contentTypeDescription="" ma:contentTypeScope="" ma:versionID="fbc6b97dda59d89f296e2e581c9722c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D84A73-A8B4-4E25-86B9-1BFD839555B4}"/>
</file>

<file path=customXml/itemProps2.xml><?xml version="1.0" encoding="utf-8"?>
<ds:datastoreItem xmlns:ds="http://schemas.openxmlformats.org/officeDocument/2006/customXml" ds:itemID="{60C602D6-C9BE-481E-B2E1-D44B90C25B11}"/>
</file>

<file path=customXml/itemProps3.xml><?xml version="1.0" encoding="utf-8"?>
<ds:datastoreItem xmlns:ds="http://schemas.openxmlformats.org/officeDocument/2006/customXml" ds:itemID="{1D81F875-82F7-49EA-BB69-80384978F246}"/>
</file>

<file path=customXml/itemProps4.xml><?xml version="1.0" encoding="utf-8"?>
<ds:datastoreItem xmlns:ds="http://schemas.openxmlformats.org/officeDocument/2006/customXml" ds:itemID="{FFEB38CD-2CE2-4E27-AF54-9487E75163FC}"/>
</file>

<file path=customXml/itemProps5.xml><?xml version="1.0" encoding="utf-8"?>
<ds:datastoreItem xmlns:ds="http://schemas.openxmlformats.org/officeDocument/2006/customXml" ds:itemID="{93471253-F4CD-4613-9BB8-3850F1F1C8A1}"/>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2014-12-15T22:18:00Z</dcterms:created>
  <dcterms:modified xsi:type="dcterms:W3CDTF">2014-12-15T22:32:00Z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0x0101006E56B4D1795A2E4DB2F0B01679ED314A001C88B5C8C6E0A846AD09C05DDFAEFD90</vt:lpwstr>
  </property>
  <property fmtid="{D5CDD505-2E9C-101B-9397-08002B2CF9AE}" pid="3" name="_docset_NoMedatataSyncRequired">
    <vt:lpwstr>False</vt:lpwstr>
  </property>
</Properties>
</file>