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5F99A" w14:textId="77777777" w:rsidR="00090598" w:rsidRPr="00F37945" w:rsidRDefault="00090598" w:rsidP="008F1BE3">
      <w:pPr>
        <w:pStyle w:val="BodyText"/>
        <w:spacing w:line="264" w:lineRule="auto"/>
        <w:rPr>
          <w:b/>
          <w:bCs/>
        </w:rPr>
      </w:pPr>
      <w:r w:rsidRPr="00F37945">
        <w:rPr>
          <w:b/>
          <w:bCs/>
        </w:rPr>
        <w:t>BEFORE THE WASHINGTON</w:t>
      </w:r>
    </w:p>
    <w:p w14:paraId="59E5F99B" w14:textId="77777777" w:rsidR="00090598" w:rsidRDefault="00090598" w:rsidP="008F1BE3">
      <w:pPr>
        <w:pStyle w:val="BodyText"/>
        <w:spacing w:line="264" w:lineRule="auto"/>
        <w:rPr>
          <w:b/>
          <w:bCs/>
        </w:rPr>
      </w:pPr>
      <w:r w:rsidRPr="00F37945">
        <w:rPr>
          <w:b/>
          <w:bCs/>
        </w:rPr>
        <w:t>UTILITIES AND TRANSPORTATION COMMISSION</w:t>
      </w:r>
    </w:p>
    <w:p w14:paraId="59E5F99C" w14:textId="77777777" w:rsidR="00E065B6" w:rsidRPr="00F37945" w:rsidRDefault="00E065B6" w:rsidP="008F1BE3">
      <w:pPr>
        <w:pStyle w:val="BodyText"/>
        <w:spacing w:line="264" w:lineRule="auto"/>
        <w:rPr>
          <w:b/>
          <w:bCs/>
        </w:rPr>
      </w:pPr>
    </w:p>
    <w:tbl>
      <w:tblPr>
        <w:tblW w:w="8408" w:type="dxa"/>
        <w:tblLook w:val="0000" w:firstRow="0" w:lastRow="0" w:firstColumn="0" w:lastColumn="0" w:noHBand="0" w:noVBand="0"/>
      </w:tblPr>
      <w:tblGrid>
        <w:gridCol w:w="4008"/>
        <w:gridCol w:w="600"/>
        <w:gridCol w:w="3800"/>
      </w:tblGrid>
      <w:tr w:rsidR="00FC42A4" w:rsidRPr="005E5651" w14:paraId="59E5F9B0" w14:textId="77777777" w:rsidTr="00FC42A4">
        <w:tc>
          <w:tcPr>
            <w:tcW w:w="4008" w:type="dxa"/>
          </w:tcPr>
          <w:p w14:paraId="59E5F99D" w14:textId="77777777" w:rsidR="00FC42A4" w:rsidRPr="005E5651" w:rsidRDefault="00FC42A4" w:rsidP="008F1BE3">
            <w:pPr>
              <w:pStyle w:val="Header"/>
              <w:spacing w:line="264" w:lineRule="auto"/>
            </w:pPr>
            <w:r w:rsidRPr="005E5651">
              <w:t>In the Matter of the Petition of</w:t>
            </w:r>
          </w:p>
          <w:p w14:paraId="59E5F99E" w14:textId="77777777" w:rsidR="00FC42A4" w:rsidRPr="005E5651" w:rsidRDefault="00FC42A4" w:rsidP="008F1BE3">
            <w:pPr>
              <w:pStyle w:val="Header"/>
              <w:spacing w:line="264" w:lineRule="auto"/>
            </w:pPr>
          </w:p>
          <w:p w14:paraId="59E5F99F" w14:textId="35ED2888" w:rsidR="00FC42A4" w:rsidRDefault="00F30F8D" w:rsidP="008F1BE3">
            <w:pPr>
              <w:pStyle w:val="Header"/>
              <w:spacing w:line="264" w:lineRule="auto"/>
            </w:pPr>
            <w:r>
              <w:t>YAKIMA WASTE SYSTEMS, INC.</w:t>
            </w:r>
            <w:r w:rsidR="00FC42A4" w:rsidRPr="005E5651">
              <w:t xml:space="preserve">,         </w:t>
            </w:r>
          </w:p>
          <w:p w14:paraId="59E5F9A0" w14:textId="77777777" w:rsidR="00400EA7" w:rsidRPr="005E5651" w:rsidRDefault="00400EA7" w:rsidP="008F1BE3">
            <w:pPr>
              <w:pStyle w:val="Header"/>
              <w:spacing w:line="264" w:lineRule="auto"/>
            </w:pPr>
          </w:p>
          <w:p w14:paraId="59E5F9A1" w14:textId="77777777" w:rsidR="00FC42A4" w:rsidRPr="005E5651" w:rsidRDefault="00FC42A4" w:rsidP="008F1BE3">
            <w:pPr>
              <w:pStyle w:val="Header"/>
              <w:spacing w:line="264" w:lineRule="auto"/>
            </w:pPr>
            <w:r w:rsidRPr="005E5651">
              <w:t xml:space="preserve">                      Petitioner, </w:t>
            </w:r>
          </w:p>
          <w:p w14:paraId="59E5F9A2" w14:textId="77777777" w:rsidR="00FC42A4" w:rsidRPr="005E5651" w:rsidRDefault="00FC42A4" w:rsidP="008F1BE3">
            <w:pPr>
              <w:pStyle w:val="Header"/>
              <w:spacing w:line="264" w:lineRule="auto"/>
            </w:pPr>
          </w:p>
          <w:p w14:paraId="59E5F9A3" w14:textId="5BB9713A" w:rsidR="00FC42A4" w:rsidRPr="005E5651" w:rsidRDefault="00FC42A4" w:rsidP="008F1BE3">
            <w:pPr>
              <w:pStyle w:val="Header"/>
              <w:spacing w:line="264" w:lineRule="auto"/>
            </w:pPr>
            <w:r w:rsidRPr="005E5651">
              <w:t xml:space="preserve">Seeking Exemption from the Provisions of </w:t>
            </w:r>
            <w:r>
              <w:t xml:space="preserve"> </w:t>
            </w:r>
            <w:r w:rsidR="00602932">
              <w:t>WAC 480-</w:t>
            </w:r>
            <w:r w:rsidR="00D435CB">
              <w:t>07</w:t>
            </w:r>
            <w:r w:rsidR="00602932">
              <w:t>-520(4)(j)</w:t>
            </w:r>
            <w:r w:rsidRPr="005E5651">
              <w:t xml:space="preserve"> Relating to </w:t>
            </w:r>
            <w:r w:rsidR="00D435CB">
              <w:t>Supporting Work Papers for Affiliated Entities</w:t>
            </w:r>
          </w:p>
          <w:p w14:paraId="59E5F9A4" w14:textId="77777777" w:rsidR="00FC42A4" w:rsidRPr="005E5651" w:rsidRDefault="00FC42A4" w:rsidP="008F1BE3">
            <w:pPr>
              <w:pStyle w:val="Header"/>
              <w:spacing w:line="264" w:lineRule="auto"/>
            </w:pPr>
            <w:r w:rsidRPr="005E5651">
              <w:t>. . . . . . . . . . . . . . . . . . . . . . . . . . . . . . . .</w:t>
            </w:r>
          </w:p>
        </w:tc>
        <w:tc>
          <w:tcPr>
            <w:tcW w:w="600" w:type="dxa"/>
          </w:tcPr>
          <w:p w14:paraId="59E5F9A5" w14:textId="77777777" w:rsidR="00FC42A4" w:rsidRDefault="00CB10C5" w:rsidP="008F1BE3">
            <w:pPr>
              <w:spacing w:line="264" w:lineRule="auto"/>
              <w:jc w:val="center"/>
            </w:pPr>
            <w:r>
              <w:t>)</w:t>
            </w:r>
            <w:r>
              <w:br/>
              <w:t>)</w:t>
            </w:r>
            <w:r>
              <w:br/>
              <w:t>)</w:t>
            </w:r>
            <w:r>
              <w:br/>
              <w:t>)</w:t>
            </w:r>
            <w:r>
              <w:br/>
              <w:t>)</w:t>
            </w:r>
            <w:r>
              <w:br/>
              <w:t>)</w:t>
            </w:r>
            <w:r>
              <w:br/>
              <w:t>)</w:t>
            </w:r>
            <w:r>
              <w:br/>
              <w:t>)</w:t>
            </w:r>
            <w:r>
              <w:br/>
            </w:r>
            <w:r w:rsidR="00FC42A4" w:rsidRPr="005E5651">
              <w:t>)</w:t>
            </w:r>
          </w:p>
          <w:p w14:paraId="59E5F9A6" w14:textId="77777777" w:rsidR="00400EA7" w:rsidRDefault="00400EA7" w:rsidP="008F1BE3">
            <w:pPr>
              <w:spacing w:line="264" w:lineRule="auto"/>
              <w:jc w:val="center"/>
            </w:pPr>
            <w:r>
              <w:t>)</w:t>
            </w:r>
          </w:p>
          <w:p w14:paraId="59E5F9A7" w14:textId="77777777" w:rsidR="008F1BE3" w:rsidRPr="005E5651" w:rsidRDefault="008F1BE3" w:rsidP="008F1BE3">
            <w:pPr>
              <w:spacing w:line="264" w:lineRule="auto"/>
              <w:jc w:val="center"/>
            </w:pPr>
            <w:r>
              <w:t>)</w:t>
            </w:r>
          </w:p>
        </w:tc>
        <w:tc>
          <w:tcPr>
            <w:tcW w:w="3800" w:type="dxa"/>
          </w:tcPr>
          <w:p w14:paraId="59E5F9A8" w14:textId="501E1A09" w:rsidR="00FC42A4" w:rsidRPr="005E5651" w:rsidRDefault="00FC42A4" w:rsidP="008F1BE3">
            <w:pPr>
              <w:spacing w:line="264" w:lineRule="auto"/>
            </w:pPr>
            <w:r>
              <w:t xml:space="preserve">DOCKET </w:t>
            </w:r>
            <w:r w:rsidR="00602932">
              <w:t>TG-</w:t>
            </w:r>
            <w:r w:rsidR="00F30F8D">
              <w:t>132050</w:t>
            </w:r>
          </w:p>
          <w:p w14:paraId="59E5F9A9" w14:textId="77777777" w:rsidR="00FC42A4" w:rsidRDefault="00FC42A4" w:rsidP="008F1BE3">
            <w:pPr>
              <w:spacing w:line="264" w:lineRule="auto"/>
            </w:pPr>
          </w:p>
          <w:p w14:paraId="59E5F9AB" w14:textId="2785AAF6" w:rsidR="00FC42A4" w:rsidRPr="005E5651" w:rsidRDefault="00FC42A4" w:rsidP="008F1BE3">
            <w:pPr>
              <w:spacing w:line="264" w:lineRule="auto"/>
            </w:pPr>
            <w:r>
              <w:t xml:space="preserve">ORDER </w:t>
            </w:r>
            <w:r w:rsidR="00602932">
              <w:t>01</w:t>
            </w:r>
          </w:p>
          <w:p w14:paraId="59E5F9AC" w14:textId="77777777" w:rsidR="00FC42A4" w:rsidRDefault="00FC42A4" w:rsidP="008F1BE3">
            <w:pPr>
              <w:spacing w:line="264" w:lineRule="auto"/>
            </w:pPr>
          </w:p>
          <w:p w14:paraId="35910E4A" w14:textId="77777777" w:rsidR="00A601E0" w:rsidRDefault="00A601E0" w:rsidP="008F1BE3">
            <w:pPr>
              <w:spacing w:line="264" w:lineRule="auto"/>
            </w:pPr>
          </w:p>
          <w:p w14:paraId="18DDED8C" w14:textId="77777777" w:rsidR="00A601E0" w:rsidRDefault="00A601E0" w:rsidP="008F1BE3">
            <w:pPr>
              <w:spacing w:line="264" w:lineRule="auto"/>
            </w:pPr>
          </w:p>
          <w:p w14:paraId="59E5F9AD" w14:textId="77777777" w:rsidR="008F1BE3" w:rsidRPr="005E5651" w:rsidRDefault="008F1BE3" w:rsidP="008F1BE3">
            <w:pPr>
              <w:spacing w:line="264" w:lineRule="auto"/>
            </w:pPr>
          </w:p>
          <w:p w14:paraId="00B6BE9E" w14:textId="77777777" w:rsidR="00566618" w:rsidRDefault="00566618" w:rsidP="008F1BE3">
            <w:pPr>
              <w:spacing w:line="264" w:lineRule="auto"/>
            </w:pPr>
          </w:p>
          <w:p w14:paraId="59E5F9AE" w14:textId="7DC48787" w:rsidR="00FC42A4" w:rsidRPr="005E5651" w:rsidRDefault="00FC42A4" w:rsidP="008F1BE3">
            <w:pPr>
              <w:spacing w:line="264" w:lineRule="auto"/>
            </w:pPr>
            <w:r w:rsidRPr="005E5651">
              <w:t xml:space="preserve">ORDER </w:t>
            </w:r>
            <w:r w:rsidR="006974F7">
              <w:t>GRANTING</w:t>
            </w:r>
            <w:r w:rsidRPr="005E5651">
              <w:t xml:space="preserve"> </w:t>
            </w:r>
            <w:r w:rsidR="006974F7">
              <w:t>PARTIAL</w:t>
            </w:r>
          </w:p>
          <w:p w14:paraId="59E5F9AF" w14:textId="77777777" w:rsidR="00FC42A4" w:rsidRPr="005E5651" w:rsidRDefault="00FC42A4" w:rsidP="008F1BE3">
            <w:pPr>
              <w:spacing w:line="264" w:lineRule="auto"/>
            </w:pPr>
            <w:r w:rsidRPr="005E5651">
              <w:t>EXEMPTION FROM RULE</w:t>
            </w:r>
          </w:p>
        </w:tc>
      </w:tr>
    </w:tbl>
    <w:p w14:paraId="59E5F9B1" w14:textId="77777777" w:rsidR="00090598" w:rsidRPr="00F37945" w:rsidRDefault="00090598" w:rsidP="008F1BE3">
      <w:pPr>
        <w:spacing w:line="264" w:lineRule="auto"/>
        <w:rPr>
          <w:b/>
          <w:bCs/>
        </w:rPr>
      </w:pPr>
    </w:p>
    <w:p w14:paraId="59E5F9B2" w14:textId="77777777" w:rsidR="00090598" w:rsidRPr="00F37945" w:rsidRDefault="00090598" w:rsidP="008F1BE3">
      <w:pPr>
        <w:pStyle w:val="Heading2"/>
        <w:spacing w:line="264" w:lineRule="auto"/>
        <w:rPr>
          <w:b/>
          <w:bCs/>
          <w:u w:val="none"/>
        </w:rPr>
      </w:pPr>
      <w:r w:rsidRPr="00F37945">
        <w:rPr>
          <w:b/>
          <w:bCs/>
          <w:u w:val="none"/>
        </w:rPr>
        <w:t>BACKGROUND</w:t>
      </w:r>
    </w:p>
    <w:p w14:paraId="59E5F9B3" w14:textId="77777777" w:rsidR="00090598" w:rsidRPr="00F37945" w:rsidRDefault="00090598" w:rsidP="008F1BE3">
      <w:pPr>
        <w:pStyle w:val="Header"/>
        <w:tabs>
          <w:tab w:val="clear" w:pos="4320"/>
          <w:tab w:val="clear" w:pos="8640"/>
        </w:tabs>
        <w:spacing w:line="264" w:lineRule="auto"/>
      </w:pPr>
    </w:p>
    <w:p w14:paraId="3D830063" w14:textId="7DBB72A2" w:rsidR="00F30F8D" w:rsidRDefault="00F30F8D" w:rsidP="00F30F8D">
      <w:pPr>
        <w:pStyle w:val="Findings"/>
      </w:pPr>
      <w:r>
        <w:t xml:space="preserve">On November 4, 2013, Yakima Waste System, Inc. (YWS or </w:t>
      </w:r>
      <w:r w:rsidR="00C53122">
        <w:t>C</w:t>
      </w:r>
      <w:r>
        <w:t>ompany), filed tariff revisions with the Utilities and Transportation Commission (</w:t>
      </w:r>
      <w:r w:rsidR="00C53122">
        <w:t>C</w:t>
      </w:r>
      <w:r>
        <w:t xml:space="preserve">ommission) that would generate approximately $362,000 (4.2 percent) additional annual revenue. </w:t>
      </w:r>
      <w:r w:rsidR="006974F7">
        <w:t xml:space="preserve"> </w:t>
      </w:r>
      <w:r>
        <w:t xml:space="preserve">The proposed increases are prompted by increased costs for labor, employee benefits, fuel, parts and equipment. </w:t>
      </w:r>
      <w:r w:rsidR="006974F7">
        <w:t xml:space="preserve"> </w:t>
      </w:r>
      <w:r w:rsidR="004C3C58">
        <w:t>The test period involved in this filing is October 1, 2012</w:t>
      </w:r>
      <w:r w:rsidR="00566618">
        <w:t>,</w:t>
      </w:r>
      <w:r w:rsidR="004C3C58">
        <w:t xml:space="preserve"> through </w:t>
      </w:r>
      <w:r w:rsidR="00A601E0">
        <w:t xml:space="preserve">      </w:t>
      </w:r>
      <w:r w:rsidR="004C3C58">
        <w:t xml:space="preserve">September 30, 2013. </w:t>
      </w:r>
      <w:r w:rsidR="006974F7">
        <w:t xml:space="preserve"> </w:t>
      </w:r>
      <w:r>
        <w:t xml:space="preserve">The </w:t>
      </w:r>
      <w:r w:rsidR="00C53122">
        <w:t>C</w:t>
      </w:r>
      <w:r>
        <w:t xml:space="preserve">ompany’s last general rate increase became effective November 1, 2011. </w:t>
      </w:r>
      <w:r w:rsidR="00A601E0">
        <w:t xml:space="preserve"> </w:t>
      </w:r>
      <w:r>
        <w:t xml:space="preserve">The </w:t>
      </w:r>
      <w:r w:rsidR="00C53122">
        <w:t>C</w:t>
      </w:r>
      <w:r>
        <w:t xml:space="preserve">ompany serves approximately 23,000 customers in Yakima County.  </w:t>
      </w:r>
    </w:p>
    <w:p w14:paraId="02EAC72F" w14:textId="77777777" w:rsidR="004C3C58" w:rsidRDefault="004C3C58" w:rsidP="004C3C58">
      <w:pPr>
        <w:pStyle w:val="Findings"/>
        <w:numPr>
          <w:ilvl w:val="0"/>
          <w:numId w:val="0"/>
        </w:numPr>
      </w:pPr>
    </w:p>
    <w:p w14:paraId="370304DD" w14:textId="77777777" w:rsidR="004C3C58" w:rsidRPr="00D82347" w:rsidRDefault="004C3C58" w:rsidP="004C3C58">
      <w:pPr>
        <w:pStyle w:val="Findings"/>
      </w:pPr>
      <w:r w:rsidRPr="00D82347">
        <w:t>WAC 480-07-520 requires solid waste companies to include certain information in general rate increase filings.  WAC 480-07-520(4) requires companies to file all supporting documentation known as “work papers” for the test period set out in the proposed rate increase.  In its entirety, WAC 480-07-520(4)(j) explains that work papers must include:</w:t>
      </w:r>
    </w:p>
    <w:p w14:paraId="09DE653C" w14:textId="77777777" w:rsidR="004C3C58" w:rsidRPr="00D82347" w:rsidRDefault="004C3C58" w:rsidP="004C3C58">
      <w:pPr>
        <w:spacing w:line="264" w:lineRule="auto"/>
        <w:ind w:left="720"/>
      </w:pPr>
    </w:p>
    <w:p w14:paraId="33DE6532" w14:textId="3ABFE568" w:rsidR="004C3C58" w:rsidRPr="00D82347" w:rsidRDefault="004C3C58" w:rsidP="004C3C58">
      <w:pPr>
        <w:ind w:left="547" w:right="720"/>
        <w:jc w:val="both"/>
      </w:pPr>
      <w:r w:rsidRPr="00D82347">
        <w:t xml:space="preserve">Information about every transaction with an affiliated interest or subsidiary that directly or indirectly affects the proposed rates.  This must include: </w:t>
      </w:r>
      <w:r w:rsidR="00C53122">
        <w:t xml:space="preserve"> </w:t>
      </w:r>
      <w:r w:rsidRPr="00D82347">
        <w:t>A full description of the relationship, terms and amount of the transaction, the length of time the relationship has been ongoing, and an income statement and balance sheet for every affiliated entity.</w:t>
      </w:r>
    </w:p>
    <w:p w14:paraId="65B2B69F" w14:textId="77777777" w:rsidR="00F30F8D" w:rsidRDefault="00F30F8D" w:rsidP="00F30F8D">
      <w:pPr>
        <w:pStyle w:val="Findings"/>
        <w:numPr>
          <w:ilvl w:val="0"/>
          <w:numId w:val="0"/>
        </w:numPr>
      </w:pPr>
    </w:p>
    <w:p w14:paraId="50DFDE62" w14:textId="65CA644D" w:rsidR="004C3C58" w:rsidRDefault="00F30F8D" w:rsidP="004C3C58">
      <w:pPr>
        <w:pStyle w:val="Findings"/>
      </w:pPr>
      <w:r>
        <w:t xml:space="preserve">On November 5, 2013, the </w:t>
      </w:r>
      <w:r w:rsidR="00C53122">
        <w:t>C</w:t>
      </w:r>
      <w:r>
        <w:t xml:space="preserve">ompany requested an exemption from that portion of WAC 480-07-520(4)(j) that requires the </w:t>
      </w:r>
      <w:r w:rsidR="00C53122">
        <w:t>C</w:t>
      </w:r>
      <w:r>
        <w:t xml:space="preserve">ompany to file an income statement and balance sheet for its non-regulated affiliate, DM Recycling (DMR). </w:t>
      </w:r>
      <w:r w:rsidR="00E87894">
        <w:t xml:space="preserve"> </w:t>
      </w:r>
      <w:r>
        <w:t>The Company states</w:t>
      </w:r>
      <w:r w:rsidR="00E87894">
        <w:t xml:space="preserve"> the following reasons for the exemption</w:t>
      </w:r>
      <w:r w:rsidR="004C3C58">
        <w:t>:</w:t>
      </w:r>
    </w:p>
    <w:p w14:paraId="72455D8C" w14:textId="77777777" w:rsidR="004C3C58" w:rsidRDefault="004C3C58" w:rsidP="004C3C58">
      <w:pPr>
        <w:pStyle w:val="ListParagraph"/>
      </w:pPr>
    </w:p>
    <w:p w14:paraId="70B06944" w14:textId="5401D05A" w:rsidR="004C3C58" w:rsidRDefault="004C3C58" w:rsidP="004C3C58">
      <w:pPr>
        <w:pStyle w:val="Findings"/>
        <w:numPr>
          <w:ilvl w:val="0"/>
          <w:numId w:val="0"/>
        </w:numPr>
      </w:pPr>
    </w:p>
    <w:p w14:paraId="3AC33889" w14:textId="7C22151A" w:rsidR="004C3C58" w:rsidRDefault="004C3C58" w:rsidP="004C3C58">
      <w:pPr>
        <w:pStyle w:val="Findings"/>
        <w:numPr>
          <w:ilvl w:val="0"/>
          <w:numId w:val="21"/>
        </w:numPr>
      </w:pPr>
      <w:r>
        <w:lastRenderedPageBreak/>
        <w:t>“First, the hauling involved in the affiliated transaction … has also now ceased as of October, 2013</w:t>
      </w:r>
      <w:r w:rsidR="002912AA">
        <w:t>.</w:t>
      </w:r>
      <w:r>
        <w:t>”</w:t>
      </w:r>
    </w:p>
    <w:p w14:paraId="71AAB557" w14:textId="77777777" w:rsidR="005D18B8" w:rsidRDefault="005D18B8" w:rsidP="005D18B8">
      <w:pPr>
        <w:pStyle w:val="Findings"/>
        <w:numPr>
          <w:ilvl w:val="0"/>
          <w:numId w:val="0"/>
        </w:numPr>
        <w:ind w:left="360"/>
      </w:pPr>
    </w:p>
    <w:p w14:paraId="6E5CC0A6" w14:textId="5ADDF0D9" w:rsidR="004C3C58" w:rsidRDefault="004C3C58" w:rsidP="004C3C58">
      <w:pPr>
        <w:pStyle w:val="Findings"/>
        <w:numPr>
          <w:ilvl w:val="0"/>
          <w:numId w:val="21"/>
        </w:numPr>
      </w:pPr>
      <w:r>
        <w:t>“Secondly, the activity involved is akin to transportation from a transfer station to a disposal site contained in a county comprehensive solid waste plan, which if this were solid waste as opposed to recyclables, would be expressly exempt from regulation pursuant to RCW 36.58.060.”</w:t>
      </w:r>
    </w:p>
    <w:p w14:paraId="3CFBB9BA" w14:textId="77777777" w:rsidR="005D18B8" w:rsidRDefault="005D18B8" w:rsidP="005D18B8">
      <w:pPr>
        <w:pStyle w:val="Findings"/>
        <w:numPr>
          <w:ilvl w:val="0"/>
          <w:numId w:val="0"/>
        </w:numPr>
      </w:pPr>
    </w:p>
    <w:p w14:paraId="77579B2F" w14:textId="4DB2ACA5" w:rsidR="004C3C58" w:rsidRDefault="004C3C58" w:rsidP="004C3C58">
      <w:pPr>
        <w:pStyle w:val="Findings"/>
        <w:numPr>
          <w:ilvl w:val="0"/>
          <w:numId w:val="21"/>
        </w:numPr>
      </w:pPr>
      <w:r>
        <w:t>“An analogous rule, WAC 480-70-079(3)(a), in the annual reporting context, requires disclosure of affiliated entity income statements and balance sheets only when the aggregate affiliated interest transaction amount exceeds $100,000.  Here, the amount at issue paid by the Petitioner to the non-regulated affiliate does not meet that threshold standard and again, analogously, the need for the disclosure would seem less material.”</w:t>
      </w:r>
    </w:p>
    <w:p w14:paraId="40FF2D33" w14:textId="77777777" w:rsidR="005D18B8" w:rsidRDefault="005D18B8" w:rsidP="005D18B8">
      <w:pPr>
        <w:pStyle w:val="Findings"/>
        <w:numPr>
          <w:ilvl w:val="0"/>
          <w:numId w:val="0"/>
        </w:numPr>
      </w:pPr>
    </w:p>
    <w:p w14:paraId="59683D2D" w14:textId="137B45E9" w:rsidR="004C3C58" w:rsidRPr="004C3C58" w:rsidRDefault="004C3C58" w:rsidP="004C3C58">
      <w:pPr>
        <w:pStyle w:val="Findings"/>
        <w:numPr>
          <w:ilvl w:val="0"/>
          <w:numId w:val="21"/>
        </w:numPr>
      </w:pPr>
      <w:r>
        <w:t>“Finally, there is the obvious potential competitive harm posed by the disclosure of the financial statements of the unregulated DM Recycling entity.  … What Petitioner is asking the Commission to grant here is a limited, isolated exemption from disclosure pursuant to WAC 480-07-520(4)(j), in order to protect disclosure into the public record of information which would be advantageous to unregulated competitors who are not required to produce comparable data to the public and which is wholly unnecessary to the audit of this filing in terms of compliance with the spirit of all other procedural rules and subparts affecting the instant general rate case.</w:t>
      </w:r>
    </w:p>
    <w:p w14:paraId="7B35A96C" w14:textId="77777777" w:rsidR="004C3C58" w:rsidRDefault="004C3C58" w:rsidP="004C3C58">
      <w:pPr>
        <w:pStyle w:val="Findings"/>
        <w:numPr>
          <w:ilvl w:val="0"/>
          <w:numId w:val="0"/>
        </w:numPr>
      </w:pPr>
    </w:p>
    <w:p w14:paraId="59E5F9BC" w14:textId="401BBED3" w:rsidR="006F1AB7" w:rsidRPr="0066641D" w:rsidRDefault="00090598" w:rsidP="00E87894">
      <w:pPr>
        <w:pStyle w:val="Findings"/>
        <w:rPr>
          <w:b/>
          <w:bCs/>
        </w:rPr>
      </w:pPr>
      <w:r w:rsidRPr="0066641D">
        <w:t>Commission Staff reviewed the request and recommend</w:t>
      </w:r>
      <w:r w:rsidR="0034099C" w:rsidRPr="0066641D">
        <w:t>s</w:t>
      </w:r>
      <w:r w:rsidRPr="0066641D">
        <w:t xml:space="preserve"> </w:t>
      </w:r>
      <w:r w:rsidR="00F30F8D">
        <w:t>granting</w:t>
      </w:r>
      <w:r w:rsidR="00E065B6" w:rsidRPr="0066641D">
        <w:t xml:space="preserve"> </w:t>
      </w:r>
      <w:r w:rsidR="00F30F8D">
        <w:t>Yakima</w:t>
      </w:r>
      <w:r w:rsidR="0034099C" w:rsidRPr="0066641D">
        <w:t>’s request for exe</w:t>
      </w:r>
      <w:r w:rsidR="00F30F8D">
        <w:t xml:space="preserve">mption </w:t>
      </w:r>
      <w:r w:rsidR="00E87894">
        <w:t xml:space="preserve">because, as </w:t>
      </w:r>
      <w:r w:rsidR="00D52A06">
        <w:t xml:space="preserve">a </w:t>
      </w:r>
      <w:r w:rsidR="00E87894">
        <w:t>non-</w:t>
      </w:r>
      <w:r w:rsidR="006974F7">
        <w:t>recurring</w:t>
      </w:r>
      <w:r w:rsidR="00E87894">
        <w:t xml:space="preserve"> expense, the expense to DMR will be </w:t>
      </w:r>
      <w:r w:rsidR="00D52A06">
        <w:t xml:space="preserve">entirely </w:t>
      </w:r>
      <w:r w:rsidR="00E87894">
        <w:t xml:space="preserve">disallowed and Staff </w:t>
      </w:r>
      <w:r w:rsidR="00D52A06">
        <w:t xml:space="preserve">does not need </w:t>
      </w:r>
      <w:r w:rsidR="00E87894">
        <w:t xml:space="preserve">to </w:t>
      </w:r>
      <w:r w:rsidR="006974F7">
        <w:t>determine</w:t>
      </w:r>
      <w:r w:rsidR="00E87894">
        <w:t xml:space="preserve"> DMR’s cost to provide service</w:t>
      </w:r>
      <w:r w:rsidR="00D52A06">
        <w:t xml:space="preserve"> and does not need to </w:t>
      </w:r>
      <w:r w:rsidR="00E87894">
        <w:t>review DMR’s income statement or balance sheet.</w:t>
      </w:r>
    </w:p>
    <w:p w14:paraId="59E5F9BD" w14:textId="77777777" w:rsidR="00B46C2C" w:rsidRPr="0066641D" w:rsidRDefault="00B46C2C" w:rsidP="008F1BE3">
      <w:pPr>
        <w:pStyle w:val="Findings"/>
        <w:numPr>
          <w:ilvl w:val="0"/>
          <w:numId w:val="0"/>
        </w:numPr>
        <w:spacing w:line="264" w:lineRule="auto"/>
        <w:rPr>
          <w:b/>
          <w:bCs/>
        </w:rPr>
      </w:pPr>
    </w:p>
    <w:p w14:paraId="59E5F9BE" w14:textId="77777777" w:rsidR="00B46C2C" w:rsidRPr="0066641D" w:rsidRDefault="00B46C2C" w:rsidP="008F1BE3">
      <w:pPr>
        <w:pStyle w:val="Findings"/>
        <w:numPr>
          <w:ilvl w:val="0"/>
          <w:numId w:val="0"/>
        </w:numPr>
        <w:spacing w:line="264" w:lineRule="auto"/>
        <w:jc w:val="center"/>
        <w:rPr>
          <w:b/>
          <w:bCs/>
        </w:rPr>
      </w:pPr>
      <w:r w:rsidRPr="0066641D">
        <w:rPr>
          <w:b/>
          <w:bCs/>
        </w:rPr>
        <w:t>DISCUSSION</w:t>
      </w:r>
    </w:p>
    <w:p w14:paraId="59E5F9BF" w14:textId="77777777" w:rsidR="00B46C2C" w:rsidRPr="0066641D" w:rsidRDefault="00B46C2C" w:rsidP="008F1BE3">
      <w:pPr>
        <w:pStyle w:val="Findings"/>
        <w:numPr>
          <w:ilvl w:val="0"/>
          <w:numId w:val="0"/>
        </w:numPr>
        <w:spacing w:line="264" w:lineRule="auto"/>
        <w:rPr>
          <w:b/>
          <w:bCs/>
        </w:rPr>
      </w:pPr>
    </w:p>
    <w:p w14:paraId="59E5F9C0" w14:textId="77777777" w:rsidR="002F03B1" w:rsidRPr="0041694D" w:rsidRDefault="002F03B1" w:rsidP="00E87894">
      <w:pPr>
        <w:pStyle w:val="Findings"/>
      </w:pPr>
      <w:r w:rsidRPr="0041694D">
        <w:t>WAC 480-07-110</w:t>
      </w:r>
      <w:r>
        <w:rPr>
          <w:rStyle w:val="FootnoteReference"/>
        </w:rPr>
        <w:footnoteReference w:id="1"/>
      </w:r>
      <w:r w:rsidRPr="0041694D">
        <w:t xml:space="preserve"> provides that the Commission may grant an exemption from or modify the application of its rules in individual cases if consistent with the public interest and the purposes of the underlying regulation:</w:t>
      </w:r>
    </w:p>
    <w:p w14:paraId="59E5F9C1" w14:textId="77777777" w:rsidR="002F03B1" w:rsidRPr="0041694D" w:rsidRDefault="002F03B1" w:rsidP="008F1BE3">
      <w:pPr>
        <w:spacing w:line="264" w:lineRule="auto"/>
      </w:pPr>
    </w:p>
    <w:p w14:paraId="59E5F9C2" w14:textId="745E39B5" w:rsidR="002F03B1" w:rsidRPr="0041694D" w:rsidRDefault="002F03B1" w:rsidP="008F1BE3">
      <w:pPr>
        <w:ind w:left="720" w:right="720"/>
        <w:jc w:val="both"/>
      </w:pPr>
      <w:r w:rsidRPr="0041694D">
        <w:t xml:space="preserve">The standard for consideration is the public interest standard. </w:t>
      </w:r>
      <w:r w:rsidR="00A601E0">
        <w:t xml:space="preserve"> </w:t>
      </w:r>
      <w:r w:rsidRPr="0041694D">
        <w:t xml:space="preserve">Factors the commission may consider include whether application of the rule would impose undue hardship on the requesting person, of a degree or a kind </w:t>
      </w:r>
      <w:r w:rsidRPr="0041694D">
        <w:lastRenderedPageBreak/>
        <w:t>different from hardships imposed on other similarly situated persons, and whether the effect of applying the rule would be contrary to the underlying purposes of the rule.</w:t>
      </w:r>
    </w:p>
    <w:p w14:paraId="59E5F9C3" w14:textId="77777777" w:rsidR="002F03B1" w:rsidRPr="0041694D" w:rsidRDefault="002F03B1" w:rsidP="008F1BE3">
      <w:pPr>
        <w:spacing w:line="264" w:lineRule="auto"/>
        <w:ind w:left="720" w:right="720"/>
      </w:pPr>
    </w:p>
    <w:p w14:paraId="59E5F9C4" w14:textId="7B883CC3" w:rsidR="00617787" w:rsidRPr="00617787" w:rsidRDefault="00D71E5C" w:rsidP="00E87894">
      <w:pPr>
        <w:pStyle w:val="Findings"/>
        <w:rPr>
          <w:bCs/>
        </w:rPr>
      </w:pPr>
      <w:r w:rsidRPr="0041694D">
        <w:t xml:space="preserve">We </w:t>
      </w:r>
      <w:r w:rsidR="00D52A06">
        <w:t xml:space="preserve">agree </w:t>
      </w:r>
      <w:r w:rsidR="002912AA">
        <w:t xml:space="preserve">with the Company and Staff </w:t>
      </w:r>
      <w:r w:rsidR="00D52A06">
        <w:t>that because the affiliated transportation activity has ceased and will not continue in the future, the</w:t>
      </w:r>
      <w:r w:rsidR="002912AA">
        <w:t xml:space="preserve"> Commission does not</w:t>
      </w:r>
      <w:r w:rsidR="00D52A06">
        <w:t xml:space="preserve"> need to determine the cost of the affiliated transaction </w:t>
      </w:r>
      <w:r w:rsidR="002912AA">
        <w:t>or</w:t>
      </w:r>
      <w:r w:rsidR="00D52A06">
        <w:t xml:space="preserve"> review financial information contained in DMR’s income statement and balance sheet.</w:t>
      </w:r>
      <w:r w:rsidR="002912AA">
        <w:rPr>
          <w:rStyle w:val="FootnoteReference"/>
        </w:rPr>
        <w:footnoteReference w:id="2"/>
      </w:r>
      <w:r w:rsidR="00D52A06">
        <w:t xml:space="preserve"> </w:t>
      </w:r>
      <w:r w:rsidR="00A24353">
        <w:t xml:space="preserve"> </w:t>
      </w:r>
      <w:r w:rsidR="002912AA">
        <w:t>We therefore find that the requested exemption is consistent with the purpose of the rule and the public interest and should be granted.</w:t>
      </w:r>
      <w:r w:rsidR="00D52A06">
        <w:t xml:space="preserve"> </w:t>
      </w:r>
    </w:p>
    <w:p w14:paraId="59E5F9C5" w14:textId="77777777" w:rsidR="00D82347" w:rsidRPr="00D71E5C" w:rsidRDefault="00D82347" w:rsidP="008F1BE3">
      <w:pPr>
        <w:pStyle w:val="Findings"/>
        <w:numPr>
          <w:ilvl w:val="0"/>
          <w:numId w:val="0"/>
        </w:numPr>
        <w:spacing w:line="264" w:lineRule="auto"/>
        <w:rPr>
          <w:bCs/>
        </w:rPr>
      </w:pPr>
    </w:p>
    <w:p w14:paraId="59E5F9C6" w14:textId="77777777" w:rsidR="00090598" w:rsidRPr="00D71E5C" w:rsidRDefault="00090598" w:rsidP="008F1BE3">
      <w:pPr>
        <w:pStyle w:val="Findings"/>
        <w:numPr>
          <w:ilvl w:val="0"/>
          <w:numId w:val="0"/>
        </w:numPr>
        <w:spacing w:line="264" w:lineRule="auto"/>
        <w:ind w:left="-720" w:firstLine="720"/>
        <w:jc w:val="center"/>
        <w:rPr>
          <w:b/>
          <w:bCs/>
        </w:rPr>
      </w:pPr>
      <w:r w:rsidRPr="00D71E5C">
        <w:rPr>
          <w:b/>
          <w:bCs/>
        </w:rPr>
        <w:t>FINDINGS AND CONCLUSIONS</w:t>
      </w:r>
    </w:p>
    <w:p w14:paraId="59E5F9C7" w14:textId="77777777" w:rsidR="00090598" w:rsidRPr="00D71E5C" w:rsidRDefault="00090598" w:rsidP="008F1BE3">
      <w:pPr>
        <w:pStyle w:val="Findings"/>
        <w:numPr>
          <w:ilvl w:val="0"/>
          <w:numId w:val="0"/>
        </w:numPr>
        <w:spacing w:line="264" w:lineRule="auto"/>
        <w:ind w:left="-720"/>
      </w:pPr>
    </w:p>
    <w:p w14:paraId="59E5F9C8" w14:textId="77777777" w:rsidR="00090598" w:rsidRPr="0066641D" w:rsidRDefault="00090598" w:rsidP="00C53122">
      <w:pPr>
        <w:pStyle w:val="Findings"/>
        <w:ind w:left="720" w:hanging="1440"/>
      </w:pPr>
      <w:r w:rsidRPr="00D71E5C">
        <w:t>(1)</w:t>
      </w:r>
      <w:r w:rsidRPr="00D71E5C">
        <w:tab/>
        <w:t xml:space="preserve">The Washington Utilities and Transportation Commission is an agency of the </w:t>
      </w:r>
      <w:r w:rsidR="00400EA7" w:rsidRPr="00D71E5C">
        <w:t>S</w:t>
      </w:r>
      <w:r w:rsidRPr="00D71E5C">
        <w:t>tate of Washington</w:t>
      </w:r>
      <w:r w:rsidRPr="0066641D">
        <w:t xml:space="preserve"> vested by statute with the authority to regulate </w:t>
      </w:r>
      <w:r w:rsidR="00C43A43" w:rsidRPr="0066641D">
        <w:t xml:space="preserve">the </w:t>
      </w:r>
      <w:r w:rsidRPr="0066641D">
        <w:t>rates, rules, regulations, practices</w:t>
      </w:r>
      <w:r w:rsidR="00DF7E98" w:rsidRPr="0066641D">
        <w:t>,</w:t>
      </w:r>
      <w:r w:rsidRPr="0066641D">
        <w:t xml:space="preserve"> accounts</w:t>
      </w:r>
      <w:r w:rsidR="00DF7E98" w:rsidRPr="0066641D">
        <w:t xml:space="preserve"> and affiliated interest</w:t>
      </w:r>
      <w:r w:rsidR="00C43A43" w:rsidRPr="0066641D">
        <w:t>s</w:t>
      </w:r>
      <w:r w:rsidRPr="0066641D">
        <w:t xml:space="preserve"> of public service companies, including solid waste companies</w:t>
      </w:r>
      <w:r w:rsidR="00602932" w:rsidRPr="0066641D">
        <w:t>.</w:t>
      </w:r>
      <w:r w:rsidRPr="0066641D">
        <w:t xml:space="preserve">  </w:t>
      </w:r>
    </w:p>
    <w:p w14:paraId="59E5F9C9" w14:textId="77777777" w:rsidR="00DF7E98" w:rsidRPr="0066641D" w:rsidRDefault="00DF7E98" w:rsidP="00C53122">
      <w:pPr>
        <w:pStyle w:val="Findings"/>
        <w:numPr>
          <w:ilvl w:val="0"/>
          <w:numId w:val="0"/>
        </w:numPr>
        <w:tabs>
          <w:tab w:val="num" w:pos="0"/>
        </w:tabs>
        <w:ind w:left="720" w:hanging="1440"/>
      </w:pPr>
    </w:p>
    <w:p w14:paraId="59E5F9CA" w14:textId="55BFAD85" w:rsidR="00090598" w:rsidRPr="0066641D" w:rsidRDefault="00090598" w:rsidP="00C53122">
      <w:pPr>
        <w:pStyle w:val="Findings"/>
        <w:ind w:left="720" w:hanging="1440"/>
      </w:pPr>
      <w:r w:rsidRPr="0066641D">
        <w:t>(2)</w:t>
      </w:r>
      <w:r w:rsidRPr="0066641D">
        <w:tab/>
      </w:r>
      <w:r w:rsidR="00F30F8D">
        <w:t>Yakima</w:t>
      </w:r>
      <w:r w:rsidR="00FC42A4" w:rsidRPr="0066641D">
        <w:t xml:space="preserve"> </w:t>
      </w:r>
      <w:r w:rsidRPr="0066641D">
        <w:t xml:space="preserve">is engaged in the business of providing solid waste services within the state of </w:t>
      </w:r>
      <w:smartTag w:uri="urn:schemas-microsoft-com:office:smarttags" w:element="stockticker">
        <w:r w:rsidRPr="0066641D">
          <w:t>Washington</w:t>
        </w:r>
      </w:smartTag>
      <w:r w:rsidRPr="0066641D">
        <w:t xml:space="preserve"> and is a public service company subject to </w:t>
      </w:r>
      <w:r w:rsidR="008F0219" w:rsidRPr="0066641D">
        <w:t>Commission</w:t>
      </w:r>
      <w:r w:rsidRPr="0066641D">
        <w:t xml:space="preserve"> jurisdiction.</w:t>
      </w:r>
    </w:p>
    <w:p w14:paraId="59E5F9CB" w14:textId="77777777" w:rsidR="00090598" w:rsidRPr="0066641D" w:rsidRDefault="00090598" w:rsidP="00C53122">
      <w:pPr>
        <w:pStyle w:val="Findings"/>
        <w:numPr>
          <w:ilvl w:val="0"/>
          <w:numId w:val="0"/>
        </w:numPr>
        <w:tabs>
          <w:tab w:val="num" w:pos="0"/>
        </w:tabs>
        <w:ind w:left="720" w:hanging="1440"/>
      </w:pPr>
    </w:p>
    <w:p w14:paraId="59E5F9CC" w14:textId="3E9559AD" w:rsidR="00090598" w:rsidRPr="0066641D" w:rsidRDefault="00090598" w:rsidP="00C53122">
      <w:pPr>
        <w:pStyle w:val="Findings"/>
        <w:ind w:left="720" w:hanging="1440"/>
      </w:pPr>
      <w:r w:rsidRPr="0066641D">
        <w:t>(3)</w:t>
      </w:r>
      <w:r w:rsidRPr="0066641D">
        <w:tab/>
      </w:r>
      <w:r w:rsidR="00F30F8D">
        <w:t>Yakima</w:t>
      </w:r>
      <w:r w:rsidR="00FC42A4" w:rsidRPr="0066641D">
        <w:t xml:space="preserve"> </w:t>
      </w:r>
      <w:r w:rsidRPr="0066641D">
        <w:t xml:space="preserve">is subject to </w:t>
      </w:r>
      <w:r w:rsidR="00602932" w:rsidRPr="0066641D">
        <w:t>WAC 480-</w:t>
      </w:r>
      <w:r w:rsidR="00D435CB" w:rsidRPr="0066641D">
        <w:t>07</w:t>
      </w:r>
      <w:r w:rsidR="00602932" w:rsidRPr="0066641D">
        <w:t>-520(4)(j)</w:t>
      </w:r>
      <w:r w:rsidRPr="0066641D">
        <w:t xml:space="preserve">, </w:t>
      </w:r>
      <w:r w:rsidR="008F0219" w:rsidRPr="0066641D">
        <w:t xml:space="preserve">which </w:t>
      </w:r>
      <w:r w:rsidRPr="0066641D">
        <w:t>requir</w:t>
      </w:r>
      <w:r w:rsidR="008F0219" w:rsidRPr="0066641D">
        <w:t>e</w:t>
      </w:r>
      <w:r w:rsidR="00DF7E98" w:rsidRPr="0066641D">
        <w:t>s</w:t>
      </w:r>
      <w:r w:rsidRPr="0066641D">
        <w:t xml:space="preserve"> solid waste companies</w:t>
      </w:r>
      <w:r w:rsidR="008F0219" w:rsidRPr="0066641D">
        <w:t xml:space="preserve"> to</w:t>
      </w:r>
      <w:r w:rsidRPr="0066641D">
        <w:t xml:space="preserve"> </w:t>
      </w:r>
      <w:r w:rsidR="00D82347" w:rsidRPr="0066641D">
        <w:t>file income statements and balance sheets for all of its affiliated entities.</w:t>
      </w:r>
    </w:p>
    <w:p w14:paraId="59E5F9CD" w14:textId="77777777" w:rsidR="00090598" w:rsidRPr="0066641D" w:rsidRDefault="00090598" w:rsidP="00C53122">
      <w:pPr>
        <w:pStyle w:val="Findings"/>
        <w:numPr>
          <w:ilvl w:val="0"/>
          <w:numId w:val="0"/>
        </w:numPr>
        <w:tabs>
          <w:tab w:val="num" w:pos="0"/>
        </w:tabs>
        <w:ind w:left="720" w:hanging="1440"/>
      </w:pPr>
    </w:p>
    <w:p w14:paraId="59E5F9CE" w14:textId="28D93C0E" w:rsidR="00090598" w:rsidRPr="0066641D" w:rsidRDefault="00090598" w:rsidP="00C53122">
      <w:pPr>
        <w:pStyle w:val="Findings"/>
        <w:ind w:left="720" w:hanging="1440"/>
      </w:pPr>
      <w:r w:rsidRPr="0066641D">
        <w:t>(4)</w:t>
      </w:r>
      <w:r w:rsidRPr="0066641D">
        <w:tab/>
      </w:r>
      <w:r w:rsidR="008F0219" w:rsidRPr="0066641D">
        <w:t xml:space="preserve">Under </w:t>
      </w:r>
      <w:r w:rsidRPr="0007287E">
        <w:t>WAC 480-</w:t>
      </w:r>
      <w:r w:rsidR="00D435CB" w:rsidRPr="0007287E">
        <w:t>70</w:t>
      </w:r>
      <w:r w:rsidRPr="0007287E">
        <w:t>-051</w:t>
      </w:r>
      <w:r w:rsidR="0066641D" w:rsidRPr="00E87894">
        <w:t xml:space="preserve"> or WAC 480-07-110</w:t>
      </w:r>
      <w:r w:rsidR="008F0219" w:rsidRPr="0066641D">
        <w:t>,</w:t>
      </w:r>
      <w:r w:rsidRPr="0066641D">
        <w:t xml:space="preserve"> the Commission may grant an exemption from the pr</w:t>
      </w:r>
      <w:r w:rsidR="00020CBF" w:rsidRPr="0066641D">
        <w:t xml:space="preserve">ovisions of </w:t>
      </w:r>
      <w:r w:rsidR="0066641D" w:rsidRPr="0066641D">
        <w:t>its</w:t>
      </w:r>
      <w:r w:rsidR="00020CBF" w:rsidRPr="0066641D">
        <w:t xml:space="preserve"> rule</w:t>
      </w:r>
      <w:r w:rsidR="0066641D" w:rsidRPr="0066641D">
        <w:t>s</w:t>
      </w:r>
      <w:r w:rsidRPr="0066641D">
        <w:t xml:space="preserve"> if consistent with the public interest, the purposes underlying regulation</w:t>
      </w:r>
      <w:r w:rsidR="0066641D" w:rsidRPr="0066641D">
        <w:t>, and applicable statutes</w:t>
      </w:r>
      <w:r w:rsidR="008F0219" w:rsidRPr="0066641D">
        <w:t>.</w:t>
      </w:r>
    </w:p>
    <w:p w14:paraId="59E5F9CF" w14:textId="77777777" w:rsidR="00090598" w:rsidRPr="0066641D" w:rsidRDefault="00090598" w:rsidP="00C53122">
      <w:pPr>
        <w:pStyle w:val="Findings"/>
        <w:numPr>
          <w:ilvl w:val="0"/>
          <w:numId w:val="0"/>
        </w:numPr>
        <w:tabs>
          <w:tab w:val="num" w:pos="0"/>
        </w:tabs>
        <w:ind w:left="720" w:hanging="1440"/>
      </w:pPr>
    </w:p>
    <w:p w14:paraId="59E5F9D0" w14:textId="20BDB230" w:rsidR="00090598" w:rsidRPr="0066641D" w:rsidRDefault="00090598" w:rsidP="00C53122">
      <w:pPr>
        <w:pStyle w:val="Findings"/>
        <w:ind w:left="720" w:hanging="1440"/>
      </w:pPr>
      <w:r w:rsidRPr="0066641D">
        <w:t>(5)</w:t>
      </w:r>
      <w:r w:rsidRPr="0066641D">
        <w:tab/>
        <w:t xml:space="preserve">This matter </w:t>
      </w:r>
      <w:r w:rsidR="00DF7E98" w:rsidRPr="0066641D">
        <w:t>came</w:t>
      </w:r>
      <w:r w:rsidRPr="0066641D">
        <w:t xml:space="preserve"> before the Commission at its regularly scheduled meeting on</w:t>
      </w:r>
      <w:r w:rsidR="00E065B6" w:rsidRPr="0066641D">
        <w:t xml:space="preserve"> </w:t>
      </w:r>
      <w:r w:rsidR="00D52A06">
        <w:t>November 27</w:t>
      </w:r>
      <w:r w:rsidR="00602932" w:rsidRPr="0066641D">
        <w:t>, 2013</w:t>
      </w:r>
      <w:r w:rsidR="00FC42A4" w:rsidRPr="0066641D">
        <w:t>.</w:t>
      </w:r>
    </w:p>
    <w:p w14:paraId="59E5F9D1" w14:textId="77777777" w:rsidR="00090598" w:rsidRPr="0066641D" w:rsidRDefault="00090598" w:rsidP="00C53122">
      <w:pPr>
        <w:pStyle w:val="Findings"/>
        <w:numPr>
          <w:ilvl w:val="0"/>
          <w:numId w:val="0"/>
        </w:numPr>
        <w:tabs>
          <w:tab w:val="num" w:pos="0"/>
        </w:tabs>
        <w:ind w:left="720" w:hanging="1440"/>
      </w:pPr>
    </w:p>
    <w:p w14:paraId="59E5F9D2" w14:textId="47FA611D" w:rsidR="002F03B1" w:rsidRDefault="00090598" w:rsidP="00C53122">
      <w:pPr>
        <w:pStyle w:val="Findings"/>
        <w:ind w:left="720" w:hanging="1440"/>
      </w:pPr>
      <w:r w:rsidRPr="0066641D">
        <w:t>(6)</w:t>
      </w:r>
      <w:r w:rsidRPr="0066641D">
        <w:tab/>
      </w:r>
      <w:r w:rsidR="00D52A06">
        <w:t>B</w:t>
      </w:r>
      <w:r w:rsidR="00D52A06" w:rsidRPr="00D52A06">
        <w:t>ecause the affiliated transportation activity has ceased and will not continue in the future, the</w:t>
      </w:r>
      <w:r w:rsidR="002912AA">
        <w:t xml:space="preserve"> Commission</w:t>
      </w:r>
      <w:r w:rsidR="00D52A06" w:rsidRPr="00D52A06">
        <w:t xml:space="preserve"> need</w:t>
      </w:r>
      <w:r w:rsidR="002912AA">
        <w:t xml:space="preserve"> not</w:t>
      </w:r>
      <w:r w:rsidR="00D52A06" w:rsidRPr="00D52A06">
        <w:t xml:space="preserve"> determine the cost of the affiliated transaction </w:t>
      </w:r>
      <w:r w:rsidR="002912AA">
        <w:t>or</w:t>
      </w:r>
      <w:r w:rsidR="00D52A06" w:rsidRPr="00D52A06">
        <w:t xml:space="preserve"> review financial information contained in DMR’s income statement and balance sheet.</w:t>
      </w:r>
    </w:p>
    <w:p w14:paraId="59E5F9D3" w14:textId="77777777" w:rsidR="002F03B1" w:rsidRDefault="002F03B1" w:rsidP="00C53122">
      <w:pPr>
        <w:pStyle w:val="Findings"/>
        <w:numPr>
          <w:ilvl w:val="0"/>
          <w:numId w:val="0"/>
        </w:numPr>
        <w:tabs>
          <w:tab w:val="num" w:pos="0"/>
        </w:tabs>
        <w:ind w:left="720" w:hanging="1440"/>
      </w:pPr>
    </w:p>
    <w:p w14:paraId="59E5F9D4" w14:textId="3D3F11EB" w:rsidR="00090598" w:rsidRDefault="002F03B1" w:rsidP="00C53122">
      <w:pPr>
        <w:pStyle w:val="Findings"/>
        <w:ind w:left="720" w:hanging="1440"/>
      </w:pPr>
      <w:r>
        <w:lastRenderedPageBreak/>
        <w:t>(7)</w:t>
      </w:r>
      <w:r>
        <w:tab/>
      </w:r>
      <w:r w:rsidR="00F30F8D">
        <w:t>Yakima</w:t>
      </w:r>
      <w:r w:rsidR="00854B73">
        <w:t xml:space="preserve">’s requested </w:t>
      </w:r>
      <w:r w:rsidR="00090598" w:rsidRPr="0066641D">
        <w:t>exemption</w:t>
      </w:r>
      <w:r w:rsidR="00854B73">
        <w:t xml:space="preserve"> from WAC 480-07-520(4)(j)</w:t>
      </w:r>
      <w:r w:rsidR="00090598" w:rsidRPr="0066641D">
        <w:t xml:space="preserve"> is</w:t>
      </w:r>
      <w:r w:rsidR="00602932" w:rsidRPr="0066641D">
        <w:t xml:space="preserve"> </w:t>
      </w:r>
      <w:r w:rsidR="006974F7" w:rsidRPr="006974F7">
        <w:t>consistent with the public interest, the purposes underlying regulation, and applicable statutes</w:t>
      </w:r>
      <w:r w:rsidR="000B07B7" w:rsidRPr="0066641D">
        <w:t xml:space="preserve"> and </w:t>
      </w:r>
      <w:r w:rsidR="00090598" w:rsidRPr="0066641D">
        <w:t>should be granted.</w:t>
      </w:r>
    </w:p>
    <w:p w14:paraId="70871414" w14:textId="77777777" w:rsidR="00C53122" w:rsidRDefault="00C53122" w:rsidP="00C53122">
      <w:pPr>
        <w:pStyle w:val="ListParagraph"/>
      </w:pPr>
    </w:p>
    <w:p w14:paraId="7000FA16" w14:textId="77777777" w:rsidR="00C53122" w:rsidRPr="0066641D" w:rsidRDefault="00C53122" w:rsidP="002D5664">
      <w:pPr>
        <w:pStyle w:val="Findings"/>
        <w:numPr>
          <w:ilvl w:val="0"/>
          <w:numId w:val="0"/>
        </w:numPr>
        <w:ind w:left="720"/>
      </w:pPr>
    </w:p>
    <w:p w14:paraId="02659CEB" w14:textId="77777777" w:rsidR="006974F7" w:rsidRDefault="006974F7" w:rsidP="00C53122">
      <w:pPr>
        <w:tabs>
          <w:tab w:val="num" w:pos="0"/>
        </w:tabs>
        <w:ind w:left="720" w:hanging="1440"/>
      </w:pPr>
    </w:p>
    <w:p w14:paraId="59E5F9D7" w14:textId="0F4195CD" w:rsidR="00090598" w:rsidRPr="0066641D" w:rsidRDefault="006974F7" w:rsidP="006974F7">
      <w:pPr>
        <w:jc w:val="center"/>
        <w:rPr>
          <w:b/>
          <w:bCs/>
        </w:rPr>
      </w:pPr>
      <w:r w:rsidRPr="006974F7">
        <w:rPr>
          <w:b/>
          <w:bCs/>
        </w:rPr>
        <w:t>O</w:t>
      </w:r>
      <w:r w:rsidR="00090598" w:rsidRPr="0066641D">
        <w:rPr>
          <w:b/>
          <w:bCs/>
        </w:rPr>
        <w:t xml:space="preserve"> R D E R</w:t>
      </w:r>
    </w:p>
    <w:p w14:paraId="59E5F9D8" w14:textId="77777777" w:rsidR="00090598" w:rsidRPr="0066641D" w:rsidRDefault="00090598" w:rsidP="008F1BE3">
      <w:pPr>
        <w:spacing w:line="264" w:lineRule="auto"/>
      </w:pPr>
    </w:p>
    <w:p w14:paraId="59E5F9D9" w14:textId="392D70BB" w:rsidR="00090598" w:rsidRPr="008F1BE3" w:rsidRDefault="00090598" w:rsidP="00D52A06">
      <w:pPr>
        <w:pStyle w:val="Findings"/>
      </w:pPr>
      <w:r w:rsidRPr="008F1BE3">
        <w:t>T</w:t>
      </w:r>
      <w:r w:rsidR="002F03B1" w:rsidRPr="008F1BE3">
        <w:t xml:space="preserve">HE COMMISSION ORDERS </w:t>
      </w:r>
      <w:r w:rsidR="00C53122">
        <w:t>t</w:t>
      </w:r>
      <w:r w:rsidR="002F03B1" w:rsidRPr="008F1BE3">
        <w:t xml:space="preserve">hat </w:t>
      </w:r>
      <w:r w:rsidR="00F30F8D">
        <w:t>Yakima Waste Systems, Inc.</w:t>
      </w:r>
      <w:r w:rsidR="006974F7">
        <w:t>,</w:t>
      </w:r>
      <w:r w:rsidR="00FC42A4" w:rsidRPr="008F1BE3">
        <w:t xml:space="preserve"> is </w:t>
      </w:r>
      <w:r w:rsidR="00D52A06">
        <w:t xml:space="preserve">granted </w:t>
      </w:r>
      <w:r w:rsidR="00FC42A4" w:rsidRPr="008F1BE3">
        <w:t xml:space="preserve">a </w:t>
      </w:r>
      <w:r w:rsidR="006974F7">
        <w:t xml:space="preserve">partial </w:t>
      </w:r>
      <w:r w:rsidR="00FC42A4" w:rsidRPr="008F1BE3">
        <w:t xml:space="preserve">exemption from </w:t>
      </w:r>
      <w:r w:rsidR="00602932" w:rsidRPr="008F1BE3">
        <w:t>WAC 480-</w:t>
      </w:r>
      <w:r w:rsidR="00D435CB" w:rsidRPr="008F1BE3">
        <w:t>07</w:t>
      </w:r>
      <w:r w:rsidR="00602932" w:rsidRPr="008F1BE3">
        <w:t>-520(4)(j)</w:t>
      </w:r>
      <w:r w:rsidR="00D52A06">
        <w:t xml:space="preserve"> for the </w:t>
      </w:r>
      <w:r w:rsidR="006974F7">
        <w:t xml:space="preserve">limited </w:t>
      </w:r>
      <w:r w:rsidR="00D52A06">
        <w:t xml:space="preserve">purpose of </w:t>
      </w:r>
      <w:r w:rsidR="002912AA">
        <w:t>relieving the Company of the obligation to provide</w:t>
      </w:r>
      <w:r w:rsidR="00D52A06">
        <w:t xml:space="preserve"> the income statement and balance sheet for its affiliate, DM Recycling</w:t>
      </w:r>
      <w:r w:rsidR="00602932" w:rsidRPr="008F1BE3">
        <w:t>.</w:t>
      </w:r>
    </w:p>
    <w:p w14:paraId="59E5F9DA" w14:textId="77777777" w:rsidR="00090598" w:rsidRPr="00F37945" w:rsidRDefault="00090598" w:rsidP="008F1BE3">
      <w:pPr>
        <w:spacing w:line="264" w:lineRule="auto"/>
      </w:pPr>
    </w:p>
    <w:p w14:paraId="35006CD2" w14:textId="6327A0E6" w:rsidR="008A55A9" w:rsidRPr="00292404" w:rsidRDefault="008A55A9" w:rsidP="00A24353">
      <w:r w:rsidRPr="00292404">
        <w:t>The Commissioners, ha</w:t>
      </w:r>
      <w:bookmarkStart w:id="0" w:name="_GoBack"/>
      <w:bookmarkEnd w:id="0"/>
      <w:r w:rsidRPr="00292404">
        <w:t>ving determined this Order to be consistent with the public interest, directed the Secretary to enter this Order.</w:t>
      </w:r>
    </w:p>
    <w:p w14:paraId="6C5B885B" w14:textId="77777777" w:rsidR="008A55A9" w:rsidRPr="00292404" w:rsidRDefault="008A55A9" w:rsidP="008A55A9">
      <w:pPr>
        <w:spacing w:line="320" w:lineRule="exact"/>
      </w:pPr>
    </w:p>
    <w:p w14:paraId="0E8B039F" w14:textId="77777777" w:rsidR="008A55A9" w:rsidRPr="00292404" w:rsidRDefault="008A55A9" w:rsidP="008A55A9">
      <w:pPr>
        <w:spacing w:line="320" w:lineRule="exact"/>
      </w:pPr>
      <w:r w:rsidRPr="00292404">
        <w:t xml:space="preserve">DATED at Olympia, Washington, and effective </w:t>
      </w:r>
      <w:r w:rsidRPr="00292404">
        <w:rPr>
          <w:bCs/>
        </w:rPr>
        <w:t>November 27, 2013</w:t>
      </w:r>
      <w:r w:rsidRPr="00292404">
        <w:t>.</w:t>
      </w:r>
    </w:p>
    <w:p w14:paraId="0616A848" w14:textId="77777777" w:rsidR="008A55A9" w:rsidRPr="00292404" w:rsidRDefault="008A55A9" w:rsidP="008A55A9">
      <w:pPr>
        <w:spacing w:line="320" w:lineRule="exact"/>
        <w:ind w:left="360"/>
      </w:pPr>
    </w:p>
    <w:p w14:paraId="2E428A81" w14:textId="77777777" w:rsidR="008A55A9" w:rsidRPr="00292404" w:rsidRDefault="008A55A9" w:rsidP="008A55A9">
      <w:pPr>
        <w:spacing w:line="320" w:lineRule="exact"/>
        <w:jc w:val="center"/>
      </w:pPr>
      <w:smartTag w:uri="urn:schemas-microsoft-com:office:smarttags" w:element="State">
        <w:smartTag w:uri="urn:schemas-microsoft-com:office:smarttags" w:element="place">
          <w:r w:rsidRPr="00292404">
            <w:t>WASHINGTON</w:t>
          </w:r>
        </w:smartTag>
      </w:smartTag>
      <w:r w:rsidRPr="00292404">
        <w:t xml:space="preserve"> UTILITIES AND TRANSPORTATION COMMISSION</w:t>
      </w:r>
    </w:p>
    <w:p w14:paraId="49C8411E" w14:textId="77777777" w:rsidR="008A55A9" w:rsidRPr="00292404" w:rsidRDefault="008A55A9" w:rsidP="008A55A9">
      <w:pPr>
        <w:spacing w:line="320" w:lineRule="exact"/>
        <w:jc w:val="center"/>
      </w:pPr>
    </w:p>
    <w:p w14:paraId="2276F5F7" w14:textId="77777777" w:rsidR="008A55A9" w:rsidRPr="00292404" w:rsidRDefault="008A55A9" w:rsidP="008A55A9">
      <w:pPr>
        <w:spacing w:line="320" w:lineRule="exact"/>
        <w:ind w:left="2880" w:firstLine="720"/>
        <w:jc w:val="center"/>
      </w:pPr>
    </w:p>
    <w:p w14:paraId="48C6C4F2" w14:textId="77777777" w:rsidR="008A55A9" w:rsidRPr="00292404" w:rsidRDefault="008A55A9" w:rsidP="008A55A9">
      <w:pPr>
        <w:spacing w:line="320" w:lineRule="exact"/>
        <w:ind w:left="2880" w:firstLine="720"/>
        <w:jc w:val="center"/>
      </w:pPr>
    </w:p>
    <w:p w14:paraId="0C7E44F2" w14:textId="77777777" w:rsidR="008A55A9" w:rsidRPr="00292404" w:rsidRDefault="008A55A9" w:rsidP="008A55A9">
      <w:pPr>
        <w:spacing w:line="320" w:lineRule="exact"/>
        <w:ind w:left="1440" w:firstLine="720"/>
      </w:pPr>
      <w:r w:rsidRPr="00292404">
        <w:t>STEVEN V. KING, Executive Director and Secretary</w:t>
      </w:r>
    </w:p>
    <w:p w14:paraId="59E5F9E9" w14:textId="10D77717" w:rsidR="00FC42A4" w:rsidRPr="00F37945" w:rsidRDefault="00FC42A4" w:rsidP="008A55A9">
      <w:pPr>
        <w:spacing w:line="264" w:lineRule="auto"/>
      </w:pPr>
    </w:p>
    <w:sectPr w:rsidR="00FC42A4" w:rsidRPr="00F37945">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F7E24" w14:textId="77777777" w:rsidR="00D52A06" w:rsidRDefault="00D52A06">
      <w:r>
        <w:separator/>
      </w:r>
    </w:p>
  </w:endnote>
  <w:endnote w:type="continuationSeparator" w:id="0">
    <w:p w14:paraId="65CABF50" w14:textId="77777777" w:rsidR="00D52A06" w:rsidRDefault="00D5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150F1" w14:textId="77777777" w:rsidR="00D52A06" w:rsidRDefault="00D52A06">
      <w:r>
        <w:separator/>
      </w:r>
    </w:p>
  </w:footnote>
  <w:footnote w:type="continuationSeparator" w:id="0">
    <w:p w14:paraId="5DF7F055" w14:textId="77777777" w:rsidR="00D52A06" w:rsidRDefault="00D52A06">
      <w:r>
        <w:continuationSeparator/>
      </w:r>
    </w:p>
  </w:footnote>
  <w:footnote w:id="1">
    <w:p w14:paraId="59E5F9F3" w14:textId="77777777" w:rsidR="00D52A06" w:rsidRPr="00A601E0" w:rsidRDefault="00D52A06" w:rsidP="002F03B1">
      <w:pPr>
        <w:pStyle w:val="FootnoteText"/>
        <w:rPr>
          <w:sz w:val="20"/>
        </w:rPr>
      </w:pPr>
      <w:r>
        <w:rPr>
          <w:rStyle w:val="FootnoteReference"/>
        </w:rPr>
        <w:footnoteRef/>
      </w:r>
      <w:r>
        <w:t xml:space="preserve"> </w:t>
      </w:r>
      <w:r w:rsidRPr="00A601E0">
        <w:rPr>
          <w:sz w:val="20"/>
        </w:rPr>
        <w:t>We note that the Company mistakenly relied on WAC 480-70-051 to make its request for exemption from rule.  That rule applies to exemptions from WAC 480-70, not WAC 480-07.</w:t>
      </w:r>
    </w:p>
  </w:footnote>
  <w:footnote w:id="2">
    <w:p w14:paraId="5FA22F55" w14:textId="0D8FF70B" w:rsidR="002912AA" w:rsidRDefault="002912AA">
      <w:pPr>
        <w:pStyle w:val="FootnoteText"/>
      </w:pPr>
      <w:r>
        <w:rPr>
          <w:rStyle w:val="FootnoteReference"/>
        </w:rPr>
        <w:footnoteRef/>
      </w:r>
      <w:r>
        <w:t xml:space="preserve"> Because we find this </w:t>
      </w:r>
      <w:r w:rsidR="00E26F90">
        <w:t>basis</w:t>
      </w:r>
      <w:r>
        <w:t xml:space="preserve"> sufficient to grant the exemption, we do not reach the Company’s other arguments in support of its request.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5F9EE" w14:textId="35D9C845" w:rsidR="00D52A06" w:rsidRPr="00A748CC" w:rsidRDefault="00D52A06" w:rsidP="00D648D4">
    <w:pPr>
      <w:pStyle w:val="Header"/>
      <w:tabs>
        <w:tab w:val="left" w:pos="7000"/>
      </w:tabs>
      <w:rPr>
        <w:rStyle w:val="PageNumber"/>
        <w:b/>
        <w:sz w:val="20"/>
      </w:rPr>
    </w:pPr>
    <w:r w:rsidRPr="00A748CC">
      <w:rPr>
        <w:b/>
        <w:sz w:val="20"/>
      </w:rPr>
      <w:t xml:space="preserve">DOCKET </w:t>
    </w:r>
    <w:r w:rsidRPr="00602932">
      <w:rPr>
        <w:b/>
        <w:sz w:val="20"/>
      </w:rPr>
      <w:t>TG-</w:t>
    </w:r>
    <w:r>
      <w:rPr>
        <w:b/>
        <w:sz w:val="20"/>
      </w:rPr>
      <w:t>132050</w:t>
    </w:r>
    <w:r w:rsidRPr="00A748CC">
      <w:rPr>
        <w:b/>
        <w:sz w:val="20"/>
      </w:rPr>
      <w:tab/>
    </w:r>
    <w:r w:rsidRPr="00A748CC">
      <w:rPr>
        <w:b/>
        <w:sz w:val="20"/>
      </w:rPr>
      <w:tab/>
      <w:t xml:space="preserve">                 PAGE </w:t>
    </w:r>
    <w:r w:rsidRPr="0007287E">
      <w:rPr>
        <w:b/>
        <w:sz w:val="20"/>
      </w:rPr>
      <w:fldChar w:fldCharType="begin"/>
    </w:r>
    <w:r w:rsidRPr="0007287E">
      <w:rPr>
        <w:b/>
        <w:sz w:val="20"/>
      </w:rPr>
      <w:instrText xml:space="preserve"> PAGE   \* MERGEFORMAT </w:instrText>
    </w:r>
    <w:r w:rsidRPr="0007287E">
      <w:rPr>
        <w:b/>
        <w:sz w:val="20"/>
      </w:rPr>
      <w:fldChar w:fldCharType="separate"/>
    </w:r>
    <w:r w:rsidR="00440F9D">
      <w:rPr>
        <w:b/>
        <w:noProof/>
        <w:sz w:val="20"/>
      </w:rPr>
      <w:t>4</w:t>
    </w:r>
    <w:r w:rsidRPr="0007287E">
      <w:rPr>
        <w:b/>
        <w:noProof/>
        <w:sz w:val="20"/>
      </w:rPr>
      <w:fldChar w:fldCharType="end"/>
    </w:r>
  </w:p>
  <w:p w14:paraId="59E5F9EF" w14:textId="27807854" w:rsidR="00D52A06" w:rsidRPr="0050337D" w:rsidRDefault="00D52A06" w:rsidP="00D648D4">
    <w:pPr>
      <w:pStyle w:val="Header"/>
      <w:tabs>
        <w:tab w:val="left" w:pos="7000"/>
      </w:tabs>
      <w:rPr>
        <w:rStyle w:val="PageNumber"/>
        <w:sz w:val="20"/>
      </w:rPr>
    </w:pPr>
    <w:r w:rsidRPr="00A748CC">
      <w:rPr>
        <w:rStyle w:val="PageNumber"/>
        <w:b/>
        <w:sz w:val="20"/>
      </w:rPr>
      <w:t xml:space="preserve">ORDER </w:t>
    </w:r>
    <w:r w:rsidRPr="00602932">
      <w:rPr>
        <w:b/>
        <w:sz w:val="20"/>
      </w:rPr>
      <w:t>01</w:t>
    </w:r>
  </w:p>
  <w:p w14:paraId="59E5F9F0" w14:textId="77777777" w:rsidR="00D52A06" w:rsidRPr="00F37945" w:rsidRDefault="00D52A06">
    <w:pPr>
      <w:pStyle w:val="Header"/>
      <w:tabs>
        <w:tab w:val="left" w:pos="7100"/>
      </w:tabs>
      <w:rPr>
        <w:rStyle w:val="PageNumber"/>
        <w:sz w:val="20"/>
      </w:rPr>
    </w:pPr>
  </w:p>
  <w:p w14:paraId="59E5F9F1" w14:textId="77777777" w:rsidR="00D52A06" w:rsidRPr="00F37945" w:rsidRDefault="00D52A06">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5F9F2" w14:textId="77777777" w:rsidR="00D52A06" w:rsidRDefault="00D52A06">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1171526"/>
    <w:multiLevelType w:val="hybridMultilevel"/>
    <w:tmpl w:val="1AB637C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0B74294"/>
    <w:multiLevelType w:val="hybridMultilevel"/>
    <w:tmpl w:val="87BEFAA0"/>
    <w:lvl w:ilvl="0" w:tplc="4D2C0D2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C62FE3"/>
    <w:multiLevelType w:val="hybridMultilevel"/>
    <w:tmpl w:val="2230CBDE"/>
    <w:lvl w:ilvl="0" w:tplc="3BF6C842">
      <w:start w:val="1"/>
      <w:numFmt w:val="decimal"/>
      <w:lvlText w:val="%1"/>
      <w:lvlJc w:val="left"/>
      <w:pPr>
        <w:ind w:left="1440" w:hanging="2160"/>
      </w:pPr>
      <w:rPr>
        <w:rFonts w:ascii="Times New Roman" w:hAnsi="Times New Roman" w:hint="default"/>
        <w:b w:val="0"/>
        <w:i/>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3F74A4"/>
    <w:multiLevelType w:val="hybridMultilevel"/>
    <w:tmpl w:val="BFE426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1"/>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2"/>
  </w:num>
  <w:num w:numId="15">
    <w:abstractNumId w:val="4"/>
  </w:num>
  <w:num w:numId="16">
    <w:abstractNumId w:val="4"/>
  </w:num>
  <w:num w:numId="17">
    <w:abstractNumId w:val="5"/>
  </w:num>
  <w:num w:numId="18">
    <w:abstractNumId w:val="4"/>
  </w:num>
  <w:num w:numId="19">
    <w:abstractNumId w:val="4"/>
  </w:num>
  <w:num w:numId="20">
    <w:abstractNumId w:val="4"/>
  </w:num>
  <w:num w:numId="21">
    <w:abstractNumId w:val="6"/>
  </w:num>
  <w:num w:numId="22">
    <w:abstractNumId w:val="4"/>
  </w:num>
  <w:num w:numId="23">
    <w:abstractNumId w:val="4"/>
  </w:num>
  <w:num w:numId="24">
    <w:abstractNumId w:val="4"/>
  </w:num>
  <w:num w:numId="25">
    <w:abstractNumId w:val="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32"/>
    <w:rsid w:val="00017603"/>
    <w:rsid w:val="00020CBF"/>
    <w:rsid w:val="0002762D"/>
    <w:rsid w:val="0003082F"/>
    <w:rsid w:val="0007287E"/>
    <w:rsid w:val="00075AA8"/>
    <w:rsid w:val="00090598"/>
    <w:rsid w:val="000B07B7"/>
    <w:rsid w:val="000C2396"/>
    <w:rsid w:val="000E4F82"/>
    <w:rsid w:val="000F00F7"/>
    <w:rsid w:val="000F1869"/>
    <w:rsid w:val="000F6A5B"/>
    <w:rsid w:val="0010087A"/>
    <w:rsid w:val="00105EFC"/>
    <w:rsid w:val="001634F2"/>
    <w:rsid w:val="00175374"/>
    <w:rsid w:val="00182770"/>
    <w:rsid w:val="001B4216"/>
    <w:rsid w:val="001E7D73"/>
    <w:rsid w:val="00231806"/>
    <w:rsid w:val="002912AA"/>
    <w:rsid w:val="002977BC"/>
    <w:rsid w:val="002C221A"/>
    <w:rsid w:val="002D3FDD"/>
    <w:rsid w:val="002D5664"/>
    <w:rsid w:val="002F03B1"/>
    <w:rsid w:val="002F227D"/>
    <w:rsid w:val="00316660"/>
    <w:rsid w:val="0034099C"/>
    <w:rsid w:val="00343132"/>
    <w:rsid w:val="00367A88"/>
    <w:rsid w:val="00390FFD"/>
    <w:rsid w:val="003C07B1"/>
    <w:rsid w:val="00400EA7"/>
    <w:rsid w:val="0041572C"/>
    <w:rsid w:val="0041694D"/>
    <w:rsid w:val="004367E8"/>
    <w:rsid w:val="00440F9D"/>
    <w:rsid w:val="004C3C58"/>
    <w:rsid w:val="00505658"/>
    <w:rsid w:val="00517084"/>
    <w:rsid w:val="00566618"/>
    <w:rsid w:val="00581FDD"/>
    <w:rsid w:val="005A0341"/>
    <w:rsid w:val="005B2415"/>
    <w:rsid w:val="005C3B17"/>
    <w:rsid w:val="005D18B8"/>
    <w:rsid w:val="00601425"/>
    <w:rsid w:val="00602932"/>
    <w:rsid w:val="00617787"/>
    <w:rsid w:val="0066641D"/>
    <w:rsid w:val="006974F7"/>
    <w:rsid w:val="006D249A"/>
    <w:rsid w:val="006E1778"/>
    <w:rsid w:val="006F1AB7"/>
    <w:rsid w:val="00721428"/>
    <w:rsid w:val="007576E5"/>
    <w:rsid w:val="0079120A"/>
    <w:rsid w:val="007C02D5"/>
    <w:rsid w:val="00805D7B"/>
    <w:rsid w:val="00821D14"/>
    <w:rsid w:val="00844EAF"/>
    <w:rsid w:val="00854B73"/>
    <w:rsid w:val="008571D9"/>
    <w:rsid w:val="00863BC6"/>
    <w:rsid w:val="008A55A9"/>
    <w:rsid w:val="008F0219"/>
    <w:rsid w:val="008F1BE3"/>
    <w:rsid w:val="008F619F"/>
    <w:rsid w:val="008F7910"/>
    <w:rsid w:val="009C7029"/>
    <w:rsid w:val="009F4B0E"/>
    <w:rsid w:val="00A063E1"/>
    <w:rsid w:val="00A24353"/>
    <w:rsid w:val="00A51660"/>
    <w:rsid w:val="00A55EC2"/>
    <w:rsid w:val="00A601E0"/>
    <w:rsid w:val="00A773F9"/>
    <w:rsid w:val="00A9500F"/>
    <w:rsid w:val="00AC3E38"/>
    <w:rsid w:val="00AC4868"/>
    <w:rsid w:val="00AC4FD0"/>
    <w:rsid w:val="00B04253"/>
    <w:rsid w:val="00B1562D"/>
    <w:rsid w:val="00B3237E"/>
    <w:rsid w:val="00B46C2C"/>
    <w:rsid w:val="00B579F8"/>
    <w:rsid w:val="00B853EF"/>
    <w:rsid w:val="00BF24C2"/>
    <w:rsid w:val="00C43A43"/>
    <w:rsid w:val="00C53122"/>
    <w:rsid w:val="00C6405F"/>
    <w:rsid w:val="00CB10C5"/>
    <w:rsid w:val="00CC286C"/>
    <w:rsid w:val="00CC57D3"/>
    <w:rsid w:val="00D2089A"/>
    <w:rsid w:val="00D435CB"/>
    <w:rsid w:val="00D44D7F"/>
    <w:rsid w:val="00D52A06"/>
    <w:rsid w:val="00D648D4"/>
    <w:rsid w:val="00D71E5C"/>
    <w:rsid w:val="00D82347"/>
    <w:rsid w:val="00DF77BA"/>
    <w:rsid w:val="00DF7E98"/>
    <w:rsid w:val="00E065B6"/>
    <w:rsid w:val="00E26F90"/>
    <w:rsid w:val="00E7012D"/>
    <w:rsid w:val="00E71656"/>
    <w:rsid w:val="00E87894"/>
    <w:rsid w:val="00EA4A46"/>
    <w:rsid w:val="00EF6E3E"/>
    <w:rsid w:val="00F24CF4"/>
    <w:rsid w:val="00F30F8D"/>
    <w:rsid w:val="00F37945"/>
    <w:rsid w:val="00F45417"/>
    <w:rsid w:val="00F56CB4"/>
    <w:rsid w:val="00F77204"/>
    <w:rsid w:val="00F84C01"/>
    <w:rsid w:val="00F858EC"/>
    <w:rsid w:val="00F913D3"/>
    <w:rsid w:val="00FC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24577"/>
    <o:shapelayout v:ext="edit">
      <o:idmap v:ext="edit" data="1"/>
    </o:shapelayout>
  </w:shapeDefaults>
  <w:decimalSymbol w:val="."/>
  <w:listSeparator w:val=","/>
  <w14:docId w14:val="59E5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tabs>
        <w:tab w:val="clear" w:pos="720"/>
        <w:tab w:val="num" w:pos="0"/>
      </w:tabs>
      <w:ind w:left="0"/>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B46C2C"/>
    <w:pPr>
      <w:ind w:left="720"/>
    </w:pPr>
  </w:style>
  <w:style w:type="character" w:styleId="CommentReference">
    <w:name w:val="annotation reference"/>
    <w:rsid w:val="0066641D"/>
    <w:rPr>
      <w:sz w:val="16"/>
      <w:szCs w:val="16"/>
    </w:rPr>
  </w:style>
  <w:style w:type="paragraph" w:styleId="CommentText">
    <w:name w:val="annotation text"/>
    <w:basedOn w:val="Normal"/>
    <w:link w:val="CommentTextChar"/>
    <w:rsid w:val="0066641D"/>
    <w:rPr>
      <w:sz w:val="20"/>
      <w:szCs w:val="20"/>
    </w:rPr>
  </w:style>
  <w:style w:type="character" w:customStyle="1" w:styleId="CommentTextChar">
    <w:name w:val="Comment Text Char"/>
    <w:basedOn w:val="DefaultParagraphFont"/>
    <w:link w:val="CommentText"/>
    <w:rsid w:val="0066641D"/>
  </w:style>
  <w:style w:type="paragraph" w:styleId="CommentSubject">
    <w:name w:val="annotation subject"/>
    <w:basedOn w:val="CommentText"/>
    <w:next w:val="CommentText"/>
    <w:link w:val="CommentSubjectChar"/>
    <w:rsid w:val="0066641D"/>
    <w:rPr>
      <w:b/>
      <w:bCs/>
    </w:rPr>
  </w:style>
  <w:style w:type="character" w:customStyle="1" w:styleId="CommentSubjectChar">
    <w:name w:val="Comment Subject Char"/>
    <w:link w:val="CommentSubject"/>
    <w:rsid w:val="0066641D"/>
    <w:rPr>
      <w:b/>
      <w:bCs/>
    </w:rPr>
  </w:style>
  <w:style w:type="paragraph" w:styleId="FootnoteText">
    <w:name w:val="footnote text"/>
    <w:basedOn w:val="Normal"/>
    <w:link w:val="FootnoteTextChar"/>
    <w:rsid w:val="00D71E5C"/>
    <w:pPr>
      <w:spacing w:before="120" w:after="120"/>
    </w:pPr>
    <w:rPr>
      <w:sz w:val="22"/>
      <w:szCs w:val="20"/>
    </w:rPr>
  </w:style>
  <w:style w:type="character" w:customStyle="1" w:styleId="FootnoteTextChar">
    <w:name w:val="Footnote Text Char"/>
    <w:link w:val="FootnoteText"/>
    <w:rsid w:val="00D71E5C"/>
    <w:rPr>
      <w:sz w:val="22"/>
    </w:rPr>
  </w:style>
  <w:style w:type="character" w:styleId="FootnoteReference">
    <w:name w:val="footnote reference"/>
    <w:aliases w:val="o,fr,Style 3"/>
    <w:rsid w:val="006664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tabs>
        <w:tab w:val="clear" w:pos="720"/>
        <w:tab w:val="num" w:pos="0"/>
      </w:tabs>
      <w:ind w:left="0"/>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B46C2C"/>
    <w:pPr>
      <w:ind w:left="720"/>
    </w:pPr>
  </w:style>
  <w:style w:type="character" w:styleId="CommentReference">
    <w:name w:val="annotation reference"/>
    <w:rsid w:val="0066641D"/>
    <w:rPr>
      <w:sz w:val="16"/>
      <w:szCs w:val="16"/>
    </w:rPr>
  </w:style>
  <w:style w:type="paragraph" w:styleId="CommentText">
    <w:name w:val="annotation text"/>
    <w:basedOn w:val="Normal"/>
    <w:link w:val="CommentTextChar"/>
    <w:rsid w:val="0066641D"/>
    <w:rPr>
      <w:sz w:val="20"/>
      <w:szCs w:val="20"/>
    </w:rPr>
  </w:style>
  <w:style w:type="character" w:customStyle="1" w:styleId="CommentTextChar">
    <w:name w:val="Comment Text Char"/>
    <w:basedOn w:val="DefaultParagraphFont"/>
    <w:link w:val="CommentText"/>
    <w:rsid w:val="0066641D"/>
  </w:style>
  <w:style w:type="paragraph" w:styleId="CommentSubject">
    <w:name w:val="annotation subject"/>
    <w:basedOn w:val="CommentText"/>
    <w:next w:val="CommentText"/>
    <w:link w:val="CommentSubjectChar"/>
    <w:rsid w:val="0066641D"/>
    <w:rPr>
      <w:b/>
      <w:bCs/>
    </w:rPr>
  </w:style>
  <w:style w:type="character" w:customStyle="1" w:styleId="CommentSubjectChar">
    <w:name w:val="Comment Subject Char"/>
    <w:link w:val="CommentSubject"/>
    <w:rsid w:val="0066641D"/>
    <w:rPr>
      <w:b/>
      <w:bCs/>
    </w:rPr>
  </w:style>
  <w:style w:type="paragraph" w:styleId="FootnoteText">
    <w:name w:val="footnote text"/>
    <w:basedOn w:val="Normal"/>
    <w:link w:val="FootnoteTextChar"/>
    <w:rsid w:val="00D71E5C"/>
    <w:pPr>
      <w:spacing w:before="120" w:after="120"/>
    </w:pPr>
    <w:rPr>
      <w:sz w:val="22"/>
      <w:szCs w:val="20"/>
    </w:rPr>
  </w:style>
  <w:style w:type="character" w:customStyle="1" w:styleId="FootnoteTextChar">
    <w:name w:val="Footnote Text Char"/>
    <w:link w:val="FootnoteText"/>
    <w:rsid w:val="00D71E5C"/>
    <w:rPr>
      <w:sz w:val="22"/>
    </w:rPr>
  </w:style>
  <w:style w:type="character" w:styleId="FootnoteReference">
    <w:name w:val="footnote reference"/>
    <w:aliases w:val="o,fr,Style 3"/>
    <w:rsid w:val="00666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CD4E0F2986F6418F65102802D60AE4" ma:contentTypeVersion="135" ma:contentTypeDescription="" ma:contentTypeScope="" ma:versionID="d982923b7ebd6f9e29150ca469d5c1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2013-11-04T08:00:00+00:00</OpenedDate>
    <Date1 xmlns="dc463f71-b30c-4ab2-9473-d307f9d35888">2013-11-27T08:00:00+00:00</Date1>
    <IsDocumentOrder xmlns="dc463f71-b30c-4ab2-9473-d307f9d35888">true</IsDocumentOrder>
    <IsHighlyConfidential xmlns="dc463f71-b30c-4ab2-9473-d307f9d35888">false</IsHighlyConfidential>
    <CaseCompanyNames xmlns="dc463f71-b30c-4ab2-9473-d307f9d35888">YAKIMA WASTE SYSTEMS, INC.</CaseCompanyNames>
    <DocketNumber xmlns="dc463f71-b30c-4ab2-9473-d307f9d35888">132050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00DF6-E3BE-4744-9A7B-16E766835335}"/>
</file>

<file path=customXml/itemProps2.xml><?xml version="1.0" encoding="utf-8"?>
<ds:datastoreItem xmlns:ds="http://schemas.openxmlformats.org/officeDocument/2006/customXml" ds:itemID="{6F0D96AF-FA30-421C-8ED4-82E6020695B2}"/>
</file>

<file path=customXml/itemProps3.xml><?xml version="1.0" encoding="utf-8"?>
<ds:datastoreItem xmlns:ds="http://schemas.openxmlformats.org/officeDocument/2006/customXml" ds:itemID="{BE93C2BD-4FB3-4AA4-A8B7-8B612A9C4B53}"/>
</file>

<file path=customXml/itemProps4.xml><?xml version="1.0" encoding="utf-8"?>
<ds:datastoreItem xmlns:ds="http://schemas.openxmlformats.org/officeDocument/2006/customXml" ds:itemID="{2A98CCCC-7350-4374-BA41-0B98D5CCCD4E}"/>
</file>

<file path=customXml/itemProps5.xml><?xml version="1.0" encoding="utf-8"?>
<ds:datastoreItem xmlns:ds="http://schemas.openxmlformats.org/officeDocument/2006/customXml" ds:itemID="{B5A1CAD7-4757-4CCC-8D05-A78D58FD48E7}"/>
</file>

<file path=docProps/app.xml><?xml version="1.0" encoding="utf-8"?>
<Properties xmlns="http://schemas.openxmlformats.org/officeDocument/2006/extended-properties" xmlns:vt="http://schemas.openxmlformats.org/officeDocument/2006/docPropsVTypes">
  <Template>Exemption from Rule (Solid Waste)</Template>
  <TotalTime>0</TotalTime>
  <Pages>4</Pages>
  <Words>1066</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Petition For Exemption of Rule</vt:lpstr>
    </vt:vector>
  </TitlesOfParts>
  <Company>WUTC</Company>
  <LinksUpToDate>false</LinksUpToDate>
  <CharactersWithSpaces>6895</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Exemption of Rule</dc:title>
  <dc:creator>Torem, Adam (UTC)</dc:creator>
  <cp:lastModifiedBy>Kern, Cathy (UTC)</cp:lastModifiedBy>
  <cp:revision>2</cp:revision>
  <cp:lastPrinted>2013-11-22T17:26:00Z</cp:lastPrinted>
  <dcterms:created xsi:type="dcterms:W3CDTF">2013-11-27T00:23:00Z</dcterms:created>
  <dcterms:modified xsi:type="dcterms:W3CDTF">2013-11-27T00:23:00Z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0x0101006E56B4D1795A2E4DB2F0B01679ED314A001FCD4E0F2986F6418F65102802D60AE4</vt:lpwstr>
  </property>
  <property fmtid="{D5CDD505-2E9C-101B-9397-08002B2CF9AE}" pid="3" name="_docset_NoMedatataSyncRequired">
    <vt:lpwstr>False</vt:lpwstr>
  </property>
</Properties>
</file>