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FD8E83" w14:textId="3EFB1D6D" w:rsidR="007C461D" w:rsidRPr="007C2800" w:rsidRDefault="00E012AA" w:rsidP="007C461D">
      <w:pPr>
        <w:rPr>
          <w:rFonts w:ascii="Times New Roman" w:hAnsi="Times New Roman"/>
        </w:rPr>
      </w:pPr>
      <w:bookmarkStart w:id="0" w:name="_GoBack"/>
      <w:bookmarkEnd w:id="0"/>
      <w:r>
        <w:rPr>
          <w:rFonts w:ascii="Times New Roman" w:hAnsi="Times New Roman"/>
        </w:rPr>
        <w:t>Agenda Date:</w:t>
      </w:r>
      <w:r>
        <w:rPr>
          <w:rFonts w:ascii="Times New Roman" w:hAnsi="Times New Roman"/>
        </w:rPr>
        <w:tab/>
      </w:r>
      <w:r>
        <w:rPr>
          <w:rFonts w:ascii="Times New Roman" w:hAnsi="Times New Roman"/>
        </w:rPr>
        <w:tab/>
        <w:t>September</w:t>
      </w:r>
      <w:r w:rsidR="007C461D" w:rsidRPr="007C2800">
        <w:rPr>
          <w:rFonts w:ascii="Times New Roman" w:hAnsi="Times New Roman"/>
        </w:rPr>
        <w:t xml:space="preserve"> 12, 2013</w:t>
      </w:r>
    </w:p>
    <w:p w14:paraId="63FD8E84" w14:textId="4DE95E0D" w:rsidR="007C461D" w:rsidRPr="007C2800" w:rsidRDefault="007C461D" w:rsidP="007C461D">
      <w:pPr>
        <w:ind w:left="2160" w:hanging="2160"/>
        <w:rPr>
          <w:rFonts w:ascii="Times New Roman" w:hAnsi="Times New Roman"/>
        </w:rPr>
      </w:pPr>
      <w:r w:rsidRPr="007C2800">
        <w:rPr>
          <w:rFonts w:ascii="Times New Roman" w:hAnsi="Times New Roman"/>
        </w:rPr>
        <w:t>Item Number:</w:t>
      </w:r>
      <w:r w:rsidRPr="007C2800">
        <w:rPr>
          <w:rFonts w:ascii="Times New Roman" w:hAnsi="Times New Roman"/>
        </w:rPr>
        <w:tab/>
      </w:r>
      <w:r w:rsidR="00165D5C">
        <w:rPr>
          <w:rFonts w:ascii="Times New Roman" w:hAnsi="Times New Roman"/>
        </w:rPr>
        <w:t>A2</w:t>
      </w:r>
    </w:p>
    <w:p w14:paraId="63FD8E85" w14:textId="77777777" w:rsidR="007C461D" w:rsidRPr="007C2800" w:rsidRDefault="007C461D" w:rsidP="007C461D">
      <w:pPr>
        <w:rPr>
          <w:rFonts w:ascii="Times New Roman" w:hAnsi="Times New Roman"/>
          <w:highlight w:val="yellow"/>
        </w:rPr>
      </w:pPr>
    </w:p>
    <w:p w14:paraId="63FD8E86" w14:textId="77777777" w:rsidR="007C461D" w:rsidRPr="007C2800" w:rsidRDefault="007C461D" w:rsidP="007C461D">
      <w:pPr>
        <w:rPr>
          <w:rFonts w:ascii="Times New Roman" w:hAnsi="Times New Roman"/>
          <w:b/>
          <w:bCs/>
        </w:rPr>
      </w:pPr>
      <w:r w:rsidRPr="007C2800">
        <w:rPr>
          <w:rFonts w:ascii="Times New Roman" w:hAnsi="Times New Roman"/>
          <w:b/>
          <w:bCs/>
        </w:rPr>
        <w:t>Docket:</w:t>
      </w:r>
      <w:r w:rsidRPr="007C2800">
        <w:rPr>
          <w:rFonts w:ascii="Times New Roman" w:hAnsi="Times New Roman"/>
          <w:b/>
          <w:bCs/>
        </w:rPr>
        <w:tab/>
      </w:r>
      <w:r w:rsidRPr="007C2800">
        <w:rPr>
          <w:rFonts w:ascii="Times New Roman" w:hAnsi="Times New Roman"/>
          <w:b/>
          <w:bCs/>
        </w:rPr>
        <w:tab/>
        <w:t>UE-131072</w:t>
      </w:r>
    </w:p>
    <w:p w14:paraId="63FD8E87" w14:textId="77777777" w:rsidR="007C461D" w:rsidRPr="007C2800" w:rsidRDefault="007C461D" w:rsidP="007C461D">
      <w:pPr>
        <w:ind w:left="2160" w:hanging="2160"/>
        <w:rPr>
          <w:rFonts w:ascii="Times New Roman" w:hAnsi="Times New Roman"/>
        </w:rPr>
      </w:pPr>
      <w:r w:rsidRPr="007C2800">
        <w:rPr>
          <w:rFonts w:ascii="Times New Roman" w:hAnsi="Times New Roman"/>
        </w:rPr>
        <w:t>Company:</w:t>
      </w:r>
      <w:r w:rsidRPr="007C2800">
        <w:rPr>
          <w:rFonts w:ascii="Times New Roman" w:hAnsi="Times New Roman"/>
        </w:rPr>
        <w:tab/>
        <w:t>Puget Sound Energy</w:t>
      </w:r>
    </w:p>
    <w:p w14:paraId="63FD8E88" w14:textId="77777777" w:rsidR="007C461D" w:rsidRPr="007C2800" w:rsidRDefault="007C461D" w:rsidP="007C461D">
      <w:pPr>
        <w:rPr>
          <w:rFonts w:ascii="Times New Roman" w:hAnsi="Times New Roman"/>
          <w:highlight w:val="yellow"/>
        </w:rPr>
      </w:pPr>
    </w:p>
    <w:p w14:paraId="63FD8E89" w14:textId="77777777" w:rsidR="007C461D" w:rsidRPr="007C2800" w:rsidRDefault="007C461D" w:rsidP="007C461D">
      <w:pPr>
        <w:rPr>
          <w:rFonts w:ascii="Times New Roman" w:hAnsi="Times New Roman"/>
        </w:rPr>
      </w:pPr>
      <w:r w:rsidRPr="007C2800">
        <w:rPr>
          <w:rFonts w:ascii="Times New Roman" w:hAnsi="Times New Roman"/>
        </w:rPr>
        <w:t>Staff:</w:t>
      </w:r>
      <w:r w:rsidRPr="007C2800">
        <w:rPr>
          <w:rFonts w:ascii="Times New Roman" w:hAnsi="Times New Roman"/>
        </w:rPr>
        <w:tab/>
      </w:r>
      <w:r w:rsidRPr="007C2800">
        <w:rPr>
          <w:rFonts w:ascii="Times New Roman" w:hAnsi="Times New Roman"/>
        </w:rPr>
        <w:tab/>
      </w:r>
      <w:r w:rsidRPr="007C2800">
        <w:rPr>
          <w:rFonts w:ascii="Times New Roman" w:hAnsi="Times New Roman"/>
        </w:rPr>
        <w:tab/>
        <w:t>Jeremy Twitchell, Regulatory Analyst</w:t>
      </w:r>
    </w:p>
    <w:p w14:paraId="63FD8E8A" w14:textId="77777777" w:rsidR="007C461D" w:rsidRPr="007C2800" w:rsidRDefault="007C461D" w:rsidP="007C461D">
      <w:pPr>
        <w:ind w:left="1440" w:firstLine="720"/>
        <w:rPr>
          <w:rFonts w:ascii="Times New Roman" w:hAnsi="Times New Roman"/>
        </w:rPr>
      </w:pPr>
      <w:r w:rsidRPr="007C2800">
        <w:rPr>
          <w:rFonts w:ascii="Times New Roman" w:hAnsi="Times New Roman"/>
        </w:rPr>
        <w:t xml:space="preserve">Chris McGuire, Regulatory Analyst </w:t>
      </w:r>
    </w:p>
    <w:p w14:paraId="63FD8E8B" w14:textId="77777777" w:rsidR="007C461D" w:rsidRPr="007C2800" w:rsidRDefault="007C461D" w:rsidP="007C461D">
      <w:pPr>
        <w:ind w:left="2160"/>
        <w:rPr>
          <w:rFonts w:ascii="Times New Roman" w:hAnsi="Times New Roman"/>
        </w:rPr>
      </w:pPr>
      <w:r w:rsidRPr="007C2800">
        <w:rPr>
          <w:rFonts w:ascii="Times New Roman" w:hAnsi="Times New Roman"/>
        </w:rPr>
        <w:t>Deborah Reynolds, Assistant Director, Conservation and Energy Planning</w:t>
      </w:r>
    </w:p>
    <w:p w14:paraId="63FD8E8C" w14:textId="77777777" w:rsidR="007C461D" w:rsidRDefault="007C461D" w:rsidP="007C461D">
      <w:pPr>
        <w:rPr>
          <w:rFonts w:ascii="Times New Roman" w:hAnsi="Times New Roman"/>
        </w:rPr>
      </w:pPr>
    </w:p>
    <w:p w14:paraId="37D46B2F" w14:textId="77777777" w:rsidR="00C83E24" w:rsidRPr="007C2800" w:rsidRDefault="00C83E24" w:rsidP="007C461D">
      <w:pPr>
        <w:rPr>
          <w:rFonts w:ascii="Times New Roman" w:hAnsi="Times New Roman"/>
        </w:rPr>
      </w:pPr>
    </w:p>
    <w:p w14:paraId="63FD8E8D" w14:textId="77777777" w:rsidR="007C461D" w:rsidRPr="007C2800" w:rsidRDefault="007C461D" w:rsidP="007C461D">
      <w:pPr>
        <w:rPr>
          <w:rFonts w:ascii="Times New Roman" w:hAnsi="Times New Roman"/>
          <w:b/>
          <w:bCs/>
          <w:u w:val="single"/>
        </w:rPr>
      </w:pPr>
      <w:r w:rsidRPr="007C2800">
        <w:rPr>
          <w:rFonts w:ascii="Times New Roman" w:hAnsi="Times New Roman"/>
          <w:b/>
          <w:bCs/>
          <w:u w:val="single"/>
        </w:rPr>
        <w:t>Recommendation</w:t>
      </w:r>
    </w:p>
    <w:p w14:paraId="63FD8E8E" w14:textId="77777777" w:rsidR="007C461D" w:rsidRPr="007C2800" w:rsidRDefault="007C461D" w:rsidP="007C461D">
      <w:pPr>
        <w:rPr>
          <w:rFonts w:ascii="Times New Roman" w:hAnsi="Times New Roman"/>
        </w:rPr>
      </w:pPr>
    </w:p>
    <w:p w14:paraId="63FD8E8F" w14:textId="525822AA" w:rsidR="007C461D" w:rsidRPr="007C2800" w:rsidRDefault="00DA2418" w:rsidP="007C461D">
      <w:pPr>
        <w:rPr>
          <w:rFonts w:ascii="Times New Roman" w:hAnsi="Times New Roman"/>
        </w:rPr>
      </w:pPr>
      <w:r w:rsidRPr="007C2800">
        <w:rPr>
          <w:rFonts w:ascii="Times New Roman" w:hAnsi="Times New Roman"/>
        </w:rPr>
        <w:t xml:space="preserve">Take no action in Docket UE-131072, </w:t>
      </w:r>
      <w:r w:rsidR="006E044B" w:rsidRPr="007C2800">
        <w:rPr>
          <w:rFonts w:ascii="Times New Roman" w:hAnsi="Times New Roman"/>
        </w:rPr>
        <w:t>keeping</w:t>
      </w:r>
      <w:r w:rsidRPr="007C2800">
        <w:rPr>
          <w:rFonts w:ascii="Times New Roman" w:hAnsi="Times New Roman"/>
        </w:rPr>
        <w:t xml:space="preserve"> the docket open for future compliance filings</w:t>
      </w:r>
      <w:r w:rsidR="007C461D" w:rsidRPr="007C2800">
        <w:rPr>
          <w:rFonts w:ascii="Times New Roman" w:hAnsi="Times New Roman"/>
        </w:rPr>
        <w:t>.</w:t>
      </w:r>
    </w:p>
    <w:p w14:paraId="63FD8E90" w14:textId="77777777" w:rsidR="007C461D" w:rsidRPr="007C2800" w:rsidRDefault="007C461D" w:rsidP="007C461D">
      <w:pPr>
        <w:rPr>
          <w:rFonts w:ascii="Times New Roman" w:hAnsi="Times New Roman"/>
        </w:rPr>
      </w:pPr>
    </w:p>
    <w:p w14:paraId="63FD8E91" w14:textId="77777777" w:rsidR="007C461D" w:rsidRPr="007C2800" w:rsidRDefault="007C461D" w:rsidP="007C461D">
      <w:pPr>
        <w:rPr>
          <w:rFonts w:ascii="Times New Roman" w:hAnsi="Times New Roman"/>
          <w:b/>
          <w:u w:val="single"/>
        </w:rPr>
      </w:pPr>
      <w:r w:rsidRPr="007C2800">
        <w:rPr>
          <w:rFonts w:ascii="Times New Roman" w:hAnsi="Times New Roman"/>
          <w:b/>
          <w:u w:val="single"/>
        </w:rPr>
        <w:t>Background</w:t>
      </w:r>
    </w:p>
    <w:p w14:paraId="63FD8E92" w14:textId="77777777" w:rsidR="007C461D" w:rsidRPr="007C2800" w:rsidRDefault="007C461D" w:rsidP="007C461D">
      <w:pPr>
        <w:rPr>
          <w:rFonts w:ascii="Times New Roman" w:hAnsi="Times New Roman"/>
        </w:rPr>
      </w:pPr>
    </w:p>
    <w:p w14:paraId="63FD8E93" w14:textId="781A568A" w:rsidR="00C56DD4" w:rsidRPr="007C2800" w:rsidRDefault="007C461D" w:rsidP="007C461D">
      <w:pPr>
        <w:rPr>
          <w:rFonts w:ascii="Times New Roman" w:hAnsi="Times New Roman"/>
        </w:rPr>
      </w:pPr>
      <w:r w:rsidRPr="007C2800">
        <w:rPr>
          <w:rFonts w:ascii="Times New Roman" w:hAnsi="Times New Roman"/>
        </w:rPr>
        <w:t xml:space="preserve">At the July 26, 2013, </w:t>
      </w:r>
      <w:r w:rsidR="004028D0" w:rsidRPr="007C2800">
        <w:rPr>
          <w:rFonts w:ascii="Times New Roman" w:hAnsi="Times New Roman"/>
        </w:rPr>
        <w:t>open meeting</w:t>
      </w:r>
      <w:r w:rsidRPr="007C2800">
        <w:rPr>
          <w:rFonts w:ascii="Times New Roman" w:hAnsi="Times New Roman"/>
        </w:rPr>
        <w:t xml:space="preserve">, the </w:t>
      </w:r>
      <w:r w:rsidR="00464EB7" w:rsidRPr="007C2800">
        <w:rPr>
          <w:rFonts w:ascii="Times New Roman" w:hAnsi="Times New Roman"/>
        </w:rPr>
        <w:t>c</w:t>
      </w:r>
      <w:r w:rsidRPr="007C2800">
        <w:rPr>
          <w:rFonts w:ascii="Times New Roman" w:hAnsi="Times New Roman"/>
        </w:rPr>
        <w:t xml:space="preserve">ommission considered the annual Renewable Portfolio Standard (RPS) compliance report of Puget Sound Energy, Inc. (PSE or </w:t>
      </w:r>
      <w:r w:rsidR="004A013E" w:rsidRPr="007C2800">
        <w:rPr>
          <w:rFonts w:ascii="Times New Roman" w:hAnsi="Times New Roman"/>
        </w:rPr>
        <w:t>c</w:t>
      </w:r>
      <w:r w:rsidRPr="007C2800">
        <w:rPr>
          <w:rFonts w:ascii="Times New Roman" w:hAnsi="Times New Roman"/>
        </w:rPr>
        <w:t>ompany) required by RCW 19.285.070 and WAC 480-109-040.</w:t>
      </w:r>
      <w:r w:rsidR="0019020F" w:rsidRPr="007C2800">
        <w:rPr>
          <w:rStyle w:val="FootnoteReference"/>
          <w:rFonts w:ascii="Times New Roman" w:hAnsi="Times New Roman"/>
        </w:rPr>
        <w:footnoteReference w:id="1"/>
      </w:r>
      <w:r w:rsidR="0019020F" w:rsidRPr="007C2800">
        <w:rPr>
          <w:rFonts w:ascii="Times New Roman" w:hAnsi="Times New Roman"/>
        </w:rPr>
        <w:t xml:space="preserve"> </w:t>
      </w:r>
      <w:r w:rsidR="00C30DB9" w:rsidRPr="007C2800">
        <w:rPr>
          <w:rFonts w:ascii="Times New Roman" w:hAnsi="Times New Roman"/>
        </w:rPr>
        <w:t xml:space="preserve">In its July 26, 2013, </w:t>
      </w:r>
      <w:r w:rsidR="004028D0" w:rsidRPr="007C2800">
        <w:rPr>
          <w:rFonts w:ascii="Times New Roman" w:hAnsi="Times New Roman"/>
        </w:rPr>
        <w:t>o</w:t>
      </w:r>
      <w:r w:rsidR="00C30DB9" w:rsidRPr="007C2800">
        <w:rPr>
          <w:rFonts w:ascii="Times New Roman" w:hAnsi="Times New Roman"/>
        </w:rPr>
        <w:t xml:space="preserve">pen </w:t>
      </w:r>
      <w:r w:rsidR="004028D0" w:rsidRPr="007C2800">
        <w:rPr>
          <w:rFonts w:ascii="Times New Roman" w:hAnsi="Times New Roman"/>
        </w:rPr>
        <w:t>m</w:t>
      </w:r>
      <w:r w:rsidR="00C30DB9" w:rsidRPr="007C2800">
        <w:rPr>
          <w:rFonts w:ascii="Times New Roman" w:hAnsi="Times New Roman"/>
        </w:rPr>
        <w:t>eetin</w:t>
      </w:r>
      <w:r w:rsidR="004028D0" w:rsidRPr="007C2800">
        <w:rPr>
          <w:rFonts w:ascii="Times New Roman" w:hAnsi="Times New Roman"/>
        </w:rPr>
        <w:t>g</w:t>
      </w:r>
      <w:r w:rsidR="00C30DB9" w:rsidRPr="007C2800">
        <w:rPr>
          <w:rFonts w:ascii="Times New Roman" w:hAnsi="Times New Roman"/>
        </w:rPr>
        <w:t xml:space="preserve"> memo</w:t>
      </w:r>
      <w:r w:rsidR="00383D06" w:rsidRPr="007C2800">
        <w:rPr>
          <w:rFonts w:ascii="Times New Roman" w:hAnsi="Times New Roman"/>
        </w:rPr>
        <w:t>randum</w:t>
      </w:r>
      <w:r w:rsidR="00C30DB9" w:rsidRPr="007C2800">
        <w:rPr>
          <w:rFonts w:ascii="Times New Roman" w:hAnsi="Times New Roman"/>
        </w:rPr>
        <w:t xml:space="preserve">, </w:t>
      </w:r>
      <w:r w:rsidR="00347EEC">
        <w:rPr>
          <w:rFonts w:ascii="Times New Roman" w:hAnsi="Times New Roman"/>
        </w:rPr>
        <w:t>s</w:t>
      </w:r>
      <w:r w:rsidR="00C56DD4" w:rsidRPr="007C2800">
        <w:rPr>
          <w:rFonts w:ascii="Times New Roman" w:hAnsi="Times New Roman"/>
        </w:rPr>
        <w:t>taff recommend</w:t>
      </w:r>
      <w:r w:rsidR="00C30DB9" w:rsidRPr="007C2800">
        <w:rPr>
          <w:rFonts w:ascii="Times New Roman" w:hAnsi="Times New Roman"/>
        </w:rPr>
        <w:t>ed</w:t>
      </w:r>
      <w:r w:rsidR="0019020F" w:rsidRPr="007C2800">
        <w:rPr>
          <w:rFonts w:ascii="Times New Roman" w:hAnsi="Times New Roman"/>
        </w:rPr>
        <w:t xml:space="preserve"> that the </w:t>
      </w:r>
      <w:r w:rsidR="004A013E" w:rsidRPr="007C2800">
        <w:rPr>
          <w:rFonts w:ascii="Times New Roman" w:hAnsi="Times New Roman"/>
        </w:rPr>
        <w:t>c</w:t>
      </w:r>
      <w:r w:rsidR="0019020F" w:rsidRPr="007C2800">
        <w:rPr>
          <w:rFonts w:ascii="Times New Roman" w:hAnsi="Times New Roman"/>
        </w:rPr>
        <w:t>ommission issue an</w:t>
      </w:r>
      <w:r w:rsidR="00C56DD4" w:rsidRPr="007C2800">
        <w:rPr>
          <w:rFonts w:ascii="Times New Roman" w:hAnsi="Times New Roman"/>
        </w:rPr>
        <w:t xml:space="preserve"> order indicating that PSE had complied with its RPS reporting requirements.</w:t>
      </w:r>
    </w:p>
    <w:p w14:paraId="63FD8E94" w14:textId="77777777" w:rsidR="00C56DD4" w:rsidRPr="007C2800" w:rsidRDefault="00C56DD4" w:rsidP="007C461D">
      <w:pPr>
        <w:rPr>
          <w:rFonts w:ascii="Times New Roman" w:hAnsi="Times New Roman"/>
        </w:rPr>
      </w:pPr>
    </w:p>
    <w:p w14:paraId="63FD8E95" w14:textId="36B62047" w:rsidR="008F01D6" w:rsidRPr="007C2800" w:rsidRDefault="00C56DD4" w:rsidP="007C461D">
      <w:pPr>
        <w:rPr>
          <w:rFonts w:ascii="Times New Roman" w:hAnsi="Times New Roman"/>
        </w:rPr>
      </w:pPr>
      <w:r w:rsidRPr="007C2800">
        <w:rPr>
          <w:rFonts w:ascii="Times New Roman" w:hAnsi="Times New Roman"/>
        </w:rPr>
        <w:t xml:space="preserve">However, </w:t>
      </w:r>
      <w:r w:rsidR="008F01D6" w:rsidRPr="007C2800">
        <w:rPr>
          <w:rFonts w:ascii="Times New Roman" w:hAnsi="Times New Roman"/>
        </w:rPr>
        <w:t>prior to the</w:t>
      </w:r>
      <w:r w:rsidR="0019020F" w:rsidRPr="007C2800">
        <w:rPr>
          <w:rFonts w:ascii="Times New Roman" w:hAnsi="Times New Roman"/>
        </w:rPr>
        <w:t xml:space="preserve"> </w:t>
      </w:r>
      <w:r w:rsidR="004028D0" w:rsidRPr="007C2800">
        <w:rPr>
          <w:rFonts w:ascii="Times New Roman" w:hAnsi="Times New Roman"/>
        </w:rPr>
        <w:t>open meeting</w:t>
      </w:r>
      <w:r w:rsidRPr="007C2800">
        <w:rPr>
          <w:rFonts w:ascii="Times New Roman" w:hAnsi="Times New Roman"/>
        </w:rPr>
        <w:t xml:space="preserve">, staff became aware of another potentially eligible resource the company owned, the Cedar Hills biogas facility. </w:t>
      </w:r>
      <w:r w:rsidR="008F01D6" w:rsidRPr="007C2800">
        <w:rPr>
          <w:rFonts w:ascii="Times New Roman" w:hAnsi="Times New Roman"/>
        </w:rPr>
        <w:t xml:space="preserve">Since RCW 19.285.070(1) requires each utility’s RPS report to include “the amount of megawatt-hours of each type of eligible renewable resource acquired,” </w:t>
      </w:r>
      <w:r w:rsidR="004A013E" w:rsidRPr="007C2800">
        <w:rPr>
          <w:rFonts w:ascii="Times New Roman" w:hAnsi="Times New Roman"/>
        </w:rPr>
        <w:t>s</w:t>
      </w:r>
      <w:r w:rsidR="008F01D6" w:rsidRPr="007C2800">
        <w:rPr>
          <w:rFonts w:ascii="Times New Roman" w:hAnsi="Times New Roman"/>
        </w:rPr>
        <w:t>taff</w:t>
      </w:r>
      <w:r w:rsidR="0019020F" w:rsidRPr="007C2800">
        <w:rPr>
          <w:rFonts w:ascii="Times New Roman" w:hAnsi="Times New Roman"/>
        </w:rPr>
        <w:t xml:space="preserve"> believed that the omission of Cedar Hills, if it </w:t>
      </w:r>
      <w:r w:rsidR="00C30DB9" w:rsidRPr="007C2800">
        <w:rPr>
          <w:rFonts w:ascii="Times New Roman" w:hAnsi="Times New Roman"/>
        </w:rPr>
        <w:t>were</w:t>
      </w:r>
      <w:r w:rsidR="0019020F" w:rsidRPr="007C2800">
        <w:rPr>
          <w:rFonts w:ascii="Times New Roman" w:hAnsi="Times New Roman"/>
        </w:rPr>
        <w:t xml:space="preserve"> an eligible resource, would render PSE’s compliance report incomplete.</w:t>
      </w:r>
      <w:r w:rsidR="008F01D6" w:rsidRPr="007C2800">
        <w:rPr>
          <w:rFonts w:ascii="Times New Roman" w:hAnsi="Times New Roman"/>
        </w:rPr>
        <w:t xml:space="preserve"> </w:t>
      </w:r>
      <w:r w:rsidR="0019020F" w:rsidRPr="007C2800">
        <w:rPr>
          <w:rFonts w:ascii="Times New Roman" w:hAnsi="Times New Roman"/>
        </w:rPr>
        <w:t xml:space="preserve">At the </w:t>
      </w:r>
      <w:r w:rsidR="004028D0" w:rsidRPr="007C2800">
        <w:rPr>
          <w:rFonts w:ascii="Times New Roman" w:hAnsi="Times New Roman"/>
        </w:rPr>
        <w:t>open meeting</w:t>
      </w:r>
      <w:r w:rsidR="0019020F" w:rsidRPr="007C2800">
        <w:rPr>
          <w:rFonts w:ascii="Times New Roman" w:hAnsi="Times New Roman"/>
        </w:rPr>
        <w:t xml:space="preserve">, </w:t>
      </w:r>
      <w:r w:rsidR="004A013E" w:rsidRPr="007C2800">
        <w:rPr>
          <w:rFonts w:ascii="Times New Roman" w:hAnsi="Times New Roman"/>
        </w:rPr>
        <w:t>s</w:t>
      </w:r>
      <w:r w:rsidR="0019020F" w:rsidRPr="007C2800">
        <w:rPr>
          <w:rFonts w:ascii="Times New Roman" w:hAnsi="Times New Roman"/>
        </w:rPr>
        <w:t>taff requested that the</w:t>
      </w:r>
      <w:r w:rsidR="008F01D6" w:rsidRPr="007C2800">
        <w:rPr>
          <w:rFonts w:ascii="Times New Roman" w:hAnsi="Times New Roman"/>
        </w:rPr>
        <w:t xml:space="preserve"> </w:t>
      </w:r>
      <w:r w:rsidR="004A013E" w:rsidRPr="007C2800">
        <w:rPr>
          <w:rFonts w:ascii="Times New Roman" w:hAnsi="Times New Roman"/>
        </w:rPr>
        <w:t>c</w:t>
      </w:r>
      <w:r w:rsidR="008F01D6" w:rsidRPr="007C2800">
        <w:rPr>
          <w:rFonts w:ascii="Times New Roman" w:hAnsi="Times New Roman"/>
        </w:rPr>
        <w:t xml:space="preserve">ompany </w:t>
      </w:r>
      <w:r w:rsidR="0019020F" w:rsidRPr="007C2800">
        <w:rPr>
          <w:rFonts w:ascii="Times New Roman" w:hAnsi="Times New Roman"/>
        </w:rPr>
        <w:t>explain</w:t>
      </w:r>
      <w:r w:rsidR="008F01D6" w:rsidRPr="007C2800">
        <w:rPr>
          <w:rFonts w:ascii="Times New Roman" w:hAnsi="Times New Roman"/>
        </w:rPr>
        <w:t xml:space="preserve"> why the Cedar Hills facility had not been included in the amended report and assure the </w:t>
      </w:r>
      <w:r w:rsidR="004A013E" w:rsidRPr="007C2800">
        <w:rPr>
          <w:rFonts w:ascii="Times New Roman" w:hAnsi="Times New Roman"/>
        </w:rPr>
        <w:t>c</w:t>
      </w:r>
      <w:r w:rsidR="008F01D6" w:rsidRPr="007C2800">
        <w:rPr>
          <w:rFonts w:ascii="Times New Roman" w:hAnsi="Times New Roman"/>
        </w:rPr>
        <w:t>ommission that no</w:t>
      </w:r>
      <w:r w:rsidR="00216136" w:rsidRPr="007C2800">
        <w:rPr>
          <w:rFonts w:ascii="Times New Roman" w:hAnsi="Times New Roman"/>
        </w:rPr>
        <w:t xml:space="preserve"> other</w:t>
      </w:r>
      <w:r w:rsidR="008F01D6" w:rsidRPr="007C2800">
        <w:rPr>
          <w:rFonts w:ascii="Times New Roman" w:hAnsi="Times New Roman"/>
        </w:rPr>
        <w:t xml:space="preserve"> RPS-eligible resources had been omitted.</w:t>
      </w:r>
    </w:p>
    <w:p w14:paraId="63FD8E96" w14:textId="77777777" w:rsidR="008F01D6" w:rsidRPr="007C2800" w:rsidRDefault="008F01D6" w:rsidP="007C461D">
      <w:pPr>
        <w:rPr>
          <w:rFonts w:ascii="Times New Roman" w:hAnsi="Times New Roman"/>
        </w:rPr>
      </w:pPr>
    </w:p>
    <w:p w14:paraId="63FD8E97" w14:textId="3567A0D2" w:rsidR="00C56DD4" w:rsidRPr="007C2800" w:rsidRDefault="008F01D6" w:rsidP="007C461D">
      <w:pPr>
        <w:rPr>
          <w:rFonts w:ascii="Times New Roman" w:hAnsi="Times New Roman"/>
        </w:rPr>
      </w:pPr>
      <w:r w:rsidRPr="007C2800">
        <w:rPr>
          <w:rFonts w:ascii="Times New Roman" w:hAnsi="Times New Roman"/>
        </w:rPr>
        <w:t xml:space="preserve">Company representatives informed the </w:t>
      </w:r>
      <w:r w:rsidR="004A013E" w:rsidRPr="007C2800">
        <w:rPr>
          <w:rFonts w:ascii="Times New Roman" w:hAnsi="Times New Roman"/>
        </w:rPr>
        <w:t>c</w:t>
      </w:r>
      <w:r w:rsidRPr="007C2800">
        <w:rPr>
          <w:rFonts w:ascii="Times New Roman" w:hAnsi="Times New Roman"/>
        </w:rPr>
        <w:t xml:space="preserve">ommission that the biogas facility can be used to produce Renewable Identification Numbers (RINs), which are tradable certificates that refiners can use to comply with the federal Renewable Fuels Standard. The </w:t>
      </w:r>
      <w:r w:rsidR="004A013E" w:rsidRPr="007C2800">
        <w:rPr>
          <w:rFonts w:ascii="Times New Roman" w:hAnsi="Times New Roman"/>
        </w:rPr>
        <w:t>c</w:t>
      </w:r>
      <w:r w:rsidRPr="007C2800">
        <w:rPr>
          <w:rFonts w:ascii="Times New Roman" w:hAnsi="Times New Roman"/>
        </w:rPr>
        <w:t xml:space="preserve">ompany stated </w:t>
      </w:r>
      <w:r w:rsidR="0019020F" w:rsidRPr="007C2800">
        <w:rPr>
          <w:rFonts w:ascii="Times New Roman" w:hAnsi="Times New Roman"/>
        </w:rPr>
        <w:t>RINs</w:t>
      </w:r>
      <w:r w:rsidRPr="007C2800">
        <w:rPr>
          <w:rFonts w:ascii="Times New Roman" w:hAnsi="Times New Roman"/>
        </w:rPr>
        <w:t xml:space="preserve"> are more valuable than the Renewable Energy Certificates (RECs) used for RPS compliance, and the </w:t>
      </w:r>
      <w:r w:rsidR="004A013E" w:rsidRPr="007C2800">
        <w:rPr>
          <w:rFonts w:ascii="Times New Roman" w:hAnsi="Times New Roman"/>
        </w:rPr>
        <w:t>c</w:t>
      </w:r>
      <w:r w:rsidRPr="007C2800">
        <w:rPr>
          <w:rFonts w:ascii="Times New Roman" w:hAnsi="Times New Roman"/>
        </w:rPr>
        <w:t xml:space="preserve">ompany is working to certify the facility for RIN production. The </w:t>
      </w:r>
      <w:r w:rsidR="004A013E" w:rsidRPr="007C2800">
        <w:rPr>
          <w:rFonts w:ascii="Times New Roman" w:hAnsi="Times New Roman"/>
        </w:rPr>
        <w:t>c</w:t>
      </w:r>
      <w:r w:rsidRPr="007C2800">
        <w:rPr>
          <w:rFonts w:ascii="Times New Roman" w:hAnsi="Times New Roman"/>
        </w:rPr>
        <w:t>ompany also stated that it does not own or purchase any other RPS-eligible resources.</w:t>
      </w:r>
    </w:p>
    <w:p w14:paraId="63FD8E98" w14:textId="77777777" w:rsidR="008F01D6" w:rsidRPr="007C2800" w:rsidRDefault="008F01D6" w:rsidP="007C461D">
      <w:pPr>
        <w:rPr>
          <w:rFonts w:ascii="Times New Roman" w:hAnsi="Times New Roman"/>
        </w:rPr>
      </w:pPr>
    </w:p>
    <w:p w14:paraId="63FD8E99" w14:textId="1D1CF5E3" w:rsidR="008F01D6" w:rsidRPr="007C2800" w:rsidRDefault="008F01D6" w:rsidP="007C461D">
      <w:pPr>
        <w:rPr>
          <w:rFonts w:ascii="Times New Roman" w:hAnsi="Times New Roman"/>
        </w:rPr>
      </w:pPr>
      <w:r w:rsidRPr="007C2800">
        <w:rPr>
          <w:rFonts w:ascii="Times New Roman" w:hAnsi="Times New Roman"/>
        </w:rPr>
        <w:t xml:space="preserve">The </w:t>
      </w:r>
      <w:r w:rsidR="004A013E" w:rsidRPr="007C2800">
        <w:rPr>
          <w:rFonts w:ascii="Times New Roman" w:hAnsi="Times New Roman"/>
        </w:rPr>
        <w:t>c</w:t>
      </w:r>
      <w:r w:rsidRPr="007C2800">
        <w:rPr>
          <w:rFonts w:ascii="Times New Roman" w:hAnsi="Times New Roman"/>
        </w:rPr>
        <w:t xml:space="preserve">ommission voted to issue an order indicating that PSE had met its RPS reporting requirements, but directed </w:t>
      </w:r>
      <w:r w:rsidR="004A013E" w:rsidRPr="007C2800">
        <w:rPr>
          <w:rFonts w:ascii="Times New Roman" w:hAnsi="Times New Roman"/>
        </w:rPr>
        <w:t>s</w:t>
      </w:r>
      <w:r w:rsidRPr="007C2800">
        <w:rPr>
          <w:rFonts w:ascii="Times New Roman" w:hAnsi="Times New Roman"/>
        </w:rPr>
        <w:t xml:space="preserve">taff to follow up with the </w:t>
      </w:r>
      <w:r w:rsidR="004A013E" w:rsidRPr="007C2800">
        <w:rPr>
          <w:rFonts w:ascii="Times New Roman" w:hAnsi="Times New Roman"/>
        </w:rPr>
        <w:t>c</w:t>
      </w:r>
      <w:r w:rsidRPr="007C2800">
        <w:rPr>
          <w:rFonts w:ascii="Times New Roman" w:hAnsi="Times New Roman"/>
        </w:rPr>
        <w:t xml:space="preserve">ompany and verify that there are no other eligible resources in PSE’s portfolio. The </w:t>
      </w:r>
      <w:r w:rsidR="004A013E" w:rsidRPr="007C2800">
        <w:rPr>
          <w:rFonts w:ascii="Times New Roman" w:hAnsi="Times New Roman"/>
        </w:rPr>
        <w:t>c</w:t>
      </w:r>
      <w:r w:rsidRPr="007C2800">
        <w:rPr>
          <w:rFonts w:ascii="Times New Roman" w:hAnsi="Times New Roman"/>
        </w:rPr>
        <w:t xml:space="preserve">ommission indicated that it would amend the order to </w:t>
      </w:r>
      <w:r w:rsidRPr="007C2800">
        <w:rPr>
          <w:rFonts w:ascii="Times New Roman" w:hAnsi="Times New Roman"/>
        </w:rPr>
        <w:lastRenderedPageBreak/>
        <w:t xml:space="preserve">reflect that the </w:t>
      </w:r>
      <w:r w:rsidR="004A013E" w:rsidRPr="007C2800">
        <w:rPr>
          <w:rFonts w:ascii="Times New Roman" w:hAnsi="Times New Roman"/>
        </w:rPr>
        <w:t>c</w:t>
      </w:r>
      <w:r w:rsidRPr="007C2800">
        <w:rPr>
          <w:rFonts w:ascii="Times New Roman" w:hAnsi="Times New Roman"/>
        </w:rPr>
        <w:t xml:space="preserve">ompany had not met its reporting requirements if </w:t>
      </w:r>
      <w:r w:rsidR="004A013E" w:rsidRPr="007C2800">
        <w:rPr>
          <w:rFonts w:ascii="Times New Roman" w:hAnsi="Times New Roman"/>
        </w:rPr>
        <w:t>s</w:t>
      </w:r>
      <w:r w:rsidRPr="007C2800">
        <w:rPr>
          <w:rFonts w:ascii="Times New Roman" w:hAnsi="Times New Roman"/>
        </w:rPr>
        <w:t>taff determined that other eligible resources existed.</w:t>
      </w:r>
    </w:p>
    <w:p w14:paraId="63FD8E9A" w14:textId="77777777" w:rsidR="007C461D" w:rsidRPr="007C2800" w:rsidRDefault="007C461D" w:rsidP="007C461D">
      <w:pPr>
        <w:rPr>
          <w:rFonts w:ascii="Times New Roman" w:hAnsi="Times New Roman"/>
        </w:rPr>
      </w:pPr>
    </w:p>
    <w:p w14:paraId="63FD8E9B" w14:textId="77777777" w:rsidR="007C461D" w:rsidRPr="007C2800" w:rsidRDefault="007C461D" w:rsidP="007C461D">
      <w:pPr>
        <w:rPr>
          <w:rFonts w:ascii="Times New Roman" w:hAnsi="Times New Roman"/>
          <w:b/>
          <w:u w:val="single"/>
        </w:rPr>
      </w:pPr>
      <w:r w:rsidRPr="007C2800">
        <w:rPr>
          <w:rFonts w:ascii="Times New Roman" w:hAnsi="Times New Roman"/>
          <w:b/>
          <w:u w:val="single"/>
        </w:rPr>
        <w:t>Discussion</w:t>
      </w:r>
    </w:p>
    <w:p w14:paraId="63FD8E9C" w14:textId="77777777" w:rsidR="007C461D" w:rsidRPr="007C2800" w:rsidRDefault="007C461D" w:rsidP="007C461D">
      <w:pPr>
        <w:rPr>
          <w:rFonts w:ascii="Times New Roman" w:hAnsi="Times New Roman"/>
        </w:rPr>
      </w:pPr>
    </w:p>
    <w:p w14:paraId="63FD8E9D" w14:textId="666B92FA" w:rsidR="00AA2DBC" w:rsidRPr="007C2800" w:rsidRDefault="00AA2DBC" w:rsidP="007C461D">
      <w:pPr>
        <w:rPr>
          <w:rFonts w:ascii="Times New Roman" w:hAnsi="Times New Roman"/>
        </w:rPr>
      </w:pPr>
      <w:r w:rsidRPr="007C2800">
        <w:rPr>
          <w:rFonts w:ascii="Times New Roman" w:hAnsi="Times New Roman"/>
        </w:rPr>
        <w:t xml:space="preserve">At </w:t>
      </w:r>
      <w:r w:rsidR="004A013E" w:rsidRPr="007C2800">
        <w:rPr>
          <w:rFonts w:ascii="Times New Roman" w:hAnsi="Times New Roman"/>
        </w:rPr>
        <w:t>s</w:t>
      </w:r>
      <w:r w:rsidRPr="007C2800">
        <w:rPr>
          <w:rFonts w:ascii="Times New Roman" w:hAnsi="Times New Roman"/>
        </w:rPr>
        <w:t xml:space="preserve">taff’s request, PSE prepared a list of every </w:t>
      </w:r>
      <w:r w:rsidR="001E04A2" w:rsidRPr="007C2800">
        <w:rPr>
          <w:rFonts w:ascii="Times New Roman" w:hAnsi="Times New Roman"/>
        </w:rPr>
        <w:t xml:space="preserve">generating </w:t>
      </w:r>
      <w:r w:rsidRPr="007C2800">
        <w:rPr>
          <w:rFonts w:ascii="Times New Roman" w:hAnsi="Times New Roman"/>
        </w:rPr>
        <w:t xml:space="preserve">resource the </w:t>
      </w:r>
      <w:r w:rsidR="004A013E" w:rsidRPr="007C2800">
        <w:rPr>
          <w:rFonts w:ascii="Times New Roman" w:hAnsi="Times New Roman"/>
        </w:rPr>
        <w:t>c</w:t>
      </w:r>
      <w:r w:rsidRPr="007C2800">
        <w:rPr>
          <w:rFonts w:ascii="Times New Roman" w:hAnsi="Times New Roman"/>
        </w:rPr>
        <w:t xml:space="preserve">ompany owns or </w:t>
      </w:r>
      <w:r w:rsidR="0019020F" w:rsidRPr="007C2800">
        <w:rPr>
          <w:rFonts w:ascii="Times New Roman" w:hAnsi="Times New Roman"/>
        </w:rPr>
        <w:t>whose output it purchases</w:t>
      </w:r>
      <w:r w:rsidR="006110E8" w:rsidRPr="007C2800">
        <w:rPr>
          <w:rFonts w:ascii="Times New Roman" w:hAnsi="Times New Roman"/>
        </w:rPr>
        <w:t xml:space="preserve"> (Attachment A)</w:t>
      </w:r>
      <w:r w:rsidRPr="007C2800">
        <w:rPr>
          <w:rFonts w:ascii="Times New Roman" w:hAnsi="Times New Roman"/>
        </w:rPr>
        <w:t>. The list indicated whether each facility was an eligible renewable resource; whether it was registered in the Western Renewable Energy Generation Information System (WREGIS); and whether</w:t>
      </w:r>
      <w:r w:rsidR="001E04A2" w:rsidRPr="007C2800">
        <w:rPr>
          <w:rFonts w:ascii="Times New Roman" w:hAnsi="Times New Roman"/>
        </w:rPr>
        <w:t xml:space="preserve"> it</w:t>
      </w:r>
      <w:r w:rsidRPr="007C2800">
        <w:rPr>
          <w:rFonts w:ascii="Times New Roman" w:hAnsi="Times New Roman"/>
        </w:rPr>
        <w:t xml:space="preserve"> is used for RPS compliance, for the </w:t>
      </w:r>
      <w:r w:rsidR="004A013E" w:rsidRPr="007C2800">
        <w:rPr>
          <w:rFonts w:ascii="Times New Roman" w:hAnsi="Times New Roman"/>
        </w:rPr>
        <w:t>c</w:t>
      </w:r>
      <w:r w:rsidRPr="007C2800">
        <w:rPr>
          <w:rFonts w:ascii="Times New Roman" w:hAnsi="Times New Roman"/>
        </w:rPr>
        <w:t xml:space="preserve">ompany’s Green Power Program, or </w:t>
      </w:r>
      <w:r w:rsidR="001E04A2" w:rsidRPr="007C2800">
        <w:rPr>
          <w:rFonts w:ascii="Times New Roman" w:hAnsi="Times New Roman"/>
        </w:rPr>
        <w:t>neither</w:t>
      </w:r>
      <w:r w:rsidRPr="007C2800">
        <w:rPr>
          <w:rFonts w:ascii="Times New Roman" w:hAnsi="Times New Roman"/>
        </w:rPr>
        <w:t>.</w:t>
      </w:r>
    </w:p>
    <w:p w14:paraId="63FD8E9E" w14:textId="77777777" w:rsidR="00AA2DBC" w:rsidRPr="007C2800" w:rsidRDefault="00AA2DBC" w:rsidP="007C461D">
      <w:pPr>
        <w:rPr>
          <w:rFonts w:ascii="Times New Roman" w:hAnsi="Times New Roman"/>
        </w:rPr>
      </w:pPr>
    </w:p>
    <w:p w14:paraId="63FD8E9F" w14:textId="3BD9C589" w:rsidR="00AA2DBC" w:rsidRPr="007C2800" w:rsidRDefault="00AA2DBC" w:rsidP="007C461D">
      <w:pPr>
        <w:rPr>
          <w:rFonts w:ascii="Times New Roman" w:hAnsi="Times New Roman"/>
        </w:rPr>
      </w:pPr>
      <w:r w:rsidRPr="007C2800">
        <w:rPr>
          <w:rFonts w:ascii="Times New Roman" w:hAnsi="Times New Roman"/>
        </w:rPr>
        <w:t xml:space="preserve">The list included all qualifying facilities from which the </w:t>
      </w:r>
      <w:r w:rsidR="004A013E" w:rsidRPr="007C2800">
        <w:rPr>
          <w:rFonts w:ascii="Times New Roman" w:hAnsi="Times New Roman"/>
        </w:rPr>
        <w:t>c</w:t>
      </w:r>
      <w:r w:rsidRPr="007C2800">
        <w:rPr>
          <w:rFonts w:ascii="Times New Roman" w:hAnsi="Times New Roman"/>
        </w:rPr>
        <w:t xml:space="preserve">ompany purchases power </w:t>
      </w:r>
      <w:r w:rsidR="001E04A2" w:rsidRPr="007C2800">
        <w:rPr>
          <w:rFonts w:ascii="Times New Roman" w:hAnsi="Times New Roman"/>
        </w:rPr>
        <w:t>under</w:t>
      </w:r>
      <w:r w:rsidRPr="007C2800">
        <w:rPr>
          <w:rFonts w:ascii="Times New Roman" w:hAnsi="Times New Roman"/>
        </w:rPr>
        <w:t xml:space="preserve"> the federal Public Utilities Regulatory Policy Act. Many of these small facilities are eligible resources; however,</w:t>
      </w:r>
      <w:r w:rsidR="001E04A2" w:rsidRPr="007C2800">
        <w:rPr>
          <w:rFonts w:ascii="Times New Roman" w:hAnsi="Times New Roman"/>
        </w:rPr>
        <w:t xml:space="preserve"> PSE’s purchases from them are governed by its</w:t>
      </w:r>
      <w:r w:rsidRPr="007C2800">
        <w:rPr>
          <w:rFonts w:ascii="Times New Roman" w:hAnsi="Times New Roman"/>
        </w:rPr>
        <w:t xml:space="preserve"> qualifying facilities tariff, Schedule 91, which states that PSE does not own the REC</w:t>
      </w:r>
      <w:r w:rsidR="00BF17DF" w:rsidRPr="007C2800">
        <w:rPr>
          <w:rFonts w:ascii="Times New Roman" w:hAnsi="Times New Roman"/>
        </w:rPr>
        <w:t>s produced by these facilities (</w:t>
      </w:r>
      <w:r w:rsidRPr="007C2800">
        <w:rPr>
          <w:rFonts w:ascii="Times New Roman" w:hAnsi="Times New Roman"/>
        </w:rPr>
        <w:t>though it has the first right to purchase them</w:t>
      </w:r>
      <w:r w:rsidR="00BF17DF" w:rsidRPr="007C2800">
        <w:rPr>
          <w:rFonts w:ascii="Times New Roman" w:hAnsi="Times New Roman"/>
        </w:rPr>
        <w:t>)</w:t>
      </w:r>
      <w:r w:rsidRPr="007C2800">
        <w:rPr>
          <w:rFonts w:ascii="Times New Roman" w:hAnsi="Times New Roman"/>
        </w:rPr>
        <w:t>.</w:t>
      </w:r>
    </w:p>
    <w:p w14:paraId="63FD8EA0" w14:textId="77777777" w:rsidR="00AA2DBC" w:rsidRPr="007C2800" w:rsidRDefault="00AA2DBC" w:rsidP="007C461D">
      <w:pPr>
        <w:rPr>
          <w:rFonts w:ascii="Times New Roman" w:hAnsi="Times New Roman"/>
        </w:rPr>
      </w:pPr>
    </w:p>
    <w:p w14:paraId="63FD8EA1" w14:textId="04012594" w:rsidR="00DA2418" w:rsidRPr="007C2800" w:rsidRDefault="00AA2DBC" w:rsidP="007C461D">
      <w:pPr>
        <w:rPr>
          <w:rFonts w:ascii="Times New Roman" w:hAnsi="Times New Roman"/>
        </w:rPr>
      </w:pPr>
      <w:r w:rsidRPr="007C2800">
        <w:rPr>
          <w:rFonts w:ascii="Times New Roman" w:hAnsi="Times New Roman"/>
        </w:rPr>
        <w:t xml:space="preserve">PSE uses many of its qualifying facilities to supply its Green Power Program, which is an opt-in program that allows customers to pay a premium on their monthly bill to support clean energy resources. The </w:t>
      </w:r>
      <w:r w:rsidR="004A013E" w:rsidRPr="007C2800">
        <w:rPr>
          <w:rFonts w:ascii="Times New Roman" w:hAnsi="Times New Roman"/>
        </w:rPr>
        <w:t>c</w:t>
      </w:r>
      <w:r w:rsidRPr="007C2800">
        <w:rPr>
          <w:rFonts w:ascii="Times New Roman" w:hAnsi="Times New Roman"/>
        </w:rPr>
        <w:t>ompany uses this money to purchase RECs f</w:t>
      </w:r>
      <w:r w:rsidR="00DA2418" w:rsidRPr="007C2800">
        <w:rPr>
          <w:rFonts w:ascii="Times New Roman" w:hAnsi="Times New Roman"/>
        </w:rPr>
        <w:t xml:space="preserve">rom some of its qualifying facilities that are eligible resources. Since the </w:t>
      </w:r>
      <w:r w:rsidR="004A013E" w:rsidRPr="007C2800">
        <w:rPr>
          <w:rFonts w:ascii="Times New Roman" w:hAnsi="Times New Roman"/>
        </w:rPr>
        <w:t>c</w:t>
      </w:r>
      <w:r w:rsidR="00DA2418" w:rsidRPr="007C2800">
        <w:rPr>
          <w:rFonts w:ascii="Times New Roman" w:hAnsi="Times New Roman"/>
        </w:rPr>
        <w:t xml:space="preserve">ompany has exceeded the current RPS target by a wide margin, it has no need to purchase </w:t>
      </w:r>
      <w:r w:rsidR="001E04A2" w:rsidRPr="007C2800">
        <w:rPr>
          <w:rFonts w:ascii="Times New Roman" w:hAnsi="Times New Roman"/>
        </w:rPr>
        <w:t xml:space="preserve">qualifying facility </w:t>
      </w:r>
      <w:r w:rsidR="00DA2418" w:rsidRPr="007C2800">
        <w:rPr>
          <w:rFonts w:ascii="Times New Roman" w:hAnsi="Times New Roman"/>
        </w:rPr>
        <w:t xml:space="preserve">RECs </w:t>
      </w:r>
      <w:r w:rsidR="001E04A2" w:rsidRPr="007C2800">
        <w:rPr>
          <w:rFonts w:ascii="Times New Roman" w:hAnsi="Times New Roman"/>
        </w:rPr>
        <w:t>above the level</w:t>
      </w:r>
      <w:r w:rsidR="00DA2418" w:rsidRPr="007C2800">
        <w:rPr>
          <w:rFonts w:ascii="Times New Roman" w:hAnsi="Times New Roman"/>
        </w:rPr>
        <w:t xml:space="preserve"> funde</w:t>
      </w:r>
      <w:r w:rsidR="001E04A2" w:rsidRPr="007C2800">
        <w:rPr>
          <w:rFonts w:ascii="Times New Roman" w:hAnsi="Times New Roman"/>
        </w:rPr>
        <w:t>d by the Green Power Program, so</w:t>
      </w:r>
      <w:r w:rsidR="00DA2418" w:rsidRPr="007C2800">
        <w:rPr>
          <w:rFonts w:ascii="Times New Roman" w:hAnsi="Times New Roman"/>
        </w:rPr>
        <w:t xml:space="preserve"> the remaining facilities are released to sell their RECs on the open market. That is why some of the qualifying facilities that appear on the list are identified as eligible resources, but are not being used for RPS compliance or the Green Power Program.</w:t>
      </w:r>
    </w:p>
    <w:p w14:paraId="63FD8EA2" w14:textId="77777777" w:rsidR="00AA2DBC" w:rsidRPr="007C2800" w:rsidRDefault="00AA2DBC" w:rsidP="007C461D">
      <w:pPr>
        <w:rPr>
          <w:rFonts w:ascii="Times New Roman" w:hAnsi="Times New Roman"/>
        </w:rPr>
      </w:pPr>
    </w:p>
    <w:p w14:paraId="63FD8EA4" w14:textId="73B71F0F" w:rsidR="007C461D" w:rsidRPr="00C83E24" w:rsidRDefault="004A013E" w:rsidP="007C461D">
      <w:pPr>
        <w:rPr>
          <w:rFonts w:ascii="Times New Roman" w:hAnsi="Times New Roman"/>
          <w:b/>
          <w:u w:val="single"/>
        </w:rPr>
      </w:pPr>
      <w:r w:rsidRPr="00C83E24">
        <w:rPr>
          <w:rFonts w:ascii="Times New Roman" w:hAnsi="Times New Roman"/>
          <w:b/>
          <w:u w:val="single"/>
        </w:rPr>
        <w:t>Conclusion</w:t>
      </w:r>
    </w:p>
    <w:p w14:paraId="60CDF12D" w14:textId="77777777" w:rsidR="00464EB7" w:rsidRPr="007C2800" w:rsidRDefault="00464EB7" w:rsidP="007C461D">
      <w:pPr>
        <w:rPr>
          <w:rFonts w:ascii="Times New Roman" w:hAnsi="Times New Roman"/>
        </w:rPr>
      </w:pPr>
    </w:p>
    <w:p w14:paraId="4475FAF4" w14:textId="3B0B53D1" w:rsidR="00155FE8" w:rsidRPr="007C2800" w:rsidRDefault="00155FE8" w:rsidP="00155FE8">
      <w:pPr>
        <w:rPr>
          <w:rFonts w:ascii="Times New Roman" w:hAnsi="Times New Roman"/>
        </w:rPr>
      </w:pPr>
      <w:r w:rsidRPr="007C2800">
        <w:rPr>
          <w:rFonts w:ascii="Times New Roman" w:hAnsi="Times New Roman"/>
        </w:rPr>
        <w:t xml:space="preserve">After reviewing the list with PSE representatives and clarifying the role of qualifying facilities, staff believes that the company’s amended RPS report filed on July 22, 2013, is an accurate representation of the company’s eligible renewable resources. Since the commission has already </w:t>
      </w:r>
      <w:r w:rsidR="00216136" w:rsidRPr="007C2800">
        <w:rPr>
          <w:rFonts w:ascii="Times New Roman" w:hAnsi="Times New Roman"/>
        </w:rPr>
        <w:t xml:space="preserve">decided to </w:t>
      </w:r>
      <w:r w:rsidRPr="007C2800">
        <w:rPr>
          <w:rFonts w:ascii="Times New Roman" w:hAnsi="Times New Roman"/>
        </w:rPr>
        <w:t>issue an order in this docket accepting the 2013 compliance report, no further action is required at this time.</w:t>
      </w:r>
    </w:p>
    <w:p w14:paraId="7D293ECD" w14:textId="77777777" w:rsidR="00155FE8" w:rsidRPr="007C2800" w:rsidRDefault="00155FE8" w:rsidP="007C461D">
      <w:pPr>
        <w:rPr>
          <w:rFonts w:ascii="Times New Roman" w:hAnsi="Times New Roman"/>
        </w:rPr>
      </w:pPr>
    </w:p>
    <w:p w14:paraId="47BB42B3" w14:textId="3C9B437B" w:rsidR="00636123" w:rsidRPr="007C2800" w:rsidRDefault="00DA2418" w:rsidP="007C461D">
      <w:pPr>
        <w:rPr>
          <w:rFonts w:ascii="Times New Roman" w:hAnsi="Times New Roman"/>
        </w:rPr>
      </w:pPr>
      <w:r w:rsidRPr="007C2800">
        <w:rPr>
          <w:rFonts w:ascii="Times New Roman" w:hAnsi="Times New Roman"/>
        </w:rPr>
        <w:t xml:space="preserve">PSE will need to request a finding of compliance for </w:t>
      </w:r>
      <w:r w:rsidR="001E04A2" w:rsidRPr="007C2800">
        <w:rPr>
          <w:rFonts w:ascii="Times New Roman" w:hAnsi="Times New Roman"/>
        </w:rPr>
        <w:t xml:space="preserve">its </w:t>
      </w:r>
      <w:r w:rsidRPr="007C2800">
        <w:rPr>
          <w:rFonts w:ascii="Times New Roman" w:hAnsi="Times New Roman"/>
        </w:rPr>
        <w:t>2013</w:t>
      </w:r>
      <w:r w:rsidR="001E04A2" w:rsidRPr="007C2800">
        <w:rPr>
          <w:rFonts w:ascii="Times New Roman" w:hAnsi="Times New Roman"/>
        </w:rPr>
        <w:t xml:space="preserve"> RPS target</w:t>
      </w:r>
      <w:r w:rsidRPr="007C2800">
        <w:rPr>
          <w:rFonts w:ascii="Times New Roman" w:hAnsi="Times New Roman"/>
        </w:rPr>
        <w:t xml:space="preserve"> in this docket by June 1, 2015, </w:t>
      </w:r>
      <w:r w:rsidR="00216136" w:rsidRPr="007C2800">
        <w:rPr>
          <w:rFonts w:ascii="Times New Roman" w:hAnsi="Times New Roman"/>
        </w:rPr>
        <w:t xml:space="preserve">so </w:t>
      </w:r>
      <w:r w:rsidRPr="007C2800">
        <w:rPr>
          <w:rFonts w:ascii="Times New Roman" w:hAnsi="Times New Roman"/>
        </w:rPr>
        <w:t>this docket should remain open.</w:t>
      </w:r>
    </w:p>
    <w:p w14:paraId="2AF50B6C" w14:textId="15C40741" w:rsidR="00FD2D14" w:rsidRPr="007C2800" w:rsidRDefault="00FD2D14">
      <w:pPr>
        <w:rPr>
          <w:rFonts w:ascii="Times New Roman" w:hAnsi="Times New Roman"/>
        </w:rPr>
      </w:pPr>
      <w:r w:rsidRPr="007C2800">
        <w:rPr>
          <w:rFonts w:ascii="Times New Roman" w:hAnsi="Times New Roman"/>
        </w:rPr>
        <w:br w:type="page"/>
      </w:r>
    </w:p>
    <w:p w14:paraId="6E5E2B90" w14:textId="77777777" w:rsidR="00B37A51" w:rsidRDefault="00B37A51" w:rsidP="009D785B">
      <w:pPr>
        <w:pStyle w:val="Default"/>
        <w:jc w:val="center"/>
        <w:rPr>
          <w:rFonts w:ascii="Times New Roman" w:hAnsi="Times New Roman" w:cs="Times New Roman"/>
          <w:b/>
          <w:u w:val="single"/>
        </w:rPr>
        <w:sectPr w:rsidR="00B37A51" w:rsidSect="009D785B">
          <w:headerReference w:type="default" r:id="rId12"/>
          <w:endnotePr>
            <w:numFmt w:val="decimal"/>
          </w:endnotePr>
          <w:pgSz w:w="12240" w:h="15840"/>
          <w:pgMar w:top="1440" w:right="1440" w:bottom="1440" w:left="1440" w:header="720" w:footer="720" w:gutter="0"/>
          <w:cols w:space="720"/>
          <w:titlePg/>
          <w:docGrid w:linePitch="360"/>
        </w:sectPr>
      </w:pPr>
    </w:p>
    <w:p w14:paraId="3D2E51A5" w14:textId="3BCE2495" w:rsidR="00FD2D14" w:rsidRPr="007C2800" w:rsidRDefault="00F96813" w:rsidP="009D785B">
      <w:pPr>
        <w:pStyle w:val="Default"/>
        <w:jc w:val="center"/>
        <w:rPr>
          <w:rFonts w:ascii="Times New Roman" w:hAnsi="Times New Roman" w:cs="Times New Roman"/>
          <w:b/>
          <w:u w:val="single"/>
        </w:rPr>
      </w:pPr>
      <w:r w:rsidRPr="007C2800">
        <w:rPr>
          <w:rFonts w:ascii="Times New Roman" w:hAnsi="Times New Roman" w:cs="Times New Roman"/>
          <w:b/>
          <w:u w:val="single"/>
        </w:rPr>
        <w:lastRenderedPageBreak/>
        <w:t>Attachment A</w:t>
      </w:r>
    </w:p>
    <w:p w14:paraId="28B5DA3C" w14:textId="77777777" w:rsidR="00F96813" w:rsidRPr="007C2800" w:rsidRDefault="00F96813" w:rsidP="009D785B">
      <w:pPr>
        <w:pStyle w:val="Default"/>
        <w:jc w:val="center"/>
        <w:rPr>
          <w:rFonts w:ascii="Times New Roman" w:hAnsi="Times New Roman" w:cs="Times New Roman"/>
        </w:rPr>
      </w:pPr>
    </w:p>
    <w:p w14:paraId="38ED8918" w14:textId="0BB137C9" w:rsidR="00F96813" w:rsidRPr="0080767E" w:rsidRDefault="00F96813" w:rsidP="009D785B">
      <w:pPr>
        <w:pStyle w:val="Default"/>
        <w:jc w:val="center"/>
        <w:rPr>
          <w:rFonts w:ascii="Times New Roman" w:hAnsi="Times New Roman" w:cs="Times New Roman"/>
          <w:b/>
        </w:rPr>
      </w:pPr>
      <w:r w:rsidRPr="0080767E">
        <w:rPr>
          <w:rFonts w:ascii="Times New Roman" w:hAnsi="Times New Roman" w:cs="Times New Roman"/>
          <w:b/>
        </w:rPr>
        <w:t>PSE Resource List</w:t>
      </w:r>
    </w:p>
    <w:p w14:paraId="6F4A3481" w14:textId="77777777" w:rsidR="00F96813" w:rsidRDefault="00F96813" w:rsidP="009D785B">
      <w:pPr>
        <w:pStyle w:val="Default"/>
        <w:jc w:val="center"/>
        <w:rPr>
          <w:rFonts w:ascii="Times New Roman" w:hAnsi="Times New Roman" w:cs="Times New Roman"/>
          <w:b/>
          <w:u w:val="single"/>
        </w:rPr>
      </w:pPr>
    </w:p>
    <w:p w14:paraId="59416A05" w14:textId="77777777" w:rsidR="00C57BDE" w:rsidRPr="009D785B" w:rsidRDefault="00C57BDE" w:rsidP="009D785B">
      <w:pPr>
        <w:pStyle w:val="Default"/>
        <w:jc w:val="center"/>
        <w:rPr>
          <w:rFonts w:ascii="Times New Roman" w:hAnsi="Times New Roman" w:cs="Times New Roman"/>
          <w:b/>
          <w:u w:val="single"/>
        </w:rPr>
      </w:pPr>
    </w:p>
    <w:tbl>
      <w:tblPr>
        <w:tblStyle w:val="LightShading"/>
        <w:tblW w:w="10116" w:type="dxa"/>
        <w:tblBorders>
          <w:top w:val="none" w:sz="0" w:space="0" w:color="auto"/>
          <w:bottom w:val="none" w:sz="0" w:space="0" w:color="auto"/>
        </w:tblBorders>
        <w:tblLayout w:type="fixed"/>
        <w:tblLook w:val="0400" w:firstRow="0" w:lastRow="0" w:firstColumn="0" w:lastColumn="0" w:noHBand="0" w:noVBand="1"/>
      </w:tblPr>
      <w:tblGrid>
        <w:gridCol w:w="3164"/>
        <w:gridCol w:w="64"/>
        <w:gridCol w:w="1556"/>
        <w:gridCol w:w="1890"/>
        <w:gridCol w:w="270"/>
        <w:gridCol w:w="810"/>
        <w:gridCol w:w="270"/>
        <w:gridCol w:w="90"/>
        <w:gridCol w:w="1982"/>
        <w:gridCol w:w="20"/>
      </w:tblGrid>
      <w:tr w:rsidR="00322BBC" w:rsidRPr="007C2800" w14:paraId="20822D63" w14:textId="77777777" w:rsidTr="000351F6">
        <w:trPr>
          <w:gridAfter w:val="1"/>
          <w:wAfter w:w="20" w:type="dxa"/>
          <w:trHeight w:val="746"/>
          <w:tblHeader/>
        </w:trPr>
        <w:tc>
          <w:tcPr>
            <w:tcW w:w="3166" w:type="dxa"/>
            <w:tcBorders>
              <w:bottom w:val="single" w:sz="18" w:space="0" w:color="000000" w:themeColor="text1"/>
            </w:tcBorders>
            <w:shd w:val="clear" w:color="auto" w:fill="808080" w:themeFill="background1" w:themeFillShade="80"/>
          </w:tcPr>
          <w:p w14:paraId="3EF3D8CC" w14:textId="77777777" w:rsidR="00636123" w:rsidRPr="009D785B" w:rsidRDefault="00636123" w:rsidP="00322BBC">
            <w:pPr>
              <w:pStyle w:val="Default"/>
              <w:rPr>
                <w:rFonts w:ascii="Times New Roman" w:hAnsi="Times New Roman" w:cs="Times New Roman"/>
                <w:b/>
                <w:bCs/>
                <w:color w:val="auto"/>
              </w:rPr>
            </w:pPr>
          </w:p>
          <w:p w14:paraId="16F50925" w14:textId="77777777" w:rsidR="00322BBC" w:rsidRDefault="00322BBC" w:rsidP="00322BBC">
            <w:pPr>
              <w:pStyle w:val="Default"/>
              <w:rPr>
                <w:rFonts w:ascii="Times New Roman" w:hAnsi="Times New Roman" w:cs="Times New Roman"/>
                <w:b/>
                <w:bCs/>
                <w:color w:val="auto"/>
              </w:rPr>
            </w:pPr>
          </w:p>
          <w:p w14:paraId="56290D2C" w14:textId="018387E6" w:rsidR="00636123" w:rsidRPr="009D785B" w:rsidRDefault="00FD2D14" w:rsidP="00322BBC">
            <w:pPr>
              <w:pStyle w:val="Default"/>
              <w:tabs>
                <w:tab w:val="left" w:pos="2280"/>
              </w:tabs>
              <w:rPr>
                <w:rFonts w:ascii="Times New Roman" w:hAnsi="Times New Roman" w:cs="Times New Roman"/>
                <w:b/>
                <w:bCs/>
                <w:color w:val="auto"/>
              </w:rPr>
            </w:pPr>
            <w:r w:rsidRPr="009D785B">
              <w:rPr>
                <w:rFonts w:ascii="Times New Roman" w:hAnsi="Times New Roman" w:cs="Times New Roman"/>
                <w:b/>
                <w:bCs/>
                <w:color w:val="auto"/>
              </w:rPr>
              <w:t xml:space="preserve">Electric Plant or </w:t>
            </w:r>
            <w:r w:rsidR="00322BBC">
              <w:rPr>
                <w:rFonts w:ascii="Times New Roman" w:hAnsi="Times New Roman" w:cs="Times New Roman"/>
                <w:b/>
                <w:bCs/>
                <w:color w:val="auto"/>
              </w:rPr>
              <w:tab/>
            </w:r>
          </w:p>
          <w:p w14:paraId="34FF0953" w14:textId="7FEB3BD4" w:rsidR="00FD2D14" w:rsidRPr="009D785B" w:rsidRDefault="00FD2D14" w:rsidP="00322BBC">
            <w:pPr>
              <w:pStyle w:val="Default"/>
              <w:rPr>
                <w:rFonts w:ascii="Times New Roman" w:hAnsi="Times New Roman" w:cs="Times New Roman"/>
                <w:color w:val="auto"/>
              </w:rPr>
            </w:pPr>
            <w:r w:rsidRPr="009D785B">
              <w:rPr>
                <w:rFonts w:ascii="Times New Roman" w:hAnsi="Times New Roman" w:cs="Times New Roman"/>
                <w:b/>
                <w:bCs/>
                <w:color w:val="auto"/>
              </w:rPr>
              <w:t>Long-Term Contract</w:t>
            </w:r>
          </w:p>
        </w:tc>
        <w:tc>
          <w:tcPr>
            <w:tcW w:w="1620" w:type="dxa"/>
            <w:gridSpan w:val="2"/>
            <w:tcBorders>
              <w:bottom w:val="single" w:sz="18" w:space="0" w:color="000000" w:themeColor="text1"/>
            </w:tcBorders>
            <w:shd w:val="clear" w:color="auto" w:fill="808080" w:themeFill="background1" w:themeFillShade="80"/>
          </w:tcPr>
          <w:p w14:paraId="08556C7D" w14:textId="77777777" w:rsidR="00636123" w:rsidRPr="009D785B" w:rsidRDefault="00636123" w:rsidP="000351F6">
            <w:pPr>
              <w:pStyle w:val="Default"/>
              <w:rPr>
                <w:rFonts w:ascii="Times New Roman" w:hAnsi="Times New Roman" w:cs="Times New Roman"/>
                <w:b/>
                <w:bCs/>
                <w:color w:val="auto"/>
              </w:rPr>
            </w:pPr>
          </w:p>
          <w:p w14:paraId="46507067" w14:textId="77777777" w:rsidR="00322BBC" w:rsidRDefault="00322BBC" w:rsidP="000351F6">
            <w:pPr>
              <w:pStyle w:val="Default"/>
              <w:rPr>
                <w:rFonts w:ascii="Times New Roman" w:hAnsi="Times New Roman" w:cs="Times New Roman"/>
                <w:b/>
                <w:bCs/>
                <w:color w:val="auto"/>
              </w:rPr>
            </w:pPr>
          </w:p>
          <w:p w14:paraId="37157B96" w14:textId="187AFCDC" w:rsidR="00FD2D14" w:rsidRPr="009D785B" w:rsidRDefault="009D785B" w:rsidP="000351F6">
            <w:pPr>
              <w:pStyle w:val="Default"/>
              <w:jc w:val="center"/>
              <w:rPr>
                <w:rFonts w:ascii="Times New Roman" w:hAnsi="Times New Roman" w:cs="Times New Roman"/>
                <w:color w:val="auto"/>
              </w:rPr>
            </w:pPr>
            <w:r w:rsidRPr="009D785B">
              <w:rPr>
                <w:rFonts w:ascii="Times New Roman" w:hAnsi="Times New Roman" w:cs="Times New Roman"/>
                <w:b/>
                <w:bCs/>
                <w:color w:val="auto"/>
              </w:rPr>
              <w:t>O</w:t>
            </w:r>
            <w:r>
              <w:rPr>
                <w:rFonts w:ascii="Times New Roman" w:hAnsi="Times New Roman" w:cs="Times New Roman"/>
                <w:b/>
                <w:bCs/>
                <w:color w:val="auto"/>
              </w:rPr>
              <w:t>wner</w:t>
            </w:r>
            <w:r w:rsidRPr="009D785B">
              <w:rPr>
                <w:rFonts w:ascii="Times New Roman" w:hAnsi="Times New Roman" w:cs="Times New Roman"/>
                <w:b/>
                <w:bCs/>
                <w:color w:val="auto"/>
              </w:rPr>
              <w:t xml:space="preserve"> </w:t>
            </w:r>
            <w:r w:rsidR="00FD2D14" w:rsidRPr="009D785B">
              <w:rPr>
                <w:rFonts w:ascii="Times New Roman" w:hAnsi="Times New Roman" w:cs="Times New Roman"/>
                <w:b/>
                <w:bCs/>
                <w:color w:val="auto"/>
              </w:rPr>
              <w:t>/ Contract</w:t>
            </w:r>
          </w:p>
        </w:tc>
        <w:tc>
          <w:tcPr>
            <w:tcW w:w="1890" w:type="dxa"/>
            <w:tcBorders>
              <w:bottom w:val="single" w:sz="18" w:space="0" w:color="000000" w:themeColor="text1"/>
            </w:tcBorders>
            <w:shd w:val="clear" w:color="auto" w:fill="808080" w:themeFill="background1" w:themeFillShade="80"/>
          </w:tcPr>
          <w:p w14:paraId="502F9C33" w14:textId="77777777" w:rsidR="00636123" w:rsidRPr="009D785B" w:rsidRDefault="00636123" w:rsidP="000351F6">
            <w:pPr>
              <w:pStyle w:val="Default"/>
              <w:rPr>
                <w:rFonts w:ascii="Times New Roman" w:hAnsi="Times New Roman" w:cs="Times New Roman"/>
                <w:b/>
                <w:bCs/>
                <w:color w:val="auto"/>
              </w:rPr>
            </w:pPr>
          </w:p>
          <w:p w14:paraId="4E32F971" w14:textId="17469EC1" w:rsidR="00FD2D14" w:rsidRPr="009D785B" w:rsidRDefault="00FD2D14" w:rsidP="000351F6">
            <w:pPr>
              <w:pStyle w:val="Default"/>
              <w:jc w:val="center"/>
              <w:rPr>
                <w:rFonts w:ascii="Times New Roman" w:hAnsi="Times New Roman" w:cs="Times New Roman"/>
                <w:color w:val="auto"/>
              </w:rPr>
            </w:pPr>
            <w:r w:rsidRPr="009D785B">
              <w:rPr>
                <w:rFonts w:ascii="Times New Roman" w:hAnsi="Times New Roman" w:cs="Times New Roman"/>
                <w:b/>
                <w:bCs/>
                <w:color w:val="auto"/>
              </w:rPr>
              <w:t>Eligible Renewable Resource</w:t>
            </w:r>
            <w:r w:rsidR="009D785B">
              <w:rPr>
                <w:rStyle w:val="EndnoteReference"/>
                <w:rFonts w:ascii="Times New Roman" w:hAnsi="Times New Roman" w:cs="Times New Roman"/>
                <w:b/>
                <w:bCs/>
                <w:color w:val="auto"/>
              </w:rPr>
              <w:endnoteReference w:id="1"/>
            </w:r>
          </w:p>
        </w:tc>
        <w:tc>
          <w:tcPr>
            <w:tcW w:w="1440" w:type="dxa"/>
            <w:gridSpan w:val="4"/>
            <w:tcBorders>
              <w:bottom w:val="single" w:sz="18" w:space="0" w:color="000000" w:themeColor="text1"/>
            </w:tcBorders>
            <w:shd w:val="clear" w:color="auto" w:fill="808080" w:themeFill="background1" w:themeFillShade="80"/>
          </w:tcPr>
          <w:p w14:paraId="7CDF3D88" w14:textId="77777777" w:rsidR="00636123" w:rsidRPr="009D785B" w:rsidRDefault="00636123" w:rsidP="000351F6">
            <w:pPr>
              <w:pStyle w:val="Default"/>
              <w:jc w:val="center"/>
              <w:rPr>
                <w:rFonts w:ascii="Times New Roman" w:hAnsi="Times New Roman" w:cs="Times New Roman"/>
                <w:b/>
                <w:bCs/>
                <w:color w:val="auto"/>
              </w:rPr>
            </w:pPr>
          </w:p>
          <w:p w14:paraId="149836A0" w14:textId="47632A01" w:rsidR="00FD2D14" w:rsidRPr="009D785B" w:rsidRDefault="00FD2D14" w:rsidP="000351F6">
            <w:pPr>
              <w:pStyle w:val="Default"/>
              <w:jc w:val="center"/>
              <w:rPr>
                <w:rFonts w:ascii="Times New Roman" w:hAnsi="Times New Roman" w:cs="Times New Roman"/>
                <w:color w:val="auto"/>
              </w:rPr>
            </w:pPr>
            <w:r w:rsidRPr="009D785B">
              <w:rPr>
                <w:rFonts w:ascii="Times New Roman" w:hAnsi="Times New Roman" w:cs="Times New Roman"/>
                <w:b/>
                <w:bCs/>
                <w:color w:val="auto"/>
              </w:rPr>
              <w:t>Registered in WREGIS</w:t>
            </w:r>
          </w:p>
        </w:tc>
        <w:tc>
          <w:tcPr>
            <w:tcW w:w="1980" w:type="dxa"/>
            <w:tcBorders>
              <w:bottom w:val="single" w:sz="18" w:space="0" w:color="000000" w:themeColor="text1"/>
            </w:tcBorders>
            <w:shd w:val="clear" w:color="auto" w:fill="808080" w:themeFill="background1" w:themeFillShade="80"/>
          </w:tcPr>
          <w:p w14:paraId="3063C5D4" w14:textId="77777777" w:rsidR="002A340F" w:rsidRDefault="002A340F" w:rsidP="000351F6">
            <w:pPr>
              <w:pStyle w:val="Default"/>
              <w:rPr>
                <w:rFonts w:ascii="Times New Roman" w:hAnsi="Times New Roman" w:cs="Times New Roman"/>
                <w:b/>
                <w:bCs/>
                <w:color w:val="auto"/>
              </w:rPr>
            </w:pPr>
          </w:p>
          <w:p w14:paraId="63BCCB4F" w14:textId="77777777" w:rsidR="00322BBC" w:rsidRDefault="00322BBC" w:rsidP="000351F6">
            <w:pPr>
              <w:pStyle w:val="Default"/>
              <w:rPr>
                <w:rFonts w:ascii="Times New Roman" w:hAnsi="Times New Roman" w:cs="Times New Roman"/>
                <w:b/>
                <w:bCs/>
                <w:color w:val="auto"/>
              </w:rPr>
            </w:pPr>
          </w:p>
          <w:p w14:paraId="5CD08378" w14:textId="77777777" w:rsidR="00322BBC" w:rsidRDefault="00322BBC" w:rsidP="000351F6">
            <w:pPr>
              <w:pStyle w:val="Default"/>
              <w:rPr>
                <w:rFonts w:ascii="Times New Roman" w:hAnsi="Times New Roman" w:cs="Times New Roman"/>
                <w:b/>
                <w:bCs/>
                <w:color w:val="auto"/>
              </w:rPr>
            </w:pPr>
          </w:p>
          <w:p w14:paraId="3F7C597F" w14:textId="7594ACF9" w:rsidR="00FD2D14" w:rsidRPr="009D785B" w:rsidRDefault="00FD2D14" w:rsidP="000351F6">
            <w:pPr>
              <w:pStyle w:val="Default"/>
              <w:jc w:val="center"/>
              <w:rPr>
                <w:rFonts w:ascii="Times New Roman" w:hAnsi="Times New Roman" w:cs="Times New Roman"/>
                <w:color w:val="auto"/>
              </w:rPr>
            </w:pPr>
            <w:r w:rsidRPr="009D785B">
              <w:rPr>
                <w:rFonts w:ascii="Times New Roman" w:hAnsi="Times New Roman" w:cs="Times New Roman"/>
                <w:b/>
                <w:bCs/>
                <w:color w:val="auto"/>
              </w:rPr>
              <w:t>Used</w:t>
            </w:r>
            <w:r w:rsidR="002A340F">
              <w:rPr>
                <w:rStyle w:val="EndnoteReference"/>
                <w:rFonts w:ascii="Times New Roman" w:hAnsi="Times New Roman" w:cs="Times New Roman"/>
                <w:b/>
                <w:bCs/>
                <w:color w:val="auto"/>
              </w:rPr>
              <w:endnoteReference w:id="2"/>
            </w:r>
          </w:p>
        </w:tc>
      </w:tr>
      <w:tr w:rsidR="00FD2D14" w:rsidRPr="007C2800" w14:paraId="62B772E3" w14:textId="77777777" w:rsidTr="000351F6">
        <w:trPr>
          <w:gridAfter w:val="1"/>
          <w:cnfStyle w:val="000000100000" w:firstRow="0" w:lastRow="0" w:firstColumn="0" w:lastColumn="0" w:oddVBand="0" w:evenVBand="0" w:oddHBand="1" w:evenHBand="0" w:firstRowFirstColumn="0" w:firstRowLastColumn="0" w:lastRowFirstColumn="0" w:lastRowLastColumn="0"/>
          <w:wAfter w:w="20" w:type="dxa"/>
          <w:trHeight w:val="278"/>
        </w:trPr>
        <w:tc>
          <w:tcPr>
            <w:tcW w:w="3166" w:type="dxa"/>
            <w:tcBorders>
              <w:top w:val="single" w:sz="18" w:space="0" w:color="000000" w:themeColor="text1"/>
            </w:tcBorders>
            <w:vAlign w:val="bottom"/>
          </w:tcPr>
          <w:p w14:paraId="3D13F70C" w14:textId="77777777" w:rsidR="00FD2D14" w:rsidRPr="009D785B" w:rsidRDefault="00FD2D14" w:rsidP="0080767E">
            <w:pPr>
              <w:pStyle w:val="Default"/>
              <w:rPr>
                <w:rFonts w:ascii="Times New Roman" w:hAnsi="Times New Roman" w:cs="Times New Roman"/>
              </w:rPr>
            </w:pPr>
            <w:r w:rsidRPr="009D785B">
              <w:rPr>
                <w:rFonts w:ascii="Times New Roman" w:hAnsi="Times New Roman" w:cs="Times New Roman"/>
              </w:rPr>
              <w:t xml:space="preserve">Upper Baker River </w:t>
            </w:r>
          </w:p>
        </w:tc>
        <w:tc>
          <w:tcPr>
            <w:tcW w:w="1620" w:type="dxa"/>
            <w:gridSpan w:val="2"/>
            <w:tcBorders>
              <w:top w:val="single" w:sz="18" w:space="0" w:color="000000" w:themeColor="text1"/>
            </w:tcBorders>
            <w:vAlign w:val="bottom"/>
          </w:tcPr>
          <w:p w14:paraId="41F95729" w14:textId="076CAB9F"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PSE</w:t>
            </w:r>
          </w:p>
        </w:tc>
        <w:tc>
          <w:tcPr>
            <w:tcW w:w="1890" w:type="dxa"/>
            <w:tcBorders>
              <w:top w:val="single" w:sz="18" w:space="0" w:color="000000" w:themeColor="text1"/>
            </w:tcBorders>
            <w:vAlign w:val="bottom"/>
          </w:tcPr>
          <w:p w14:paraId="15918488" w14:textId="2D831762"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Not Eligible</w:t>
            </w:r>
          </w:p>
        </w:tc>
        <w:tc>
          <w:tcPr>
            <w:tcW w:w="1440" w:type="dxa"/>
            <w:gridSpan w:val="4"/>
            <w:tcBorders>
              <w:top w:val="single" w:sz="18" w:space="0" w:color="000000" w:themeColor="text1"/>
            </w:tcBorders>
            <w:vAlign w:val="bottom"/>
          </w:tcPr>
          <w:p w14:paraId="0A961792" w14:textId="1E86F63F"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N/A</w:t>
            </w:r>
          </w:p>
        </w:tc>
        <w:tc>
          <w:tcPr>
            <w:tcW w:w="1980" w:type="dxa"/>
            <w:tcBorders>
              <w:top w:val="single" w:sz="18" w:space="0" w:color="000000" w:themeColor="text1"/>
            </w:tcBorders>
            <w:vAlign w:val="bottom"/>
          </w:tcPr>
          <w:p w14:paraId="3B12FE6D" w14:textId="31ACB053"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N/A</w:t>
            </w:r>
          </w:p>
        </w:tc>
      </w:tr>
      <w:tr w:rsidR="00322BBC" w:rsidRPr="007C2800" w14:paraId="4996FAEE" w14:textId="77777777" w:rsidTr="000351F6">
        <w:trPr>
          <w:gridAfter w:val="1"/>
          <w:wAfter w:w="20" w:type="dxa"/>
          <w:trHeight w:val="278"/>
        </w:trPr>
        <w:tc>
          <w:tcPr>
            <w:tcW w:w="3166" w:type="dxa"/>
            <w:vAlign w:val="bottom"/>
          </w:tcPr>
          <w:p w14:paraId="32BF5FC2" w14:textId="77777777" w:rsidR="00FD2D14" w:rsidRPr="009D785B" w:rsidRDefault="00FD2D14" w:rsidP="0080767E">
            <w:pPr>
              <w:pStyle w:val="Default"/>
              <w:rPr>
                <w:rFonts w:ascii="Times New Roman" w:hAnsi="Times New Roman" w:cs="Times New Roman"/>
              </w:rPr>
            </w:pPr>
            <w:r w:rsidRPr="009D785B">
              <w:rPr>
                <w:rFonts w:ascii="Times New Roman" w:hAnsi="Times New Roman" w:cs="Times New Roman"/>
              </w:rPr>
              <w:t xml:space="preserve">Lower Baker River </w:t>
            </w:r>
          </w:p>
        </w:tc>
        <w:tc>
          <w:tcPr>
            <w:tcW w:w="1620" w:type="dxa"/>
            <w:gridSpan w:val="2"/>
            <w:vAlign w:val="bottom"/>
          </w:tcPr>
          <w:p w14:paraId="72C96187" w14:textId="6F00A290"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PSE</w:t>
            </w:r>
          </w:p>
        </w:tc>
        <w:tc>
          <w:tcPr>
            <w:tcW w:w="1890" w:type="dxa"/>
            <w:vAlign w:val="bottom"/>
          </w:tcPr>
          <w:p w14:paraId="32AF5FE5" w14:textId="1924E51E"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Not Eligible</w:t>
            </w:r>
          </w:p>
        </w:tc>
        <w:tc>
          <w:tcPr>
            <w:tcW w:w="1440" w:type="dxa"/>
            <w:gridSpan w:val="4"/>
            <w:vAlign w:val="bottom"/>
          </w:tcPr>
          <w:p w14:paraId="0CFEA498" w14:textId="3AA18343"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N/A</w:t>
            </w:r>
          </w:p>
        </w:tc>
        <w:tc>
          <w:tcPr>
            <w:tcW w:w="1980" w:type="dxa"/>
            <w:vAlign w:val="bottom"/>
          </w:tcPr>
          <w:p w14:paraId="1FFD0AE0" w14:textId="48F5238D"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N/A</w:t>
            </w:r>
          </w:p>
        </w:tc>
      </w:tr>
      <w:tr w:rsidR="00FD2D14" w:rsidRPr="007C2800" w14:paraId="781BDCED" w14:textId="77777777" w:rsidTr="000351F6">
        <w:trPr>
          <w:gridAfter w:val="1"/>
          <w:cnfStyle w:val="000000100000" w:firstRow="0" w:lastRow="0" w:firstColumn="0" w:lastColumn="0" w:oddVBand="0" w:evenVBand="0" w:oddHBand="1" w:evenHBand="0" w:firstRowFirstColumn="0" w:firstRowLastColumn="0" w:lastRowFirstColumn="0" w:lastRowLastColumn="0"/>
          <w:wAfter w:w="20" w:type="dxa"/>
          <w:trHeight w:val="407"/>
        </w:trPr>
        <w:tc>
          <w:tcPr>
            <w:tcW w:w="3166" w:type="dxa"/>
            <w:vAlign w:val="bottom"/>
          </w:tcPr>
          <w:p w14:paraId="40256835" w14:textId="77777777" w:rsidR="00FD2D14" w:rsidRPr="009D785B" w:rsidRDefault="00FD2D14" w:rsidP="0080767E">
            <w:pPr>
              <w:pStyle w:val="Default"/>
              <w:ind w:left="720"/>
              <w:rPr>
                <w:rFonts w:ascii="Times New Roman" w:hAnsi="Times New Roman" w:cs="Times New Roman"/>
              </w:rPr>
            </w:pPr>
            <w:r w:rsidRPr="009D785B">
              <w:rPr>
                <w:rFonts w:ascii="Times New Roman" w:hAnsi="Times New Roman" w:cs="Times New Roman"/>
              </w:rPr>
              <w:t xml:space="preserve">Baker River Incremental Hydro Generation </w:t>
            </w:r>
          </w:p>
        </w:tc>
        <w:tc>
          <w:tcPr>
            <w:tcW w:w="1620" w:type="dxa"/>
            <w:gridSpan w:val="2"/>
            <w:vAlign w:val="bottom"/>
          </w:tcPr>
          <w:p w14:paraId="761B9ABC" w14:textId="06696A2C"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PSE</w:t>
            </w:r>
          </w:p>
        </w:tc>
        <w:tc>
          <w:tcPr>
            <w:tcW w:w="1890" w:type="dxa"/>
            <w:vAlign w:val="bottom"/>
          </w:tcPr>
          <w:p w14:paraId="1C0C0434" w14:textId="3776738F" w:rsidR="00FD2D14" w:rsidRPr="009D785B" w:rsidRDefault="00F96813" w:rsidP="000351F6">
            <w:pPr>
              <w:pStyle w:val="Default"/>
              <w:jc w:val="center"/>
              <w:rPr>
                <w:rFonts w:ascii="Times New Roman" w:hAnsi="Times New Roman" w:cs="Times New Roman"/>
              </w:rPr>
            </w:pPr>
            <w:r w:rsidRPr="007C2800">
              <w:rPr>
                <w:rFonts w:ascii="Times New Roman" w:hAnsi="Times New Roman" w:cs="Times New Roman"/>
              </w:rPr>
              <w:t>Eligible</w:t>
            </w:r>
          </w:p>
        </w:tc>
        <w:tc>
          <w:tcPr>
            <w:tcW w:w="1440" w:type="dxa"/>
            <w:gridSpan w:val="4"/>
            <w:vAlign w:val="bottom"/>
          </w:tcPr>
          <w:p w14:paraId="1409F391" w14:textId="613579E7"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N/A</w:t>
            </w:r>
          </w:p>
        </w:tc>
        <w:tc>
          <w:tcPr>
            <w:tcW w:w="1980" w:type="dxa"/>
            <w:vAlign w:val="bottom"/>
          </w:tcPr>
          <w:p w14:paraId="5CD1CFC0" w14:textId="7F61ADAD"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N/A</w:t>
            </w:r>
          </w:p>
        </w:tc>
      </w:tr>
      <w:tr w:rsidR="00322BBC" w:rsidRPr="007C2800" w14:paraId="1747DE4F" w14:textId="77777777" w:rsidTr="000351F6">
        <w:trPr>
          <w:gridAfter w:val="1"/>
          <w:wAfter w:w="20" w:type="dxa"/>
          <w:trHeight w:val="278"/>
        </w:trPr>
        <w:tc>
          <w:tcPr>
            <w:tcW w:w="3166" w:type="dxa"/>
            <w:vAlign w:val="bottom"/>
          </w:tcPr>
          <w:p w14:paraId="5FF76AAE" w14:textId="77777777" w:rsidR="00FD2D14" w:rsidRPr="009D785B" w:rsidRDefault="00FD2D14" w:rsidP="0080767E">
            <w:pPr>
              <w:pStyle w:val="Default"/>
              <w:rPr>
                <w:rFonts w:ascii="Times New Roman" w:hAnsi="Times New Roman" w:cs="Times New Roman"/>
              </w:rPr>
            </w:pPr>
            <w:r w:rsidRPr="009D785B">
              <w:rPr>
                <w:rFonts w:ascii="Times New Roman" w:hAnsi="Times New Roman" w:cs="Times New Roman"/>
              </w:rPr>
              <w:t xml:space="preserve">Snoqualmie Falls </w:t>
            </w:r>
          </w:p>
        </w:tc>
        <w:tc>
          <w:tcPr>
            <w:tcW w:w="1620" w:type="dxa"/>
            <w:gridSpan w:val="2"/>
            <w:vAlign w:val="bottom"/>
          </w:tcPr>
          <w:p w14:paraId="31C47558" w14:textId="151AD734"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PSE</w:t>
            </w:r>
          </w:p>
        </w:tc>
        <w:tc>
          <w:tcPr>
            <w:tcW w:w="1890" w:type="dxa"/>
            <w:vAlign w:val="bottom"/>
          </w:tcPr>
          <w:p w14:paraId="58D68C88" w14:textId="563C0F9D"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Not Eligible</w:t>
            </w:r>
          </w:p>
        </w:tc>
        <w:tc>
          <w:tcPr>
            <w:tcW w:w="1440" w:type="dxa"/>
            <w:gridSpan w:val="4"/>
            <w:vAlign w:val="bottom"/>
          </w:tcPr>
          <w:p w14:paraId="39DA15E6" w14:textId="5B928794"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N/A</w:t>
            </w:r>
          </w:p>
        </w:tc>
        <w:tc>
          <w:tcPr>
            <w:tcW w:w="1980" w:type="dxa"/>
            <w:vAlign w:val="bottom"/>
          </w:tcPr>
          <w:p w14:paraId="7E86DFE2" w14:textId="6150B916"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N/A</w:t>
            </w:r>
          </w:p>
        </w:tc>
      </w:tr>
      <w:tr w:rsidR="00FD2D14" w:rsidRPr="007C2800" w14:paraId="1B95A598" w14:textId="77777777" w:rsidTr="000351F6">
        <w:trPr>
          <w:gridAfter w:val="1"/>
          <w:cnfStyle w:val="000000100000" w:firstRow="0" w:lastRow="0" w:firstColumn="0" w:lastColumn="0" w:oddVBand="0" w:evenVBand="0" w:oddHBand="1" w:evenHBand="0" w:firstRowFirstColumn="0" w:firstRowLastColumn="0" w:lastRowFirstColumn="0" w:lastRowLastColumn="0"/>
          <w:wAfter w:w="20" w:type="dxa"/>
          <w:trHeight w:val="407"/>
        </w:trPr>
        <w:tc>
          <w:tcPr>
            <w:tcW w:w="3166" w:type="dxa"/>
            <w:vAlign w:val="bottom"/>
          </w:tcPr>
          <w:p w14:paraId="3B284442" w14:textId="77777777" w:rsidR="00FD2D14" w:rsidRPr="009D785B" w:rsidRDefault="00FD2D14" w:rsidP="0080767E">
            <w:pPr>
              <w:pStyle w:val="Default"/>
              <w:ind w:left="720"/>
              <w:rPr>
                <w:rFonts w:ascii="Times New Roman" w:hAnsi="Times New Roman" w:cs="Times New Roman"/>
              </w:rPr>
            </w:pPr>
            <w:r w:rsidRPr="009D785B">
              <w:rPr>
                <w:rFonts w:ascii="Times New Roman" w:hAnsi="Times New Roman" w:cs="Times New Roman"/>
              </w:rPr>
              <w:t xml:space="preserve">Snoqualmie Falls Incremental Hydro Generation </w:t>
            </w:r>
          </w:p>
        </w:tc>
        <w:tc>
          <w:tcPr>
            <w:tcW w:w="1620" w:type="dxa"/>
            <w:gridSpan w:val="2"/>
            <w:vAlign w:val="bottom"/>
          </w:tcPr>
          <w:p w14:paraId="12CF5D5D" w14:textId="41BEA8BA"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PSE</w:t>
            </w:r>
          </w:p>
        </w:tc>
        <w:tc>
          <w:tcPr>
            <w:tcW w:w="1890" w:type="dxa"/>
            <w:vAlign w:val="bottom"/>
          </w:tcPr>
          <w:p w14:paraId="383D73E8" w14:textId="794D8D7C" w:rsidR="00FD2D14" w:rsidRPr="009D785B" w:rsidRDefault="00F96813" w:rsidP="000351F6">
            <w:pPr>
              <w:pStyle w:val="Default"/>
              <w:jc w:val="center"/>
              <w:rPr>
                <w:rFonts w:ascii="Times New Roman" w:hAnsi="Times New Roman" w:cs="Times New Roman"/>
              </w:rPr>
            </w:pPr>
            <w:r w:rsidRPr="007C2800">
              <w:rPr>
                <w:rFonts w:ascii="Times New Roman" w:hAnsi="Times New Roman" w:cs="Times New Roman"/>
              </w:rPr>
              <w:t>Eligible</w:t>
            </w:r>
          </w:p>
        </w:tc>
        <w:tc>
          <w:tcPr>
            <w:tcW w:w="1440" w:type="dxa"/>
            <w:gridSpan w:val="4"/>
            <w:vAlign w:val="bottom"/>
          </w:tcPr>
          <w:p w14:paraId="28944AD2" w14:textId="1F6831DA"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N/A</w:t>
            </w:r>
          </w:p>
        </w:tc>
        <w:tc>
          <w:tcPr>
            <w:tcW w:w="1980" w:type="dxa"/>
            <w:vAlign w:val="bottom"/>
          </w:tcPr>
          <w:p w14:paraId="5C073553" w14:textId="70D968C4"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N/A</w:t>
            </w:r>
          </w:p>
        </w:tc>
      </w:tr>
      <w:tr w:rsidR="00322BBC" w:rsidRPr="007C2800" w14:paraId="185EDBC7" w14:textId="77777777" w:rsidTr="000351F6">
        <w:trPr>
          <w:gridAfter w:val="1"/>
          <w:wAfter w:w="20" w:type="dxa"/>
          <w:trHeight w:val="278"/>
        </w:trPr>
        <w:tc>
          <w:tcPr>
            <w:tcW w:w="3166" w:type="dxa"/>
            <w:vAlign w:val="bottom"/>
          </w:tcPr>
          <w:p w14:paraId="56FE7609" w14:textId="77777777" w:rsidR="00FD2D14" w:rsidRPr="009D785B" w:rsidRDefault="00FD2D14" w:rsidP="0080767E">
            <w:pPr>
              <w:pStyle w:val="Default"/>
              <w:rPr>
                <w:rFonts w:ascii="Times New Roman" w:hAnsi="Times New Roman" w:cs="Times New Roman"/>
              </w:rPr>
            </w:pPr>
            <w:r w:rsidRPr="009D785B">
              <w:rPr>
                <w:rFonts w:ascii="Times New Roman" w:hAnsi="Times New Roman" w:cs="Times New Roman"/>
              </w:rPr>
              <w:t xml:space="preserve">Electron </w:t>
            </w:r>
          </w:p>
        </w:tc>
        <w:tc>
          <w:tcPr>
            <w:tcW w:w="1620" w:type="dxa"/>
            <w:gridSpan w:val="2"/>
            <w:vAlign w:val="bottom"/>
          </w:tcPr>
          <w:p w14:paraId="7B030B7C" w14:textId="4A5BC24F"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PSE</w:t>
            </w:r>
          </w:p>
        </w:tc>
        <w:tc>
          <w:tcPr>
            <w:tcW w:w="1890" w:type="dxa"/>
            <w:vAlign w:val="bottom"/>
          </w:tcPr>
          <w:p w14:paraId="3EDC9A8B" w14:textId="19A3D846"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Not Eligible</w:t>
            </w:r>
          </w:p>
        </w:tc>
        <w:tc>
          <w:tcPr>
            <w:tcW w:w="1440" w:type="dxa"/>
            <w:gridSpan w:val="4"/>
            <w:vAlign w:val="bottom"/>
          </w:tcPr>
          <w:p w14:paraId="3021A222" w14:textId="7B4D400C"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N/A</w:t>
            </w:r>
          </w:p>
        </w:tc>
        <w:tc>
          <w:tcPr>
            <w:tcW w:w="1980" w:type="dxa"/>
            <w:vAlign w:val="bottom"/>
          </w:tcPr>
          <w:p w14:paraId="1555D1D0" w14:textId="5F9516FF"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N/A</w:t>
            </w:r>
          </w:p>
        </w:tc>
      </w:tr>
      <w:tr w:rsidR="00FD2D14" w:rsidRPr="007C2800" w14:paraId="0314B5AA" w14:textId="77777777" w:rsidTr="000351F6">
        <w:trPr>
          <w:gridAfter w:val="1"/>
          <w:cnfStyle w:val="000000100000" w:firstRow="0" w:lastRow="0" w:firstColumn="0" w:lastColumn="0" w:oddVBand="0" w:evenVBand="0" w:oddHBand="1" w:evenHBand="0" w:firstRowFirstColumn="0" w:firstRowLastColumn="0" w:lastRowFirstColumn="0" w:lastRowLastColumn="0"/>
          <w:wAfter w:w="20" w:type="dxa"/>
          <w:trHeight w:val="278"/>
        </w:trPr>
        <w:tc>
          <w:tcPr>
            <w:tcW w:w="3166" w:type="dxa"/>
            <w:vAlign w:val="bottom"/>
          </w:tcPr>
          <w:p w14:paraId="0A221226" w14:textId="77777777" w:rsidR="00FD2D14" w:rsidRPr="009D785B" w:rsidRDefault="00FD2D14" w:rsidP="0080767E">
            <w:pPr>
              <w:pStyle w:val="Default"/>
              <w:rPr>
                <w:rFonts w:ascii="Times New Roman" w:hAnsi="Times New Roman" w:cs="Times New Roman"/>
              </w:rPr>
            </w:pPr>
            <w:r w:rsidRPr="009D785B">
              <w:rPr>
                <w:rFonts w:ascii="Times New Roman" w:hAnsi="Times New Roman" w:cs="Times New Roman"/>
              </w:rPr>
              <w:t xml:space="preserve">Hopkins Ridge </w:t>
            </w:r>
          </w:p>
        </w:tc>
        <w:tc>
          <w:tcPr>
            <w:tcW w:w="1620" w:type="dxa"/>
            <w:gridSpan w:val="2"/>
            <w:vAlign w:val="bottom"/>
          </w:tcPr>
          <w:p w14:paraId="581EFFC3" w14:textId="3D3A2944"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PSE</w:t>
            </w:r>
          </w:p>
        </w:tc>
        <w:tc>
          <w:tcPr>
            <w:tcW w:w="1890" w:type="dxa"/>
            <w:vAlign w:val="bottom"/>
          </w:tcPr>
          <w:p w14:paraId="3846D261" w14:textId="3DACC7C7"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Eligible</w:t>
            </w:r>
          </w:p>
        </w:tc>
        <w:tc>
          <w:tcPr>
            <w:tcW w:w="1440" w:type="dxa"/>
            <w:gridSpan w:val="4"/>
            <w:vAlign w:val="bottom"/>
          </w:tcPr>
          <w:p w14:paraId="1001945B" w14:textId="5D9F13FA"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Yes</w:t>
            </w:r>
          </w:p>
        </w:tc>
        <w:tc>
          <w:tcPr>
            <w:tcW w:w="1980" w:type="dxa"/>
            <w:vAlign w:val="bottom"/>
          </w:tcPr>
          <w:p w14:paraId="27A5149E" w14:textId="75A00EC6"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N/A</w:t>
            </w:r>
          </w:p>
        </w:tc>
      </w:tr>
      <w:tr w:rsidR="00322BBC" w:rsidRPr="007C2800" w14:paraId="0DD972F9" w14:textId="77777777" w:rsidTr="000351F6">
        <w:trPr>
          <w:gridAfter w:val="1"/>
          <w:wAfter w:w="20" w:type="dxa"/>
          <w:trHeight w:val="278"/>
        </w:trPr>
        <w:tc>
          <w:tcPr>
            <w:tcW w:w="3166" w:type="dxa"/>
            <w:vAlign w:val="bottom"/>
          </w:tcPr>
          <w:p w14:paraId="4C89DA14" w14:textId="77777777" w:rsidR="00FD2D14" w:rsidRPr="009D785B" w:rsidRDefault="00FD2D14" w:rsidP="0080767E">
            <w:pPr>
              <w:pStyle w:val="Default"/>
              <w:rPr>
                <w:rFonts w:ascii="Times New Roman" w:hAnsi="Times New Roman" w:cs="Times New Roman"/>
              </w:rPr>
            </w:pPr>
            <w:r w:rsidRPr="009D785B">
              <w:rPr>
                <w:rFonts w:ascii="Times New Roman" w:hAnsi="Times New Roman" w:cs="Times New Roman"/>
              </w:rPr>
              <w:t xml:space="preserve">Lower Snake River </w:t>
            </w:r>
          </w:p>
        </w:tc>
        <w:tc>
          <w:tcPr>
            <w:tcW w:w="1620" w:type="dxa"/>
            <w:gridSpan w:val="2"/>
            <w:vAlign w:val="bottom"/>
          </w:tcPr>
          <w:p w14:paraId="5F800842" w14:textId="7B4DE400"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PSE</w:t>
            </w:r>
          </w:p>
        </w:tc>
        <w:tc>
          <w:tcPr>
            <w:tcW w:w="1890" w:type="dxa"/>
            <w:vAlign w:val="bottom"/>
          </w:tcPr>
          <w:p w14:paraId="4DC9B866" w14:textId="2878E8AC"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Eligible</w:t>
            </w:r>
          </w:p>
        </w:tc>
        <w:tc>
          <w:tcPr>
            <w:tcW w:w="1440" w:type="dxa"/>
            <w:gridSpan w:val="4"/>
            <w:vAlign w:val="bottom"/>
          </w:tcPr>
          <w:p w14:paraId="4EB3F486" w14:textId="3ACE552F"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Yes</w:t>
            </w:r>
          </w:p>
        </w:tc>
        <w:tc>
          <w:tcPr>
            <w:tcW w:w="1980" w:type="dxa"/>
            <w:vAlign w:val="bottom"/>
          </w:tcPr>
          <w:p w14:paraId="68B89FDB" w14:textId="1863AF7A"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2012 Renewable Energy Target</w:t>
            </w:r>
          </w:p>
        </w:tc>
      </w:tr>
      <w:tr w:rsidR="00FD2D14" w:rsidRPr="007C2800" w14:paraId="26B179A1" w14:textId="77777777" w:rsidTr="000351F6">
        <w:trPr>
          <w:gridAfter w:val="1"/>
          <w:cnfStyle w:val="000000100000" w:firstRow="0" w:lastRow="0" w:firstColumn="0" w:lastColumn="0" w:oddVBand="0" w:evenVBand="0" w:oddHBand="1" w:evenHBand="0" w:firstRowFirstColumn="0" w:firstRowLastColumn="0" w:lastRowFirstColumn="0" w:lastRowLastColumn="0"/>
          <w:wAfter w:w="20" w:type="dxa"/>
          <w:trHeight w:val="278"/>
        </w:trPr>
        <w:tc>
          <w:tcPr>
            <w:tcW w:w="3166" w:type="dxa"/>
            <w:vAlign w:val="bottom"/>
          </w:tcPr>
          <w:p w14:paraId="6A1C68D6" w14:textId="77777777" w:rsidR="00FD2D14" w:rsidRPr="009D785B" w:rsidRDefault="00FD2D14" w:rsidP="0080767E">
            <w:pPr>
              <w:pStyle w:val="Default"/>
              <w:rPr>
                <w:rFonts w:ascii="Times New Roman" w:hAnsi="Times New Roman" w:cs="Times New Roman"/>
              </w:rPr>
            </w:pPr>
            <w:r w:rsidRPr="009D785B">
              <w:rPr>
                <w:rFonts w:ascii="Times New Roman" w:hAnsi="Times New Roman" w:cs="Times New Roman"/>
              </w:rPr>
              <w:t xml:space="preserve">Wild Horse </w:t>
            </w:r>
          </w:p>
        </w:tc>
        <w:tc>
          <w:tcPr>
            <w:tcW w:w="1620" w:type="dxa"/>
            <w:gridSpan w:val="2"/>
            <w:vAlign w:val="bottom"/>
          </w:tcPr>
          <w:p w14:paraId="5EEEC44A" w14:textId="7630CD15"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PSE</w:t>
            </w:r>
          </w:p>
        </w:tc>
        <w:tc>
          <w:tcPr>
            <w:tcW w:w="1890" w:type="dxa"/>
            <w:vAlign w:val="bottom"/>
          </w:tcPr>
          <w:p w14:paraId="08ED2FF7" w14:textId="4182DDFC"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Eligible</w:t>
            </w:r>
          </w:p>
        </w:tc>
        <w:tc>
          <w:tcPr>
            <w:tcW w:w="1440" w:type="dxa"/>
            <w:gridSpan w:val="4"/>
            <w:vAlign w:val="bottom"/>
          </w:tcPr>
          <w:p w14:paraId="0E55CB7C" w14:textId="18A6AD1D"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Yes</w:t>
            </w:r>
          </w:p>
        </w:tc>
        <w:tc>
          <w:tcPr>
            <w:tcW w:w="1980" w:type="dxa"/>
            <w:vAlign w:val="bottom"/>
          </w:tcPr>
          <w:p w14:paraId="0C6C02BB" w14:textId="434FA43A"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N/A</w:t>
            </w:r>
          </w:p>
        </w:tc>
      </w:tr>
      <w:tr w:rsidR="00322BBC" w:rsidRPr="007C2800" w14:paraId="496DD879" w14:textId="77777777" w:rsidTr="000351F6">
        <w:trPr>
          <w:gridAfter w:val="1"/>
          <w:wAfter w:w="20" w:type="dxa"/>
          <w:trHeight w:val="278"/>
        </w:trPr>
        <w:tc>
          <w:tcPr>
            <w:tcW w:w="3166" w:type="dxa"/>
            <w:vAlign w:val="bottom"/>
          </w:tcPr>
          <w:p w14:paraId="0193EA16" w14:textId="77777777" w:rsidR="00FD2D14" w:rsidRPr="009D785B" w:rsidRDefault="00FD2D14" w:rsidP="0080767E">
            <w:pPr>
              <w:pStyle w:val="Default"/>
              <w:rPr>
                <w:rFonts w:ascii="Times New Roman" w:hAnsi="Times New Roman" w:cs="Times New Roman"/>
              </w:rPr>
            </w:pPr>
            <w:r w:rsidRPr="009D785B">
              <w:rPr>
                <w:rFonts w:ascii="Times New Roman" w:hAnsi="Times New Roman" w:cs="Times New Roman"/>
              </w:rPr>
              <w:t xml:space="preserve">Wild Horse Phase II </w:t>
            </w:r>
          </w:p>
        </w:tc>
        <w:tc>
          <w:tcPr>
            <w:tcW w:w="1620" w:type="dxa"/>
            <w:gridSpan w:val="2"/>
            <w:vAlign w:val="bottom"/>
          </w:tcPr>
          <w:p w14:paraId="2288043E" w14:textId="49388CD9"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PSE</w:t>
            </w:r>
          </w:p>
        </w:tc>
        <w:tc>
          <w:tcPr>
            <w:tcW w:w="1890" w:type="dxa"/>
            <w:vAlign w:val="bottom"/>
          </w:tcPr>
          <w:p w14:paraId="5717857B" w14:textId="548ADBAC"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Eligible</w:t>
            </w:r>
          </w:p>
        </w:tc>
        <w:tc>
          <w:tcPr>
            <w:tcW w:w="1440" w:type="dxa"/>
            <w:gridSpan w:val="4"/>
            <w:vAlign w:val="bottom"/>
          </w:tcPr>
          <w:p w14:paraId="3C68A58D" w14:textId="4D4BFE7C"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Yes</w:t>
            </w:r>
          </w:p>
        </w:tc>
        <w:tc>
          <w:tcPr>
            <w:tcW w:w="1980" w:type="dxa"/>
            <w:vAlign w:val="bottom"/>
          </w:tcPr>
          <w:p w14:paraId="15A3D6A3" w14:textId="615C14CB"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2012 Renewable Energy Target</w:t>
            </w:r>
          </w:p>
        </w:tc>
      </w:tr>
      <w:tr w:rsidR="00FD2D14" w:rsidRPr="007C2800" w14:paraId="60FEB49A" w14:textId="77777777" w:rsidTr="000351F6">
        <w:trPr>
          <w:gridAfter w:val="1"/>
          <w:cnfStyle w:val="000000100000" w:firstRow="0" w:lastRow="0" w:firstColumn="0" w:lastColumn="0" w:oddVBand="0" w:evenVBand="0" w:oddHBand="1" w:evenHBand="0" w:firstRowFirstColumn="0" w:firstRowLastColumn="0" w:lastRowFirstColumn="0" w:lastRowLastColumn="0"/>
          <w:wAfter w:w="20" w:type="dxa"/>
          <w:trHeight w:val="278"/>
        </w:trPr>
        <w:tc>
          <w:tcPr>
            <w:tcW w:w="3166" w:type="dxa"/>
            <w:vAlign w:val="bottom"/>
          </w:tcPr>
          <w:p w14:paraId="161668B6" w14:textId="77777777" w:rsidR="00FD2D14" w:rsidRPr="009D785B" w:rsidRDefault="00FD2D14" w:rsidP="0080767E">
            <w:pPr>
              <w:pStyle w:val="Default"/>
              <w:rPr>
                <w:rFonts w:ascii="Times New Roman" w:hAnsi="Times New Roman" w:cs="Times New Roman"/>
              </w:rPr>
            </w:pPr>
            <w:r w:rsidRPr="009D785B">
              <w:rPr>
                <w:rFonts w:ascii="Times New Roman" w:hAnsi="Times New Roman" w:cs="Times New Roman"/>
              </w:rPr>
              <w:t xml:space="preserve">Fredonia 1 &amp; 2 </w:t>
            </w:r>
          </w:p>
        </w:tc>
        <w:tc>
          <w:tcPr>
            <w:tcW w:w="1620" w:type="dxa"/>
            <w:gridSpan w:val="2"/>
            <w:vAlign w:val="bottom"/>
          </w:tcPr>
          <w:p w14:paraId="74BBBDEB" w14:textId="1980422B"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PSE</w:t>
            </w:r>
          </w:p>
        </w:tc>
        <w:tc>
          <w:tcPr>
            <w:tcW w:w="1890" w:type="dxa"/>
            <w:vAlign w:val="bottom"/>
          </w:tcPr>
          <w:p w14:paraId="6171DC3A" w14:textId="6E1A2821"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Not Eligible</w:t>
            </w:r>
          </w:p>
        </w:tc>
        <w:tc>
          <w:tcPr>
            <w:tcW w:w="1440" w:type="dxa"/>
            <w:gridSpan w:val="4"/>
            <w:vAlign w:val="bottom"/>
          </w:tcPr>
          <w:p w14:paraId="681A80A6" w14:textId="776EC9CA"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N/A</w:t>
            </w:r>
          </w:p>
        </w:tc>
        <w:tc>
          <w:tcPr>
            <w:tcW w:w="1980" w:type="dxa"/>
            <w:vAlign w:val="bottom"/>
          </w:tcPr>
          <w:p w14:paraId="5BC64981" w14:textId="249693C7"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N/A</w:t>
            </w:r>
          </w:p>
        </w:tc>
      </w:tr>
      <w:tr w:rsidR="00322BBC" w:rsidRPr="007C2800" w14:paraId="2834B68D" w14:textId="77777777" w:rsidTr="000351F6">
        <w:trPr>
          <w:gridAfter w:val="1"/>
          <w:wAfter w:w="20" w:type="dxa"/>
          <w:trHeight w:val="280"/>
        </w:trPr>
        <w:tc>
          <w:tcPr>
            <w:tcW w:w="3166" w:type="dxa"/>
            <w:vAlign w:val="bottom"/>
          </w:tcPr>
          <w:p w14:paraId="26635083" w14:textId="77777777" w:rsidR="00FD2D14" w:rsidRPr="009D785B" w:rsidRDefault="00FD2D14" w:rsidP="0080767E">
            <w:pPr>
              <w:pStyle w:val="Default"/>
              <w:rPr>
                <w:rFonts w:ascii="Times New Roman" w:hAnsi="Times New Roman" w:cs="Times New Roman"/>
              </w:rPr>
            </w:pPr>
            <w:r w:rsidRPr="009D785B">
              <w:rPr>
                <w:rFonts w:ascii="Times New Roman" w:hAnsi="Times New Roman" w:cs="Times New Roman"/>
              </w:rPr>
              <w:t xml:space="preserve">Fredonia 3 &amp; 4 </w:t>
            </w:r>
          </w:p>
        </w:tc>
        <w:tc>
          <w:tcPr>
            <w:tcW w:w="1620" w:type="dxa"/>
            <w:gridSpan w:val="2"/>
            <w:vAlign w:val="bottom"/>
          </w:tcPr>
          <w:p w14:paraId="4B147FE4" w14:textId="68771D39"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PSE</w:t>
            </w:r>
          </w:p>
        </w:tc>
        <w:tc>
          <w:tcPr>
            <w:tcW w:w="1890" w:type="dxa"/>
            <w:vAlign w:val="bottom"/>
          </w:tcPr>
          <w:p w14:paraId="6C7B208C" w14:textId="7C82613C"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Not Eligible</w:t>
            </w:r>
          </w:p>
        </w:tc>
        <w:tc>
          <w:tcPr>
            <w:tcW w:w="1440" w:type="dxa"/>
            <w:gridSpan w:val="4"/>
            <w:vAlign w:val="bottom"/>
          </w:tcPr>
          <w:p w14:paraId="4A9C8914" w14:textId="7040360D"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N/A</w:t>
            </w:r>
          </w:p>
        </w:tc>
        <w:tc>
          <w:tcPr>
            <w:tcW w:w="1980" w:type="dxa"/>
            <w:vAlign w:val="bottom"/>
          </w:tcPr>
          <w:p w14:paraId="7243A598" w14:textId="3FAFFF93"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N/A</w:t>
            </w:r>
          </w:p>
        </w:tc>
      </w:tr>
      <w:tr w:rsidR="00FD2D14" w:rsidRPr="007C2800" w14:paraId="49E606EE" w14:textId="77777777" w:rsidTr="000351F6">
        <w:trPr>
          <w:gridAfter w:val="1"/>
          <w:cnfStyle w:val="000000100000" w:firstRow="0" w:lastRow="0" w:firstColumn="0" w:lastColumn="0" w:oddVBand="0" w:evenVBand="0" w:oddHBand="1" w:evenHBand="0" w:firstRowFirstColumn="0" w:firstRowLastColumn="0" w:lastRowFirstColumn="0" w:lastRowLastColumn="0"/>
          <w:wAfter w:w="20" w:type="dxa"/>
          <w:trHeight w:val="280"/>
        </w:trPr>
        <w:tc>
          <w:tcPr>
            <w:tcW w:w="3166" w:type="dxa"/>
            <w:vAlign w:val="bottom"/>
          </w:tcPr>
          <w:p w14:paraId="094BFC25" w14:textId="77777777" w:rsidR="00FD2D14" w:rsidRPr="009D785B" w:rsidRDefault="00FD2D14" w:rsidP="0080767E">
            <w:pPr>
              <w:pStyle w:val="Default"/>
              <w:rPr>
                <w:rFonts w:ascii="Times New Roman" w:hAnsi="Times New Roman" w:cs="Times New Roman"/>
              </w:rPr>
            </w:pPr>
            <w:r w:rsidRPr="009D785B">
              <w:rPr>
                <w:rFonts w:ascii="Times New Roman" w:hAnsi="Times New Roman" w:cs="Times New Roman"/>
              </w:rPr>
              <w:t xml:space="preserve">Whitehorn 2 &amp; 3 </w:t>
            </w:r>
          </w:p>
        </w:tc>
        <w:tc>
          <w:tcPr>
            <w:tcW w:w="1620" w:type="dxa"/>
            <w:gridSpan w:val="2"/>
            <w:vAlign w:val="bottom"/>
          </w:tcPr>
          <w:p w14:paraId="4314BE67" w14:textId="3CA8F6FD"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PSE</w:t>
            </w:r>
          </w:p>
        </w:tc>
        <w:tc>
          <w:tcPr>
            <w:tcW w:w="1890" w:type="dxa"/>
            <w:vAlign w:val="bottom"/>
          </w:tcPr>
          <w:p w14:paraId="0DD960A5" w14:textId="30D9468A"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Not Eligible</w:t>
            </w:r>
          </w:p>
        </w:tc>
        <w:tc>
          <w:tcPr>
            <w:tcW w:w="1440" w:type="dxa"/>
            <w:gridSpan w:val="4"/>
            <w:vAlign w:val="bottom"/>
          </w:tcPr>
          <w:p w14:paraId="675D4AA5" w14:textId="6A6691AC"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N/A</w:t>
            </w:r>
          </w:p>
        </w:tc>
        <w:tc>
          <w:tcPr>
            <w:tcW w:w="1980" w:type="dxa"/>
            <w:vAlign w:val="bottom"/>
          </w:tcPr>
          <w:p w14:paraId="01057855" w14:textId="5DEC92C7"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N/A</w:t>
            </w:r>
          </w:p>
        </w:tc>
      </w:tr>
      <w:tr w:rsidR="00322BBC" w:rsidRPr="007C2800" w14:paraId="7C63B5F3" w14:textId="77777777" w:rsidTr="000351F6">
        <w:trPr>
          <w:gridAfter w:val="1"/>
          <w:wAfter w:w="20" w:type="dxa"/>
          <w:trHeight w:val="280"/>
        </w:trPr>
        <w:tc>
          <w:tcPr>
            <w:tcW w:w="3166" w:type="dxa"/>
            <w:vAlign w:val="bottom"/>
          </w:tcPr>
          <w:p w14:paraId="18A4BF31" w14:textId="77777777" w:rsidR="00FD2D14" w:rsidRPr="009D785B" w:rsidRDefault="00FD2D14" w:rsidP="0080767E">
            <w:pPr>
              <w:pStyle w:val="Default"/>
              <w:rPr>
                <w:rFonts w:ascii="Times New Roman" w:hAnsi="Times New Roman" w:cs="Times New Roman"/>
              </w:rPr>
            </w:pPr>
            <w:r w:rsidRPr="009D785B">
              <w:rPr>
                <w:rFonts w:ascii="Times New Roman" w:hAnsi="Times New Roman" w:cs="Times New Roman"/>
              </w:rPr>
              <w:t xml:space="preserve">Frederickson 1 &amp; 2 </w:t>
            </w:r>
          </w:p>
        </w:tc>
        <w:tc>
          <w:tcPr>
            <w:tcW w:w="1620" w:type="dxa"/>
            <w:gridSpan w:val="2"/>
            <w:vAlign w:val="bottom"/>
          </w:tcPr>
          <w:p w14:paraId="03477ADE" w14:textId="3918153D"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PSE</w:t>
            </w:r>
          </w:p>
        </w:tc>
        <w:tc>
          <w:tcPr>
            <w:tcW w:w="1890" w:type="dxa"/>
            <w:vAlign w:val="bottom"/>
          </w:tcPr>
          <w:p w14:paraId="684155BC" w14:textId="1A73ECD5"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Not Eligible</w:t>
            </w:r>
          </w:p>
        </w:tc>
        <w:tc>
          <w:tcPr>
            <w:tcW w:w="1440" w:type="dxa"/>
            <w:gridSpan w:val="4"/>
            <w:vAlign w:val="bottom"/>
          </w:tcPr>
          <w:p w14:paraId="2D830B41" w14:textId="7BEF648C"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N/A</w:t>
            </w:r>
          </w:p>
        </w:tc>
        <w:tc>
          <w:tcPr>
            <w:tcW w:w="1980" w:type="dxa"/>
            <w:vAlign w:val="bottom"/>
          </w:tcPr>
          <w:p w14:paraId="1753940F" w14:textId="57C7B71B"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N/A</w:t>
            </w:r>
          </w:p>
        </w:tc>
      </w:tr>
      <w:tr w:rsidR="00FD2D14" w:rsidRPr="007C2800" w14:paraId="01E48AC1" w14:textId="77777777" w:rsidTr="000351F6">
        <w:trPr>
          <w:gridAfter w:val="1"/>
          <w:cnfStyle w:val="000000100000" w:firstRow="0" w:lastRow="0" w:firstColumn="0" w:lastColumn="0" w:oddVBand="0" w:evenVBand="0" w:oddHBand="1" w:evenHBand="0" w:firstRowFirstColumn="0" w:firstRowLastColumn="0" w:lastRowFirstColumn="0" w:lastRowLastColumn="0"/>
          <w:wAfter w:w="20" w:type="dxa"/>
          <w:trHeight w:val="278"/>
        </w:trPr>
        <w:tc>
          <w:tcPr>
            <w:tcW w:w="3166" w:type="dxa"/>
            <w:vAlign w:val="bottom"/>
          </w:tcPr>
          <w:p w14:paraId="18481574" w14:textId="77777777" w:rsidR="00FD2D14" w:rsidRPr="009D785B" w:rsidRDefault="00FD2D14" w:rsidP="0080767E">
            <w:pPr>
              <w:pStyle w:val="Default"/>
              <w:rPr>
                <w:rFonts w:ascii="Times New Roman" w:hAnsi="Times New Roman" w:cs="Times New Roman"/>
              </w:rPr>
            </w:pPr>
            <w:r w:rsidRPr="009D785B">
              <w:rPr>
                <w:rFonts w:ascii="Times New Roman" w:hAnsi="Times New Roman" w:cs="Times New Roman"/>
              </w:rPr>
              <w:t xml:space="preserve">Encogen </w:t>
            </w:r>
          </w:p>
        </w:tc>
        <w:tc>
          <w:tcPr>
            <w:tcW w:w="1620" w:type="dxa"/>
            <w:gridSpan w:val="2"/>
            <w:vAlign w:val="bottom"/>
          </w:tcPr>
          <w:p w14:paraId="206BC574" w14:textId="6BF38A04"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PSE</w:t>
            </w:r>
          </w:p>
        </w:tc>
        <w:tc>
          <w:tcPr>
            <w:tcW w:w="1890" w:type="dxa"/>
            <w:vAlign w:val="bottom"/>
          </w:tcPr>
          <w:p w14:paraId="6182C376" w14:textId="6C5172E7"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Not Eligible</w:t>
            </w:r>
          </w:p>
        </w:tc>
        <w:tc>
          <w:tcPr>
            <w:tcW w:w="1440" w:type="dxa"/>
            <w:gridSpan w:val="4"/>
            <w:vAlign w:val="bottom"/>
          </w:tcPr>
          <w:p w14:paraId="70917B47" w14:textId="29F152BC"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N/A</w:t>
            </w:r>
          </w:p>
        </w:tc>
        <w:tc>
          <w:tcPr>
            <w:tcW w:w="1980" w:type="dxa"/>
            <w:vAlign w:val="bottom"/>
          </w:tcPr>
          <w:p w14:paraId="183344D6" w14:textId="23C86658"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N/A</w:t>
            </w:r>
          </w:p>
        </w:tc>
      </w:tr>
      <w:tr w:rsidR="00322BBC" w:rsidRPr="007C2800" w14:paraId="0D34311C" w14:textId="77777777" w:rsidTr="000351F6">
        <w:trPr>
          <w:gridAfter w:val="1"/>
          <w:wAfter w:w="20" w:type="dxa"/>
          <w:trHeight w:val="278"/>
        </w:trPr>
        <w:tc>
          <w:tcPr>
            <w:tcW w:w="3166" w:type="dxa"/>
            <w:vAlign w:val="bottom"/>
          </w:tcPr>
          <w:p w14:paraId="37ABCCC1" w14:textId="77777777" w:rsidR="00FD2D14" w:rsidRPr="009D785B" w:rsidRDefault="00FD2D14" w:rsidP="0080767E">
            <w:pPr>
              <w:pStyle w:val="Default"/>
              <w:rPr>
                <w:rFonts w:ascii="Times New Roman" w:hAnsi="Times New Roman" w:cs="Times New Roman"/>
              </w:rPr>
            </w:pPr>
            <w:r w:rsidRPr="009D785B">
              <w:rPr>
                <w:rFonts w:ascii="Times New Roman" w:hAnsi="Times New Roman" w:cs="Times New Roman"/>
              </w:rPr>
              <w:t xml:space="preserve">Ferndale </w:t>
            </w:r>
          </w:p>
        </w:tc>
        <w:tc>
          <w:tcPr>
            <w:tcW w:w="1620" w:type="dxa"/>
            <w:gridSpan w:val="2"/>
            <w:vAlign w:val="bottom"/>
          </w:tcPr>
          <w:p w14:paraId="54DADC42" w14:textId="7902B8E1"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PSE</w:t>
            </w:r>
          </w:p>
        </w:tc>
        <w:tc>
          <w:tcPr>
            <w:tcW w:w="1890" w:type="dxa"/>
            <w:vAlign w:val="bottom"/>
          </w:tcPr>
          <w:p w14:paraId="6B40C024" w14:textId="0BB20BB8"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Not Eligible</w:t>
            </w:r>
          </w:p>
        </w:tc>
        <w:tc>
          <w:tcPr>
            <w:tcW w:w="1440" w:type="dxa"/>
            <w:gridSpan w:val="4"/>
            <w:vAlign w:val="bottom"/>
          </w:tcPr>
          <w:p w14:paraId="2E18220F" w14:textId="29FFC426"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N/A</w:t>
            </w:r>
          </w:p>
        </w:tc>
        <w:tc>
          <w:tcPr>
            <w:tcW w:w="1980" w:type="dxa"/>
            <w:vAlign w:val="bottom"/>
          </w:tcPr>
          <w:p w14:paraId="6EDF7263" w14:textId="5A0B0826"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N/A</w:t>
            </w:r>
          </w:p>
        </w:tc>
      </w:tr>
      <w:tr w:rsidR="00FD2D14" w:rsidRPr="007C2800" w14:paraId="611C5D66" w14:textId="77777777" w:rsidTr="000351F6">
        <w:trPr>
          <w:gridAfter w:val="1"/>
          <w:cnfStyle w:val="000000100000" w:firstRow="0" w:lastRow="0" w:firstColumn="0" w:lastColumn="0" w:oddVBand="0" w:evenVBand="0" w:oddHBand="1" w:evenHBand="0" w:firstRowFirstColumn="0" w:firstRowLastColumn="0" w:lastRowFirstColumn="0" w:lastRowLastColumn="0"/>
          <w:wAfter w:w="20" w:type="dxa"/>
          <w:trHeight w:val="278"/>
        </w:trPr>
        <w:tc>
          <w:tcPr>
            <w:tcW w:w="3166" w:type="dxa"/>
            <w:vAlign w:val="bottom"/>
          </w:tcPr>
          <w:p w14:paraId="264CBD4A" w14:textId="77777777" w:rsidR="00FD2D14" w:rsidRPr="009D785B" w:rsidRDefault="00FD2D14" w:rsidP="0080767E">
            <w:pPr>
              <w:pStyle w:val="Default"/>
              <w:rPr>
                <w:rFonts w:ascii="Times New Roman" w:hAnsi="Times New Roman" w:cs="Times New Roman"/>
              </w:rPr>
            </w:pPr>
            <w:r w:rsidRPr="009D785B">
              <w:rPr>
                <w:rFonts w:ascii="Times New Roman" w:hAnsi="Times New Roman" w:cs="Times New Roman"/>
              </w:rPr>
              <w:t xml:space="preserve">Goldendale </w:t>
            </w:r>
          </w:p>
        </w:tc>
        <w:tc>
          <w:tcPr>
            <w:tcW w:w="1620" w:type="dxa"/>
            <w:gridSpan w:val="2"/>
            <w:vAlign w:val="bottom"/>
          </w:tcPr>
          <w:p w14:paraId="6906899C" w14:textId="787B927C"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PSE</w:t>
            </w:r>
          </w:p>
        </w:tc>
        <w:tc>
          <w:tcPr>
            <w:tcW w:w="1890" w:type="dxa"/>
            <w:vAlign w:val="bottom"/>
          </w:tcPr>
          <w:p w14:paraId="3ADA1BAF" w14:textId="487858CD"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Not Eligible</w:t>
            </w:r>
          </w:p>
        </w:tc>
        <w:tc>
          <w:tcPr>
            <w:tcW w:w="1440" w:type="dxa"/>
            <w:gridSpan w:val="4"/>
            <w:vAlign w:val="bottom"/>
          </w:tcPr>
          <w:p w14:paraId="5C64E5A2" w14:textId="5414B514"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N/A</w:t>
            </w:r>
          </w:p>
        </w:tc>
        <w:tc>
          <w:tcPr>
            <w:tcW w:w="1980" w:type="dxa"/>
            <w:vAlign w:val="bottom"/>
          </w:tcPr>
          <w:p w14:paraId="25CA689F" w14:textId="74446CE6"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N/A</w:t>
            </w:r>
          </w:p>
        </w:tc>
      </w:tr>
      <w:tr w:rsidR="00322BBC" w:rsidRPr="007C2800" w14:paraId="4CFB3278" w14:textId="77777777" w:rsidTr="000351F6">
        <w:trPr>
          <w:gridAfter w:val="1"/>
          <w:wAfter w:w="20" w:type="dxa"/>
          <w:trHeight w:val="278"/>
        </w:trPr>
        <w:tc>
          <w:tcPr>
            <w:tcW w:w="3166" w:type="dxa"/>
            <w:vAlign w:val="bottom"/>
          </w:tcPr>
          <w:p w14:paraId="1837F064" w14:textId="77777777" w:rsidR="00FD2D14" w:rsidRPr="009D785B" w:rsidRDefault="00FD2D14" w:rsidP="0080767E">
            <w:pPr>
              <w:pStyle w:val="Default"/>
              <w:rPr>
                <w:rFonts w:ascii="Times New Roman" w:hAnsi="Times New Roman" w:cs="Times New Roman"/>
              </w:rPr>
            </w:pPr>
            <w:r w:rsidRPr="009D785B">
              <w:rPr>
                <w:rFonts w:ascii="Times New Roman" w:hAnsi="Times New Roman" w:cs="Times New Roman"/>
              </w:rPr>
              <w:t xml:space="preserve">Mint Farm </w:t>
            </w:r>
          </w:p>
        </w:tc>
        <w:tc>
          <w:tcPr>
            <w:tcW w:w="1620" w:type="dxa"/>
            <w:gridSpan w:val="2"/>
            <w:vAlign w:val="bottom"/>
          </w:tcPr>
          <w:p w14:paraId="350DFA1B" w14:textId="37AF9DE7"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PSE</w:t>
            </w:r>
          </w:p>
        </w:tc>
        <w:tc>
          <w:tcPr>
            <w:tcW w:w="1890" w:type="dxa"/>
            <w:vAlign w:val="bottom"/>
          </w:tcPr>
          <w:p w14:paraId="7440A61D" w14:textId="4BF38AD6"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Not Eligible</w:t>
            </w:r>
          </w:p>
        </w:tc>
        <w:tc>
          <w:tcPr>
            <w:tcW w:w="1440" w:type="dxa"/>
            <w:gridSpan w:val="4"/>
            <w:vAlign w:val="bottom"/>
          </w:tcPr>
          <w:p w14:paraId="6F318B3C" w14:textId="3973A0D9"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N/A</w:t>
            </w:r>
          </w:p>
        </w:tc>
        <w:tc>
          <w:tcPr>
            <w:tcW w:w="1980" w:type="dxa"/>
            <w:vAlign w:val="bottom"/>
          </w:tcPr>
          <w:p w14:paraId="5AB781CB" w14:textId="00129E42"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N/A</w:t>
            </w:r>
          </w:p>
        </w:tc>
      </w:tr>
      <w:tr w:rsidR="00FD2D14" w:rsidRPr="007C2800" w14:paraId="299069A4" w14:textId="77777777" w:rsidTr="000351F6">
        <w:trPr>
          <w:gridAfter w:val="1"/>
          <w:cnfStyle w:val="000000100000" w:firstRow="0" w:lastRow="0" w:firstColumn="0" w:lastColumn="0" w:oddVBand="0" w:evenVBand="0" w:oddHBand="1" w:evenHBand="0" w:firstRowFirstColumn="0" w:firstRowLastColumn="0" w:lastRowFirstColumn="0" w:lastRowLastColumn="0"/>
          <w:wAfter w:w="20" w:type="dxa"/>
          <w:trHeight w:val="387"/>
        </w:trPr>
        <w:tc>
          <w:tcPr>
            <w:tcW w:w="3166" w:type="dxa"/>
            <w:vAlign w:val="bottom"/>
          </w:tcPr>
          <w:p w14:paraId="5BCC0ABF" w14:textId="77777777" w:rsidR="00FD2D14" w:rsidRPr="009D785B" w:rsidRDefault="00FD2D14" w:rsidP="0080767E">
            <w:pPr>
              <w:pStyle w:val="Default"/>
              <w:ind w:left="720"/>
              <w:rPr>
                <w:rFonts w:ascii="Times New Roman" w:hAnsi="Times New Roman" w:cs="Times New Roman"/>
              </w:rPr>
            </w:pPr>
            <w:r w:rsidRPr="009D785B">
              <w:rPr>
                <w:rFonts w:ascii="Times New Roman" w:hAnsi="Times New Roman" w:cs="Times New Roman"/>
              </w:rPr>
              <w:t xml:space="preserve">Mint Farm </w:t>
            </w:r>
          </w:p>
        </w:tc>
        <w:tc>
          <w:tcPr>
            <w:tcW w:w="1620" w:type="dxa"/>
            <w:gridSpan w:val="2"/>
            <w:vAlign w:val="bottom"/>
          </w:tcPr>
          <w:p w14:paraId="3DC52378" w14:textId="67496E53"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PSE</w:t>
            </w:r>
          </w:p>
        </w:tc>
        <w:tc>
          <w:tcPr>
            <w:tcW w:w="1890" w:type="dxa"/>
            <w:vAlign w:val="bottom"/>
          </w:tcPr>
          <w:p w14:paraId="4EEE8384" w14:textId="59220FD4"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Eligible</w:t>
            </w:r>
          </w:p>
        </w:tc>
        <w:tc>
          <w:tcPr>
            <w:tcW w:w="1440" w:type="dxa"/>
            <w:gridSpan w:val="4"/>
            <w:vAlign w:val="bottom"/>
          </w:tcPr>
          <w:p w14:paraId="2F383F63" w14:textId="23EE83D8"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Yes</w:t>
            </w:r>
          </w:p>
        </w:tc>
        <w:tc>
          <w:tcPr>
            <w:tcW w:w="1980" w:type="dxa"/>
            <w:vAlign w:val="bottom"/>
          </w:tcPr>
          <w:p w14:paraId="1BE48A0A" w14:textId="379F5275"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N/A</w:t>
            </w:r>
            <w:r w:rsidR="00C57BDE">
              <w:rPr>
                <w:rStyle w:val="EndnoteReference"/>
                <w:rFonts w:ascii="Times New Roman" w:hAnsi="Times New Roman" w:cs="Times New Roman"/>
              </w:rPr>
              <w:endnoteReference w:id="3"/>
            </w:r>
          </w:p>
        </w:tc>
      </w:tr>
      <w:tr w:rsidR="00322BBC" w:rsidRPr="007C2800" w14:paraId="43D3C24D" w14:textId="77777777" w:rsidTr="000351F6">
        <w:trPr>
          <w:gridAfter w:val="1"/>
          <w:wAfter w:w="20" w:type="dxa"/>
          <w:trHeight w:val="278"/>
        </w:trPr>
        <w:tc>
          <w:tcPr>
            <w:tcW w:w="3166" w:type="dxa"/>
            <w:vAlign w:val="bottom"/>
          </w:tcPr>
          <w:p w14:paraId="24318169" w14:textId="77777777" w:rsidR="00FD2D14" w:rsidRPr="009D785B" w:rsidRDefault="00FD2D14" w:rsidP="0080767E">
            <w:pPr>
              <w:pStyle w:val="Default"/>
              <w:rPr>
                <w:rFonts w:ascii="Times New Roman" w:hAnsi="Times New Roman" w:cs="Times New Roman"/>
              </w:rPr>
            </w:pPr>
            <w:r w:rsidRPr="009D785B">
              <w:rPr>
                <w:rFonts w:ascii="Times New Roman" w:hAnsi="Times New Roman" w:cs="Times New Roman"/>
              </w:rPr>
              <w:t xml:space="preserve">Sumas </w:t>
            </w:r>
          </w:p>
        </w:tc>
        <w:tc>
          <w:tcPr>
            <w:tcW w:w="1620" w:type="dxa"/>
            <w:gridSpan w:val="2"/>
            <w:vAlign w:val="bottom"/>
          </w:tcPr>
          <w:p w14:paraId="1A3E61E7" w14:textId="071A43F7"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PSE</w:t>
            </w:r>
          </w:p>
        </w:tc>
        <w:tc>
          <w:tcPr>
            <w:tcW w:w="1890" w:type="dxa"/>
            <w:vAlign w:val="bottom"/>
          </w:tcPr>
          <w:p w14:paraId="663E9CB4" w14:textId="0AC61AED"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Not Eligible</w:t>
            </w:r>
          </w:p>
        </w:tc>
        <w:tc>
          <w:tcPr>
            <w:tcW w:w="1440" w:type="dxa"/>
            <w:gridSpan w:val="4"/>
            <w:vAlign w:val="bottom"/>
          </w:tcPr>
          <w:p w14:paraId="0B0E91AA" w14:textId="1044B53C"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N/A</w:t>
            </w:r>
          </w:p>
        </w:tc>
        <w:tc>
          <w:tcPr>
            <w:tcW w:w="1980" w:type="dxa"/>
            <w:vAlign w:val="bottom"/>
          </w:tcPr>
          <w:p w14:paraId="48F6EC4B" w14:textId="7A073392"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N/A</w:t>
            </w:r>
          </w:p>
        </w:tc>
      </w:tr>
      <w:tr w:rsidR="00FD2D14" w:rsidRPr="007C2800" w14:paraId="674A62CB" w14:textId="77777777" w:rsidTr="000351F6">
        <w:trPr>
          <w:gridAfter w:val="1"/>
          <w:cnfStyle w:val="000000100000" w:firstRow="0" w:lastRow="0" w:firstColumn="0" w:lastColumn="0" w:oddVBand="0" w:evenVBand="0" w:oddHBand="1" w:evenHBand="0" w:firstRowFirstColumn="0" w:firstRowLastColumn="0" w:lastRowFirstColumn="0" w:lastRowLastColumn="0"/>
          <w:wAfter w:w="20" w:type="dxa"/>
          <w:trHeight w:val="278"/>
        </w:trPr>
        <w:tc>
          <w:tcPr>
            <w:tcW w:w="3166" w:type="dxa"/>
            <w:vAlign w:val="bottom"/>
          </w:tcPr>
          <w:p w14:paraId="2DD1E1A2" w14:textId="77777777" w:rsidR="00FD2D14" w:rsidRPr="009D785B" w:rsidRDefault="00FD2D14" w:rsidP="0080767E">
            <w:pPr>
              <w:pStyle w:val="Default"/>
              <w:rPr>
                <w:rFonts w:ascii="Times New Roman" w:hAnsi="Times New Roman" w:cs="Times New Roman"/>
              </w:rPr>
            </w:pPr>
            <w:r w:rsidRPr="009D785B">
              <w:rPr>
                <w:rFonts w:ascii="Times New Roman" w:hAnsi="Times New Roman" w:cs="Times New Roman"/>
              </w:rPr>
              <w:t xml:space="preserve">Frederickson 1 </w:t>
            </w:r>
          </w:p>
        </w:tc>
        <w:tc>
          <w:tcPr>
            <w:tcW w:w="1620" w:type="dxa"/>
            <w:gridSpan w:val="2"/>
            <w:vAlign w:val="bottom"/>
          </w:tcPr>
          <w:p w14:paraId="67C9DFA3" w14:textId="15AE1E18"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PSE (49.85%)</w:t>
            </w:r>
          </w:p>
        </w:tc>
        <w:tc>
          <w:tcPr>
            <w:tcW w:w="1890" w:type="dxa"/>
            <w:vAlign w:val="bottom"/>
          </w:tcPr>
          <w:p w14:paraId="46955D9C" w14:textId="6D03A094"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Not Eligible</w:t>
            </w:r>
          </w:p>
        </w:tc>
        <w:tc>
          <w:tcPr>
            <w:tcW w:w="1440" w:type="dxa"/>
            <w:gridSpan w:val="4"/>
            <w:vAlign w:val="bottom"/>
          </w:tcPr>
          <w:p w14:paraId="6B350B00" w14:textId="36E98861"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N/A</w:t>
            </w:r>
          </w:p>
        </w:tc>
        <w:tc>
          <w:tcPr>
            <w:tcW w:w="1980" w:type="dxa"/>
            <w:vAlign w:val="bottom"/>
          </w:tcPr>
          <w:p w14:paraId="6CF3FD54" w14:textId="015271D6"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N/A</w:t>
            </w:r>
          </w:p>
        </w:tc>
      </w:tr>
      <w:tr w:rsidR="00322BBC" w:rsidRPr="007C2800" w14:paraId="7793887F" w14:textId="77777777" w:rsidTr="000351F6">
        <w:trPr>
          <w:gridAfter w:val="1"/>
          <w:wAfter w:w="20" w:type="dxa"/>
          <w:trHeight w:val="278"/>
        </w:trPr>
        <w:tc>
          <w:tcPr>
            <w:tcW w:w="3166" w:type="dxa"/>
            <w:vAlign w:val="bottom"/>
          </w:tcPr>
          <w:p w14:paraId="2BBCF983" w14:textId="77777777" w:rsidR="00FD2D14" w:rsidRPr="009D785B" w:rsidRDefault="00FD2D14" w:rsidP="0080767E">
            <w:pPr>
              <w:pStyle w:val="Default"/>
              <w:rPr>
                <w:rFonts w:ascii="Times New Roman" w:hAnsi="Times New Roman" w:cs="Times New Roman"/>
              </w:rPr>
            </w:pPr>
            <w:r w:rsidRPr="009D785B">
              <w:rPr>
                <w:rFonts w:ascii="Times New Roman" w:hAnsi="Times New Roman" w:cs="Times New Roman"/>
              </w:rPr>
              <w:t xml:space="preserve">Colstrip 1 &amp; 2 </w:t>
            </w:r>
          </w:p>
        </w:tc>
        <w:tc>
          <w:tcPr>
            <w:tcW w:w="1620" w:type="dxa"/>
            <w:gridSpan w:val="2"/>
            <w:vAlign w:val="bottom"/>
          </w:tcPr>
          <w:p w14:paraId="0BBCE26C" w14:textId="53C53D82"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PSE (50%)</w:t>
            </w:r>
          </w:p>
        </w:tc>
        <w:tc>
          <w:tcPr>
            <w:tcW w:w="1890" w:type="dxa"/>
            <w:vAlign w:val="bottom"/>
          </w:tcPr>
          <w:p w14:paraId="6846F5D1" w14:textId="3F344D98"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Not Eligible</w:t>
            </w:r>
          </w:p>
        </w:tc>
        <w:tc>
          <w:tcPr>
            <w:tcW w:w="1440" w:type="dxa"/>
            <w:gridSpan w:val="4"/>
            <w:vAlign w:val="bottom"/>
          </w:tcPr>
          <w:p w14:paraId="05512FB1" w14:textId="3821B2F4"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N/A</w:t>
            </w:r>
          </w:p>
        </w:tc>
        <w:tc>
          <w:tcPr>
            <w:tcW w:w="1980" w:type="dxa"/>
            <w:vAlign w:val="bottom"/>
          </w:tcPr>
          <w:p w14:paraId="169F47D6" w14:textId="52E5D3B7"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N/A</w:t>
            </w:r>
          </w:p>
        </w:tc>
      </w:tr>
      <w:tr w:rsidR="00FD2D14" w:rsidRPr="007C2800" w14:paraId="3E5BDF45" w14:textId="77777777" w:rsidTr="000351F6">
        <w:trPr>
          <w:gridAfter w:val="1"/>
          <w:cnfStyle w:val="000000100000" w:firstRow="0" w:lastRow="0" w:firstColumn="0" w:lastColumn="0" w:oddVBand="0" w:evenVBand="0" w:oddHBand="1" w:evenHBand="0" w:firstRowFirstColumn="0" w:firstRowLastColumn="0" w:lastRowFirstColumn="0" w:lastRowLastColumn="0"/>
          <w:wAfter w:w="20" w:type="dxa"/>
          <w:trHeight w:val="278"/>
        </w:trPr>
        <w:tc>
          <w:tcPr>
            <w:tcW w:w="3166" w:type="dxa"/>
            <w:vAlign w:val="bottom"/>
          </w:tcPr>
          <w:p w14:paraId="71E87355" w14:textId="77777777" w:rsidR="00FD2D14" w:rsidRPr="009D785B" w:rsidRDefault="00FD2D14" w:rsidP="0080767E">
            <w:pPr>
              <w:pStyle w:val="Default"/>
              <w:rPr>
                <w:rFonts w:ascii="Times New Roman" w:hAnsi="Times New Roman" w:cs="Times New Roman"/>
              </w:rPr>
            </w:pPr>
            <w:r w:rsidRPr="009D785B">
              <w:rPr>
                <w:rFonts w:ascii="Times New Roman" w:hAnsi="Times New Roman" w:cs="Times New Roman"/>
              </w:rPr>
              <w:t xml:space="preserve">Colstrip 3 &amp; 4 </w:t>
            </w:r>
          </w:p>
        </w:tc>
        <w:tc>
          <w:tcPr>
            <w:tcW w:w="1620" w:type="dxa"/>
            <w:gridSpan w:val="2"/>
            <w:vAlign w:val="bottom"/>
          </w:tcPr>
          <w:p w14:paraId="7D9D862D" w14:textId="50D5864F"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PSE (25%)</w:t>
            </w:r>
          </w:p>
        </w:tc>
        <w:tc>
          <w:tcPr>
            <w:tcW w:w="1890" w:type="dxa"/>
            <w:vAlign w:val="bottom"/>
          </w:tcPr>
          <w:p w14:paraId="1F3167C2" w14:textId="54919569"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Not Eligible</w:t>
            </w:r>
          </w:p>
        </w:tc>
        <w:tc>
          <w:tcPr>
            <w:tcW w:w="1440" w:type="dxa"/>
            <w:gridSpan w:val="4"/>
            <w:vAlign w:val="bottom"/>
          </w:tcPr>
          <w:p w14:paraId="4566373F" w14:textId="7FDAF994"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N/A</w:t>
            </w:r>
          </w:p>
        </w:tc>
        <w:tc>
          <w:tcPr>
            <w:tcW w:w="1980" w:type="dxa"/>
            <w:vAlign w:val="bottom"/>
          </w:tcPr>
          <w:p w14:paraId="7D624772" w14:textId="55F7FD6E"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N/A</w:t>
            </w:r>
          </w:p>
        </w:tc>
      </w:tr>
      <w:tr w:rsidR="00322BBC" w:rsidRPr="007C2800" w14:paraId="245317CE" w14:textId="77777777" w:rsidTr="000351F6">
        <w:trPr>
          <w:gridAfter w:val="1"/>
          <w:wAfter w:w="20" w:type="dxa"/>
          <w:trHeight w:val="278"/>
        </w:trPr>
        <w:tc>
          <w:tcPr>
            <w:tcW w:w="3166" w:type="dxa"/>
            <w:vAlign w:val="bottom"/>
          </w:tcPr>
          <w:p w14:paraId="65912179" w14:textId="77777777" w:rsidR="00FD2D14" w:rsidRPr="009D785B" w:rsidRDefault="00FD2D14" w:rsidP="0080767E">
            <w:pPr>
              <w:pStyle w:val="Default"/>
              <w:rPr>
                <w:rFonts w:ascii="Times New Roman" w:hAnsi="Times New Roman" w:cs="Times New Roman"/>
              </w:rPr>
            </w:pPr>
            <w:r w:rsidRPr="009D785B">
              <w:rPr>
                <w:rFonts w:ascii="Times New Roman" w:hAnsi="Times New Roman" w:cs="Times New Roman"/>
              </w:rPr>
              <w:t xml:space="preserve">Wells (Douglas Co. PUD) </w:t>
            </w:r>
          </w:p>
        </w:tc>
        <w:tc>
          <w:tcPr>
            <w:tcW w:w="1620" w:type="dxa"/>
            <w:gridSpan w:val="2"/>
            <w:vAlign w:val="bottom"/>
          </w:tcPr>
          <w:p w14:paraId="0BBDFCC5" w14:textId="2A8E55A0"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Contract</w:t>
            </w:r>
          </w:p>
        </w:tc>
        <w:tc>
          <w:tcPr>
            <w:tcW w:w="1890" w:type="dxa"/>
            <w:vAlign w:val="bottom"/>
          </w:tcPr>
          <w:p w14:paraId="1296D4EE" w14:textId="701DCB23"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Not Eligible</w:t>
            </w:r>
          </w:p>
        </w:tc>
        <w:tc>
          <w:tcPr>
            <w:tcW w:w="1440" w:type="dxa"/>
            <w:gridSpan w:val="4"/>
            <w:vAlign w:val="bottom"/>
          </w:tcPr>
          <w:p w14:paraId="3F736D40" w14:textId="0EA592C9"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N/A</w:t>
            </w:r>
          </w:p>
        </w:tc>
        <w:tc>
          <w:tcPr>
            <w:tcW w:w="1980" w:type="dxa"/>
            <w:vAlign w:val="bottom"/>
          </w:tcPr>
          <w:p w14:paraId="4A331255" w14:textId="25C2441F"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N/A</w:t>
            </w:r>
          </w:p>
        </w:tc>
      </w:tr>
      <w:tr w:rsidR="00FD2D14" w:rsidRPr="007C2800" w14:paraId="19BFD1BA" w14:textId="77777777" w:rsidTr="000351F6">
        <w:trPr>
          <w:gridAfter w:val="1"/>
          <w:cnfStyle w:val="000000100000" w:firstRow="0" w:lastRow="0" w:firstColumn="0" w:lastColumn="0" w:oddVBand="0" w:evenVBand="0" w:oddHBand="1" w:evenHBand="0" w:firstRowFirstColumn="0" w:firstRowLastColumn="0" w:lastRowFirstColumn="0" w:lastRowLastColumn="0"/>
          <w:wAfter w:w="20" w:type="dxa"/>
          <w:trHeight w:val="278"/>
        </w:trPr>
        <w:tc>
          <w:tcPr>
            <w:tcW w:w="3166" w:type="dxa"/>
            <w:vAlign w:val="bottom"/>
          </w:tcPr>
          <w:p w14:paraId="22C4F3E8" w14:textId="77777777" w:rsidR="00FD2D14" w:rsidRPr="009D785B" w:rsidRDefault="00FD2D14" w:rsidP="0080767E">
            <w:pPr>
              <w:pStyle w:val="Default"/>
              <w:rPr>
                <w:rFonts w:ascii="Times New Roman" w:hAnsi="Times New Roman" w:cs="Times New Roman"/>
              </w:rPr>
            </w:pPr>
            <w:r w:rsidRPr="009D785B">
              <w:rPr>
                <w:rFonts w:ascii="Times New Roman" w:hAnsi="Times New Roman" w:cs="Times New Roman"/>
              </w:rPr>
              <w:t xml:space="preserve">Rocky Reach (Chelan Co. PUD) </w:t>
            </w:r>
          </w:p>
        </w:tc>
        <w:tc>
          <w:tcPr>
            <w:tcW w:w="1620" w:type="dxa"/>
            <w:gridSpan w:val="2"/>
            <w:vAlign w:val="bottom"/>
          </w:tcPr>
          <w:p w14:paraId="78CDDC5A" w14:textId="31779532"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Contract</w:t>
            </w:r>
          </w:p>
        </w:tc>
        <w:tc>
          <w:tcPr>
            <w:tcW w:w="1890" w:type="dxa"/>
            <w:vAlign w:val="bottom"/>
          </w:tcPr>
          <w:p w14:paraId="0C8B5711" w14:textId="4206F06E"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Not Eligible</w:t>
            </w:r>
          </w:p>
        </w:tc>
        <w:tc>
          <w:tcPr>
            <w:tcW w:w="1440" w:type="dxa"/>
            <w:gridSpan w:val="4"/>
            <w:vAlign w:val="bottom"/>
          </w:tcPr>
          <w:p w14:paraId="5897F014" w14:textId="00FCF1C7"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N/A</w:t>
            </w:r>
          </w:p>
        </w:tc>
        <w:tc>
          <w:tcPr>
            <w:tcW w:w="1980" w:type="dxa"/>
            <w:vAlign w:val="bottom"/>
          </w:tcPr>
          <w:p w14:paraId="57E2255A" w14:textId="28BC26F7" w:rsidR="00FD2D14" w:rsidRPr="009D785B" w:rsidRDefault="00FD2D14" w:rsidP="000351F6">
            <w:pPr>
              <w:pStyle w:val="Default"/>
              <w:jc w:val="center"/>
              <w:rPr>
                <w:rFonts w:ascii="Times New Roman" w:hAnsi="Times New Roman" w:cs="Times New Roman"/>
              </w:rPr>
            </w:pPr>
            <w:r w:rsidRPr="009D785B">
              <w:rPr>
                <w:rFonts w:ascii="Times New Roman" w:hAnsi="Times New Roman" w:cs="Times New Roman"/>
              </w:rPr>
              <w:t>N/A</w:t>
            </w:r>
          </w:p>
        </w:tc>
      </w:tr>
      <w:tr w:rsidR="00322BBC" w:rsidRPr="007C2800" w14:paraId="3E2C39D5" w14:textId="77777777" w:rsidTr="000351F6">
        <w:trPr>
          <w:gridAfter w:val="1"/>
          <w:wAfter w:w="20" w:type="dxa"/>
          <w:trHeight w:val="278"/>
        </w:trPr>
        <w:tc>
          <w:tcPr>
            <w:tcW w:w="3166" w:type="dxa"/>
            <w:vAlign w:val="bottom"/>
          </w:tcPr>
          <w:p w14:paraId="6EDD92DA" w14:textId="77777777" w:rsidR="00C57BDE" w:rsidRPr="009D785B" w:rsidRDefault="00C57BDE" w:rsidP="0080767E">
            <w:pPr>
              <w:pStyle w:val="Default"/>
              <w:rPr>
                <w:rFonts w:ascii="Times New Roman" w:hAnsi="Times New Roman" w:cs="Times New Roman"/>
              </w:rPr>
            </w:pPr>
            <w:r w:rsidRPr="009D785B">
              <w:rPr>
                <w:rFonts w:ascii="Times New Roman" w:hAnsi="Times New Roman" w:cs="Times New Roman"/>
              </w:rPr>
              <w:t xml:space="preserve">Rock Island I &amp; II (Chelan Co. PUD) </w:t>
            </w:r>
          </w:p>
        </w:tc>
        <w:tc>
          <w:tcPr>
            <w:tcW w:w="1620" w:type="dxa"/>
            <w:gridSpan w:val="2"/>
            <w:vAlign w:val="bottom"/>
          </w:tcPr>
          <w:p w14:paraId="45579D92" w14:textId="53A3703C"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Contract</w:t>
            </w:r>
          </w:p>
        </w:tc>
        <w:tc>
          <w:tcPr>
            <w:tcW w:w="1890" w:type="dxa"/>
            <w:vAlign w:val="bottom"/>
          </w:tcPr>
          <w:p w14:paraId="4D44C4ED" w14:textId="1F428966"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Not Eligible</w:t>
            </w:r>
          </w:p>
        </w:tc>
        <w:tc>
          <w:tcPr>
            <w:tcW w:w="1440" w:type="dxa"/>
            <w:gridSpan w:val="4"/>
            <w:vAlign w:val="bottom"/>
          </w:tcPr>
          <w:p w14:paraId="62439E99" w14:textId="02D42116"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N/A</w:t>
            </w:r>
          </w:p>
        </w:tc>
        <w:tc>
          <w:tcPr>
            <w:tcW w:w="1980" w:type="dxa"/>
            <w:vAlign w:val="bottom"/>
          </w:tcPr>
          <w:p w14:paraId="57284001" w14:textId="552F9311"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N/A</w:t>
            </w:r>
          </w:p>
        </w:tc>
      </w:tr>
      <w:tr w:rsidR="00C57BDE" w:rsidRPr="007C2800" w14:paraId="1F6FC046" w14:textId="77777777" w:rsidTr="000351F6">
        <w:trPr>
          <w:cnfStyle w:val="000000100000" w:firstRow="0" w:lastRow="0" w:firstColumn="0" w:lastColumn="0" w:oddVBand="0" w:evenVBand="0" w:oddHBand="1" w:evenHBand="0" w:firstRowFirstColumn="0" w:firstRowLastColumn="0" w:lastRowFirstColumn="0" w:lastRowLastColumn="0"/>
          <w:trHeight w:val="278"/>
        </w:trPr>
        <w:tc>
          <w:tcPr>
            <w:tcW w:w="3230" w:type="dxa"/>
            <w:gridSpan w:val="2"/>
            <w:vAlign w:val="bottom"/>
          </w:tcPr>
          <w:p w14:paraId="41B3878E" w14:textId="370A2C36" w:rsidR="00C57BDE" w:rsidRPr="009D785B" w:rsidRDefault="00C57BDE" w:rsidP="000351F6">
            <w:pPr>
              <w:pStyle w:val="Default"/>
              <w:rPr>
                <w:rFonts w:ascii="Times New Roman" w:eastAsia="Times New Roman" w:hAnsi="Times New Roman" w:cs="Times New Roman"/>
              </w:rPr>
            </w:pPr>
            <w:r w:rsidRPr="009D785B">
              <w:rPr>
                <w:rFonts w:ascii="Times New Roman" w:hAnsi="Times New Roman" w:cs="Times New Roman"/>
              </w:rPr>
              <w:t>Chelan System Incremental Hydro</w:t>
            </w:r>
          </w:p>
        </w:tc>
        <w:tc>
          <w:tcPr>
            <w:tcW w:w="1556" w:type="dxa"/>
            <w:vAlign w:val="bottom"/>
          </w:tcPr>
          <w:p w14:paraId="1F6430FF" w14:textId="1C4EE956"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Contract</w:t>
            </w:r>
          </w:p>
        </w:tc>
        <w:tc>
          <w:tcPr>
            <w:tcW w:w="2160" w:type="dxa"/>
            <w:gridSpan w:val="2"/>
            <w:vAlign w:val="bottom"/>
          </w:tcPr>
          <w:p w14:paraId="61B87B61" w14:textId="569DD4F0"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Eligibility Pending</w:t>
            </w:r>
          </w:p>
        </w:tc>
        <w:tc>
          <w:tcPr>
            <w:tcW w:w="810" w:type="dxa"/>
            <w:vAlign w:val="bottom"/>
          </w:tcPr>
          <w:p w14:paraId="7D6222C8" w14:textId="01A3861E" w:rsidR="00C57BDE" w:rsidRPr="009D785B" w:rsidRDefault="0080767E" w:rsidP="000351F6">
            <w:pPr>
              <w:pStyle w:val="Default"/>
              <w:jc w:val="center"/>
              <w:rPr>
                <w:rFonts w:ascii="Times New Roman" w:hAnsi="Times New Roman" w:cs="Times New Roman"/>
              </w:rPr>
            </w:pPr>
            <w:r>
              <w:rPr>
                <w:rFonts w:ascii="Times New Roman" w:hAnsi="Times New Roman" w:cs="Times New Roman"/>
              </w:rPr>
              <w:t xml:space="preserve">  </w:t>
            </w:r>
            <w:r w:rsidR="00C57BDE" w:rsidRPr="009D785B">
              <w:rPr>
                <w:rFonts w:ascii="Times New Roman" w:hAnsi="Times New Roman" w:cs="Times New Roman"/>
              </w:rPr>
              <w:t>Yes</w:t>
            </w:r>
          </w:p>
        </w:tc>
        <w:tc>
          <w:tcPr>
            <w:tcW w:w="2360" w:type="dxa"/>
            <w:gridSpan w:val="4"/>
            <w:vAlign w:val="bottom"/>
          </w:tcPr>
          <w:p w14:paraId="38DD5E19" w14:textId="7E4E56D1" w:rsidR="00C57BDE" w:rsidRPr="009D785B" w:rsidRDefault="00C57BDE" w:rsidP="000351F6">
            <w:pPr>
              <w:pStyle w:val="Default"/>
              <w:ind w:left="346"/>
              <w:jc w:val="center"/>
              <w:rPr>
                <w:rFonts w:ascii="Times New Roman" w:hAnsi="Times New Roman" w:cs="Times New Roman"/>
              </w:rPr>
            </w:pPr>
            <w:r w:rsidRPr="009D785B">
              <w:rPr>
                <w:rFonts w:ascii="Times New Roman" w:hAnsi="Times New Roman" w:cs="Times New Roman"/>
              </w:rPr>
              <w:t>N/A</w:t>
            </w:r>
          </w:p>
        </w:tc>
      </w:tr>
      <w:tr w:rsidR="00322BBC" w:rsidRPr="007C2800" w14:paraId="70EDF012" w14:textId="77777777" w:rsidTr="000351F6">
        <w:trPr>
          <w:gridAfter w:val="1"/>
          <w:wAfter w:w="20" w:type="dxa"/>
          <w:trHeight w:val="459"/>
        </w:trPr>
        <w:tc>
          <w:tcPr>
            <w:tcW w:w="3166" w:type="dxa"/>
            <w:vAlign w:val="bottom"/>
          </w:tcPr>
          <w:p w14:paraId="7BAC3186" w14:textId="77777777" w:rsidR="00C57BDE" w:rsidRPr="007C2800" w:rsidRDefault="00C57BDE" w:rsidP="0080767E">
            <w:pPr>
              <w:pStyle w:val="Default"/>
              <w:rPr>
                <w:rFonts w:ascii="Times New Roman" w:hAnsi="Times New Roman" w:cs="Times New Roman"/>
              </w:rPr>
            </w:pPr>
            <w:r w:rsidRPr="009D785B">
              <w:rPr>
                <w:rFonts w:ascii="Times New Roman" w:hAnsi="Times New Roman" w:cs="Times New Roman"/>
              </w:rPr>
              <w:lastRenderedPageBreak/>
              <w:t xml:space="preserve">Wanapum </w:t>
            </w:r>
          </w:p>
          <w:p w14:paraId="1D2FF315" w14:textId="17F4E961" w:rsidR="00C57BDE" w:rsidRPr="009D785B" w:rsidRDefault="00C57BDE" w:rsidP="0080767E">
            <w:pPr>
              <w:pStyle w:val="Default"/>
              <w:rPr>
                <w:rFonts w:ascii="Times New Roman" w:hAnsi="Times New Roman" w:cs="Times New Roman"/>
              </w:rPr>
            </w:pPr>
            <w:r w:rsidRPr="009D785B">
              <w:rPr>
                <w:rFonts w:ascii="Times New Roman" w:hAnsi="Times New Roman" w:cs="Times New Roman"/>
              </w:rPr>
              <w:t xml:space="preserve">(Grant Co. PUD) </w:t>
            </w:r>
          </w:p>
        </w:tc>
        <w:tc>
          <w:tcPr>
            <w:tcW w:w="1620" w:type="dxa"/>
            <w:gridSpan w:val="2"/>
            <w:vAlign w:val="bottom"/>
          </w:tcPr>
          <w:p w14:paraId="538D2234" w14:textId="1814E674"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Contract</w:t>
            </w:r>
          </w:p>
        </w:tc>
        <w:tc>
          <w:tcPr>
            <w:tcW w:w="1890" w:type="dxa"/>
            <w:vAlign w:val="bottom"/>
          </w:tcPr>
          <w:p w14:paraId="6865F9DB" w14:textId="7FFECE94"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Not Eligible</w:t>
            </w:r>
          </w:p>
        </w:tc>
        <w:tc>
          <w:tcPr>
            <w:tcW w:w="1440" w:type="dxa"/>
            <w:gridSpan w:val="4"/>
            <w:vAlign w:val="bottom"/>
          </w:tcPr>
          <w:p w14:paraId="2B2F4603" w14:textId="40B6C72A"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N/A</w:t>
            </w:r>
          </w:p>
        </w:tc>
        <w:tc>
          <w:tcPr>
            <w:tcW w:w="1980" w:type="dxa"/>
            <w:vAlign w:val="bottom"/>
          </w:tcPr>
          <w:p w14:paraId="4F9DB9CE" w14:textId="69E9CA42"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N/A</w:t>
            </w:r>
          </w:p>
        </w:tc>
      </w:tr>
      <w:tr w:rsidR="00C57BDE" w:rsidRPr="007C2800" w14:paraId="40F12349" w14:textId="77777777" w:rsidTr="000351F6">
        <w:trPr>
          <w:gridAfter w:val="1"/>
          <w:cnfStyle w:val="000000100000" w:firstRow="0" w:lastRow="0" w:firstColumn="0" w:lastColumn="0" w:oddVBand="0" w:evenVBand="0" w:oddHBand="1" w:evenHBand="0" w:firstRowFirstColumn="0" w:firstRowLastColumn="0" w:lastRowFirstColumn="0" w:lastRowLastColumn="0"/>
          <w:wAfter w:w="20" w:type="dxa"/>
          <w:trHeight w:val="278"/>
        </w:trPr>
        <w:tc>
          <w:tcPr>
            <w:tcW w:w="3166" w:type="dxa"/>
            <w:vAlign w:val="bottom"/>
          </w:tcPr>
          <w:p w14:paraId="731FD361" w14:textId="77777777" w:rsidR="00C57BDE" w:rsidRPr="009D785B" w:rsidRDefault="00C57BDE" w:rsidP="0080767E">
            <w:pPr>
              <w:pStyle w:val="Default"/>
              <w:ind w:left="720"/>
              <w:rPr>
                <w:rFonts w:ascii="Times New Roman" w:hAnsi="Times New Roman" w:cs="Times New Roman"/>
              </w:rPr>
            </w:pPr>
            <w:r w:rsidRPr="009D785B">
              <w:rPr>
                <w:rFonts w:ascii="Times New Roman" w:hAnsi="Times New Roman" w:cs="Times New Roman"/>
              </w:rPr>
              <w:t xml:space="preserve">Wanapum Fish Bypass </w:t>
            </w:r>
          </w:p>
        </w:tc>
        <w:tc>
          <w:tcPr>
            <w:tcW w:w="1620" w:type="dxa"/>
            <w:gridSpan w:val="2"/>
            <w:vAlign w:val="bottom"/>
          </w:tcPr>
          <w:p w14:paraId="26FD1F35" w14:textId="74D9B8E5"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Contract</w:t>
            </w:r>
          </w:p>
        </w:tc>
        <w:tc>
          <w:tcPr>
            <w:tcW w:w="1890" w:type="dxa"/>
            <w:vAlign w:val="bottom"/>
          </w:tcPr>
          <w:p w14:paraId="57A30E8B" w14:textId="762B11AA" w:rsidR="00C57BDE" w:rsidRPr="009D785B" w:rsidRDefault="00A66241" w:rsidP="000351F6">
            <w:pPr>
              <w:pStyle w:val="Default"/>
              <w:jc w:val="center"/>
              <w:rPr>
                <w:rFonts w:ascii="Times New Roman" w:hAnsi="Times New Roman" w:cs="Times New Roman"/>
              </w:rPr>
            </w:pPr>
            <w:r>
              <w:rPr>
                <w:rFonts w:ascii="Times New Roman" w:hAnsi="Times New Roman" w:cs="Times New Roman"/>
              </w:rPr>
              <w:t>Eligible</w:t>
            </w:r>
          </w:p>
        </w:tc>
        <w:tc>
          <w:tcPr>
            <w:tcW w:w="1440" w:type="dxa"/>
            <w:gridSpan w:val="4"/>
            <w:vAlign w:val="bottom"/>
          </w:tcPr>
          <w:p w14:paraId="2571BF9E" w14:textId="3F037D52"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N/A</w:t>
            </w:r>
          </w:p>
        </w:tc>
        <w:tc>
          <w:tcPr>
            <w:tcW w:w="1980" w:type="dxa"/>
            <w:vAlign w:val="bottom"/>
          </w:tcPr>
          <w:p w14:paraId="17D0D110" w14:textId="49013326"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2012 Renewable Energy Target</w:t>
            </w:r>
          </w:p>
        </w:tc>
      </w:tr>
      <w:tr w:rsidR="00322BBC" w:rsidRPr="007C2800" w14:paraId="25494140" w14:textId="77777777" w:rsidTr="000351F6">
        <w:trPr>
          <w:gridAfter w:val="1"/>
          <w:wAfter w:w="20" w:type="dxa"/>
          <w:trHeight w:val="278"/>
        </w:trPr>
        <w:tc>
          <w:tcPr>
            <w:tcW w:w="3166" w:type="dxa"/>
            <w:vAlign w:val="bottom"/>
          </w:tcPr>
          <w:p w14:paraId="03D6AFB6" w14:textId="77777777" w:rsidR="00C57BDE" w:rsidRPr="009D785B" w:rsidRDefault="00C57BDE" w:rsidP="0080767E">
            <w:pPr>
              <w:pStyle w:val="Default"/>
              <w:rPr>
                <w:rFonts w:ascii="Times New Roman" w:hAnsi="Times New Roman" w:cs="Times New Roman"/>
              </w:rPr>
            </w:pPr>
            <w:r w:rsidRPr="009D785B">
              <w:rPr>
                <w:rFonts w:ascii="Times New Roman" w:hAnsi="Times New Roman" w:cs="Times New Roman"/>
              </w:rPr>
              <w:t xml:space="preserve">Priest Rapids </w:t>
            </w:r>
          </w:p>
          <w:p w14:paraId="7DE38481" w14:textId="5E1F8E8A" w:rsidR="00C57BDE" w:rsidRPr="009D785B" w:rsidRDefault="00C57BDE" w:rsidP="0080767E">
            <w:pPr>
              <w:pStyle w:val="Default"/>
              <w:rPr>
                <w:rFonts w:ascii="Times New Roman" w:hAnsi="Times New Roman" w:cs="Times New Roman"/>
              </w:rPr>
            </w:pPr>
            <w:r w:rsidRPr="009D785B">
              <w:rPr>
                <w:rFonts w:ascii="Times New Roman" w:hAnsi="Times New Roman" w:cs="Times New Roman"/>
              </w:rPr>
              <w:t xml:space="preserve">(Grant Co. PUD) </w:t>
            </w:r>
          </w:p>
        </w:tc>
        <w:tc>
          <w:tcPr>
            <w:tcW w:w="1620" w:type="dxa"/>
            <w:gridSpan w:val="2"/>
            <w:vAlign w:val="bottom"/>
          </w:tcPr>
          <w:p w14:paraId="1C5F32AA" w14:textId="5F97115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Contract</w:t>
            </w:r>
          </w:p>
        </w:tc>
        <w:tc>
          <w:tcPr>
            <w:tcW w:w="1890" w:type="dxa"/>
            <w:vAlign w:val="bottom"/>
          </w:tcPr>
          <w:p w14:paraId="0B276985" w14:textId="7FC167C5"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Not Eligible</w:t>
            </w:r>
          </w:p>
        </w:tc>
        <w:tc>
          <w:tcPr>
            <w:tcW w:w="1440" w:type="dxa"/>
            <w:gridSpan w:val="4"/>
            <w:vAlign w:val="bottom"/>
          </w:tcPr>
          <w:p w14:paraId="0207CAEB" w14:textId="03EB99F8"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N/A</w:t>
            </w:r>
          </w:p>
        </w:tc>
        <w:tc>
          <w:tcPr>
            <w:tcW w:w="1980" w:type="dxa"/>
            <w:vAlign w:val="bottom"/>
          </w:tcPr>
          <w:p w14:paraId="0000444F" w14:textId="4E14053B"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N/A</w:t>
            </w:r>
          </w:p>
        </w:tc>
      </w:tr>
      <w:tr w:rsidR="00C57BDE" w:rsidRPr="007C2800" w14:paraId="731A81EB" w14:textId="77777777" w:rsidTr="000351F6">
        <w:trPr>
          <w:gridAfter w:val="1"/>
          <w:cnfStyle w:val="000000100000" w:firstRow="0" w:lastRow="0" w:firstColumn="0" w:lastColumn="0" w:oddVBand="0" w:evenVBand="0" w:oddHBand="1" w:evenHBand="0" w:firstRowFirstColumn="0" w:firstRowLastColumn="0" w:lastRowFirstColumn="0" w:lastRowLastColumn="0"/>
          <w:wAfter w:w="20" w:type="dxa"/>
          <w:trHeight w:val="280"/>
        </w:trPr>
        <w:tc>
          <w:tcPr>
            <w:tcW w:w="3166" w:type="dxa"/>
            <w:vAlign w:val="bottom"/>
          </w:tcPr>
          <w:p w14:paraId="065907B8" w14:textId="77777777" w:rsidR="00C57BDE" w:rsidRPr="009D785B" w:rsidRDefault="00C57BDE" w:rsidP="0080767E">
            <w:pPr>
              <w:pStyle w:val="Default"/>
              <w:rPr>
                <w:rFonts w:ascii="Times New Roman" w:hAnsi="Times New Roman" w:cs="Times New Roman"/>
              </w:rPr>
            </w:pPr>
            <w:r w:rsidRPr="009D785B">
              <w:rPr>
                <w:rFonts w:ascii="Times New Roman" w:hAnsi="Times New Roman" w:cs="Times New Roman"/>
              </w:rPr>
              <w:t xml:space="preserve">BPA- WNP-3 Exchange </w:t>
            </w:r>
          </w:p>
        </w:tc>
        <w:tc>
          <w:tcPr>
            <w:tcW w:w="1620" w:type="dxa"/>
            <w:gridSpan w:val="2"/>
            <w:vAlign w:val="bottom"/>
          </w:tcPr>
          <w:p w14:paraId="2089CDD6" w14:textId="418122E1"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Contract</w:t>
            </w:r>
          </w:p>
        </w:tc>
        <w:tc>
          <w:tcPr>
            <w:tcW w:w="1890" w:type="dxa"/>
            <w:vAlign w:val="bottom"/>
          </w:tcPr>
          <w:p w14:paraId="61AA5E79" w14:textId="39B6EB60"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Not Eligible</w:t>
            </w:r>
          </w:p>
        </w:tc>
        <w:tc>
          <w:tcPr>
            <w:tcW w:w="1440" w:type="dxa"/>
            <w:gridSpan w:val="4"/>
            <w:vAlign w:val="bottom"/>
          </w:tcPr>
          <w:p w14:paraId="5FF73457" w14:textId="007E7725"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N/A</w:t>
            </w:r>
          </w:p>
        </w:tc>
        <w:tc>
          <w:tcPr>
            <w:tcW w:w="1980" w:type="dxa"/>
            <w:vAlign w:val="bottom"/>
          </w:tcPr>
          <w:p w14:paraId="299FD0D0" w14:textId="71198CC3"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N/A</w:t>
            </w:r>
          </w:p>
        </w:tc>
      </w:tr>
      <w:tr w:rsidR="00322BBC" w:rsidRPr="007C2800" w14:paraId="34420704" w14:textId="77777777" w:rsidTr="000351F6">
        <w:trPr>
          <w:gridAfter w:val="1"/>
          <w:wAfter w:w="20" w:type="dxa"/>
          <w:trHeight w:val="278"/>
        </w:trPr>
        <w:tc>
          <w:tcPr>
            <w:tcW w:w="3166" w:type="dxa"/>
            <w:vAlign w:val="bottom"/>
          </w:tcPr>
          <w:p w14:paraId="5AF703B7" w14:textId="74B48A6F" w:rsidR="00C57BDE" w:rsidRPr="009D785B" w:rsidRDefault="00C57BDE" w:rsidP="0080767E">
            <w:pPr>
              <w:pStyle w:val="Default"/>
              <w:rPr>
                <w:rFonts w:ascii="Times New Roman" w:hAnsi="Times New Roman" w:cs="Times New Roman"/>
              </w:rPr>
            </w:pPr>
            <w:r w:rsidRPr="009D785B">
              <w:rPr>
                <w:rFonts w:ascii="Times New Roman" w:hAnsi="Times New Roman" w:cs="Times New Roman"/>
              </w:rPr>
              <w:t>Powerex/Pt.</w:t>
            </w:r>
            <w:r w:rsidR="00842EC5">
              <w:rPr>
                <w:rFonts w:ascii="Times New Roman" w:hAnsi="Times New Roman" w:cs="Times New Roman"/>
              </w:rPr>
              <w:t xml:space="preserve"> </w:t>
            </w:r>
            <w:r w:rsidRPr="009D785B">
              <w:rPr>
                <w:rFonts w:ascii="Times New Roman" w:hAnsi="Times New Roman" w:cs="Times New Roman"/>
              </w:rPr>
              <w:t xml:space="preserve">Roberts </w:t>
            </w:r>
          </w:p>
        </w:tc>
        <w:tc>
          <w:tcPr>
            <w:tcW w:w="1620" w:type="dxa"/>
            <w:gridSpan w:val="2"/>
            <w:vAlign w:val="bottom"/>
          </w:tcPr>
          <w:p w14:paraId="51565A2C" w14:textId="1223D746"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Contract</w:t>
            </w:r>
          </w:p>
        </w:tc>
        <w:tc>
          <w:tcPr>
            <w:tcW w:w="1890" w:type="dxa"/>
            <w:vAlign w:val="bottom"/>
          </w:tcPr>
          <w:p w14:paraId="78CE29E4" w14:textId="397090A0"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Not Eligible</w:t>
            </w:r>
          </w:p>
        </w:tc>
        <w:tc>
          <w:tcPr>
            <w:tcW w:w="1440" w:type="dxa"/>
            <w:gridSpan w:val="4"/>
            <w:vAlign w:val="bottom"/>
          </w:tcPr>
          <w:p w14:paraId="1829FCDA" w14:textId="0EAD74D3"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N/A</w:t>
            </w:r>
          </w:p>
        </w:tc>
        <w:tc>
          <w:tcPr>
            <w:tcW w:w="1980" w:type="dxa"/>
            <w:vAlign w:val="bottom"/>
          </w:tcPr>
          <w:p w14:paraId="1DD5F5C3" w14:textId="7C39F6FE"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N/A</w:t>
            </w:r>
          </w:p>
        </w:tc>
      </w:tr>
      <w:tr w:rsidR="00C57BDE" w:rsidRPr="007C2800" w14:paraId="053DE407" w14:textId="77777777" w:rsidTr="000351F6">
        <w:trPr>
          <w:gridAfter w:val="1"/>
          <w:cnfStyle w:val="000000100000" w:firstRow="0" w:lastRow="0" w:firstColumn="0" w:lastColumn="0" w:oddVBand="0" w:evenVBand="0" w:oddHBand="1" w:evenHBand="0" w:firstRowFirstColumn="0" w:firstRowLastColumn="0" w:lastRowFirstColumn="0" w:lastRowLastColumn="0"/>
          <w:wAfter w:w="20" w:type="dxa"/>
          <w:trHeight w:val="280"/>
        </w:trPr>
        <w:tc>
          <w:tcPr>
            <w:tcW w:w="3166" w:type="dxa"/>
            <w:vAlign w:val="bottom"/>
          </w:tcPr>
          <w:p w14:paraId="641401BD" w14:textId="77777777" w:rsidR="00C57BDE" w:rsidRPr="009D785B" w:rsidRDefault="00C57BDE" w:rsidP="0080767E">
            <w:pPr>
              <w:pStyle w:val="Default"/>
              <w:rPr>
                <w:rFonts w:ascii="Times New Roman" w:hAnsi="Times New Roman" w:cs="Times New Roman"/>
              </w:rPr>
            </w:pPr>
            <w:r w:rsidRPr="009D785B">
              <w:rPr>
                <w:rFonts w:ascii="Times New Roman" w:hAnsi="Times New Roman" w:cs="Times New Roman"/>
              </w:rPr>
              <w:t xml:space="preserve">BPA Baker Replacement </w:t>
            </w:r>
          </w:p>
        </w:tc>
        <w:tc>
          <w:tcPr>
            <w:tcW w:w="1620" w:type="dxa"/>
            <w:gridSpan w:val="2"/>
            <w:vAlign w:val="bottom"/>
          </w:tcPr>
          <w:p w14:paraId="6E938EF7" w14:textId="0406617D"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Contract</w:t>
            </w:r>
          </w:p>
        </w:tc>
        <w:tc>
          <w:tcPr>
            <w:tcW w:w="1890" w:type="dxa"/>
            <w:vAlign w:val="bottom"/>
          </w:tcPr>
          <w:p w14:paraId="2DE09BBC" w14:textId="2E69204B"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Not Eligible</w:t>
            </w:r>
          </w:p>
        </w:tc>
        <w:tc>
          <w:tcPr>
            <w:tcW w:w="1440" w:type="dxa"/>
            <w:gridSpan w:val="4"/>
            <w:vAlign w:val="bottom"/>
          </w:tcPr>
          <w:p w14:paraId="1CC33478" w14:textId="2F6786D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N/A</w:t>
            </w:r>
          </w:p>
        </w:tc>
        <w:tc>
          <w:tcPr>
            <w:tcW w:w="1980" w:type="dxa"/>
            <w:vAlign w:val="bottom"/>
          </w:tcPr>
          <w:p w14:paraId="07C0A9C7" w14:textId="56C56C8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N/A</w:t>
            </w:r>
          </w:p>
        </w:tc>
      </w:tr>
      <w:tr w:rsidR="00322BBC" w:rsidRPr="007C2800" w14:paraId="441076FD" w14:textId="77777777" w:rsidTr="000351F6">
        <w:trPr>
          <w:gridAfter w:val="1"/>
          <w:wAfter w:w="18" w:type="dxa"/>
          <w:trHeight w:val="285"/>
        </w:trPr>
        <w:tc>
          <w:tcPr>
            <w:tcW w:w="3166" w:type="dxa"/>
            <w:vAlign w:val="bottom"/>
          </w:tcPr>
          <w:p w14:paraId="1F003A8D" w14:textId="77777777" w:rsidR="00C57BDE" w:rsidRPr="009D785B" w:rsidRDefault="00C57BDE" w:rsidP="0080767E">
            <w:pPr>
              <w:pStyle w:val="Default"/>
              <w:rPr>
                <w:rFonts w:ascii="Times New Roman" w:hAnsi="Times New Roman" w:cs="Times New Roman"/>
              </w:rPr>
            </w:pPr>
            <w:r w:rsidRPr="009D785B">
              <w:rPr>
                <w:rFonts w:ascii="Times New Roman" w:hAnsi="Times New Roman" w:cs="Times New Roman"/>
              </w:rPr>
              <w:t xml:space="preserve">PG&amp;E Seasonal Exchange-PSE </w:t>
            </w:r>
          </w:p>
        </w:tc>
        <w:tc>
          <w:tcPr>
            <w:tcW w:w="1620" w:type="dxa"/>
            <w:gridSpan w:val="2"/>
            <w:vAlign w:val="bottom"/>
          </w:tcPr>
          <w:p w14:paraId="66D2E652" w14:textId="38498CCA"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Contract</w:t>
            </w:r>
          </w:p>
        </w:tc>
        <w:tc>
          <w:tcPr>
            <w:tcW w:w="1890" w:type="dxa"/>
            <w:vAlign w:val="bottom"/>
          </w:tcPr>
          <w:p w14:paraId="43DAD359"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Not Eligible</w:t>
            </w:r>
          </w:p>
        </w:tc>
        <w:tc>
          <w:tcPr>
            <w:tcW w:w="1350" w:type="dxa"/>
            <w:gridSpan w:val="3"/>
            <w:vAlign w:val="bottom"/>
          </w:tcPr>
          <w:p w14:paraId="3CEAC4F7"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N/A</w:t>
            </w:r>
          </w:p>
        </w:tc>
        <w:tc>
          <w:tcPr>
            <w:tcW w:w="2072" w:type="dxa"/>
            <w:gridSpan w:val="2"/>
            <w:vAlign w:val="bottom"/>
          </w:tcPr>
          <w:p w14:paraId="15930416"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N/A</w:t>
            </w:r>
          </w:p>
        </w:tc>
      </w:tr>
      <w:tr w:rsidR="00A66241" w:rsidRPr="007C2800" w14:paraId="6567164C" w14:textId="77777777" w:rsidTr="000351F6">
        <w:trPr>
          <w:cnfStyle w:val="000000100000" w:firstRow="0" w:lastRow="0" w:firstColumn="0" w:lastColumn="0" w:oddVBand="0" w:evenVBand="0" w:oddHBand="1" w:evenHBand="0" w:firstRowFirstColumn="0" w:firstRowLastColumn="0" w:lastRowFirstColumn="0" w:lastRowLastColumn="0"/>
          <w:trHeight w:val="283"/>
        </w:trPr>
        <w:tc>
          <w:tcPr>
            <w:tcW w:w="3166" w:type="dxa"/>
            <w:vAlign w:val="bottom"/>
          </w:tcPr>
          <w:p w14:paraId="46B1AE30" w14:textId="77777777" w:rsidR="00C57BDE" w:rsidRPr="009D785B" w:rsidRDefault="00C57BDE" w:rsidP="0080767E">
            <w:pPr>
              <w:pStyle w:val="Default"/>
              <w:rPr>
                <w:rFonts w:ascii="Times New Roman" w:hAnsi="Times New Roman" w:cs="Times New Roman"/>
              </w:rPr>
            </w:pPr>
            <w:r w:rsidRPr="009D785B">
              <w:rPr>
                <w:rFonts w:ascii="Times New Roman" w:hAnsi="Times New Roman" w:cs="Times New Roman"/>
              </w:rPr>
              <w:t xml:space="preserve">Canadian EA </w:t>
            </w:r>
          </w:p>
        </w:tc>
        <w:tc>
          <w:tcPr>
            <w:tcW w:w="1620" w:type="dxa"/>
            <w:gridSpan w:val="2"/>
            <w:vAlign w:val="bottom"/>
          </w:tcPr>
          <w:p w14:paraId="29743EF5"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Contract</w:t>
            </w:r>
          </w:p>
        </w:tc>
        <w:tc>
          <w:tcPr>
            <w:tcW w:w="1890" w:type="dxa"/>
            <w:vAlign w:val="bottom"/>
          </w:tcPr>
          <w:p w14:paraId="6B9FF679"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Not Eligible</w:t>
            </w:r>
          </w:p>
        </w:tc>
        <w:tc>
          <w:tcPr>
            <w:tcW w:w="1350" w:type="dxa"/>
            <w:gridSpan w:val="3"/>
            <w:vAlign w:val="bottom"/>
          </w:tcPr>
          <w:p w14:paraId="72BF6602"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N/A</w:t>
            </w:r>
          </w:p>
        </w:tc>
        <w:tc>
          <w:tcPr>
            <w:tcW w:w="2090" w:type="dxa"/>
            <w:gridSpan w:val="3"/>
            <w:vAlign w:val="bottom"/>
          </w:tcPr>
          <w:p w14:paraId="33B943B4"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N/A</w:t>
            </w:r>
          </w:p>
        </w:tc>
      </w:tr>
      <w:tr w:rsidR="00322BBC" w:rsidRPr="007C2800" w14:paraId="764D6EEB" w14:textId="77777777" w:rsidTr="000351F6">
        <w:trPr>
          <w:trHeight w:val="285"/>
        </w:trPr>
        <w:tc>
          <w:tcPr>
            <w:tcW w:w="3166" w:type="dxa"/>
            <w:vAlign w:val="bottom"/>
          </w:tcPr>
          <w:p w14:paraId="3ECF4D82" w14:textId="77777777" w:rsidR="00C57BDE" w:rsidRPr="009D785B" w:rsidRDefault="00C57BDE" w:rsidP="0080767E">
            <w:pPr>
              <w:pStyle w:val="Default"/>
              <w:rPr>
                <w:rFonts w:ascii="Times New Roman" w:hAnsi="Times New Roman" w:cs="Times New Roman"/>
              </w:rPr>
            </w:pPr>
            <w:r w:rsidRPr="009D785B">
              <w:rPr>
                <w:rFonts w:ascii="Times New Roman" w:hAnsi="Times New Roman" w:cs="Times New Roman"/>
              </w:rPr>
              <w:t xml:space="preserve">Barclays Bank </w:t>
            </w:r>
          </w:p>
        </w:tc>
        <w:tc>
          <w:tcPr>
            <w:tcW w:w="1620" w:type="dxa"/>
            <w:gridSpan w:val="2"/>
            <w:vAlign w:val="bottom"/>
          </w:tcPr>
          <w:p w14:paraId="31DD3D48"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Contract</w:t>
            </w:r>
          </w:p>
        </w:tc>
        <w:tc>
          <w:tcPr>
            <w:tcW w:w="1890" w:type="dxa"/>
            <w:vAlign w:val="bottom"/>
          </w:tcPr>
          <w:p w14:paraId="0F84D0D2"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Not Eligible</w:t>
            </w:r>
          </w:p>
        </w:tc>
        <w:tc>
          <w:tcPr>
            <w:tcW w:w="1350" w:type="dxa"/>
            <w:gridSpan w:val="3"/>
            <w:vAlign w:val="bottom"/>
          </w:tcPr>
          <w:p w14:paraId="754BBDB6"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N/A</w:t>
            </w:r>
          </w:p>
        </w:tc>
        <w:tc>
          <w:tcPr>
            <w:tcW w:w="2090" w:type="dxa"/>
            <w:gridSpan w:val="3"/>
            <w:vAlign w:val="bottom"/>
          </w:tcPr>
          <w:p w14:paraId="75B9DC82"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N/A</w:t>
            </w:r>
          </w:p>
        </w:tc>
      </w:tr>
      <w:tr w:rsidR="00A66241" w:rsidRPr="007C2800" w14:paraId="64B3ABB5" w14:textId="77777777" w:rsidTr="000351F6">
        <w:trPr>
          <w:cnfStyle w:val="000000100000" w:firstRow="0" w:lastRow="0" w:firstColumn="0" w:lastColumn="0" w:oddVBand="0" w:evenVBand="0" w:oddHBand="1" w:evenHBand="0" w:firstRowFirstColumn="0" w:firstRowLastColumn="0" w:lastRowFirstColumn="0" w:lastRowLastColumn="0"/>
          <w:trHeight w:val="285"/>
        </w:trPr>
        <w:tc>
          <w:tcPr>
            <w:tcW w:w="3166" w:type="dxa"/>
            <w:vAlign w:val="bottom"/>
          </w:tcPr>
          <w:p w14:paraId="13A52BC7" w14:textId="77777777" w:rsidR="00C57BDE" w:rsidRPr="009D785B" w:rsidRDefault="00C57BDE" w:rsidP="0080767E">
            <w:pPr>
              <w:pStyle w:val="Default"/>
              <w:rPr>
                <w:rFonts w:ascii="Times New Roman" w:hAnsi="Times New Roman" w:cs="Times New Roman"/>
              </w:rPr>
            </w:pPr>
            <w:r w:rsidRPr="009D785B">
              <w:rPr>
                <w:rFonts w:ascii="Times New Roman" w:hAnsi="Times New Roman" w:cs="Times New Roman"/>
              </w:rPr>
              <w:t xml:space="preserve">Centralia Transition Coal </w:t>
            </w:r>
          </w:p>
        </w:tc>
        <w:tc>
          <w:tcPr>
            <w:tcW w:w="1620" w:type="dxa"/>
            <w:gridSpan w:val="2"/>
            <w:vAlign w:val="bottom"/>
          </w:tcPr>
          <w:p w14:paraId="428D3541"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Contract</w:t>
            </w:r>
          </w:p>
        </w:tc>
        <w:tc>
          <w:tcPr>
            <w:tcW w:w="1890" w:type="dxa"/>
            <w:vAlign w:val="bottom"/>
          </w:tcPr>
          <w:p w14:paraId="3E40CEC9"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Not Eligible</w:t>
            </w:r>
          </w:p>
        </w:tc>
        <w:tc>
          <w:tcPr>
            <w:tcW w:w="1350" w:type="dxa"/>
            <w:gridSpan w:val="3"/>
            <w:vAlign w:val="bottom"/>
          </w:tcPr>
          <w:p w14:paraId="5749DC7F"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N/A</w:t>
            </w:r>
          </w:p>
        </w:tc>
        <w:tc>
          <w:tcPr>
            <w:tcW w:w="2090" w:type="dxa"/>
            <w:gridSpan w:val="3"/>
            <w:vAlign w:val="bottom"/>
          </w:tcPr>
          <w:p w14:paraId="479CC80E"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N/A</w:t>
            </w:r>
          </w:p>
        </w:tc>
      </w:tr>
      <w:tr w:rsidR="00322BBC" w:rsidRPr="007C2800" w14:paraId="7A86DBFC" w14:textId="77777777" w:rsidTr="000351F6">
        <w:trPr>
          <w:trHeight w:val="285"/>
        </w:trPr>
        <w:tc>
          <w:tcPr>
            <w:tcW w:w="3166" w:type="dxa"/>
            <w:vAlign w:val="bottom"/>
          </w:tcPr>
          <w:p w14:paraId="5BCF2ACD" w14:textId="77777777" w:rsidR="00C57BDE" w:rsidRPr="009D785B" w:rsidRDefault="00C57BDE" w:rsidP="0080767E">
            <w:pPr>
              <w:pStyle w:val="Default"/>
              <w:rPr>
                <w:rFonts w:ascii="Times New Roman" w:hAnsi="Times New Roman" w:cs="Times New Roman"/>
              </w:rPr>
            </w:pPr>
            <w:r w:rsidRPr="009D785B">
              <w:rPr>
                <w:rFonts w:ascii="Times New Roman" w:hAnsi="Times New Roman" w:cs="Times New Roman"/>
              </w:rPr>
              <w:t xml:space="preserve">Klamath Toll </w:t>
            </w:r>
          </w:p>
        </w:tc>
        <w:tc>
          <w:tcPr>
            <w:tcW w:w="1620" w:type="dxa"/>
            <w:gridSpan w:val="2"/>
            <w:vAlign w:val="bottom"/>
          </w:tcPr>
          <w:p w14:paraId="35A9D177"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Contract</w:t>
            </w:r>
          </w:p>
        </w:tc>
        <w:tc>
          <w:tcPr>
            <w:tcW w:w="1890" w:type="dxa"/>
            <w:vAlign w:val="bottom"/>
          </w:tcPr>
          <w:p w14:paraId="4ED597A6"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Not Eligible</w:t>
            </w:r>
          </w:p>
        </w:tc>
        <w:tc>
          <w:tcPr>
            <w:tcW w:w="1350" w:type="dxa"/>
            <w:gridSpan w:val="3"/>
            <w:vAlign w:val="bottom"/>
          </w:tcPr>
          <w:p w14:paraId="732797D7"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N/A</w:t>
            </w:r>
          </w:p>
        </w:tc>
        <w:tc>
          <w:tcPr>
            <w:tcW w:w="2090" w:type="dxa"/>
            <w:gridSpan w:val="3"/>
            <w:vAlign w:val="bottom"/>
          </w:tcPr>
          <w:p w14:paraId="50F8F975"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N/A</w:t>
            </w:r>
          </w:p>
        </w:tc>
      </w:tr>
      <w:tr w:rsidR="00A66241" w:rsidRPr="007C2800" w14:paraId="01B6F94A" w14:textId="77777777" w:rsidTr="000351F6">
        <w:trPr>
          <w:cnfStyle w:val="000000100000" w:firstRow="0" w:lastRow="0" w:firstColumn="0" w:lastColumn="0" w:oddVBand="0" w:evenVBand="0" w:oddHBand="1" w:evenHBand="0" w:firstRowFirstColumn="0" w:firstRowLastColumn="0" w:lastRowFirstColumn="0" w:lastRowLastColumn="0"/>
          <w:trHeight w:val="283"/>
        </w:trPr>
        <w:tc>
          <w:tcPr>
            <w:tcW w:w="3166" w:type="dxa"/>
            <w:vAlign w:val="bottom"/>
          </w:tcPr>
          <w:p w14:paraId="22B254A0" w14:textId="77777777" w:rsidR="00C57BDE" w:rsidRPr="009D785B" w:rsidRDefault="00C57BDE" w:rsidP="0080767E">
            <w:pPr>
              <w:pStyle w:val="Default"/>
              <w:rPr>
                <w:rFonts w:ascii="Times New Roman" w:hAnsi="Times New Roman" w:cs="Times New Roman"/>
              </w:rPr>
            </w:pPr>
            <w:r w:rsidRPr="009D785B">
              <w:rPr>
                <w:rFonts w:ascii="Times New Roman" w:hAnsi="Times New Roman" w:cs="Times New Roman"/>
              </w:rPr>
              <w:t xml:space="preserve">Klondike III </w:t>
            </w:r>
          </w:p>
        </w:tc>
        <w:tc>
          <w:tcPr>
            <w:tcW w:w="1620" w:type="dxa"/>
            <w:gridSpan w:val="2"/>
            <w:vAlign w:val="bottom"/>
          </w:tcPr>
          <w:p w14:paraId="2E653E31"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Contract</w:t>
            </w:r>
          </w:p>
        </w:tc>
        <w:tc>
          <w:tcPr>
            <w:tcW w:w="1890" w:type="dxa"/>
            <w:vAlign w:val="bottom"/>
          </w:tcPr>
          <w:p w14:paraId="7D0F9CE3"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Eligible</w:t>
            </w:r>
          </w:p>
        </w:tc>
        <w:tc>
          <w:tcPr>
            <w:tcW w:w="1350" w:type="dxa"/>
            <w:gridSpan w:val="3"/>
            <w:vAlign w:val="bottom"/>
          </w:tcPr>
          <w:p w14:paraId="5B02AE6B"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Yes</w:t>
            </w:r>
          </w:p>
        </w:tc>
        <w:tc>
          <w:tcPr>
            <w:tcW w:w="2090" w:type="dxa"/>
            <w:gridSpan w:val="3"/>
            <w:vAlign w:val="bottom"/>
          </w:tcPr>
          <w:p w14:paraId="10EA25C0"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N/A</w:t>
            </w:r>
          </w:p>
        </w:tc>
      </w:tr>
      <w:tr w:rsidR="00322BBC" w:rsidRPr="007C2800" w14:paraId="74F01534" w14:textId="77777777" w:rsidTr="000351F6">
        <w:trPr>
          <w:trHeight w:val="285"/>
        </w:trPr>
        <w:tc>
          <w:tcPr>
            <w:tcW w:w="3166" w:type="dxa"/>
            <w:vAlign w:val="bottom"/>
          </w:tcPr>
          <w:p w14:paraId="63864ABF" w14:textId="77777777" w:rsidR="00C57BDE" w:rsidRPr="009D785B" w:rsidRDefault="00C57BDE" w:rsidP="0080767E">
            <w:pPr>
              <w:pStyle w:val="Default"/>
              <w:rPr>
                <w:rFonts w:ascii="Times New Roman" w:hAnsi="Times New Roman" w:cs="Times New Roman"/>
              </w:rPr>
            </w:pPr>
            <w:r w:rsidRPr="009D785B">
              <w:rPr>
                <w:rFonts w:ascii="Times New Roman" w:hAnsi="Times New Roman" w:cs="Times New Roman"/>
              </w:rPr>
              <w:t xml:space="preserve">Twin Falls </w:t>
            </w:r>
          </w:p>
        </w:tc>
        <w:tc>
          <w:tcPr>
            <w:tcW w:w="1620" w:type="dxa"/>
            <w:gridSpan w:val="2"/>
            <w:vAlign w:val="bottom"/>
          </w:tcPr>
          <w:p w14:paraId="31EE6A71"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Contract</w:t>
            </w:r>
          </w:p>
        </w:tc>
        <w:tc>
          <w:tcPr>
            <w:tcW w:w="1890" w:type="dxa"/>
            <w:vAlign w:val="bottom"/>
          </w:tcPr>
          <w:p w14:paraId="22762E7E"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Not Eligible</w:t>
            </w:r>
          </w:p>
        </w:tc>
        <w:tc>
          <w:tcPr>
            <w:tcW w:w="1350" w:type="dxa"/>
            <w:gridSpan w:val="3"/>
            <w:vAlign w:val="bottom"/>
          </w:tcPr>
          <w:p w14:paraId="2AE26F84"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N/A</w:t>
            </w:r>
          </w:p>
        </w:tc>
        <w:tc>
          <w:tcPr>
            <w:tcW w:w="2090" w:type="dxa"/>
            <w:gridSpan w:val="3"/>
            <w:vAlign w:val="bottom"/>
          </w:tcPr>
          <w:p w14:paraId="4BDCE954"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N/A</w:t>
            </w:r>
          </w:p>
        </w:tc>
      </w:tr>
      <w:tr w:rsidR="00A66241" w:rsidRPr="007C2800" w14:paraId="4EBC8DD3" w14:textId="77777777" w:rsidTr="000351F6">
        <w:trPr>
          <w:cnfStyle w:val="000000100000" w:firstRow="0" w:lastRow="0" w:firstColumn="0" w:lastColumn="0" w:oddVBand="0" w:evenVBand="0" w:oddHBand="1" w:evenHBand="0" w:firstRowFirstColumn="0" w:firstRowLastColumn="0" w:lastRowFirstColumn="0" w:lastRowLastColumn="0"/>
          <w:trHeight w:val="285"/>
        </w:trPr>
        <w:tc>
          <w:tcPr>
            <w:tcW w:w="3166" w:type="dxa"/>
            <w:vAlign w:val="bottom"/>
          </w:tcPr>
          <w:p w14:paraId="396A55FD" w14:textId="77777777" w:rsidR="00C57BDE" w:rsidRPr="009D785B" w:rsidRDefault="00C57BDE" w:rsidP="0080767E">
            <w:pPr>
              <w:pStyle w:val="Default"/>
              <w:rPr>
                <w:rFonts w:ascii="Times New Roman" w:hAnsi="Times New Roman" w:cs="Times New Roman"/>
              </w:rPr>
            </w:pPr>
            <w:r w:rsidRPr="009D785B">
              <w:rPr>
                <w:rFonts w:ascii="Times New Roman" w:hAnsi="Times New Roman" w:cs="Times New Roman"/>
              </w:rPr>
              <w:t xml:space="preserve">Koma Kulshan </w:t>
            </w:r>
          </w:p>
        </w:tc>
        <w:tc>
          <w:tcPr>
            <w:tcW w:w="1620" w:type="dxa"/>
            <w:gridSpan w:val="2"/>
            <w:vAlign w:val="bottom"/>
          </w:tcPr>
          <w:p w14:paraId="3F71AC8B"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Contract</w:t>
            </w:r>
          </w:p>
        </w:tc>
        <w:tc>
          <w:tcPr>
            <w:tcW w:w="1890" w:type="dxa"/>
            <w:vAlign w:val="bottom"/>
          </w:tcPr>
          <w:p w14:paraId="06F51DFA"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Not Eligible</w:t>
            </w:r>
          </w:p>
        </w:tc>
        <w:tc>
          <w:tcPr>
            <w:tcW w:w="1350" w:type="dxa"/>
            <w:gridSpan w:val="3"/>
            <w:vAlign w:val="bottom"/>
          </w:tcPr>
          <w:p w14:paraId="048BAC42"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N/A</w:t>
            </w:r>
          </w:p>
        </w:tc>
        <w:tc>
          <w:tcPr>
            <w:tcW w:w="2090" w:type="dxa"/>
            <w:gridSpan w:val="3"/>
            <w:vAlign w:val="bottom"/>
          </w:tcPr>
          <w:p w14:paraId="7D5C086F"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N/A</w:t>
            </w:r>
          </w:p>
        </w:tc>
      </w:tr>
      <w:tr w:rsidR="00322BBC" w:rsidRPr="007C2800" w14:paraId="08E48923" w14:textId="77777777" w:rsidTr="000351F6">
        <w:trPr>
          <w:trHeight w:val="285"/>
        </w:trPr>
        <w:tc>
          <w:tcPr>
            <w:tcW w:w="3166" w:type="dxa"/>
            <w:vAlign w:val="bottom"/>
          </w:tcPr>
          <w:p w14:paraId="3299A91A" w14:textId="77777777" w:rsidR="00C57BDE" w:rsidRPr="009D785B" w:rsidRDefault="00C57BDE" w:rsidP="0080767E">
            <w:pPr>
              <w:pStyle w:val="Default"/>
              <w:rPr>
                <w:rFonts w:ascii="Times New Roman" w:hAnsi="Times New Roman" w:cs="Times New Roman"/>
              </w:rPr>
            </w:pPr>
            <w:r w:rsidRPr="009D785B">
              <w:rPr>
                <w:rFonts w:ascii="Times New Roman" w:hAnsi="Times New Roman" w:cs="Times New Roman"/>
              </w:rPr>
              <w:t xml:space="preserve">Weeks Falls </w:t>
            </w:r>
          </w:p>
        </w:tc>
        <w:tc>
          <w:tcPr>
            <w:tcW w:w="1620" w:type="dxa"/>
            <w:gridSpan w:val="2"/>
            <w:vAlign w:val="bottom"/>
          </w:tcPr>
          <w:p w14:paraId="4BF90EEE"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Contract</w:t>
            </w:r>
          </w:p>
        </w:tc>
        <w:tc>
          <w:tcPr>
            <w:tcW w:w="1890" w:type="dxa"/>
            <w:vAlign w:val="bottom"/>
          </w:tcPr>
          <w:p w14:paraId="2CBE9B0D"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Not Eligible</w:t>
            </w:r>
          </w:p>
        </w:tc>
        <w:tc>
          <w:tcPr>
            <w:tcW w:w="1350" w:type="dxa"/>
            <w:gridSpan w:val="3"/>
            <w:vAlign w:val="bottom"/>
          </w:tcPr>
          <w:p w14:paraId="274F0C5A"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N/A</w:t>
            </w:r>
          </w:p>
        </w:tc>
        <w:tc>
          <w:tcPr>
            <w:tcW w:w="2090" w:type="dxa"/>
            <w:gridSpan w:val="3"/>
            <w:vAlign w:val="bottom"/>
          </w:tcPr>
          <w:p w14:paraId="1E99AF3D"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N/A</w:t>
            </w:r>
          </w:p>
        </w:tc>
      </w:tr>
      <w:tr w:rsidR="00A66241" w:rsidRPr="007C2800" w14:paraId="19726108" w14:textId="77777777" w:rsidTr="000351F6">
        <w:trPr>
          <w:cnfStyle w:val="000000100000" w:firstRow="0" w:lastRow="0" w:firstColumn="0" w:lastColumn="0" w:oddVBand="0" w:evenVBand="0" w:oddHBand="1" w:evenHBand="0" w:firstRowFirstColumn="0" w:firstRowLastColumn="0" w:lastRowFirstColumn="0" w:lastRowLastColumn="0"/>
          <w:trHeight w:val="283"/>
        </w:trPr>
        <w:tc>
          <w:tcPr>
            <w:tcW w:w="3166" w:type="dxa"/>
            <w:vAlign w:val="bottom"/>
          </w:tcPr>
          <w:p w14:paraId="426DAC40" w14:textId="77777777" w:rsidR="00C57BDE" w:rsidRPr="009D785B" w:rsidRDefault="00C57BDE" w:rsidP="0080767E">
            <w:pPr>
              <w:pStyle w:val="Default"/>
              <w:rPr>
                <w:rFonts w:ascii="Times New Roman" w:hAnsi="Times New Roman" w:cs="Times New Roman"/>
              </w:rPr>
            </w:pPr>
            <w:r w:rsidRPr="009D785B">
              <w:rPr>
                <w:rFonts w:ascii="Times New Roman" w:hAnsi="Times New Roman" w:cs="Times New Roman"/>
              </w:rPr>
              <w:t xml:space="preserve">Hutchison Creek </w:t>
            </w:r>
          </w:p>
        </w:tc>
        <w:tc>
          <w:tcPr>
            <w:tcW w:w="1620" w:type="dxa"/>
            <w:gridSpan w:val="2"/>
            <w:vAlign w:val="bottom"/>
          </w:tcPr>
          <w:p w14:paraId="0475F75C"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Contract</w:t>
            </w:r>
          </w:p>
        </w:tc>
        <w:tc>
          <w:tcPr>
            <w:tcW w:w="1890" w:type="dxa"/>
            <w:vAlign w:val="bottom"/>
          </w:tcPr>
          <w:p w14:paraId="3C9F2B4F"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Not Eligible</w:t>
            </w:r>
          </w:p>
        </w:tc>
        <w:tc>
          <w:tcPr>
            <w:tcW w:w="1350" w:type="dxa"/>
            <w:gridSpan w:val="3"/>
            <w:vAlign w:val="bottom"/>
          </w:tcPr>
          <w:p w14:paraId="414D59F4"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N/A</w:t>
            </w:r>
          </w:p>
        </w:tc>
        <w:tc>
          <w:tcPr>
            <w:tcW w:w="2090" w:type="dxa"/>
            <w:gridSpan w:val="3"/>
            <w:vAlign w:val="bottom"/>
          </w:tcPr>
          <w:p w14:paraId="4F80C0D4"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N/A</w:t>
            </w:r>
          </w:p>
        </w:tc>
      </w:tr>
      <w:tr w:rsidR="00322BBC" w:rsidRPr="007C2800" w14:paraId="52310B93" w14:textId="77777777" w:rsidTr="000351F6">
        <w:trPr>
          <w:trHeight w:val="285"/>
        </w:trPr>
        <w:tc>
          <w:tcPr>
            <w:tcW w:w="3166" w:type="dxa"/>
            <w:vAlign w:val="bottom"/>
          </w:tcPr>
          <w:p w14:paraId="5401257B" w14:textId="77777777" w:rsidR="00C57BDE" w:rsidRPr="009D785B" w:rsidRDefault="00C57BDE" w:rsidP="0080767E">
            <w:pPr>
              <w:pStyle w:val="Default"/>
              <w:rPr>
                <w:rFonts w:ascii="Times New Roman" w:hAnsi="Times New Roman" w:cs="Times New Roman"/>
              </w:rPr>
            </w:pPr>
            <w:r w:rsidRPr="009D785B">
              <w:rPr>
                <w:rFonts w:ascii="Times New Roman" w:hAnsi="Times New Roman" w:cs="Times New Roman"/>
              </w:rPr>
              <w:t xml:space="preserve">Cascade Clean Energy- Sygitowicz </w:t>
            </w:r>
          </w:p>
        </w:tc>
        <w:tc>
          <w:tcPr>
            <w:tcW w:w="1620" w:type="dxa"/>
            <w:gridSpan w:val="2"/>
            <w:vAlign w:val="bottom"/>
          </w:tcPr>
          <w:p w14:paraId="4B07B4A7"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Contract</w:t>
            </w:r>
          </w:p>
        </w:tc>
        <w:tc>
          <w:tcPr>
            <w:tcW w:w="1890" w:type="dxa"/>
            <w:vAlign w:val="bottom"/>
          </w:tcPr>
          <w:p w14:paraId="01AA43C3"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Not Eligible</w:t>
            </w:r>
          </w:p>
        </w:tc>
        <w:tc>
          <w:tcPr>
            <w:tcW w:w="1350" w:type="dxa"/>
            <w:gridSpan w:val="3"/>
            <w:vAlign w:val="bottom"/>
          </w:tcPr>
          <w:p w14:paraId="7BF64230"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N/A</w:t>
            </w:r>
          </w:p>
        </w:tc>
        <w:tc>
          <w:tcPr>
            <w:tcW w:w="2090" w:type="dxa"/>
            <w:gridSpan w:val="3"/>
            <w:vAlign w:val="bottom"/>
          </w:tcPr>
          <w:p w14:paraId="31562E0A"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N/A</w:t>
            </w:r>
          </w:p>
        </w:tc>
      </w:tr>
      <w:tr w:rsidR="00A66241" w:rsidRPr="007C2800" w14:paraId="04D5D309" w14:textId="77777777" w:rsidTr="000351F6">
        <w:trPr>
          <w:cnfStyle w:val="000000100000" w:firstRow="0" w:lastRow="0" w:firstColumn="0" w:lastColumn="0" w:oddVBand="0" w:evenVBand="0" w:oddHBand="1" w:evenHBand="0" w:firstRowFirstColumn="0" w:firstRowLastColumn="0" w:lastRowFirstColumn="0" w:lastRowLastColumn="0"/>
          <w:trHeight w:val="285"/>
        </w:trPr>
        <w:tc>
          <w:tcPr>
            <w:tcW w:w="3166" w:type="dxa"/>
            <w:vAlign w:val="bottom"/>
          </w:tcPr>
          <w:p w14:paraId="3E95ED5B" w14:textId="77777777" w:rsidR="00C57BDE" w:rsidRPr="009D785B" w:rsidRDefault="00C57BDE" w:rsidP="0080767E">
            <w:pPr>
              <w:pStyle w:val="Default"/>
              <w:rPr>
                <w:rFonts w:ascii="Times New Roman" w:hAnsi="Times New Roman" w:cs="Times New Roman"/>
              </w:rPr>
            </w:pPr>
            <w:r w:rsidRPr="009D785B">
              <w:rPr>
                <w:rFonts w:ascii="Times New Roman" w:hAnsi="Times New Roman" w:cs="Times New Roman"/>
              </w:rPr>
              <w:t xml:space="preserve">Qualco Dairy </w:t>
            </w:r>
          </w:p>
        </w:tc>
        <w:tc>
          <w:tcPr>
            <w:tcW w:w="1620" w:type="dxa"/>
            <w:gridSpan w:val="2"/>
            <w:vAlign w:val="bottom"/>
          </w:tcPr>
          <w:p w14:paraId="18BF8591"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Contract</w:t>
            </w:r>
          </w:p>
        </w:tc>
        <w:tc>
          <w:tcPr>
            <w:tcW w:w="1890" w:type="dxa"/>
            <w:vAlign w:val="bottom"/>
          </w:tcPr>
          <w:p w14:paraId="0673C66C"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Eligible</w:t>
            </w:r>
          </w:p>
        </w:tc>
        <w:tc>
          <w:tcPr>
            <w:tcW w:w="1350" w:type="dxa"/>
            <w:gridSpan w:val="3"/>
            <w:vAlign w:val="bottom"/>
          </w:tcPr>
          <w:p w14:paraId="228FE04C"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No</w:t>
            </w:r>
          </w:p>
        </w:tc>
        <w:tc>
          <w:tcPr>
            <w:tcW w:w="2090" w:type="dxa"/>
            <w:gridSpan w:val="3"/>
            <w:vAlign w:val="bottom"/>
          </w:tcPr>
          <w:p w14:paraId="049C8CE5"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Green Power Programs</w:t>
            </w:r>
          </w:p>
        </w:tc>
      </w:tr>
      <w:tr w:rsidR="00322BBC" w:rsidRPr="007C2800" w14:paraId="67574CD5" w14:textId="77777777" w:rsidTr="000351F6">
        <w:trPr>
          <w:trHeight w:val="285"/>
        </w:trPr>
        <w:tc>
          <w:tcPr>
            <w:tcW w:w="3166" w:type="dxa"/>
            <w:vAlign w:val="bottom"/>
          </w:tcPr>
          <w:p w14:paraId="1A0DA955" w14:textId="77777777" w:rsidR="00C57BDE" w:rsidRPr="009D785B" w:rsidRDefault="00C57BDE" w:rsidP="0080767E">
            <w:pPr>
              <w:pStyle w:val="Default"/>
              <w:rPr>
                <w:rFonts w:ascii="Times New Roman" w:hAnsi="Times New Roman" w:cs="Times New Roman"/>
              </w:rPr>
            </w:pPr>
            <w:r w:rsidRPr="009D785B">
              <w:rPr>
                <w:rFonts w:ascii="Times New Roman" w:hAnsi="Times New Roman" w:cs="Times New Roman"/>
              </w:rPr>
              <w:t xml:space="preserve">Farm Power Lynden </w:t>
            </w:r>
          </w:p>
        </w:tc>
        <w:tc>
          <w:tcPr>
            <w:tcW w:w="1620" w:type="dxa"/>
            <w:gridSpan w:val="2"/>
            <w:vAlign w:val="bottom"/>
          </w:tcPr>
          <w:p w14:paraId="1925EA0A"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Schedule 91 - Contract</w:t>
            </w:r>
          </w:p>
        </w:tc>
        <w:tc>
          <w:tcPr>
            <w:tcW w:w="1890" w:type="dxa"/>
            <w:vAlign w:val="bottom"/>
          </w:tcPr>
          <w:p w14:paraId="5E903209"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Eligible</w:t>
            </w:r>
          </w:p>
        </w:tc>
        <w:tc>
          <w:tcPr>
            <w:tcW w:w="1350" w:type="dxa"/>
            <w:gridSpan w:val="3"/>
            <w:vAlign w:val="bottom"/>
          </w:tcPr>
          <w:p w14:paraId="5CDC6A25"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~No~</w:t>
            </w:r>
          </w:p>
        </w:tc>
        <w:tc>
          <w:tcPr>
            <w:tcW w:w="2090" w:type="dxa"/>
            <w:gridSpan w:val="3"/>
            <w:vAlign w:val="bottom"/>
          </w:tcPr>
          <w:p w14:paraId="0EE0F658"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Green Power Programs</w:t>
            </w:r>
          </w:p>
        </w:tc>
      </w:tr>
      <w:tr w:rsidR="00A66241" w:rsidRPr="007C2800" w14:paraId="151123DC" w14:textId="77777777" w:rsidTr="000351F6">
        <w:trPr>
          <w:cnfStyle w:val="000000100000" w:firstRow="0" w:lastRow="0" w:firstColumn="0" w:lastColumn="0" w:oddVBand="0" w:evenVBand="0" w:oddHBand="1" w:evenHBand="0" w:firstRowFirstColumn="0" w:firstRowLastColumn="0" w:lastRowFirstColumn="0" w:lastRowLastColumn="0"/>
          <w:trHeight w:val="283"/>
        </w:trPr>
        <w:tc>
          <w:tcPr>
            <w:tcW w:w="3166" w:type="dxa"/>
            <w:vAlign w:val="bottom"/>
          </w:tcPr>
          <w:p w14:paraId="1B2B706E" w14:textId="77777777" w:rsidR="00C57BDE" w:rsidRPr="009D785B" w:rsidRDefault="00C57BDE" w:rsidP="0080767E">
            <w:pPr>
              <w:pStyle w:val="Default"/>
              <w:rPr>
                <w:rFonts w:ascii="Times New Roman" w:hAnsi="Times New Roman" w:cs="Times New Roman"/>
              </w:rPr>
            </w:pPr>
            <w:r w:rsidRPr="009D785B">
              <w:rPr>
                <w:rFonts w:ascii="Times New Roman" w:hAnsi="Times New Roman" w:cs="Times New Roman"/>
              </w:rPr>
              <w:t xml:space="preserve">Farm Power Rexville </w:t>
            </w:r>
          </w:p>
        </w:tc>
        <w:tc>
          <w:tcPr>
            <w:tcW w:w="1620" w:type="dxa"/>
            <w:gridSpan w:val="2"/>
            <w:vAlign w:val="bottom"/>
          </w:tcPr>
          <w:p w14:paraId="6C84F8C3"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Schedule 91 - Contract</w:t>
            </w:r>
          </w:p>
        </w:tc>
        <w:tc>
          <w:tcPr>
            <w:tcW w:w="1890" w:type="dxa"/>
            <w:vAlign w:val="bottom"/>
          </w:tcPr>
          <w:p w14:paraId="444831A6"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Eligible</w:t>
            </w:r>
          </w:p>
        </w:tc>
        <w:tc>
          <w:tcPr>
            <w:tcW w:w="1350" w:type="dxa"/>
            <w:gridSpan w:val="3"/>
            <w:vAlign w:val="bottom"/>
          </w:tcPr>
          <w:p w14:paraId="20A57ADC"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~No~</w:t>
            </w:r>
          </w:p>
        </w:tc>
        <w:tc>
          <w:tcPr>
            <w:tcW w:w="2090" w:type="dxa"/>
            <w:gridSpan w:val="3"/>
            <w:vAlign w:val="bottom"/>
          </w:tcPr>
          <w:p w14:paraId="0766FD54"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Green Power Programs</w:t>
            </w:r>
          </w:p>
        </w:tc>
      </w:tr>
      <w:tr w:rsidR="00322BBC" w:rsidRPr="007C2800" w14:paraId="7B85C3D9" w14:textId="77777777" w:rsidTr="000351F6">
        <w:trPr>
          <w:trHeight w:val="285"/>
        </w:trPr>
        <w:tc>
          <w:tcPr>
            <w:tcW w:w="3166" w:type="dxa"/>
            <w:vAlign w:val="bottom"/>
          </w:tcPr>
          <w:p w14:paraId="4D996612" w14:textId="77777777" w:rsidR="00C57BDE" w:rsidRPr="009D785B" w:rsidRDefault="00C57BDE" w:rsidP="0080767E">
            <w:pPr>
              <w:pStyle w:val="Default"/>
              <w:rPr>
                <w:rFonts w:ascii="Times New Roman" w:hAnsi="Times New Roman" w:cs="Times New Roman"/>
              </w:rPr>
            </w:pPr>
            <w:r w:rsidRPr="009D785B">
              <w:rPr>
                <w:rFonts w:ascii="Times New Roman" w:hAnsi="Times New Roman" w:cs="Times New Roman"/>
              </w:rPr>
              <w:t xml:space="preserve">Rainier Biogas </w:t>
            </w:r>
          </w:p>
        </w:tc>
        <w:tc>
          <w:tcPr>
            <w:tcW w:w="1620" w:type="dxa"/>
            <w:gridSpan w:val="2"/>
            <w:vAlign w:val="bottom"/>
          </w:tcPr>
          <w:p w14:paraId="10ED8E65"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Schedule 91 - Contract</w:t>
            </w:r>
          </w:p>
        </w:tc>
        <w:tc>
          <w:tcPr>
            <w:tcW w:w="1890" w:type="dxa"/>
            <w:vAlign w:val="bottom"/>
          </w:tcPr>
          <w:p w14:paraId="047C619B"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Eligible</w:t>
            </w:r>
          </w:p>
        </w:tc>
        <w:tc>
          <w:tcPr>
            <w:tcW w:w="1350" w:type="dxa"/>
            <w:gridSpan w:val="3"/>
            <w:vAlign w:val="bottom"/>
          </w:tcPr>
          <w:p w14:paraId="32B93187"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~No~</w:t>
            </w:r>
          </w:p>
        </w:tc>
        <w:tc>
          <w:tcPr>
            <w:tcW w:w="2090" w:type="dxa"/>
            <w:gridSpan w:val="3"/>
            <w:vAlign w:val="bottom"/>
          </w:tcPr>
          <w:p w14:paraId="05ADE70E"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Green Power Programs</w:t>
            </w:r>
          </w:p>
        </w:tc>
      </w:tr>
      <w:tr w:rsidR="00A66241" w:rsidRPr="007C2800" w14:paraId="58220EA3" w14:textId="77777777" w:rsidTr="000351F6">
        <w:trPr>
          <w:cnfStyle w:val="000000100000" w:firstRow="0" w:lastRow="0" w:firstColumn="0" w:lastColumn="0" w:oddVBand="0" w:evenVBand="0" w:oddHBand="1" w:evenHBand="0" w:firstRowFirstColumn="0" w:firstRowLastColumn="0" w:lastRowFirstColumn="0" w:lastRowLastColumn="0"/>
          <w:trHeight w:val="285"/>
        </w:trPr>
        <w:tc>
          <w:tcPr>
            <w:tcW w:w="3166" w:type="dxa"/>
            <w:vAlign w:val="bottom"/>
          </w:tcPr>
          <w:p w14:paraId="55B74BC6" w14:textId="77777777" w:rsidR="00C57BDE" w:rsidRPr="009D785B" w:rsidRDefault="00C57BDE" w:rsidP="0080767E">
            <w:pPr>
              <w:pStyle w:val="Default"/>
              <w:rPr>
                <w:rFonts w:ascii="Times New Roman" w:hAnsi="Times New Roman" w:cs="Times New Roman"/>
              </w:rPr>
            </w:pPr>
            <w:r w:rsidRPr="009D785B">
              <w:rPr>
                <w:rFonts w:ascii="Times New Roman" w:hAnsi="Times New Roman" w:cs="Times New Roman"/>
              </w:rPr>
              <w:t xml:space="preserve">Vanderhaak Dairy </w:t>
            </w:r>
          </w:p>
        </w:tc>
        <w:tc>
          <w:tcPr>
            <w:tcW w:w="1620" w:type="dxa"/>
            <w:gridSpan w:val="2"/>
            <w:vAlign w:val="bottom"/>
          </w:tcPr>
          <w:p w14:paraId="73E2D301"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Schedule 91 - Contract</w:t>
            </w:r>
          </w:p>
        </w:tc>
        <w:tc>
          <w:tcPr>
            <w:tcW w:w="1890" w:type="dxa"/>
            <w:vAlign w:val="bottom"/>
          </w:tcPr>
          <w:p w14:paraId="5FC5B2AA"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Eligible</w:t>
            </w:r>
          </w:p>
        </w:tc>
        <w:tc>
          <w:tcPr>
            <w:tcW w:w="1350" w:type="dxa"/>
            <w:gridSpan w:val="3"/>
            <w:vAlign w:val="bottom"/>
          </w:tcPr>
          <w:p w14:paraId="3E6413C7"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~No~</w:t>
            </w:r>
          </w:p>
        </w:tc>
        <w:tc>
          <w:tcPr>
            <w:tcW w:w="2090" w:type="dxa"/>
            <w:gridSpan w:val="3"/>
            <w:vAlign w:val="bottom"/>
          </w:tcPr>
          <w:p w14:paraId="205781FA"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Green Power Programs</w:t>
            </w:r>
          </w:p>
        </w:tc>
      </w:tr>
      <w:tr w:rsidR="00322BBC" w:rsidRPr="007C2800" w14:paraId="6583EDBF" w14:textId="77777777" w:rsidTr="000351F6">
        <w:trPr>
          <w:trHeight w:val="285"/>
        </w:trPr>
        <w:tc>
          <w:tcPr>
            <w:tcW w:w="3166" w:type="dxa"/>
            <w:vAlign w:val="bottom"/>
          </w:tcPr>
          <w:p w14:paraId="2D98739C" w14:textId="77777777" w:rsidR="00C57BDE" w:rsidRPr="009D785B" w:rsidRDefault="00C57BDE" w:rsidP="0080767E">
            <w:pPr>
              <w:pStyle w:val="Default"/>
              <w:rPr>
                <w:rFonts w:ascii="Times New Roman" w:hAnsi="Times New Roman" w:cs="Times New Roman"/>
              </w:rPr>
            </w:pPr>
            <w:r w:rsidRPr="009D785B">
              <w:rPr>
                <w:rFonts w:ascii="Times New Roman" w:hAnsi="Times New Roman" w:cs="Times New Roman"/>
              </w:rPr>
              <w:t xml:space="preserve">Van Dyk </w:t>
            </w:r>
          </w:p>
        </w:tc>
        <w:tc>
          <w:tcPr>
            <w:tcW w:w="1620" w:type="dxa"/>
            <w:gridSpan w:val="2"/>
            <w:vAlign w:val="bottom"/>
          </w:tcPr>
          <w:p w14:paraId="4C97ECD5"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Schedule 91 - Contract</w:t>
            </w:r>
          </w:p>
        </w:tc>
        <w:tc>
          <w:tcPr>
            <w:tcW w:w="1890" w:type="dxa"/>
            <w:vAlign w:val="bottom"/>
          </w:tcPr>
          <w:p w14:paraId="7B6573F4"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Eligible</w:t>
            </w:r>
          </w:p>
        </w:tc>
        <w:tc>
          <w:tcPr>
            <w:tcW w:w="1350" w:type="dxa"/>
            <w:gridSpan w:val="3"/>
            <w:vAlign w:val="bottom"/>
          </w:tcPr>
          <w:p w14:paraId="7E1E49E7"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~No~</w:t>
            </w:r>
          </w:p>
        </w:tc>
        <w:tc>
          <w:tcPr>
            <w:tcW w:w="2090" w:type="dxa"/>
            <w:gridSpan w:val="3"/>
            <w:vAlign w:val="bottom"/>
          </w:tcPr>
          <w:p w14:paraId="6B062345"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Green Power Programs</w:t>
            </w:r>
          </w:p>
        </w:tc>
      </w:tr>
      <w:tr w:rsidR="00A66241" w:rsidRPr="007C2800" w14:paraId="6661FCDB" w14:textId="77777777" w:rsidTr="000351F6">
        <w:trPr>
          <w:cnfStyle w:val="000000100000" w:firstRow="0" w:lastRow="0" w:firstColumn="0" w:lastColumn="0" w:oddVBand="0" w:evenVBand="0" w:oddHBand="1" w:evenHBand="0" w:firstRowFirstColumn="0" w:firstRowLastColumn="0" w:lastRowFirstColumn="0" w:lastRowLastColumn="0"/>
          <w:trHeight w:val="283"/>
        </w:trPr>
        <w:tc>
          <w:tcPr>
            <w:tcW w:w="3166" w:type="dxa"/>
            <w:vAlign w:val="bottom"/>
          </w:tcPr>
          <w:p w14:paraId="1144B6F2" w14:textId="77777777" w:rsidR="00C57BDE" w:rsidRPr="009D785B" w:rsidRDefault="00C57BDE" w:rsidP="0080767E">
            <w:pPr>
              <w:pStyle w:val="Default"/>
              <w:rPr>
                <w:rFonts w:ascii="Times New Roman" w:hAnsi="Times New Roman" w:cs="Times New Roman"/>
              </w:rPr>
            </w:pPr>
            <w:r w:rsidRPr="009D785B">
              <w:rPr>
                <w:rFonts w:ascii="Times New Roman" w:hAnsi="Times New Roman" w:cs="Times New Roman"/>
              </w:rPr>
              <w:t xml:space="preserve">Bio Energy </w:t>
            </w:r>
          </w:p>
        </w:tc>
        <w:tc>
          <w:tcPr>
            <w:tcW w:w="1620" w:type="dxa"/>
            <w:gridSpan w:val="2"/>
            <w:vAlign w:val="bottom"/>
          </w:tcPr>
          <w:p w14:paraId="142B0D60"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Schedule 91 - Contract</w:t>
            </w:r>
          </w:p>
        </w:tc>
        <w:tc>
          <w:tcPr>
            <w:tcW w:w="1890" w:type="dxa"/>
            <w:vAlign w:val="bottom"/>
          </w:tcPr>
          <w:p w14:paraId="52ACDCD6"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~Eligible~</w:t>
            </w:r>
          </w:p>
        </w:tc>
        <w:tc>
          <w:tcPr>
            <w:tcW w:w="1350" w:type="dxa"/>
            <w:gridSpan w:val="3"/>
            <w:vAlign w:val="bottom"/>
          </w:tcPr>
          <w:p w14:paraId="4CA0EA17"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~No~</w:t>
            </w:r>
          </w:p>
        </w:tc>
        <w:tc>
          <w:tcPr>
            <w:tcW w:w="2090" w:type="dxa"/>
            <w:gridSpan w:val="3"/>
            <w:vAlign w:val="bottom"/>
          </w:tcPr>
          <w:p w14:paraId="544140DB"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N/A</w:t>
            </w:r>
          </w:p>
        </w:tc>
      </w:tr>
      <w:tr w:rsidR="00322BBC" w:rsidRPr="007C2800" w14:paraId="56400561" w14:textId="77777777" w:rsidTr="000351F6">
        <w:trPr>
          <w:trHeight w:val="285"/>
        </w:trPr>
        <w:tc>
          <w:tcPr>
            <w:tcW w:w="3166" w:type="dxa"/>
            <w:vAlign w:val="bottom"/>
          </w:tcPr>
          <w:p w14:paraId="582E3B98" w14:textId="77777777" w:rsidR="00C57BDE" w:rsidRPr="009D785B" w:rsidRDefault="00C57BDE" w:rsidP="0080767E">
            <w:pPr>
              <w:pStyle w:val="Default"/>
              <w:rPr>
                <w:rFonts w:ascii="Times New Roman" w:hAnsi="Times New Roman" w:cs="Times New Roman"/>
              </w:rPr>
            </w:pPr>
            <w:r w:rsidRPr="009D785B">
              <w:rPr>
                <w:rFonts w:ascii="Times New Roman" w:hAnsi="Times New Roman" w:cs="Times New Roman"/>
              </w:rPr>
              <w:t xml:space="preserve">Edaleen Dairy </w:t>
            </w:r>
          </w:p>
        </w:tc>
        <w:tc>
          <w:tcPr>
            <w:tcW w:w="1620" w:type="dxa"/>
            <w:gridSpan w:val="2"/>
            <w:vAlign w:val="bottom"/>
          </w:tcPr>
          <w:p w14:paraId="00B10E7D"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Schedule 91 - Contract</w:t>
            </w:r>
          </w:p>
        </w:tc>
        <w:tc>
          <w:tcPr>
            <w:tcW w:w="1890" w:type="dxa"/>
            <w:vAlign w:val="bottom"/>
          </w:tcPr>
          <w:p w14:paraId="238583D7"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Eligible</w:t>
            </w:r>
          </w:p>
        </w:tc>
        <w:tc>
          <w:tcPr>
            <w:tcW w:w="1350" w:type="dxa"/>
            <w:gridSpan w:val="3"/>
            <w:vAlign w:val="bottom"/>
          </w:tcPr>
          <w:p w14:paraId="541F8BF3"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~No~</w:t>
            </w:r>
          </w:p>
        </w:tc>
        <w:tc>
          <w:tcPr>
            <w:tcW w:w="2090" w:type="dxa"/>
            <w:gridSpan w:val="3"/>
            <w:vAlign w:val="bottom"/>
          </w:tcPr>
          <w:p w14:paraId="5948BB23"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Green Power Programs</w:t>
            </w:r>
          </w:p>
        </w:tc>
      </w:tr>
      <w:tr w:rsidR="00A66241" w:rsidRPr="007C2800" w14:paraId="41A360A2" w14:textId="77777777" w:rsidTr="000351F6">
        <w:trPr>
          <w:cnfStyle w:val="000000100000" w:firstRow="0" w:lastRow="0" w:firstColumn="0" w:lastColumn="0" w:oddVBand="0" w:evenVBand="0" w:oddHBand="1" w:evenHBand="0" w:firstRowFirstColumn="0" w:firstRowLastColumn="0" w:lastRowFirstColumn="0" w:lastRowLastColumn="0"/>
          <w:trHeight w:val="285"/>
        </w:trPr>
        <w:tc>
          <w:tcPr>
            <w:tcW w:w="3166" w:type="dxa"/>
            <w:vAlign w:val="bottom"/>
          </w:tcPr>
          <w:p w14:paraId="711B4801" w14:textId="77777777" w:rsidR="00C57BDE" w:rsidRPr="009D785B" w:rsidRDefault="00C57BDE" w:rsidP="0080767E">
            <w:pPr>
              <w:pStyle w:val="Default"/>
              <w:rPr>
                <w:rFonts w:ascii="Times New Roman" w:hAnsi="Times New Roman" w:cs="Times New Roman"/>
              </w:rPr>
            </w:pPr>
            <w:r w:rsidRPr="009D785B">
              <w:rPr>
                <w:rFonts w:ascii="Times New Roman" w:hAnsi="Times New Roman" w:cs="Times New Roman"/>
              </w:rPr>
              <w:t xml:space="preserve">Bio fuels, WA </w:t>
            </w:r>
          </w:p>
        </w:tc>
        <w:tc>
          <w:tcPr>
            <w:tcW w:w="1620" w:type="dxa"/>
            <w:gridSpan w:val="2"/>
            <w:vAlign w:val="bottom"/>
          </w:tcPr>
          <w:p w14:paraId="3EA6528A"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Schedule 91 - Contract</w:t>
            </w:r>
          </w:p>
        </w:tc>
        <w:tc>
          <w:tcPr>
            <w:tcW w:w="1890" w:type="dxa"/>
            <w:vAlign w:val="bottom"/>
          </w:tcPr>
          <w:p w14:paraId="0DB93B7F"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Eligible</w:t>
            </w:r>
          </w:p>
        </w:tc>
        <w:tc>
          <w:tcPr>
            <w:tcW w:w="1350" w:type="dxa"/>
            <w:gridSpan w:val="3"/>
            <w:vAlign w:val="bottom"/>
          </w:tcPr>
          <w:p w14:paraId="162C35EE"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~No~</w:t>
            </w:r>
          </w:p>
        </w:tc>
        <w:tc>
          <w:tcPr>
            <w:tcW w:w="2090" w:type="dxa"/>
            <w:gridSpan w:val="3"/>
            <w:vAlign w:val="bottom"/>
          </w:tcPr>
          <w:p w14:paraId="391DA72E"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Green Power Programs</w:t>
            </w:r>
          </w:p>
        </w:tc>
      </w:tr>
      <w:tr w:rsidR="00322BBC" w:rsidRPr="007C2800" w14:paraId="562694A2" w14:textId="77777777" w:rsidTr="000351F6">
        <w:trPr>
          <w:trHeight w:val="285"/>
        </w:trPr>
        <w:tc>
          <w:tcPr>
            <w:tcW w:w="3166" w:type="dxa"/>
            <w:vAlign w:val="bottom"/>
          </w:tcPr>
          <w:p w14:paraId="33BF0749" w14:textId="77777777" w:rsidR="00C57BDE" w:rsidRPr="009D785B" w:rsidRDefault="00C57BDE" w:rsidP="0080767E">
            <w:pPr>
              <w:pStyle w:val="Default"/>
              <w:rPr>
                <w:rFonts w:ascii="Times New Roman" w:hAnsi="Times New Roman" w:cs="Times New Roman"/>
              </w:rPr>
            </w:pPr>
            <w:r w:rsidRPr="009D785B">
              <w:rPr>
                <w:rFonts w:ascii="Times New Roman" w:hAnsi="Times New Roman" w:cs="Times New Roman"/>
              </w:rPr>
              <w:lastRenderedPageBreak/>
              <w:t xml:space="preserve">Skookumchuck </w:t>
            </w:r>
          </w:p>
        </w:tc>
        <w:tc>
          <w:tcPr>
            <w:tcW w:w="1620" w:type="dxa"/>
            <w:gridSpan w:val="2"/>
            <w:vAlign w:val="bottom"/>
          </w:tcPr>
          <w:p w14:paraId="42874C98"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Schedule 91 - Contract</w:t>
            </w:r>
          </w:p>
        </w:tc>
        <w:tc>
          <w:tcPr>
            <w:tcW w:w="1890" w:type="dxa"/>
            <w:vAlign w:val="bottom"/>
          </w:tcPr>
          <w:p w14:paraId="5B922B39"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Not eligible</w:t>
            </w:r>
          </w:p>
        </w:tc>
        <w:tc>
          <w:tcPr>
            <w:tcW w:w="1350" w:type="dxa"/>
            <w:gridSpan w:val="3"/>
            <w:vAlign w:val="bottom"/>
          </w:tcPr>
          <w:p w14:paraId="119118E7"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~No~</w:t>
            </w:r>
          </w:p>
        </w:tc>
        <w:tc>
          <w:tcPr>
            <w:tcW w:w="2090" w:type="dxa"/>
            <w:gridSpan w:val="3"/>
            <w:vAlign w:val="bottom"/>
          </w:tcPr>
          <w:p w14:paraId="06751EAD"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N/A</w:t>
            </w:r>
          </w:p>
        </w:tc>
      </w:tr>
      <w:tr w:rsidR="00A66241" w:rsidRPr="007C2800" w14:paraId="2453F3DB" w14:textId="77777777" w:rsidTr="000351F6">
        <w:trPr>
          <w:cnfStyle w:val="000000100000" w:firstRow="0" w:lastRow="0" w:firstColumn="0" w:lastColumn="0" w:oddVBand="0" w:evenVBand="0" w:oddHBand="1" w:evenHBand="0" w:firstRowFirstColumn="0" w:firstRowLastColumn="0" w:lastRowFirstColumn="0" w:lastRowLastColumn="0"/>
          <w:trHeight w:val="283"/>
        </w:trPr>
        <w:tc>
          <w:tcPr>
            <w:tcW w:w="3166" w:type="dxa"/>
            <w:vAlign w:val="bottom"/>
          </w:tcPr>
          <w:p w14:paraId="2120F720" w14:textId="77777777" w:rsidR="00C57BDE" w:rsidRPr="009D785B" w:rsidRDefault="00C57BDE" w:rsidP="0080767E">
            <w:pPr>
              <w:pStyle w:val="Default"/>
              <w:rPr>
                <w:rFonts w:ascii="Times New Roman" w:hAnsi="Times New Roman" w:cs="Times New Roman"/>
              </w:rPr>
            </w:pPr>
            <w:r w:rsidRPr="009D785B">
              <w:rPr>
                <w:rFonts w:ascii="Times New Roman" w:hAnsi="Times New Roman" w:cs="Times New Roman"/>
              </w:rPr>
              <w:t xml:space="preserve">Smith Creek </w:t>
            </w:r>
          </w:p>
        </w:tc>
        <w:tc>
          <w:tcPr>
            <w:tcW w:w="1620" w:type="dxa"/>
            <w:gridSpan w:val="2"/>
            <w:vAlign w:val="bottom"/>
          </w:tcPr>
          <w:p w14:paraId="08B54C2A"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Schedule 91 - Contract</w:t>
            </w:r>
          </w:p>
        </w:tc>
        <w:tc>
          <w:tcPr>
            <w:tcW w:w="1890" w:type="dxa"/>
            <w:vAlign w:val="bottom"/>
          </w:tcPr>
          <w:p w14:paraId="2E3789F3"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Not eligible</w:t>
            </w:r>
          </w:p>
        </w:tc>
        <w:tc>
          <w:tcPr>
            <w:tcW w:w="1350" w:type="dxa"/>
            <w:gridSpan w:val="3"/>
            <w:vAlign w:val="bottom"/>
          </w:tcPr>
          <w:p w14:paraId="23B40CF1"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~No~</w:t>
            </w:r>
          </w:p>
        </w:tc>
        <w:tc>
          <w:tcPr>
            <w:tcW w:w="2090" w:type="dxa"/>
            <w:gridSpan w:val="3"/>
            <w:vAlign w:val="bottom"/>
          </w:tcPr>
          <w:p w14:paraId="4D612EF9"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N/A</w:t>
            </w:r>
          </w:p>
        </w:tc>
      </w:tr>
      <w:tr w:rsidR="00322BBC" w:rsidRPr="007C2800" w14:paraId="71E597FA" w14:textId="77777777" w:rsidTr="000351F6">
        <w:trPr>
          <w:trHeight w:val="285"/>
        </w:trPr>
        <w:tc>
          <w:tcPr>
            <w:tcW w:w="3166" w:type="dxa"/>
            <w:vAlign w:val="bottom"/>
          </w:tcPr>
          <w:p w14:paraId="43BED387" w14:textId="77777777" w:rsidR="00C57BDE" w:rsidRPr="009D785B" w:rsidRDefault="00C57BDE" w:rsidP="0080767E">
            <w:pPr>
              <w:pStyle w:val="Default"/>
              <w:rPr>
                <w:rFonts w:ascii="Times New Roman" w:hAnsi="Times New Roman" w:cs="Times New Roman"/>
              </w:rPr>
            </w:pPr>
            <w:r w:rsidRPr="009D785B">
              <w:rPr>
                <w:rFonts w:ascii="Times New Roman" w:hAnsi="Times New Roman" w:cs="Times New Roman"/>
              </w:rPr>
              <w:t xml:space="preserve">Black Creek </w:t>
            </w:r>
          </w:p>
        </w:tc>
        <w:tc>
          <w:tcPr>
            <w:tcW w:w="1620" w:type="dxa"/>
            <w:gridSpan w:val="2"/>
            <w:vAlign w:val="bottom"/>
          </w:tcPr>
          <w:p w14:paraId="0AC5BA03"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Schedule 91 - Contract</w:t>
            </w:r>
          </w:p>
        </w:tc>
        <w:tc>
          <w:tcPr>
            <w:tcW w:w="1890" w:type="dxa"/>
            <w:vAlign w:val="bottom"/>
          </w:tcPr>
          <w:p w14:paraId="5E7DC201"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Not eligible</w:t>
            </w:r>
          </w:p>
        </w:tc>
        <w:tc>
          <w:tcPr>
            <w:tcW w:w="1350" w:type="dxa"/>
            <w:gridSpan w:val="3"/>
            <w:vAlign w:val="bottom"/>
          </w:tcPr>
          <w:p w14:paraId="1988940E"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~No~</w:t>
            </w:r>
          </w:p>
        </w:tc>
        <w:tc>
          <w:tcPr>
            <w:tcW w:w="2090" w:type="dxa"/>
            <w:gridSpan w:val="3"/>
            <w:vAlign w:val="bottom"/>
          </w:tcPr>
          <w:p w14:paraId="27A4A1F2"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N/A</w:t>
            </w:r>
          </w:p>
        </w:tc>
      </w:tr>
      <w:tr w:rsidR="00A66241" w:rsidRPr="007C2800" w14:paraId="47E206BF" w14:textId="77777777" w:rsidTr="000351F6">
        <w:trPr>
          <w:cnfStyle w:val="000000100000" w:firstRow="0" w:lastRow="0" w:firstColumn="0" w:lastColumn="0" w:oddVBand="0" w:evenVBand="0" w:oddHBand="1" w:evenHBand="0" w:firstRowFirstColumn="0" w:firstRowLastColumn="0" w:lastRowFirstColumn="0" w:lastRowLastColumn="0"/>
          <w:trHeight w:val="285"/>
        </w:trPr>
        <w:tc>
          <w:tcPr>
            <w:tcW w:w="3166" w:type="dxa"/>
            <w:vAlign w:val="bottom"/>
          </w:tcPr>
          <w:p w14:paraId="10045493" w14:textId="7640464A" w:rsidR="00C57BDE" w:rsidRPr="009D785B" w:rsidRDefault="00C57BDE" w:rsidP="0080767E">
            <w:pPr>
              <w:pStyle w:val="Default"/>
              <w:rPr>
                <w:rFonts w:ascii="Times New Roman" w:hAnsi="Times New Roman" w:cs="Times New Roman"/>
              </w:rPr>
            </w:pPr>
            <w:r w:rsidRPr="009D785B">
              <w:rPr>
                <w:rFonts w:ascii="Times New Roman" w:hAnsi="Times New Roman" w:cs="Times New Roman"/>
              </w:rPr>
              <w:t>Nooksack Hydro</w:t>
            </w:r>
          </w:p>
        </w:tc>
        <w:tc>
          <w:tcPr>
            <w:tcW w:w="1620" w:type="dxa"/>
            <w:gridSpan w:val="2"/>
            <w:vAlign w:val="bottom"/>
          </w:tcPr>
          <w:p w14:paraId="112D3D88"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Contract</w:t>
            </w:r>
          </w:p>
        </w:tc>
        <w:tc>
          <w:tcPr>
            <w:tcW w:w="1890" w:type="dxa"/>
            <w:vAlign w:val="bottom"/>
          </w:tcPr>
          <w:p w14:paraId="0F9E51BE" w14:textId="5126193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Not eligible</w:t>
            </w:r>
            <w:r w:rsidR="00DC4341">
              <w:rPr>
                <w:rStyle w:val="EndnoteReference"/>
                <w:rFonts w:ascii="Times New Roman" w:hAnsi="Times New Roman" w:cs="Times New Roman"/>
              </w:rPr>
              <w:endnoteReference w:id="4"/>
            </w:r>
          </w:p>
        </w:tc>
        <w:tc>
          <w:tcPr>
            <w:tcW w:w="1350" w:type="dxa"/>
            <w:gridSpan w:val="3"/>
            <w:vAlign w:val="bottom"/>
          </w:tcPr>
          <w:p w14:paraId="47B29680"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Yes</w:t>
            </w:r>
          </w:p>
        </w:tc>
        <w:tc>
          <w:tcPr>
            <w:tcW w:w="2090" w:type="dxa"/>
            <w:gridSpan w:val="3"/>
            <w:vAlign w:val="bottom"/>
          </w:tcPr>
          <w:p w14:paraId="29449A59"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Green Power Programs</w:t>
            </w:r>
          </w:p>
        </w:tc>
      </w:tr>
      <w:tr w:rsidR="00322BBC" w:rsidRPr="007C2800" w14:paraId="45E045E2" w14:textId="77777777" w:rsidTr="000351F6">
        <w:trPr>
          <w:trHeight w:val="285"/>
        </w:trPr>
        <w:tc>
          <w:tcPr>
            <w:tcW w:w="3166" w:type="dxa"/>
            <w:vAlign w:val="bottom"/>
          </w:tcPr>
          <w:p w14:paraId="4529B2FD" w14:textId="77777777" w:rsidR="00C57BDE" w:rsidRPr="009D785B" w:rsidRDefault="00C57BDE" w:rsidP="0080767E">
            <w:pPr>
              <w:pStyle w:val="Default"/>
              <w:rPr>
                <w:rFonts w:ascii="Times New Roman" w:hAnsi="Times New Roman" w:cs="Times New Roman"/>
              </w:rPr>
            </w:pPr>
            <w:r w:rsidRPr="009D785B">
              <w:rPr>
                <w:rFonts w:ascii="Times New Roman" w:hAnsi="Times New Roman" w:cs="Times New Roman"/>
              </w:rPr>
              <w:t xml:space="preserve">Island Solar </w:t>
            </w:r>
          </w:p>
        </w:tc>
        <w:tc>
          <w:tcPr>
            <w:tcW w:w="1620" w:type="dxa"/>
            <w:gridSpan w:val="2"/>
            <w:vAlign w:val="bottom"/>
          </w:tcPr>
          <w:p w14:paraId="6BC47970"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Schedule 91 - Contract</w:t>
            </w:r>
          </w:p>
        </w:tc>
        <w:tc>
          <w:tcPr>
            <w:tcW w:w="1890" w:type="dxa"/>
            <w:vAlign w:val="bottom"/>
          </w:tcPr>
          <w:p w14:paraId="6B739C3F"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Eligible</w:t>
            </w:r>
          </w:p>
        </w:tc>
        <w:tc>
          <w:tcPr>
            <w:tcW w:w="1350" w:type="dxa"/>
            <w:gridSpan w:val="3"/>
            <w:vAlign w:val="bottom"/>
          </w:tcPr>
          <w:p w14:paraId="4D3DFF91"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~No~</w:t>
            </w:r>
          </w:p>
        </w:tc>
        <w:tc>
          <w:tcPr>
            <w:tcW w:w="2090" w:type="dxa"/>
            <w:gridSpan w:val="3"/>
            <w:vAlign w:val="bottom"/>
          </w:tcPr>
          <w:p w14:paraId="5E82400E"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N/A</w:t>
            </w:r>
          </w:p>
        </w:tc>
      </w:tr>
      <w:tr w:rsidR="00A66241" w:rsidRPr="007C2800" w14:paraId="1CBB788C" w14:textId="77777777" w:rsidTr="000351F6">
        <w:trPr>
          <w:cnfStyle w:val="000000100000" w:firstRow="0" w:lastRow="0" w:firstColumn="0" w:lastColumn="0" w:oddVBand="0" w:evenVBand="0" w:oddHBand="1" w:evenHBand="0" w:firstRowFirstColumn="0" w:firstRowLastColumn="0" w:lastRowFirstColumn="0" w:lastRowLastColumn="0"/>
          <w:trHeight w:val="283"/>
        </w:trPr>
        <w:tc>
          <w:tcPr>
            <w:tcW w:w="3166" w:type="dxa"/>
            <w:vAlign w:val="bottom"/>
          </w:tcPr>
          <w:p w14:paraId="47E5BF0D" w14:textId="77777777" w:rsidR="00C57BDE" w:rsidRPr="009D785B" w:rsidRDefault="00C57BDE" w:rsidP="0080767E">
            <w:pPr>
              <w:pStyle w:val="Default"/>
              <w:rPr>
                <w:rFonts w:ascii="Times New Roman" w:hAnsi="Times New Roman" w:cs="Times New Roman"/>
              </w:rPr>
            </w:pPr>
            <w:r w:rsidRPr="009D785B">
              <w:rPr>
                <w:rFonts w:ascii="Times New Roman" w:hAnsi="Times New Roman" w:cs="Times New Roman"/>
              </w:rPr>
              <w:t xml:space="preserve">Finn Hill Solar (Lake Wash SD) </w:t>
            </w:r>
          </w:p>
        </w:tc>
        <w:tc>
          <w:tcPr>
            <w:tcW w:w="1620" w:type="dxa"/>
            <w:gridSpan w:val="2"/>
            <w:vAlign w:val="bottom"/>
          </w:tcPr>
          <w:p w14:paraId="53DF284B"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Schedule 91 - Contract</w:t>
            </w:r>
          </w:p>
        </w:tc>
        <w:tc>
          <w:tcPr>
            <w:tcW w:w="1890" w:type="dxa"/>
            <w:vAlign w:val="bottom"/>
          </w:tcPr>
          <w:p w14:paraId="3319A588"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Eligible</w:t>
            </w:r>
          </w:p>
        </w:tc>
        <w:tc>
          <w:tcPr>
            <w:tcW w:w="1350" w:type="dxa"/>
            <w:gridSpan w:val="3"/>
            <w:vAlign w:val="bottom"/>
          </w:tcPr>
          <w:p w14:paraId="79F0158A"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~No~</w:t>
            </w:r>
          </w:p>
        </w:tc>
        <w:tc>
          <w:tcPr>
            <w:tcW w:w="2090" w:type="dxa"/>
            <w:gridSpan w:val="3"/>
            <w:vAlign w:val="bottom"/>
          </w:tcPr>
          <w:p w14:paraId="0A7745BF"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N/A</w:t>
            </w:r>
          </w:p>
        </w:tc>
      </w:tr>
      <w:tr w:rsidR="00322BBC" w:rsidRPr="007C2800" w14:paraId="6B738375" w14:textId="77777777" w:rsidTr="000351F6">
        <w:trPr>
          <w:trHeight w:val="285"/>
        </w:trPr>
        <w:tc>
          <w:tcPr>
            <w:tcW w:w="3166" w:type="dxa"/>
            <w:vAlign w:val="bottom"/>
          </w:tcPr>
          <w:p w14:paraId="5F0C4343" w14:textId="77777777" w:rsidR="00C57BDE" w:rsidRPr="009D785B" w:rsidRDefault="00C57BDE" w:rsidP="0080767E">
            <w:pPr>
              <w:pStyle w:val="Default"/>
              <w:rPr>
                <w:rFonts w:ascii="Times New Roman" w:hAnsi="Times New Roman" w:cs="Times New Roman"/>
              </w:rPr>
            </w:pPr>
            <w:r w:rsidRPr="009D785B">
              <w:rPr>
                <w:rFonts w:ascii="Times New Roman" w:hAnsi="Times New Roman" w:cs="Times New Roman"/>
              </w:rPr>
              <w:t xml:space="preserve">Knudson Wind </w:t>
            </w:r>
          </w:p>
        </w:tc>
        <w:tc>
          <w:tcPr>
            <w:tcW w:w="1620" w:type="dxa"/>
            <w:gridSpan w:val="2"/>
            <w:vAlign w:val="bottom"/>
          </w:tcPr>
          <w:p w14:paraId="747D4837"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Schedule 91 - Contract</w:t>
            </w:r>
          </w:p>
        </w:tc>
        <w:tc>
          <w:tcPr>
            <w:tcW w:w="1890" w:type="dxa"/>
            <w:vAlign w:val="bottom"/>
          </w:tcPr>
          <w:p w14:paraId="05484EE2"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Eligible</w:t>
            </w:r>
          </w:p>
        </w:tc>
        <w:tc>
          <w:tcPr>
            <w:tcW w:w="1350" w:type="dxa"/>
            <w:gridSpan w:val="3"/>
            <w:vAlign w:val="bottom"/>
          </w:tcPr>
          <w:p w14:paraId="4206F2F7"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~No~</w:t>
            </w:r>
          </w:p>
        </w:tc>
        <w:tc>
          <w:tcPr>
            <w:tcW w:w="2090" w:type="dxa"/>
            <w:gridSpan w:val="3"/>
            <w:vAlign w:val="bottom"/>
          </w:tcPr>
          <w:p w14:paraId="1FA3D6C8"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Green Power Programs</w:t>
            </w:r>
          </w:p>
        </w:tc>
      </w:tr>
      <w:tr w:rsidR="00A66241" w:rsidRPr="007C2800" w14:paraId="2D63B9C6" w14:textId="77777777" w:rsidTr="000351F6">
        <w:trPr>
          <w:cnfStyle w:val="000000100000" w:firstRow="0" w:lastRow="0" w:firstColumn="0" w:lastColumn="0" w:oddVBand="0" w:evenVBand="0" w:oddHBand="1" w:evenHBand="0" w:firstRowFirstColumn="0" w:firstRowLastColumn="0" w:lastRowFirstColumn="0" w:lastRowLastColumn="0"/>
          <w:trHeight w:val="285"/>
        </w:trPr>
        <w:tc>
          <w:tcPr>
            <w:tcW w:w="3166" w:type="dxa"/>
            <w:vAlign w:val="bottom"/>
          </w:tcPr>
          <w:p w14:paraId="49870050" w14:textId="77777777" w:rsidR="00C57BDE" w:rsidRPr="009D785B" w:rsidRDefault="00C57BDE" w:rsidP="0080767E">
            <w:pPr>
              <w:pStyle w:val="Default"/>
              <w:rPr>
                <w:rFonts w:ascii="Times New Roman" w:hAnsi="Times New Roman" w:cs="Times New Roman"/>
              </w:rPr>
            </w:pPr>
            <w:r w:rsidRPr="009D785B">
              <w:rPr>
                <w:rFonts w:ascii="Times New Roman" w:hAnsi="Times New Roman" w:cs="Times New Roman"/>
              </w:rPr>
              <w:t xml:space="preserve">3 Bar-G Wind </w:t>
            </w:r>
          </w:p>
        </w:tc>
        <w:tc>
          <w:tcPr>
            <w:tcW w:w="1620" w:type="dxa"/>
            <w:gridSpan w:val="2"/>
            <w:vAlign w:val="bottom"/>
          </w:tcPr>
          <w:p w14:paraId="5B23CA9D"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Schedule 91 - Contract</w:t>
            </w:r>
          </w:p>
        </w:tc>
        <w:tc>
          <w:tcPr>
            <w:tcW w:w="1890" w:type="dxa"/>
            <w:vAlign w:val="bottom"/>
          </w:tcPr>
          <w:p w14:paraId="0720C2CE"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Eligible</w:t>
            </w:r>
          </w:p>
        </w:tc>
        <w:tc>
          <w:tcPr>
            <w:tcW w:w="1350" w:type="dxa"/>
            <w:gridSpan w:val="3"/>
            <w:vAlign w:val="bottom"/>
          </w:tcPr>
          <w:p w14:paraId="0EDDFD2E"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~No~</w:t>
            </w:r>
          </w:p>
        </w:tc>
        <w:tc>
          <w:tcPr>
            <w:tcW w:w="2090" w:type="dxa"/>
            <w:gridSpan w:val="3"/>
            <w:vAlign w:val="bottom"/>
          </w:tcPr>
          <w:p w14:paraId="754684DB"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Green Power Programs</w:t>
            </w:r>
          </w:p>
        </w:tc>
      </w:tr>
      <w:tr w:rsidR="00322BBC" w:rsidRPr="007C2800" w14:paraId="28FCF27C" w14:textId="77777777" w:rsidTr="000351F6">
        <w:trPr>
          <w:trHeight w:val="285"/>
        </w:trPr>
        <w:tc>
          <w:tcPr>
            <w:tcW w:w="3166" w:type="dxa"/>
            <w:tcBorders>
              <w:bottom w:val="single" w:sz="18" w:space="0" w:color="000000" w:themeColor="text1"/>
            </w:tcBorders>
            <w:vAlign w:val="bottom"/>
          </w:tcPr>
          <w:p w14:paraId="65DAB047" w14:textId="77777777" w:rsidR="00C57BDE" w:rsidRPr="009D785B" w:rsidRDefault="00C57BDE" w:rsidP="0080767E">
            <w:pPr>
              <w:pStyle w:val="Default"/>
              <w:rPr>
                <w:rFonts w:ascii="Times New Roman" w:hAnsi="Times New Roman" w:cs="Times New Roman"/>
              </w:rPr>
            </w:pPr>
            <w:r w:rsidRPr="009D785B">
              <w:rPr>
                <w:rFonts w:ascii="Times New Roman" w:hAnsi="Times New Roman" w:cs="Times New Roman"/>
              </w:rPr>
              <w:t xml:space="preserve">Swauk Wind </w:t>
            </w:r>
          </w:p>
        </w:tc>
        <w:tc>
          <w:tcPr>
            <w:tcW w:w="1620" w:type="dxa"/>
            <w:gridSpan w:val="2"/>
            <w:tcBorders>
              <w:bottom w:val="single" w:sz="18" w:space="0" w:color="000000" w:themeColor="text1"/>
            </w:tcBorders>
            <w:vAlign w:val="bottom"/>
          </w:tcPr>
          <w:p w14:paraId="11A97B59"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Schedule 91 - Contract</w:t>
            </w:r>
          </w:p>
        </w:tc>
        <w:tc>
          <w:tcPr>
            <w:tcW w:w="1890" w:type="dxa"/>
            <w:tcBorders>
              <w:bottom w:val="single" w:sz="18" w:space="0" w:color="000000" w:themeColor="text1"/>
            </w:tcBorders>
            <w:vAlign w:val="bottom"/>
          </w:tcPr>
          <w:p w14:paraId="2DEDB9DC" w14:textId="77777777" w:rsidR="00C57BDE" w:rsidRPr="009D785B" w:rsidRDefault="00C57BDE" w:rsidP="000351F6">
            <w:pPr>
              <w:pStyle w:val="Default"/>
              <w:jc w:val="center"/>
              <w:rPr>
                <w:rFonts w:ascii="Times New Roman" w:hAnsi="Times New Roman" w:cs="Times New Roman"/>
              </w:rPr>
            </w:pPr>
            <w:r w:rsidRPr="009D785B">
              <w:rPr>
                <w:rFonts w:ascii="Times New Roman" w:hAnsi="Times New Roman" w:cs="Times New Roman"/>
              </w:rPr>
              <w:t>Eligible</w:t>
            </w:r>
          </w:p>
        </w:tc>
        <w:tc>
          <w:tcPr>
            <w:tcW w:w="1350" w:type="dxa"/>
            <w:gridSpan w:val="3"/>
            <w:tcBorders>
              <w:bottom w:val="single" w:sz="18" w:space="0" w:color="000000" w:themeColor="text1"/>
            </w:tcBorders>
            <w:vAlign w:val="bottom"/>
          </w:tcPr>
          <w:p w14:paraId="13FFED10"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~No~</w:t>
            </w:r>
          </w:p>
        </w:tc>
        <w:tc>
          <w:tcPr>
            <w:tcW w:w="2090" w:type="dxa"/>
            <w:gridSpan w:val="3"/>
            <w:tcBorders>
              <w:bottom w:val="single" w:sz="18" w:space="0" w:color="000000" w:themeColor="text1"/>
            </w:tcBorders>
            <w:vAlign w:val="bottom"/>
          </w:tcPr>
          <w:p w14:paraId="5C3644DE" w14:textId="77777777" w:rsidR="00C57BDE" w:rsidRPr="009D785B" w:rsidRDefault="00C57BDE" w:rsidP="000351F6">
            <w:pPr>
              <w:pStyle w:val="Default"/>
              <w:ind w:right="-36"/>
              <w:jc w:val="center"/>
              <w:rPr>
                <w:rFonts w:ascii="Times New Roman" w:hAnsi="Times New Roman" w:cs="Times New Roman"/>
              </w:rPr>
            </w:pPr>
            <w:r w:rsidRPr="009D785B">
              <w:rPr>
                <w:rFonts w:ascii="Times New Roman" w:hAnsi="Times New Roman" w:cs="Times New Roman"/>
              </w:rPr>
              <w:t>N/A</w:t>
            </w:r>
          </w:p>
        </w:tc>
      </w:tr>
    </w:tbl>
    <w:p w14:paraId="63FD8EA6" w14:textId="77777777" w:rsidR="00DA2418" w:rsidRPr="007C2800" w:rsidRDefault="00DA2418">
      <w:pPr>
        <w:rPr>
          <w:rFonts w:ascii="Times New Roman" w:hAnsi="Times New Roman"/>
          <w:b/>
        </w:rPr>
      </w:pPr>
    </w:p>
    <w:sectPr w:rsidR="00DA2418" w:rsidRPr="007C2800" w:rsidSect="00842EC5">
      <w:endnotePr>
        <w:numFmt w:val="decimal"/>
      </w:endnotePr>
      <w:pgSz w:w="12240" w:h="15840"/>
      <w:pgMar w:top="1440" w:right="1440" w:bottom="162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D8EA9" w14:textId="77777777" w:rsidR="005B7C6D" w:rsidRDefault="005B7C6D" w:rsidP="0019020F">
      <w:r>
        <w:separator/>
      </w:r>
    </w:p>
  </w:endnote>
  <w:endnote w:type="continuationSeparator" w:id="0">
    <w:p w14:paraId="63FD8EAA" w14:textId="77777777" w:rsidR="005B7C6D" w:rsidRDefault="005B7C6D" w:rsidP="0019020F">
      <w:r>
        <w:continuationSeparator/>
      </w:r>
    </w:p>
  </w:endnote>
  <w:endnote w:id="1">
    <w:p w14:paraId="458B624E" w14:textId="264E76E5" w:rsidR="005B7C6D" w:rsidRPr="00F827C2" w:rsidRDefault="005B7C6D">
      <w:pPr>
        <w:pStyle w:val="EndnoteText"/>
        <w:rPr>
          <w:rFonts w:ascii="Times New Roman" w:hAnsi="Times New Roman"/>
        </w:rPr>
      </w:pPr>
      <w:r>
        <w:rPr>
          <w:rStyle w:val="EndnoteReference"/>
        </w:rPr>
        <w:endnoteRef/>
      </w:r>
      <w:r>
        <w:t xml:space="preserve"> </w:t>
      </w:r>
      <w:r w:rsidRPr="00F827C2">
        <w:rPr>
          <w:rFonts w:ascii="Times New Roman" w:hAnsi="Times New Roman"/>
        </w:rPr>
        <w:t xml:space="preserve">RCW 19.185.030(11) defines an eligible renewable resource as: </w:t>
      </w:r>
    </w:p>
    <w:p w14:paraId="13F36400" w14:textId="77777777" w:rsidR="005B7C6D" w:rsidRPr="00DC4341" w:rsidRDefault="005B7C6D" w:rsidP="00F827C2">
      <w:pPr>
        <w:pStyle w:val="EndnoteText"/>
        <w:ind w:left="720"/>
        <w:rPr>
          <w:rFonts w:ascii="Times New Roman" w:hAnsi="Times New Roman"/>
        </w:rPr>
      </w:pPr>
    </w:p>
    <w:p w14:paraId="01494343" w14:textId="1ED68B8F" w:rsidR="005B7C6D" w:rsidRPr="00DC4341" w:rsidRDefault="005B7C6D" w:rsidP="00F827C2">
      <w:pPr>
        <w:pStyle w:val="EndnoteText"/>
        <w:ind w:left="720"/>
        <w:rPr>
          <w:rFonts w:ascii="Times New Roman" w:hAnsi="Times New Roman"/>
        </w:rPr>
      </w:pPr>
      <w:r w:rsidRPr="00F827C2">
        <w:rPr>
          <w:rFonts w:ascii="Times New Roman" w:hAnsi="Times New Roman"/>
        </w:rPr>
        <w:t>(a) Electricity from a generation facility powered by a renewable resource other than freshwater that commences operation after March 31, 1999, where: (i) The facility is located in the Pacific Northwest; or (ii) the electricity from the facility is delivered into Washington state on a real-time basis without shaping, storage, or integration services;</w:t>
      </w:r>
      <w:r w:rsidRPr="00DC4341">
        <w:rPr>
          <w:rFonts w:ascii="Times New Roman" w:hAnsi="Times New Roman"/>
        </w:rPr>
        <w:br/>
        <w:t>(b) Incremental electricity produced as a result of efficiency improvements completed after March 31, 1999, to hydroelectric generation projects owned by a qualifying utility and located in the Pacific Northwest or to hydroelectric generation in irrigation pipes and canals located in the Pacific Northwest, where the additional generation in either case does not result in new water diversions or impoundments; and</w:t>
      </w:r>
      <w:r w:rsidRPr="00F827C2">
        <w:rPr>
          <w:rFonts w:ascii="Times New Roman" w:hAnsi="Times New Roman"/>
        </w:rPr>
        <w:br/>
        <w:t>(c) Qualified biomass energy.</w:t>
      </w:r>
    </w:p>
    <w:p w14:paraId="68049633" w14:textId="77777777" w:rsidR="005B7C6D" w:rsidRPr="00F827C2" w:rsidRDefault="005B7C6D" w:rsidP="00F827C2">
      <w:pPr>
        <w:pStyle w:val="EndnoteText"/>
        <w:ind w:left="720"/>
        <w:rPr>
          <w:rFonts w:ascii="Times New Roman" w:hAnsi="Times New Roman"/>
        </w:rPr>
      </w:pPr>
    </w:p>
  </w:endnote>
  <w:endnote w:id="2">
    <w:p w14:paraId="6D775E09" w14:textId="5A3453C7" w:rsidR="005B7C6D" w:rsidRPr="00F827C2" w:rsidRDefault="005B7C6D">
      <w:pPr>
        <w:pStyle w:val="EndnoteText"/>
        <w:rPr>
          <w:rFonts w:ascii="Times New Roman" w:hAnsi="Times New Roman"/>
        </w:rPr>
      </w:pPr>
      <w:r w:rsidRPr="00F827C2">
        <w:rPr>
          <w:rStyle w:val="EndnoteReference"/>
          <w:rFonts w:ascii="Times New Roman" w:hAnsi="Times New Roman"/>
        </w:rPr>
        <w:endnoteRef/>
      </w:r>
      <w:r w:rsidRPr="00F827C2">
        <w:rPr>
          <w:rFonts w:ascii="Times New Roman" w:hAnsi="Times New Roman"/>
        </w:rPr>
        <w:t xml:space="preserve"> Denotes whether the resource is applied to 2012 RPS target, toward PSE’s Green Power Program, or neither.</w:t>
      </w:r>
    </w:p>
  </w:endnote>
  <w:endnote w:id="3">
    <w:p w14:paraId="10349F27" w14:textId="4C4A6320" w:rsidR="005B7C6D" w:rsidRPr="00F827C2" w:rsidRDefault="005B7C6D">
      <w:pPr>
        <w:pStyle w:val="EndnoteText"/>
        <w:rPr>
          <w:rFonts w:ascii="Times New Roman" w:hAnsi="Times New Roman"/>
        </w:rPr>
      </w:pPr>
      <w:r w:rsidRPr="00F827C2">
        <w:rPr>
          <w:rStyle w:val="EndnoteReference"/>
          <w:rFonts w:ascii="Times New Roman" w:hAnsi="Times New Roman"/>
        </w:rPr>
        <w:endnoteRef/>
      </w:r>
      <w:r w:rsidRPr="00F827C2">
        <w:rPr>
          <w:rFonts w:ascii="Times New Roman" w:hAnsi="Times New Roman"/>
        </w:rPr>
        <w:t xml:space="preserve"> The Mint Farm plant has been registered in WREGIS to allow the option of utilizing Cedar Hills</w:t>
      </w:r>
      <w:r>
        <w:rPr>
          <w:rFonts w:ascii="Times New Roman" w:hAnsi="Times New Roman"/>
        </w:rPr>
        <w:t>’</w:t>
      </w:r>
      <w:r w:rsidRPr="00F827C2">
        <w:rPr>
          <w:rFonts w:ascii="Times New Roman" w:hAnsi="Times New Roman"/>
        </w:rPr>
        <w:t xml:space="preserve"> biogas at that plant.</w:t>
      </w:r>
    </w:p>
  </w:endnote>
  <w:endnote w:id="4">
    <w:p w14:paraId="3DA23609" w14:textId="3552D7BD" w:rsidR="005B7C6D" w:rsidRDefault="005B7C6D">
      <w:pPr>
        <w:pStyle w:val="EndnoteText"/>
      </w:pPr>
      <w:r w:rsidRPr="00F827C2">
        <w:rPr>
          <w:rStyle w:val="EndnoteReference"/>
          <w:rFonts w:ascii="Times New Roman" w:hAnsi="Times New Roman"/>
        </w:rPr>
        <w:endnoteRef/>
      </w:r>
      <w:r w:rsidRPr="00F827C2">
        <w:rPr>
          <w:rFonts w:ascii="Times New Roman" w:hAnsi="Times New Roman"/>
        </w:rPr>
        <w:t xml:space="preserve"> </w:t>
      </w:r>
      <w:r>
        <w:rPr>
          <w:rFonts w:ascii="Times New Roman" w:hAnsi="Times New Roman"/>
        </w:rPr>
        <w:t>Skookumchuck, Smith Creek, Black Creek and Nooksack hydro facilities are i</w:t>
      </w:r>
      <w:r w:rsidRPr="00F827C2">
        <w:rPr>
          <w:rFonts w:ascii="Times New Roman" w:hAnsi="Times New Roman"/>
        </w:rPr>
        <w:t>neligible resource</w:t>
      </w:r>
      <w:r>
        <w:rPr>
          <w:rFonts w:ascii="Times New Roman" w:hAnsi="Times New Roman"/>
        </w:rPr>
        <w:t>s</w:t>
      </w:r>
      <w:r w:rsidRPr="00F827C2">
        <w:rPr>
          <w:rFonts w:ascii="Times New Roman" w:hAnsi="Times New Roman"/>
        </w:rPr>
        <w:t xml:space="preserve"> because </w:t>
      </w:r>
      <w:r>
        <w:rPr>
          <w:rFonts w:ascii="Times New Roman" w:hAnsi="Times New Roman"/>
        </w:rPr>
        <w:t>they are</w:t>
      </w:r>
      <w:r w:rsidRPr="00F827C2">
        <w:rPr>
          <w:rFonts w:ascii="Times New Roman" w:hAnsi="Times New Roman"/>
        </w:rPr>
        <w:t xml:space="preserve"> not owned by a qualifying utility.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D8EA7" w14:textId="77777777" w:rsidR="005B7C6D" w:rsidRDefault="005B7C6D" w:rsidP="0019020F">
      <w:r>
        <w:separator/>
      </w:r>
    </w:p>
  </w:footnote>
  <w:footnote w:type="continuationSeparator" w:id="0">
    <w:p w14:paraId="63FD8EA8" w14:textId="77777777" w:rsidR="005B7C6D" w:rsidRDefault="005B7C6D" w:rsidP="0019020F">
      <w:r>
        <w:continuationSeparator/>
      </w:r>
    </w:p>
  </w:footnote>
  <w:footnote w:id="1">
    <w:p w14:paraId="63FD8EAB" w14:textId="2B5D5BFA" w:rsidR="005B7C6D" w:rsidRPr="0019020F" w:rsidRDefault="005B7C6D">
      <w:pPr>
        <w:pStyle w:val="FootnoteText"/>
        <w:rPr>
          <w:rFonts w:ascii="Times New Roman" w:hAnsi="Times New Roman"/>
        </w:rPr>
      </w:pPr>
      <w:r w:rsidRPr="0019020F">
        <w:rPr>
          <w:rStyle w:val="FootnoteReference"/>
          <w:rFonts w:ascii="Times New Roman" w:hAnsi="Times New Roman"/>
        </w:rPr>
        <w:footnoteRef/>
      </w:r>
      <w:r w:rsidRPr="0019020F">
        <w:rPr>
          <w:rFonts w:ascii="Times New Roman" w:hAnsi="Times New Roman"/>
        </w:rPr>
        <w:t xml:space="preserve"> </w:t>
      </w:r>
      <w:r>
        <w:rPr>
          <w:rFonts w:ascii="Times New Roman" w:hAnsi="Times New Roman"/>
        </w:rPr>
        <w:t xml:space="preserve">PSE’s initial </w:t>
      </w:r>
      <w:r w:rsidRPr="0019020F">
        <w:rPr>
          <w:rFonts w:ascii="Times New Roman" w:hAnsi="Times New Roman"/>
        </w:rPr>
        <w:t>r</w:t>
      </w:r>
      <w:r>
        <w:rPr>
          <w:rFonts w:ascii="Times New Roman" w:hAnsi="Times New Roman"/>
        </w:rPr>
        <w:t xml:space="preserve">eport filed on May 31, 2013, did not include eligible </w:t>
      </w:r>
      <w:r w:rsidRPr="0019020F">
        <w:rPr>
          <w:rFonts w:ascii="Times New Roman" w:hAnsi="Times New Roman"/>
        </w:rPr>
        <w:t xml:space="preserve">hydropower purchased from Grant County PUD or eligible hydropower projected to be produced </w:t>
      </w:r>
      <w:r>
        <w:rPr>
          <w:rFonts w:ascii="Times New Roman" w:hAnsi="Times New Roman"/>
        </w:rPr>
        <w:t xml:space="preserve">in 2013 </w:t>
      </w:r>
      <w:r w:rsidRPr="0019020F">
        <w:rPr>
          <w:rFonts w:ascii="Times New Roman" w:hAnsi="Times New Roman"/>
        </w:rPr>
        <w:t xml:space="preserve">by </w:t>
      </w:r>
      <w:r>
        <w:rPr>
          <w:rFonts w:ascii="Times New Roman" w:hAnsi="Times New Roman"/>
        </w:rPr>
        <w:t>c</w:t>
      </w:r>
      <w:r w:rsidRPr="0019020F">
        <w:rPr>
          <w:rFonts w:ascii="Times New Roman" w:hAnsi="Times New Roman"/>
        </w:rPr>
        <w:t>ompany-owned facilities at Snoqualmie Falls and Lower Baker</w:t>
      </w:r>
      <w:r>
        <w:rPr>
          <w:rFonts w:ascii="Times New Roman" w:hAnsi="Times New Roman"/>
        </w:rPr>
        <w:t xml:space="preserve"> River.  Upgrades at these company-owned facilities are</w:t>
      </w:r>
      <w:r w:rsidRPr="0019020F">
        <w:rPr>
          <w:rFonts w:ascii="Times New Roman" w:hAnsi="Times New Roman"/>
        </w:rPr>
        <w:t xml:space="preserve"> expected to </w:t>
      </w:r>
      <w:r>
        <w:rPr>
          <w:rFonts w:ascii="Times New Roman" w:hAnsi="Times New Roman"/>
        </w:rPr>
        <w:t xml:space="preserve">be </w:t>
      </w:r>
      <w:r w:rsidRPr="0019020F">
        <w:rPr>
          <w:rFonts w:ascii="Times New Roman" w:hAnsi="Times New Roman"/>
        </w:rPr>
        <w:t>complete</w:t>
      </w:r>
      <w:r>
        <w:rPr>
          <w:rFonts w:ascii="Times New Roman" w:hAnsi="Times New Roman"/>
        </w:rPr>
        <w:t>d</w:t>
      </w:r>
      <w:r w:rsidRPr="0019020F">
        <w:rPr>
          <w:rFonts w:ascii="Times New Roman" w:hAnsi="Times New Roman"/>
        </w:rPr>
        <w:t xml:space="preserve"> at some point during 2013.</w:t>
      </w:r>
      <w:r>
        <w:rPr>
          <w:rFonts w:ascii="Times New Roman" w:hAnsi="Times New Roman"/>
        </w:rPr>
        <w:t xml:space="preserve"> PSE provided an amended report on July 22, 2013, which included those resources.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F0185" w14:textId="77777777" w:rsidR="005B7C6D" w:rsidRPr="00322BBC" w:rsidRDefault="005B7C6D">
    <w:pPr>
      <w:pStyle w:val="Header"/>
      <w:rPr>
        <w:rFonts w:ascii="Times New Roman" w:hAnsi="Times New Roman"/>
        <w:sz w:val="22"/>
        <w:szCs w:val="22"/>
      </w:rPr>
    </w:pPr>
    <w:r w:rsidRPr="00322BBC">
      <w:rPr>
        <w:rFonts w:ascii="Times New Roman" w:hAnsi="Times New Roman"/>
        <w:sz w:val="22"/>
        <w:szCs w:val="22"/>
      </w:rPr>
      <w:t>Docket UE-131072</w:t>
    </w:r>
  </w:p>
  <w:p w14:paraId="06EF0822" w14:textId="77777777" w:rsidR="005B7C6D" w:rsidRPr="00322BBC" w:rsidRDefault="005B7C6D">
    <w:pPr>
      <w:pStyle w:val="Header"/>
      <w:rPr>
        <w:rFonts w:ascii="Times New Roman" w:hAnsi="Times New Roman"/>
        <w:sz w:val="22"/>
        <w:szCs w:val="22"/>
      </w:rPr>
    </w:pPr>
    <w:r w:rsidRPr="00322BBC">
      <w:rPr>
        <w:rFonts w:ascii="Times New Roman" w:hAnsi="Times New Roman"/>
        <w:sz w:val="22"/>
        <w:szCs w:val="22"/>
      </w:rPr>
      <w:t>September 12, 2013</w:t>
    </w:r>
  </w:p>
  <w:p w14:paraId="1FDD2E63" w14:textId="64CD969D" w:rsidR="005B7C6D" w:rsidRPr="00322BBC" w:rsidRDefault="005B7C6D">
    <w:pPr>
      <w:pStyle w:val="Header"/>
      <w:rPr>
        <w:rFonts w:ascii="Times New Roman" w:hAnsi="Times New Roman"/>
        <w:sz w:val="22"/>
        <w:szCs w:val="22"/>
      </w:rPr>
    </w:pPr>
    <w:r w:rsidRPr="00322BBC">
      <w:rPr>
        <w:rFonts w:ascii="Times New Roman" w:hAnsi="Times New Roman"/>
        <w:sz w:val="22"/>
        <w:szCs w:val="22"/>
      </w:rPr>
      <w:t xml:space="preserve">Page </w:t>
    </w:r>
    <w:sdt>
      <w:sdtPr>
        <w:rPr>
          <w:rFonts w:ascii="Times New Roman" w:hAnsi="Times New Roman"/>
          <w:sz w:val="22"/>
          <w:szCs w:val="22"/>
        </w:rPr>
        <w:id w:val="122973674"/>
        <w:docPartObj>
          <w:docPartGallery w:val="Page Numbers (Top of Page)"/>
          <w:docPartUnique/>
        </w:docPartObj>
      </w:sdtPr>
      <w:sdtEndPr>
        <w:rPr>
          <w:noProof/>
        </w:rPr>
      </w:sdtEndPr>
      <w:sdtContent>
        <w:r w:rsidRPr="00322BBC">
          <w:rPr>
            <w:rFonts w:ascii="Times New Roman" w:hAnsi="Times New Roman"/>
            <w:sz w:val="22"/>
            <w:szCs w:val="22"/>
          </w:rPr>
          <w:fldChar w:fldCharType="begin"/>
        </w:r>
        <w:r w:rsidRPr="00322BBC">
          <w:rPr>
            <w:rFonts w:ascii="Times New Roman" w:hAnsi="Times New Roman"/>
            <w:sz w:val="22"/>
            <w:szCs w:val="22"/>
          </w:rPr>
          <w:instrText xml:space="preserve"> PAGE   \* MERGEFORMAT </w:instrText>
        </w:r>
        <w:r w:rsidRPr="00322BBC">
          <w:rPr>
            <w:rFonts w:ascii="Times New Roman" w:hAnsi="Times New Roman"/>
            <w:sz w:val="22"/>
            <w:szCs w:val="22"/>
          </w:rPr>
          <w:fldChar w:fldCharType="separate"/>
        </w:r>
        <w:r w:rsidR="00AA4D6C">
          <w:rPr>
            <w:rFonts w:ascii="Times New Roman" w:hAnsi="Times New Roman"/>
            <w:noProof/>
            <w:sz w:val="22"/>
            <w:szCs w:val="22"/>
          </w:rPr>
          <w:t>3</w:t>
        </w:r>
        <w:r w:rsidRPr="00322BBC">
          <w:rPr>
            <w:rFonts w:ascii="Times New Roman" w:hAnsi="Times New Roman"/>
            <w:noProof/>
            <w:sz w:val="22"/>
            <w:szCs w:val="22"/>
          </w:rPr>
          <w:fldChar w:fldCharType="end"/>
        </w:r>
      </w:sdtContent>
    </w:sdt>
  </w:p>
  <w:p w14:paraId="1399DC24" w14:textId="77777777" w:rsidR="005B7C6D" w:rsidRPr="009D785B" w:rsidRDefault="005B7C6D">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47CBA"/>
    <w:multiLevelType w:val="hybridMultilevel"/>
    <w:tmpl w:val="FE1C2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61D"/>
    <w:rsid w:val="000351F6"/>
    <w:rsid w:val="00097668"/>
    <w:rsid w:val="000E640C"/>
    <w:rsid w:val="00155FE8"/>
    <w:rsid w:val="00165D5C"/>
    <w:rsid w:val="0019020F"/>
    <w:rsid w:val="001C1BEF"/>
    <w:rsid w:val="001C5AB1"/>
    <w:rsid w:val="001E04A2"/>
    <w:rsid w:val="001E1D7A"/>
    <w:rsid w:val="00216136"/>
    <w:rsid w:val="002A340F"/>
    <w:rsid w:val="002C039A"/>
    <w:rsid w:val="00322BBC"/>
    <w:rsid w:val="00347EEC"/>
    <w:rsid w:val="00383D06"/>
    <w:rsid w:val="004028D0"/>
    <w:rsid w:val="00464EB7"/>
    <w:rsid w:val="004A013E"/>
    <w:rsid w:val="00552600"/>
    <w:rsid w:val="005A6C74"/>
    <w:rsid w:val="005B7C6D"/>
    <w:rsid w:val="006110E8"/>
    <w:rsid w:val="00636123"/>
    <w:rsid w:val="00645E68"/>
    <w:rsid w:val="00672F7B"/>
    <w:rsid w:val="006A41EE"/>
    <w:rsid w:val="006E044B"/>
    <w:rsid w:val="007C2800"/>
    <w:rsid w:val="007C461D"/>
    <w:rsid w:val="0080767E"/>
    <w:rsid w:val="00842EC5"/>
    <w:rsid w:val="008F01D6"/>
    <w:rsid w:val="009D785B"/>
    <w:rsid w:val="00A66241"/>
    <w:rsid w:val="00A84C2A"/>
    <w:rsid w:val="00AA2DBC"/>
    <w:rsid w:val="00AA4D6C"/>
    <w:rsid w:val="00AD3312"/>
    <w:rsid w:val="00AE273E"/>
    <w:rsid w:val="00AF1BEA"/>
    <w:rsid w:val="00B13041"/>
    <w:rsid w:val="00B37A51"/>
    <w:rsid w:val="00BA6BAD"/>
    <w:rsid w:val="00BF17DF"/>
    <w:rsid w:val="00C30DB9"/>
    <w:rsid w:val="00C56DD4"/>
    <w:rsid w:val="00C57BDE"/>
    <w:rsid w:val="00C83E24"/>
    <w:rsid w:val="00CD68B0"/>
    <w:rsid w:val="00D02456"/>
    <w:rsid w:val="00DA1B86"/>
    <w:rsid w:val="00DA2418"/>
    <w:rsid w:val="00DC4341"/>
    <w:rsid w:val="00DD2A47"/>
    <w:rsid w:val="00E012AA"/>
    <w:rsid w:val="00F21B68"/>
    <w:rsid w:val="00F827C2"/>
    <w:rsid w:val="00F96813"/>
    <w:rsid w:val="00FD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3FD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61D"/>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FootnoteReference">
    <w:name w:val="footnote reference"/>
    <w:uiPriority w:val="99"/>
    <w:rsid w:val="007C461D"/>
    <w:rPr>
      <w:vertAlign w:val="superscript"/>
    </w:rPr>
  </w:style>
  <w:style w:type="paragraph" w:styleId="FootnoteText">
    <w:name w:val="footnote text"/>
    <w:basedOn w:val="Normal"/>
    <w:link w:val="FootnoteTextChar"/>
    <w:uiPriority w:val="99"/>
    <w:semiHidden/>
    <w:unhideWhenUsed/>
    <w:rsid w:val="0019020F"/>
    <w:rPr>
      <w:sz w:val="20"/>
      <w:szCs w:val="20"/>
    </w:rPr>
  </w:style>
  <w:style w:type="character" w:customStyle="1" w:styleId="FootnoteTextChar">
    <w:name w:val="Footnote Text Char"/>
    <w:basedOn w:val="DefaultParagraphFont"/>
    <w:link w:val="FootnoteText"/>
    <w:uiPriority w:val="99"/>
    <w:semiHidden/>
    <w:rsid w:val="0019020F"/>
    <w:rPr>
      <w:rFonts w:ascii="Palatino Linotype" w:eastAsia="Times New Roman" w:hAnsi="Palatino Linotype" w:cs="Times New Roman"/>
      <w:sz w:val="20"/>
      <w:szCs w:val="20"/>
    </w:rPr>
  </w:style>
  <w:style w:type="paragraph" w:styleId="BalloonText">
    <w:name w:val="Balloon Text"/>
    <w:basedOn w:val="Normal"/>
    <w:link w:val="BalloonTextChar"/>
    <w:uiPriority w:val="99"/>
    <w:semiHidden/>
    <w:unhideWhenUsed/>
    <w:rsid w:val="004A013E"/>
    <w:rPr>
      <w:rFonts w:ascii="Tahoma" w:hAnsi="Tahoma" w:cs="Tahoma"/>
      <w:sz w:val="16"/>
      <w:szCs w:val="16"/>
    </w:rPr>
  </w:style>
  <w:style w:type="character" w:customStyle="1" w:styleId="BalloonTextChar">
    <w:name w:val="Balloon Text Char"/>
    <w:basedOn w:val="DefaultParagraphFont"/>
    <w:link w:val="BalloonText"/>
    <w:uiPriority w:val="99"/>
    <w:semiHidden/>
    <w:rsid w:val="004A013E"/>
    <w:rPr>
      <w:rFonts w:ascii="Tahoma" w:eastAsia="Times New Roman" w:hAnsi="Tahoma" w:cs="Tahoma"/>
      <w:sz w:val="16"/>
      <w:szCs w:val="16"/>
    </w:rPr>
  </w:style>
  <w:style w:type="table" w:styleId="TableGrid">
    <w:name w:val="Table Grid"/>
    <w:basedOn w:val="TableNormal"/>
    <w:uiPriority w:val="59"/>
    <w:rsid w:val="00FD2D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D2D14"/>
    <w:pPr>
      <w:autoSpaceDE w:val="0"/>
      <w:autoSpaceDN w:val="0"/>
      <w:adjustRightInd w:val="0"/>
    </w:pPr>
    <w:rPr>
      <w:rFonts w:ascii="Arial Narrow" w:hAnsi="Arial Narrow" w:cs="Arial Narrow"/>
      <w:color w:val="000000"/>
      <w:sz w:val="24"/>
      <w:szCs w:val="24"/>
    </w:rPr>
  </w:style>
  <w:style w:type="table" w:styleId="LightShading">
    <w:name w:val="Light Shading"/>
    <w:basedOn w:val="TableNormal"/>
    <w:uiPriority w:val="60"/>
    <w:rsid w:val="00F9681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636123"/>
    <w:pPr>
      <w:tabs>
        <w:tab w:val="center" w:pos="4680"/>
        <w:tab w:val="right" w:pos="9360"/>
      </w:tabs>
    </w:pPr>
  </w:style>
  <w:style w:type="character" w:customStyle="1" w:styleId="HeaderChar">
    <w:name w:val="Header Char"/>
    <w:basedOn w:val="DefaultParagraphFont"/>
    <w:link w:val="Header"/>
    <w:uiPriority w:val="99"/>
    <w:rsid w:val="00636123"/>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636123"/>
    <w:pPr>
      <w:tabs>
        <w:tab w:val="center" w:pos="4680"/>
        <w:tab w:val="right" w:pos="9360"/>
      </w:tabs>
    </w:pPr>
  </w:style>
  <w:style w:type="character" w:customStyle="1" w:styleId="FooterChar">
    <w:name w:val="Footer Char"/>
    <w:basedOn w:val="DefaultParagraphFont"/>
    <w:link w:val="Footer"/>
    <w:uiPriority w:val="99"/>
    <w:rsid w:val="00636123"/>
    <w:rPr>
      <w:rFonts w:ascii="Palatino Linotype" w:eastAsia="Times New Roman" w:hAnsi="Palatino Linotype" w:cs="Times New Roman"/>
      <w:sz w:val="24"/>
      <w:szCs w:val="24"/>
    </w:rPr>
  </w:style>
  <w:style w:type="paragraph" w:styleId="ListParagraph">
    <w:name w:val="List Paragraph"/>
    <w:basedOn w:val="Normal"/>
    <w:uiPriority w:val="34"/>
    <w:qFormat/>
    <w:rsid w:val="007C2800"/>
    <w:pPr>
      <w:ind w:left="720"/>
      <w:contextualSpacing/>
    </w:pPr>
  </w:style>
  <w:style w:type="paragraph" w:styleId="EndnoteText">
    <w:name w:val="endnote text"/>
    <w:basedOn w:val="Normal"/>
    <w:link w:val="EndnoteTextChar"/>
    <w:uiPriority w:val="99"/>
    <w:semiHidden/>
    <w:unhideWhenUsed/>
    <w:rsid w:val="009D785B"/>
    <w:rPr>
      <w:sz w:val="20"/>
      <w:szCs w:val="20"/>
    </w:rPr>
  </w:style>
  <w:style w:type="character" w:customStyle="1" w:styleId="EndnoteTextChar">
    <w:name w:val="Endnote Text Char"/>
    <w:basedOn w:val="DefaultParagraphFont"/>
    <w:link w:val="EndnoteText"/>
    <w:uiPriority w:val="99"/>
    <w:semiHidden/>
    <w:rsid w:val="009D785B"/>
    <w:rPr>
      <w:rFonts w:ascii="Palatino Linotype" w:eastAsia="Times New Roman" w:hAnsi="Palatino Linotype" w:cs="Times New Roman"/>
      <w:sz w:val="20"/>
      <w:szCs w:val="20"/>
    </w:rPr>
  </w:style>
  <w:style w:type="character" w:styleId="EndnoteReference">
    <w:name w:val="endnote reference"/>
    <w:basedOn w:val="DefaultParagraphFont"/>
    <w:uiPriority w:val="99"/>
    <w:semiHidden/>
    <w:unhideWhenUsed/>
    <w:rsid w:val="009D785B"/>
    <w:rPr>
      <w:vertAlign w:val="superscript"/>
    </w:rPr>
  </w:style>
  <w:style w:type="table" w:styleId="LightShading-Accent1">
    <w:name w:val="Light Shading Accent 1"/>
    <w:basedOn w:val="TableNormal"/>
    <w:uiPriority w:val="60"/>
    <w:rsid w:val="00322BB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61D"/>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FootnoteReference">
    <w:name w:val="footnote reference"/>
    <w:uiPriority w:val="99"/>
    <w:rsid w:val="007C461D"/>
    <w:rPr>
      <w:vertAlign w:val="superscript"/>
    </w:rPr>
  </w:style>
  <w:style w:type="paragraph" w:styleId="FootnoteText">
    <w:name w:val="footnote text"/>
    <w:basedOn w:val="Normal"/>
    <w:link w:val="FootnoteTextChar"/>
    <w:uiPriority w:val="99"/>
    <w:semiHidden/>
    <w:unhideWhenUsed/>
    <w:rsid w:val="0019020F"/>
    <w:rPr>
      <w:sz w:val="20"/>
      <w:szCs w:val="20"/>
    </w:rPr>
  </w:style>
  <w:style w:type="character" w:customStyle="1" w:styleId="FootnoteTextChar">
    <w:name w:val="Footnote Text Char"/>
    <w:basedOn w:val="DefaultParagraphFont"/>
    <w:link w:val="FootnoteText"/>
    <w:uiPriority w:val="99"/>
    <w:semiHidden/>
    <w:rsid w:val="0019020F"/>
    <w:rPr>
      <w:rFonts w:ascii="Palatino Linotype" w:eastAsia="Times New Roman" w:hAnsi="Palatino Linotype" w:cs="Times New Roman"/>
      <w:sz w:val="20"/>
      <w:szCs w:val="20"/>
    </w:rPr>
  </w:style>
  <w:style w:type="paragraph" w:styleId="BalloonText">
    <w:name w:val="Balloon Text"/>
    <w:basedOn w:val="Normal"/>
    <w:link w:val="BalloonTextChar"/>
    <w:uiPriority w:val="99"/>
    <w:semiHidden/>
    <w:unhideWhenUsed/>
    <w:rsid w:val="004A013E"/>
    <w:rPr>
      <w:rFonts w:ascii="Tahoma" w:hAnsi="Tahoma" w:cs="Tahoma"/>
      <w:sz w:val="16"/>
      <w:szCs w:val="16"/>
    </w:rPr>
  </w:style>
  <w:style w:type="character" w:customStyle="1" w:styleId="BalloonTextChar">
    <w:name w:val="Balloon Text Char"/>
    <w:basedOn w:val="DefaultParagraphFont"/>
    <w:link w:val="BalloonText"/>
    <w:uiPriority w:val="99"/>
    <w:semiHidden/>
    <w:rsid w:val="004A013E"/>
    <w:rPr>
      <w:rFonts w:ascii="Tahoma" w:eastAsia="Times New Roman" w:hAnsi="Tahoma" w:cs="Tahoma"/>
      <w:sz w:val="16"/>
      <w:szCs w:val="16"/>
    </w:rPr>
  </w:style>
  <w:style w:type="table" w:styleId="TableGrid">
    <w:name w:val="Table Grid"/>
    <w:basedOn w:val="TableNormal"/>
    <w:uiPriority w:val="59"/>
    <w:rsid w:val="00FD2D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D2D14"/>
    <w:pPr>
      <w:autoSpaceDE w:val="0"/>
      <w:autoSpaceDN w:val="0"/>
      <w:adjustRightInd w:val="0"/>
    </w:pPr>
    <w:rPr>
      <w:rFonts w:ascii="Arial Narrow" w:hAnsi="Arial Narrow" w:cs="Arial Narrow"/>
      <w:color w:val="000000"/>
      <w:sz w:val="24"/>
      <w:szCs w:val="24"/>
    </w:rPr>
  </w:style>
  <w:style w:type="table" w:styleId="LightShading">
    <w:name w:val="Light Shading"/>
    <w:basedOn w:val="TableNormal"/>
    <w:uiPriority w:val="60"/>
    <w:rsid w:val="00F9681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636123"/>
    <w:pPr>
      <w:tabs>
        <w:tab w:val="center" w:pos="4680"/>
        <w:tab w:val="right" w:pos="9360"/>
      </w:tabs>
    </w:pPr>
  </w:style>
  <w:style w:type="character" w:customStyle="1" w:styleId="HeaderChar">
    <w:name w:val="Header Char"/>
    <w:basedOn w:val="DefaultParagraphFont"/>
    <w:link w:val="Header"/>
    <w:uiPriority w:val="99"/>
    <w:rsid w:val="00636123"/>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636123"/>
    <w:pPr>
      <w:tabs>
        <w:tab w:val="center" w:pos="4680"/>
        <w:tab w:val="right" w:pos="9360"/>
      </w:tabs>
    </w:pPr>
  </w:style>
  <w:style w:type="character" w:customStyle="1" w:styleId="FooterChar">
    <w:name w:val="Footer Char"/>
    <w:basedOn w:val="DefaultParagraphFont"/>
    <w:link w:val="Footer"/>
    <w:uiPriority w:val="99"/>
    <w:rsid w:val="00636123"/>
    <w:rPr>
      <w:rFonts w:ascii="Palatino Linotype" w:eastAsia="Times New Roman" w:hAnsi="Palatino Linotype" w:cs="Times New Roman"/>
      <w:sz w:val="24"/>
      <w:szCs w:val="24"/>
    </w:rPr>
  </w:style>
  <w:style w:type="paragraph" w:styleId="ListParagraph">
    <w:name w:val="List Paragraph"/>
    <w:basedOn w:val="Normal"/>
    <w:uiPriority w:val="34"/>
    <w:qFormat/>
    <w:rsid w:val="007C2800"/>
    <w:pPr>
      <w:ind w:left="720"/>
      <w:contextualSpacing/>
    </w:pPr>
  </w:style>
  <w:style w:type="paragraph" w:styleId="EndnoteText">
    <w:name w:val="endnote text"/>
    <w:basedOn w:val="Normal"/>
    <w:link w:val="EndnoteTextChar"/>
    <w:uiPriority w:val="99"/>
    <w:semiHidden/>
    <w:unhideWhenUsed/>
    <w:rsid w:val="009D785B"/>
    <w:rPr>
      <w:sz w:val="20"/>
      <w:szCs w:val="20"/>
    </w:rPr>
  </w:style>
  <w:style w:type="character" w:customStyle="1" w:styleId="EndnoteTextChar">
    <w:name w:val="Endnote Text Char"/>
    <w:basedOn w:val="DefaultParagraphFont"/>
    <w:link w:val="EndnoteText"/>
    <w:uiPriority w:val="99"/>
    <w:semiHidden/>
    <w:rsid w:val="009D785B"/>
    <w:rPr>
      <w:rFonts w:ascii="Palatino Linotype" w:eastAsia="Times New Roman" w:hAnsi="Palatino Linotype" w:cs="Times New Roman"/>
      <w:sz w:val="20"/>
      <w:szCs w:val="20"/>
    </w:rPr>
  </w:style>
  <w:style w:type="character" w:styleId="EndnoteReference">
    <w:name w:val="endnote reference"/>
    <w:basedOn w:val="DefaultParagraphFont"/>
    <w:uiPriority w:val="99"/>
    <w:semiHidden/>
    <w:unhideWhenUsed/>
    <w:rsid w:val="009D785B"/>
    <w:rPr>
      <w:vertAlign w:val="superscript"/>
    </w:rPr>
  </w:style>
  <w:style w:type="table" w:styleId="LightShading-Accent1">
    <w:name w:val="Light Shading Accent 1"/>
    <w:basedOn w:val="TableNormal"/>
    <w:uiPriority w:val="60"/>
    <w:rsid w:val="00322BB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2013-05-31T07:00:00+00:00</OpenedDate>
    <Date1 xmlns="dc463f71-b30c-4ab2-9473-d307f9d35888">2013-09-12T07:00:00+00:00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131072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7813767A08F3458000C1D9672A4A3E" ma:contentTypeVersion="135" ma:contentTypeDescription="" ma:contentTypeScope="" ma:versionID="debfb8c58f0378176f8d59757a5c7ea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668346-2FE3-4D94-8190-F568A6DA79A4}"/>
</file>

<file path=customXml/itemProps2.xml><?xml version="1.0" encoding="utf-8"?>
<ds:datastoreItem xmlns:ds="http://schemas.openxmlformats.org/officeDocument/2006/customXml" ds:itemID="{5BB74109-46FE-4B93-8D92-95F944A29160}"/>
</file>

<file path=customXml/itemProps3.xml><?xml version="1.0" encoding="utf-8"?>
<ds:datastoreItem xmlns:ds="http://schemas.openxmlformats.org/officeDocument/2006/customXml" ds:itemID="{6266E4AC-C23E-481B-A958-75E071AF7B97}"/>
</file>

<file path=customXml/itemProps4.xml><?xml version="1.0" encoding="utf-8"?>
<ds:datastoreItem xmlns:ds="http://schemas.openxmlformats.org/officeDocument/2006/customXml" ds:itemID="{CB6F374E-4704-4678-967A-A8446072CD19}"/>
</file>

<file path=customXml/itemProps5.xml><?xml version="1.0" encoding="utf-8"?>
<ds:datastoreItem xmlns:ds="http://schemas.openxmlformats.org/officeDocument/2006/customXml" ds:itemID="{10B5ED4C-47B4-43B3-B973-23CF5224B49B}"/>
</file>

<file path=docProps/app.xml><?xml version="1.0" encoding="utf-8"?>
<Properties xmlns="http://schemas.openxmlformats.org/officeDocument/2006/extended-properties" xmlns:vt="http://schemas.openxmlformats.org/officeDocument/2006/docPropsVTypes">
  <Template>Normal.dotm</Template>
  <TotalTime>0</TotalTime>
  <Pages>5</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Staff Memo - PSE Eligible Renewable Resources</vt:lpstr>
    </vt:vector>
  </TitlesOfParts>
  <Company>Washington Utilities and Transportation Commission</Company>
  <LinksUpToDate>false</LinksUpToDate>
  <CharactersWithSpaces>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Memo - PSE Eligible Renewable Resources</dc:title>
  <dc:creator>Jeremy Twitchell</dc:creator>
  <cp:lastModifiedBy>Lisa Wyse</cp:lastModifiedBy>
  <cp:revision>2</cp:revision>
  <dcterms:created xsi:type="dcterms:W3CDTF">2013-09-10T00:01:00Z</dcterms:created>
  <dcterms:modified xsi:type="dcterms:W3CDTF">2013-09-10T00:01:00Z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0x0101006E56B4D1795A2E4DB2F0B01679ED314A009C7813767A08F3458000C1D9672A4A3E</vt:lpwstr>
  </property>
  <property fmtid="{D5CDD505-2E9C-101B-9397-08002B2CF9AE}" pid="3" name="_docset_NoMedatataSyncRequired">
    <vt:lpwstr>False</vt:lpwstr>
  </property>
</Properties>
</file>