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AEDA" w14:textId="77777777" w:rsidR="00702FA4" w:rsidRPr="00702FA4" w:rsidRDefault="00702FA4" w:rsidP="00702FA4">
      <w:pPr>
        <w:rPr>
          <w:rFonts w:eastAsia="Calibri"/>
          <w:lang w:bidi="en-US"/>
        </w:rPr>
      </w:pPr>
      <w:bookmarkStart w:id="0" w:name="_GoBack"/>
      <w:bookmarkEnd w:id="0"/>
      <w:r w:rsidRPr="00702FA4">
        <w:rPr>
          <w:rFonts w:eastAsia="Calibri"/>
          <w:lang w:bidi="en-US"/>
        </w:rPr>
        <w:t xml:space="preserve">Agenda Date: </w:t>
      </w:r>
      <w:r w:rsidRPr="00702FA4">
        <w:rPr>
          <w:rFonts w:eastAsia="Calibri"/>
          <w:lang w:bidi="en-US"/>
        </w:rPr>
        <w:tab/>
      </w:r>
      <w:r w:rsidRPr="00702FA4">
        <w:rPr>
          <w:rFonts w:eastAsia="Calibri"/>
          <w:lang w:bidi="en-US"/>
        </w:rPr>
        <w:tab/>
      </w:r>
      <w:r w:rsidR="00EB729E">
        <w:rPr>
          <w:rFonts w:eastAsia="Calibri"/>
          <w:lang w:bidi="en-US"/>
        </w:rPr>
        <w:t>Dec</w:t>
      </w:r>
      <w:r w:rsidR="004464BF">
        <w:rPr>
          <w:rFonts w:eastAsia="Calibri"/>
          <w:lang w:bidi="en-US"/>
        </w:rPr>
        <w:t xml:space="preserve">ember </w:t>
      </w:r>
      <w:r w:rsidR="00410E5B">
        <w:rPr>
          <w:rFonts w:eastAsia="Calibri"/>
          <w:lang w:bidi="en-US"/>
        </w:rPr>
        <w:t>15</w:t>
      </w:r>
      <w:r w:rsidR="004464BF">
        <w:rPr>
          <w:rFonts w:eastAsia="Calibri"/>
          <w:lang w:bidi="en-US"/>
        </w:rPr>
        <w:t>, 2011</w:t>
      </w:r>
      <w:r w:rsidRPr="00702FA4">
        <w:rPr>
          <w:rFonts w:eastAsia="Calibri"/>
          <w:lang w:bidi="en-US"/>
        </w:rPr>
        <w:tab/>
      </w:r>
      <w:r w:rsidRPr="00702FA4">
        <w:rPr>
          <w:rFonts w:eastAsia="Calibri"/>
          <w:lang w:bidi="en-US"/>
        </w:rPr>
        <w:tab/>
      </w:r>
    </w:p>
    <w:p w14:paraId="0C3BAEDB" w14:textId="181F001D" w:rsidR="00702FA4" w:rsidRPr="00702FA4" w:rsidRDefault="004464BF" w:rsidP="00702FA4">
      <w:pPr>
        <w:rPr>
          <w:rFonts w:eastAsia="Calibri"/>
          <w:lang w:bidi="en-US"/>
        </w:rPr>
      </w:pPr>
      <w:r>
        <w:rPr>
          <w:rFonts w:eastAsia="Calibri"/>
          <w:lang w:bidi="en-US"/>
        </w:rPr>
        <w:t>Item Number:</w:t>
      </w:r>
      <w:r>
        <w:rPr>
          <w:rFonts w:eastAsia="Calibri"/>
          <w:lang w:bidi="en-US"/>
        </w:rPr>
        <w:tab/>
      </w:r>
      <w:r>
        <w:rPr>
          <w:rFonts w:eastAsia="Calibri"/>
          <w:lang w:bidi="en-US"/>
        </w:rPr>
        <w:tab/>
      </w:r>
      <w:r w:rsidR="00741C4C">
        <w:rPr>
          <w:rFonts w:eastAsia="Calibri"/>
          <w:lang w:bidi="en-US"/>
        </w:rPr>
        <w:t>A</w:t>
      </w:r>
      <w:r w:rsidR="00AF3FDF">
        <w:rPr>
          <w:rFonts w:eastAsia="Calibri"/>
          <w:lang w:bidi="en-US"/>
        </w:rPr>
        <w:t>4</w:t>
      </w:r>
      <w:r w:rsidR="00741C4C">
        <w:rPr>
          <w:rFonts w:eastAsia="Calibri"/>
          <w:lang w:bidi="en-US"/>
        </w:rPr>
        <w:t xml:space="preserve"> </w:t>
      </w:r>
    </w:p>
    <w:p w14:paraId="0C3BAEDC" w14:textId="77777777" w:rsidR="00702FA4" w:rsidRPr="00702FA4" w:rsidRDefault="00702FA4" w:rsidP="00702FA4">
      <w:pPr>
        <w:rPr>
          <w:rFonts w:eastAsia="Calibri"/>
          <w:lang w:bidi="en-US"/>
        </w:rPr>
      </w:pPr>
    </w:p>
    <w:p w14:paraId="0C3BAEDD" w14:textId="77777777" w:rsidR="00702FA4" w:rsidRPr="00AF3FDF" w:rsidRDefault="004464BF" w:rsidP="00702FA4">
      <w:pPr>
        <w:rPr>
          <w:rFonts w:eastAsia="Calibri"/>
          <w:b/>
          <w:lang w:bidi="en-US"/>
        </w:rPr>
      </w:pPr>
      <w:r w:rsidRPr="00AF3FDF">
        <w:rPr>
          <w:rFonts w:eastAsia="Calibri"/>
          <w:b/>
          <w:lang w:bidi="en-US"/>
        </w:rPr>
        <w:t xml:space="preserve">Docket: </w:t>
      </w:r>
      <w:r w:rsidRPr="00AF3FDF">
        <w:rPr>
          <w:rFonts w:eastAsia="Calibri"/>
          <w:b/>
          <w:lang w:bidi="en-US"/>
        </w:rPr>
        <w:tab/>
      </w:r>
      <w:r w:rsidRPr="00AF3FDF">
        <w:rPr>
          <w:rFonts w:eastAsia="Calibri"/>
          <w:b/>
          <w:lang w:bidi="en-US"/>
        </w:rPr>
        <w:tab/>
        <w:t>UW-111399</w:t>
      </w:r>
    </w:p>
    <w:p w14:paraId="0C3BAEDE" w14:textId="77777777" w:rsidR="00702FA4" w:rsidRPr="00702FA4" w:rsidRDefault="00702FA4" w:rsidP="00702FA4">
      <w:pPr>
        <w:rPr>
          <w:rFonts w:eastAsia="Calibri"/>
          <w:lang w:bidi="en-US"/>
        </w:rPr>
      </w:pPr>
      <w:r w:rsidRPr="00702FA4">
        <w:rPr>
          <w:rFonts w:eastAsia="Calibri"/>
          <w:lang w:bidi="en-US"/>
        </w:rPr>
        <w:t>Company Name:</w:t>
      </w:r>
      <w:r w:rsidRPr="00702FA4">
        <w:rPr>
          <w:rFonts w:eastAsia="Calibri"/>
          <w:lang w:bidi="en-US"/>
        </w:rPr>
        <w:tab/>
        <w:t>Rainier View Water Company, Inc.</w:t>
      </w:r>
    </w:p>
    <w:p w14:paraId="0C3BAEDF" w14:textId="77777777" w:rsidR="00702FA4" w:rsidRPr="00702FA4" w:rsidRDefault="00702FA4" w:rsidP="00702FA4">
      <w:pPr>
        <w:rPr>
          <w:rFonts w:eastAsia="Calibri"/>
          <w:lang w:bidi="en-US"/>
        </w:rPr>
      </w:pPr>
    </w:p>
    <w:p w14:paraId="0C3BAEE0" w14:textId="77777777" w:rsidR="00702FA4" w:rsidRPr="00702FA4" w:rsidRDefault="00702FA4" w:rsidP="00702FA4">
      <w:pPr>
        <w:rPr>
          <w:rFonts w:eastAsia="Calibri"/>
          <w:lang w:bidi="en-US"/>
        </w:rPr>
      </w:pPr>
      <w:r w:rsidRPr="00702FA4">
        <w:rPr>
          <w:rFonts w:eastAsia="Calibri"/>
          <w:lang w:bidi="en-US"/>
        </w:rPr>
        <w:t xml:space="preserve">Staff: </w:t>
      </w:r>
      <w:r w:rsidRPr="00702FA4">
        <w:rPr>
          <w:rFonts w:eastAsia="Calibri"/>
          <w:lang w:bidi="en-US"/>
        </w:rPr>
        <w:tab/>
      </w:r>
      <w:r w:rsidRPr="00702FA4">
        <w:rPr>
          <w:rFonts w:eastAsia="Calibri"/>
          <w:lang w:bidi="en-US"/>
        </w:rPr>
        <w:tab/>
      </w:r>
      <w:r w:rsidRPr="00702FA4">
        <w:rPr>
          <w:rFonts w:eastAsia="Calibri"/>
          <w:lang w:bidi="en-US"/>
        </w:rPr>
        <w:tab/>
      </w:r>
      <w:r w:rsidR="006C4F97">
        <w:rPr>
          <w:rFonts w:eastAsia="Calibri"/>
          <w:lang w:bidi="en-US"/>
        </w:rPr>
        <w:t>Amy White</w:t>
      </w:r>
      <w:r w:rsidRPr="00702FA4">
        <w:rPr>
          <w:rFonts w:eastAsia="Calibri"/>
          <w:lang w:bidi="en-US"/>
        </w:rPr>
        <w:t>, Regulatory Analyst</w:t>
      </w:r>
    </w:p>
    <w:p w14:paraId="0C3BAEE1" w14:textId="77777777" w:rsidR="00702FA4" w:rsidRPr="00702FA4" w:rsidRDefault="006C4F97" w:rsidP="00702FA4">
      <w:pPr>
        <w:ind w:left="1440" w:firstLine="720"/>
        <w:rPr>
          <w:rFonts w:eastAsia="Calibri"/>
          <w:lang w:bidi="en-US"/>
        </w:rPr>
      </w:pPr>
      <w:r>
        <w:rPr>
          <w:rFonts w:eastAsia="Calibri"/>
          <w:lang w:bidi="en-US"/>
        </w:rPr>
        <w:t>Jim Ward</w:t>
      </w:r>
      <w:r w:rsidR="00702FA4" w:rsidRPr="00702FA4">
        <w:rPr>
          <w:rFonts w:eastAsia="Calibri"/>
          <w:lang w:bidi="en-US"/>
        </w:rPr>
        <w:t>, Regulatory Analyst</w:t>
      </w:r>
    </w:p>
    <w:p w14:paraId="0C3BAEE2" w14:textId="77777777" w:rsidR="00702FA4" w:rsidRDefault="00702FA4" w:rsidP="00702FA4">
      <w:pPr>
        <w:rPr>
          <w:rFonts w:eastAsia="Calibri"/>
          <w:lang w:bidi="en-US"/>
        </w:rPr>
      </w:pPr>
      <w:r w:rsidRPr="00702FA4">
        <w:rPr>
          <w:rFonts w:eastAsia="Calibri"/>
          <w:lang w:bidi="en-US"/>
        </w:rPr>
        <w:tab/>
      </w:r>
      <w:r w:rsidRPr="00702FA4">
        <w:rPr>
          <w:rFonts w:eastAsia="Calibri"/>
          <w:lang w:bidi="en-US"/>
        </w:rPr>
        <w:tab/>
      </w:r>
      <w:r w:rsidRPr="00702FA4">
        <w:rPr>
          <w:rFonts w:eastAsia="Calibri"/>
          <w:lang w:bidi="en-US"/>
        </w:rPr>
        <w:tab/>
      </w:r>
      <w:r w:rsidR="004464BF">
        <w:rPr>
          <w:rFonts w:eastAsia="Calibri"/>
          <w:lang w:bidi="en-US"/>
        </w:rPr>
        <w:t>Pam Smith</w:t>
      </w:r>
      <w:r w:rsidRPr="00702FA4">
        <w:rPr>
          <w:rFonts w:eastAsia="Calibri"/>
          <w:lang w:bidi="en-US"/>
        </w:rPr>
        <w:t>, Consumer Protection Staff</w:t>
      </w:r>
    </w:p>
    <w:p w14:paraId="0C3BAEE3" w14:textId="5586BC36" w:rsidR="00E835A8" w:rsidRPr="00702FA4" w:rsidRDefault="00E835A8" w:rsidP="00702FA4">
      <w:pPr>
        <w:rPr>
          <w:rFonts w:eastAsia="Calibri"/>
          <w:lang w:bidi="en-US"/>
        </w:rPr>
      </w:pPr>
      <w:r>
        <w:rPr>
          <w:rFonts w:eastAsia="Calibri"/>
          <w:lang w:bidi="en-US"/>
        </w:rPr>
        <w:tab/>
      </w:r>
      <w:r>
        <w:rPr>
          <w:rFonts w:eastAsia="Calibri"/>
          <w:lang w:bidi="en-US"/>
        </w:rPr>
        <w:tab/>
      </w:r>
      <w:r>
        <w:rPr>
          <w:rFonts w:eastAsia="Calibri"/>
          <w:lang w:bidi="en-US"/>
        </w:rPr>
        <w:tab/>
        <w:t xml:space="preserve"> </w:t>
      </w:r>
    </w:p>
    <w:p w14:paraId="0C3BAEE5" w14:textId="77777777" w:rsidR="00702FA4" w:rsidRPr="00702FA4" w:rsidRDefault="00702FA4" w:rsidP="00702FA4">
      <w:pPr>
        <w:rPr>
          <w:rFonts w:eastAsia="Calibri"/>
          <w:b/>
          <w:u w:val="single"/>
          <w:lang w:bidi="en-US"/>
        </w:rPr>
      </w:pPr>
      <w:r w:rsidRPr="00702FA4">
        <w:rPr>
          <w:rFonts w:eastAsia="Calibri"/>
          <w:b/>
          <w:u w:val="single"/>
          <w:lang w:bidi="en-US"/>
        </w:rPr>
        <w:t>Recommendation</w:t>
      </w:r>
    </w:p>
    <w:p w14:paraId="0C3BAEE6" w14:textId="77777777" w:rsidR="00702FA4" w:rsidRPr="00702FA4" w:rsidRDefault="00702FA4" w:rsidP="00702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rPr>
      </w:pPr>
    </w:p>
    <w:p w14:paraId="0C3BAEE7" w14:textId="77777777" w:rsidR="00702FA4" w:rsidRPr="00702FA4" w:rsidRDefault="00702FA4" w:rsidP="00702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Calibri"/>
          <w:lang w:bidi="en-US"/>
        </w:rPr>
      </w:pPr>
      <w:r w:rsidRPr="00702FA4">
        <w:rPr>
          <w:rFonts w:eastAsia="Calibri"/>
          <w:lang w:bidi="en-US"/>
        </w:rPr>
        <w:t>Issue an Order to:</w:t>
      </w:r>
    </w:p>
    <w:p w14:paraId="0C3BAEE8" w14:textId="77777777" w:rsidR="00B545DE" w:rsidRPr="006A20F0" w:rsidRDefault="00B545DE" w:rsidP="00B545DE">
      <w:pPr>
        <w:widowControl w:val="0"/>
        <w:autoSpaceDE w:val="0"/>
        <w:autoSpaceDN w:val="0"/>
        <w:adjustRightInd w:val="0"/>
        <w:ind w:left="360"/>
        <w:rPr>
          <w:rFonts w:eastAsia="Calibri"/>
          <w:color w:val="000000"/>
        </w:rPr>
      </w:pPr>
    </w:p>
    <w:p w14:paraId="0C3BAEE9" w14:textId="77777777" w:rsidR="006F3DD7" w:rsidRPr="00263F7B" w:rsidRDefault="006F3DD7" w:rsidP="006F3DD7">
      <w:pPr>
        <w:widowControl w:val="0"/>
        <w:numPr>
          <w:ilvl w:val="0"/>
          <w:numId w:val="7"/>
        </w:numPr>
        <w:autoSpaceDE w:val="0"/>
        <w:autoSpaceDN w:val="0"/>
        <w:adjustRightInd w:val="0"/>
        <w:rPr>
          <w:rFonts w:eastAsia="Times New Roman"/>
          <w:color w:val="000000"/>
        </w:rPr>
      </w:pPr>
      <w:r w:rsidRPr="00263F7B">
        <w:rPr>
          <w:rFonts w:eastAsia="Times New Roman"/>
          <w:color w:val="000000"/>
        </w:rPr>
        <w:t>Dismiss the Complaint and Order Suspending the Tariff Revisions filed by Rainier View Water Company, Inc., in Docket UW-</w:t>
      </w:r>
      <w:r>
        <w:rPr>
          <w:rFonts w:eastAsia="Times New Roman"/>
          <w:color w:val="000000"/>
        </w:rPr>
        <w:t>111399</w:t>
      </w:r>
      <w:r w:rsidRPr="00263F7B">
        <w:rPr>
          <w:rFonts w:eastAsia="Times New Roman"/>
          <w:color w:val="000000"/>
        </w:rPr>
        <w:t>.</w:t>
      </w:r>
    </w:p>
    <w:p w14:paraId="0C3BAEEA" w14:textId="77777777" w:rsidR="006F3DD7" w:rsidRPr="006F3DD7" w:rsidRDefault="006F3DD7" w:rsidP="006F3DD7">
      <w:pPr>
        <w:widowControl w:val="0"/>
        <w:autoSpaceDE w:val="0"/>
        <w:autoSpaceDN w:val="0"/>
        <w:adjustRightInd w:val="0"/>
        <w:ind w:left="360"/>
        <w:rPr>
          <w:rFonts w:eastAsia="Calibri"/>
          <w:color w:val="000000"/>
          <w:sz w:val="22"/>
          <w:szCs w:val="22"/>
        </w:rPr>
      </w:pPr>
    </w:p>
    <w:p w14:paraId="0C3BAEEB" w14:textId="3C87D0C5" w:rsidR="00702FA4" w:rsidRPr="00D25976" w:rsidRDefault="00B545DE" w:rsidP="00D25976">
      <w:pPr>
        <w:widowControl w:val="0"/>
        <w:numPr>
          <w:ilvl w:val="0"/>
          <w:numId w:val="7"/>
        </w:numPr>
        <w:autoSpaceDE w:val="0"/>
        <w:autoSpaceDN w:val="0"/>
        <w:adjustRightInd w:val="0"/>
        <w:rPr>
          <w:rFonts w:eastAsia="Calibri"/>
          <w:color w:val="000000"/>
          <w:sz w:val="22"/>
          <w:szCs w:val="22"/>
        </w:rPr>
      </w:pPr>
      <w:r w:rsidRPr="006A20F0">
        <w:rPr>
          <w:rFonts w:eastAsia="Calibri"/>
          <w:color w:val="000000"/>
          <w:lang w:bidi="en-US"/>
        </w:rPr>
        <w:t xml:space="preserve">Allow the revised rates </w:t>
      </w:r>
      <w:r w:rsidR="00E43815">
        <w:rPr>
          <w:rFonts w:eastAsia="Calibri"/>
          <w:color w:val="000000"/>
          <w:lang w:bidi="en-US"/>
        </w:rPr>
        <w:t xml:space="preserve">and tariff revisions </w:t>
      </w:r>
      <w:r w:rsidRPr="006A20F0">
        <w:rPr>
          <w:rFonts w:eastAsia="Calibri"/>
          <w:color w:val="000000"/>
          <w:lang w:bidi="en-US"/>
        </w:rPr>
        <w:t>filed by Rainier View Water Company, Inc.</w:t>
      </w:r>
      <w:r w:rsidR="00140A64">
        <w:rPr>
          <w:rFonts w:eastAsia="Calibri"/>
          <w:color w:val="000000"/>
          <w:lang w:bidi="en-US"/>
        </w:rPr>
        <w:t>,</w:t>
      </w:r>
      <w:r w:rsidRPr="006A20F0">
        <w:rPr>
          <w:rFonts w:eastAsia="Calibri"/>
          <w:color w:val="000000"/>
        </w:rPr>
        <w:t xml:space="preserve"> on</w:t>
      </w:r>
      <w:r w:rsidR="00410E5B">
        <w:rPr>
          <w:rFonts w:eastAsia="Calibri"/>
          <w:color w:val="000000"/>
        </w:rPr>
        <w:t xml:space="preserve"> </w:t>
      </w:r>
      <w:r w:rsidR="00EB729E" w:rsidRPr="006F3DD7">
        <w:rPr>
          <w:rFonts w:eastAsia="Calibri"/>
          <w:color w:val="000000"/>
          <w:lang w:bidi="en-US"/>
        </w:rPr>
        <w:t>August 1</w:t>
      </w:r>
      <w:r w:rsidRPr="006F3DD7">
        <w:rPr>
          <w:rFonts w:eastAsia="Calibri"/>
          <w:color w:val="000000"/>
          <w:lang w:bidi="en-US"/>
        </w:rPr>
        <w:t>,</w:t>
      </w:r>
      <w:r w:rsidR="004464BF">
        <w:rPr>
          <w:rFonts w:eastAsia="Calibri"/>
          <w:color w:val="000000"/>
          <w:lang w:bidi="en-US"/>
        </w:rPr>
        <w:t xml:space="preserve"> 2011, </w:t>
      </w:r>
      <w:r w:rsidR="00EB729E">
        <w:rPr>
          <w:rFonts w:eastAsia="Calibri"/>
          <w:color w:val="000000"/>
          <w:lang w:bidi="en-US"/>
        </w:rPr>
        <w:t xml:space="preserve">and on November </w:t>
      </w:r>
      <w:r w:rsidR="00741C4C">
        <w:rPr>
          <w:rFonts w:eastAsia="Calibri"/>
          <w:color w:val="000000"/>
          <w:lang w:bidi="en-US"/>
        </w:rPr>
        <w:t>23</w:t>
      </w:r>
      <w:r w:rsidR="00EB729E" w:rsidRPr="00741C4C">
        <w:rPr>
          <w:rFonts w:eastAsia="Calibri"/>
          <w:color w:val="000000"/>
          <w:lang w:bidi="en-US"/>
        </w:rPr>
        <w:t>,</w:t>
      </w:r>
      <w:r w:rsidR="00EB729E">
        <w:rPr>
          <w:rFonts w:eastAsia="Calibri"/>
          <w:color w:val="000000"/>
          <w:lang w:bidi="en-US"/>
        </w:rPr>
        <w:t xml:space="preserve"> 2011,</w:t>
      </w:r>
      <w:r w:rsidR="00D25976">
        <w:rPr>
          <w:rFonts w:eastAsia="Calibri"/>
          <w:color w:val="000000"/>
          <w:lang w:bidi="en-US"/>
        </w:rPr>
        <w:t xml:space="preserve"> to become effective</w:t>
      </w:r>
      <w:r w:rsidR="00410E5B">
        <w:rPr>
          <w:rFonts w:eastAsia="Calibri"/>
          <w:color w:val="000000"/>
          <w:lang w:bidi="en-US"/>
        </w:rPr>
        <w:t xml:space="preserve"> </w:t>
      </w:r>
      <w:r w:rsidR="00140A64">
        <w:rPr>
          <w:rFonts w:eastAsia="Calibri"/>
          <w:color w:val="000000"/>
          <w:lang w:bidi="en-US"/>
        </w:rPr>
        <w:t>January 1</w:t>
      </w:r>
      <w:r w:rsidR="00410E5B">
        <w:rPr>
          <w:rFonts w:eastAsia="Calibri"/>
          <w:color w:val="000000"/>
          <w:lang w:bidi="en-US"/>
        </w:rPr>
        <w:t>, 201</w:t>
      </w:r>
      <w:r w:rsidR="00D5526F">
        <w:rPr>
          <w:rFonts w:eastAsia="Calibri"/>
          <w:color w:val="000000"/>
          <w:lang w:bidi="en-US"/>
        </w:rPr>
        <w:t>2</w:t>
      </w:r>
      <w:r w:rsidR="00D25976">
        <w:rPr>
          <w:rFonts w:eastAsia="Calibri"/>
          <w:color w:val="000000"/>
          <w:lang w:bidi="en-US"/>
        </w:rPr>
        <w:t>.</w:t>
      </w:r>
    </w:p>
    <w:p w14:paraId="0C3BAEEC" w14:textId="77777777" w:rsidR="00D25976" w:rsidRDefault="00D25976" w:rsidP="00D25976">
      <w:pPr>
        <w:widowControl w:val="0"/>
        <w:autoSpaceDE w:val="0"/>
        <w:autoSpaceDN w:val="0"/>
        <w:adjustRightInd w:val="0"/>
        <w:rPr>
          <w:rFonts w:eastAsia="Calibri"/>
          <w:color w:val="000000"/>
          <w:lang w:bidi="en-US"/>
        </w:rPr>
      </w:pPr>
    </w:p>
    <w:p w14:paraId="0C3BAEED" w14:textId="5E6C988E" w:rsidR="00410E5B" w:rsidRDefault="00D25976" w:rsidP="00D25976">
      <w:pPr>
        <w:pStyle w:val="ListParagraph"/>
        <w:widowControl w:val="0"/>
        <w:numPr>
          <w:ilvl w:val="0"/>
          <w:numId w:val="7"/>
        </w:numPr>
        <w:autoSpaceDE w:val="0"/>
        <w:autoSpaceDN w:val="0"/>
        <w:adjustRightInd w:val="0"/>
        <w:rPr>
          <w:rFonts w:eastAsia="Calibri"/>
          <w:color w:val="000000"/>
        </w:rPr>
      </w:pPr>
      <w:r w:rsidRPr="00410E5B">
        <w:rPr>
          <w:rFonts w:eastAsia="Calibri"/>
          <w:color w:val="000000"/>
        </w:rPr>
        <w:t xml:space="preserve">Direct the company to file </w:t>
      </w:r>
      <w:r w:rsidR="00C47A79">
        <w:rPr>
          <w:rFonts w:eastAsia="Calibri"/>
          <w:color w:val="000000"/>
        </w:rPr>
        <w:t>a</w:t>
      </w:r>
      <w:r w:rsidRPr="00410E5B">
        <w:rPr>
          <w:rFonts w:eastAsia="Calibri"/>
          <w:color w:val="000000"/>
        </w:rPr>
        <w:t xml:space="preserve"> general rate case no later than </w:t>
      </w:r>
      <w:r w:rsidR="00586133">
        <w:rPr>
          <w:rFonts w:eastAsia="Calibri"/>
          <w:color w:val="000000"/>
        </w:rPr>
        <w:t>April 15</w:t>
      </w:r>
      <w:r w:rsidRPr="00410E5B">
        <w:rPr>
          <w:rFonts w:eastAsia="Calibri"/>
          <w:color w:val="000000"/>
        </w:rPr>
        <w:t xml:space="preserve">, 2013, </w:t>
      </w:r>
      <w:r w:rsidR="00C47A79">
        <w:rPr>
          <w:rFonts w:eastAsia="Calibri"/>
          <w:color w:val="000000"/>
        </w:rPr>
        <w:t>that will</w:t>
      </w:r>
      <w:r w:rsidR="006B551B">
        <w:rPr>
          <w:rFonts w:eastAsia="Calibri"/>
          <w:color w:val="000000"/>
        </w:rPr>
        <w:t xml:space="preserve"> </w:t>
      </w:r>
      <w:r w:rsidR="00D26F2D">
        <w:rPr>
          <w:rFonts w:eastAsia="Calibri"/>
          <w:color w:val="000000"/>
        </w:rPr>
        <w:t>eliminate</w:t>
      </w:r>
      <w:r w:rsidR="006B551B">
        <w:rPr>
          <w:rFonts w:eastAsia="Calibri"/>
          <w:color w:val="000000"/>
        </w:rPr>
        <w:t xml:space="preserve"> 50 percent </w:t>
      </w:r>
      <w:r w:rsidR="00140A64">
        <w:rPr>
          <w:rFonts w:eastAsia="Calibri"/>
          <w:color w:val="000000"/>
        </w:rPr>
        <w:t xml:space="preserve">of </w:t>
      </w:r>
      <w:r w:rsidRPr="00410E5B">
        <w:rPr>
          <w:rFonts w:eastAsia="Calibri"/>
          <w:color w:val="000000"/>
        </w:rPr>
        <w:t xml:space="preserve">the remaining </w:t>
      </w:r>
      <w:r w:rsidR="00C47A79">
        <w:rPr>
          <w:rFonts w:eastAsia="Calibri"/>
          <w:color w:val="000000"/>
        </w:rPr>
        <w:t>subsidy</w:t>
      </w:r>
      <w:r w:rsidR="00140A64" w:rsidRPr="00410E5B">
        <w:rPr>
          <w:rFonts w:eastAsia="Calibri"/>
          <w:color w:val="000000"/>
        </w:rPr>
        <w:t xml:space="preserve"> </w:t>
      </w:r>
      <w:r w:rsidR="006B551B">
        <w:rPr>
          <w:rFonts w:eastAsia="Calibri"/>
          <w:color w:val="000000"/>
        </w:rPr>
        <w:t xml:space="preserve">between </w:t>
      </w:r>
      <w:r w:rsidRPr="00410E5B">
        <w:rPr>
          <w:rFonts w:eastAsia="Calibri"/>
          <w:color w:val="000000"/>
        </w:rPr>
        <w:t xml:space="preserve">residential </w:t>
      </w:r>
      <w:r w:rsidR="006B551B">
        <w:rPr>
          <w:rFonts w:eastAsia="Calibri"/>
          <w:color w:val="000000"/>
        </w:rPr>
        <w:t xml:space="preserve">customers and </w:t>
      </w:r>
      <w:r w:rsidRPr="00410E5B">
        <w:rPr>
          <w:rFonts w:eastAsia="Calibri"/>
          <w:color w:val="000000"/>
        </w:rPr>
        <w:t xml:space="preserve">non-residential </w:t>
      </w:r>
      <w:r w:rsidR="00D26F2D">
        <w:rPr>
          <w:rFonts w:eastAsia="Calibri"/>
          <w:color w:val="000000"/>
        </w:rPr>
        <w:t>customers</w:t>
      </w:r>
      <w:r w:rsidRPr="00410E5B">
        <w:rPr>
          <w:rFonts w:eastAsia="Calibri"/>
          <w:color w:val="000000"/>
        </w:rPr>
        <w:t>.</w:t>
      </w:r>
      <w:r w:rsidR="00140A64">
        <w:rPr>
          <w:rFonts w:eastAsia="Calibri"/>
          <w:color w:val="000000"/>
        </w:rPr>
        <w:t xml:space="preserve"> </w:t>
      </w:r>
    </w:p>
    <w:p w14:paraId="0C3BAEEE" w14:textId="77777777" w:rsidR="00410E5B" w:rsidRPr="006F3DD7" w:rsidRDefault="00410E5B" w:rsidP="006F3DD7">
      <w:pPr>
        <w:pStyle w:val="ListParagraph"/>
        <w:rPr>
          <w:rFonts w:eastAsia="Calibri"/>
          <w:color w:val="000000"/>
        </w:rPr>
      </w:pPr>
    </w:p>
    <w:p w14:paraId="0C3BAEEF" w14:textId="1DEC2999" w:rsidR="00D25976" w:rsidRPr="00410E5B" w:rsidRDefault="00C47A79" w:rsidP="00D25976">
      <w:pPr>
        <w:pStyle w:val="ListParagraph"/>
        <w:widowControl w:val="0"/>
        <w:numPr>
          <w:ilvl w:val="0"/>
          <w:numId w:val="7"/>
        </w:numPr>
        <w:autoSpaceDE w:val="0"/>
        <w:autoSpaceDN w:val="0"/>
        <w:adjustRightInd w:val="0"/>
        <w:rPr>
          <w:rFonts w:eastAsia="Calibri"/>
          <w:color w:val="000000"/>
        </w:rPr>
      </w:pPr>
      <w:r>
        <w:rPr>
          <w:rFonts w:eastAsia="Calibri"/>
          <w:color w:val="000000"/>
        </w:rPr>
        <w:t xml:space="preserve">Direct the company </w:t>
      </w:r>
      <w:r w:rsidR="008515A2">
        <w:rPr>
          <w:rFonts w:eastAsia="Calibri"/>
          <w:color w:val="000000"/>
        </w:rPr>
        <w:t xml:space="preserve">to </w:t>
      </w:r>
      <w:r>
        <w:rPr>
          <w:rFonts w:eastAsia="Calibri"/>
          <w:color w:val="000000"/>
        </w:rPr>
        <w:t xml:space="preserve">work with staff to prepare a notice to all non-residential customers advising them of the 2013 rate case and the expected impact to non-residential rates. </w:t>
      </w:r>
      <w:r w:rsidR="00D95A1A">
        <w:rPr>
          <w:rFonts w:eastAsia="Calibri"/>
          <w:color w:val="000000"/>
        </w:rPr>
        <w:t xml:space="preserve">To give non-residential customers ample time to plan </w:t>
      </w:r>
      <w:r w:rsidR="008515A2">
        <w:rPr>
          <w:rFonts w:eastAsia="Calibri"/>
          <w:color w:val="000000"/>
        </w:rPr>
        <w:t xml:space="preserve">and budget </w:t>
      </w:r>
      <w:r w:rsidR="00D95A1A">
        <w:rPr>
          <w:rFonts w:eastAsia="Calibri"/>
          <w:color w:val="000000"/>
        </w:rPr>
        <w:t xml:space="preserve">for rate changes in 2013, </w:t>
      </w:r>
      <w:r>
        <w:rPr>
          <w:rFonts w:eastAsia="Calibri"/>
          <w:color w:val="000000"/>
        </w:rPr>
        <w:t>the company must send the notice no later than February 29, 2012</w:t>
      </w:r>
      <w:r w:rsidR="00D95A1A">
        <w:rPr>
          <w:rFonts w:eastAsia="Calibri"/>
          <w:color w:val="000000"/>
        </w:rPr>
        <w:t xml:space="preserve">. </w:t>
      </w:r>
    </w:p>
    <w:p w14:paraId="0C3BAEF1" w14:textId="77777777" w:rsidR="00D25976" w:rsidRPr="00D25976" w:rsidRDefault="00D25976" w:rsidP="00D25976">
      <w:pPr>
        <w:pStyle w:val="ListParagraph"/>
        <w:widowControl w:val="0"/>
        <w:autoSpaceDE w:val="0"/>
        <w:autoSpaceDN w:val="0"/>
        <w:adjustRightInd w:val="0"/>
        <w:ind w:left="360"/>
        <w:rPr>
          <w:rFonts w:eastAsia="Calibri"/>
          <w:color w:val="000000"/>
          <w:sz w:val="22"/>
          <w:szCs w:val="22"/>
        </w:rPr>
      </w:pPr>
    </w:p>
    <w:p w14:paraId="6F684CFF" w14:textId="77777777" w:rsidR="001A0DCB" w:rsidRDefault="001A0DCB" w:rsidP="001A0DCB">
      <w:pPr>
        <w:pStyle w:val="NoSpacing"/>
        <w:rPr>
          <w:rFonts w:eastAsia="Calibri"/>
          <w:b/>
          <w:u w:val="single"/>
          <w:lang w:bidi="en-US"/>
        </w:rPr>
      </w:pPr>
      <w:r w:rsidRPr="003537BF">
        <w:rPr>
          <w:rFonts w:eastAsia="Calibri"/>
          <w:b/>
          <w:u w:val="single"/>
          <w:lang w:bidi="en-US"/>
        </w:rPr>
        <w:t>Background</w:t>
      </w:r>
    </w:p>
    <w:p w14:paraId="0C3BAEF3" w14:textId="77777777" w:rsidR="00702FA4" w:rsidRPr="00702FA4" w:rsidRDefault="00702FA4" w:rsidP="00702FA4">
      <w:pPr>
        <w:rPr>
          <w:rFonts w:eastAsia="Calibri"/>
          <w:b/>
          <w:u w:val="single"/>
          <w:lang w:bidi="en-US"/>
        </w:rPr>
      </w:pPr>
    </w:p>
    <w:p w14:paraId="5FB9DDEB" w14:textId="17F6F51E" w:rsidR="000855B6" w:rsidRDefault="00C24170" w:rsidP="007F1BFD">
      <w:pPr>
        <w:pStyle w:val="NoSpacing"/>
      </w:pPr>
      <w:r>
        <w:t xml:space="preserve">On August 1, 2011, </w:t>
      </w:r>
      <w:r w:rsidR="00AB37B4">
        <w:t>Rainier View Water Company, Inc., (Rainier View or company) filed tariff revisions increasing general rates</w:t>
      </w:r>
      <w:r w:rsidR="00C155BE">
        <w:t xml:space="preserve">. </w:t>
      </w:r>
      <w:r w:rsidR="00AB37B4">
        <w:t xml:space="preserve">The </w:t>
      </w:r>
      <w:r w:rsidR="00140A64">
        <w:t xml:space="preserve">proposed </w:t>
      </w:r>
      <w:r w:rsidR="00AB37B4">
        <w:t>increase</w:t>
      </w:r>
      <w:r w:rsidR="00532EA7">
        <w:t>s</w:t>
      </w:r>
      <w:r w:rsidR="00AB37B4">
        <w:t xml:space="preserve"> would </w:t>
      </w:r>
      <w:r w:rsidR="009E3882">
        <w:t>generate $</w:t>
      </w:r>
      <w:r w:rsidR="00D26F2D">
        <w:t>537,234 (</w:t>
      </w:r>
      <w:r w:rsidR="00AB37B4">
        <w:t>12.3 percent) in additional annual revenue</w:t>
      </w:r>
      <w:r w:rsidR="00C155BE">
        <w:t xml:space="preserve">. </w:t>
      </w:r>
      <w:r w:rsidR="00AB37B4">
        <w:t xml:space="preserve">The stated effective date </w:t>
      </w:r>
      <w:r w:rsidR="00140A64">
        <w:t>was</w:t>
      </w:r>
      <w:r w:rsidR="00AB37B4">
        <w:t xml:space="preserve"> September 1, 2011</w:t>
      </w:r>
      <w:r w:rsidR="00C155BE">
        <w:t xml:space="preserve">. </w:t>
      </w:r>
      <w:r w:rsidR="00AB37B4">
        <w:t>The filing was prompted by costs for company operations exceeding revenues</w:t>
      </w:r>
      <w:r w:rsidR="009F122B">
        <w:t xml:space="preserve"> due to increases in employee salaries, health insurance, and taxes</w:t>
      </w:r>
      <w:r w:rsidR="00C155BE">
        <w:t xml:space="preserve">. </w:t>
      </w:r>
      <w:r w:rsidR="009E3882">
        <w:t xml:space="preserve">The </w:t>
      </w:r>
      <w:r w:rsidR="00140A64">
        <w:t xml:space="preserve">company </w:t>
      </w:r>
      <w:r w:rsidR="009E3882">
        <w:t xml:space="preserve">proposed to increase base rate amounts and useage block rates for both residential and non-residential customers while maintaining the same useage block sizes and raising rates more to non-residential customers than to residential customers. </w:t>
      </w:r>
      <w:r w:rsidR="00C155BE">
        <w:t>The company serves a</w:t>
      </w:r>
      <w:r w:rsidR="009F122B">
        <w:t>pproximately 16,500 residential</w:t>
      </w:r>
      <w:r w:rsidR="00C155BE">
        <w:t xml:space="preserve"> and non-residential customers</w:t>
      </w:r>
      <w:r w:rsidR="009F122B">
        <w:t xml:space="preserve"> on 26 </w:t>
      </w:r>
      <w:r w:rsidR="00140A64">
        <w:t xml:space="preserve">water </w:t>
      </w:r>
      <w:r w:rsidR="009F122B">
        <w:t>systems</w:t>
      </w:r>
      <w:r w:rsidR="00C155BE">
        <w:t xml:space="preserve"> in Pierce </w:t>
      </w:r>
      <w:r w:rsidR="009F122B">
        <w:t xml:space="preserve">County </w:t>
      </w:r>
      <w:r w:rsidR="00C155BE">
        <w:t>and</w:t>
      </w:r>
      <w:r w:rsidR="009F122B">
        <w:t xml:space="preserve"> on two </w:t>
      </w:r>
      <w:r w:rsidR="00C47A79">
        <w:t xml:space="preserve">water </w:t>
      </w:r>
      <w:r w:rsidR="009F122B">
        <w:t>systems in</w:t>
      </w:r>
      <w:r w:rsidR="00C155BE">
        <w:t xml:space="preserve"> Kitsap </w:t>
      </w:r>
      <w:r w:rsidR="009F122B">
        <w:t>County</w:t>
      </w:r>
      <w:r w:rsidR="00C155BE">
        <w:t>.</w:t>
      </w:r>
      <w:r w:rsidR="00F73F22">
        <w:t xml:space="preserve"> </w:t>
      </w:r>
    </w:p>
    <w:p w14:paraId="67589F8A" w14:textId="77777777" w:rsidR="000855B6" w:rsidRDefault="000855B6" w:rsidP="007F1BFD">
      <w:pPr>
        <w:pStyle w:val="NoSpacing"/>
      </w:pPr>
    </w:p>
    <w:p w14:paraId="67B79D47" w14:textId="557BEDE7" w:rsidR="000855B6" w:rsidRDefault="009322EC" w:rsidP="000855B6">
      <w:pPr>
        <w:pStyle w:val="NoSpacing"/>
      </w:pPr>
      <w:r>
        <w:t>On November 23, 2011, t</w:t>
      </w:r>
      <w:r w:rsidR="000855B6">
        <w:t xml:space="preserve">he company filed an additional tariff page to </w:t>
      </w:r>
      <w:r w:rsidR="0019157B">
        <w:t xml:space="preserve">publish the increased flat rate charge that the company had </w:t>
      </w:r>
      <w:r w:rsidR="00C47A79">
        <w:t xml:space="preserve">included in its </w:t>
      </w:r>
      <w:r w:rsidR="0019157B">
        <w:t xml:space="preserve">notice to </w:t>
      </w:r>
      <w:r w:rsidR="000855B6">
        <w:t>customers</w:t>
      </w:r>
      <w:r w:rsidR="00532EA7">
        <w:t>, but</w:t>
      </w:r>
      <w:r w:rsidR="000855B6">
        <w:t xml:space="preserve"> inadvertently </w:t>
      </w:r>
      <w:r>
        <w:t xml:space="preserve">did </w:t>
      </w:r>
      <w:r w:rsidR="0019157B">
        <w:t>not include in</w:t>
      </w:r>
      <w:r w:rsidR="000855B6">
        <w:t xml:space="preserve"> the </w:t>
      </w:r>
      <w:r w:rsidR="0019157B">
        <w:t xml:space="preserve">company’s </w:t>
      </w:r>
      <w:r w:rsidR="000855B6">
        <w:t>origin</w:t>
      </w:r>
      <w:r w:rsidR="0019157B">
        <w:t xml:space="preserve">al filing with the commission. The effective date is stated as </w:t>
      </w:r>
      <w:r w:rsidR="00EB1647">
        <w:t>January</w:t>
      </w:r>
      <w:r w:rsidR="0019157B">
        <w:t xml:space="preserve"> 1, 2012. </w:t>
      </w:r>
    </w:p>
    <w:p w14:paraId="10C51B5E" w14:textId="34CC4A5F" w:rsidR="00DF5B4E" w:rsidRDefault="00F73F22" w:rsidP="000F453F">
      <w:pPr>
        <w:pStyle w:val="NoSpacing"/>
      </w:pPr>
      <w:r>
        <w:lastRenderedPageBreak/>
        <w:t xml:space="preserve">The </w:t>
      </w:r>
      <w:r w:rsidR="00981D3C">
        <w:t xml:space="preserve">company’s </w:t>
      </w:r>
      <w:r>
        <w:t xml:space="preserve">last general rate increase became effective </w:t>
      </w:r>
      <w:r w:rsidR="009A0D6F">
        <w:t>June 1, 2010</w:t>
      </w:r>
      <w:r w:rsidR="0019157B">
        <w:t>, in</w:t>
      </w:r>
      <w:r w:rsidR="0019157B" w:rsidRPr="0019157B">
        <w:t xml:space="preserve"> </w:t>
      </w:r>
      <w:r w:rsidR="0019157B">
        <w:t>Docket UW-091466</w:t>
      </w:r>
      <w:r w:rsidR="009A0D6F">
        <w:t xml:space="preserve">. </w:t>
      </w:r>
      <w:r w:rsidR="0019157B">
        <w:t xml:space="preserve">In that case, </w:t>
      </w:r>
      <w:r w:rsidR="00D64EC1">
        <w:t xml:space="preserve">the commission found that </w:t>
      </w:r>
      <w:r w:rsidR="00DF5B4E">
        <w:t xml:space="preserve">the </w:t>
      </w:r>
      <w:r w:rsidR="0019157B">
        <w:t xml:space="preserve">company’s </w:t>
      </w:r>
      <w:r w:rsidR="00DF5B4E">
        <w:t xml:space="preserve">rate design resulted in </w:t>
      </w:r>
      <w:r w:rsidR="00D64EC1">
        <w:t xml:space="preserve">residential customers subsidizing non-residential customers. </w:t>
      </w:r>
      <w:r w:rsidR="00981D3C">
        <w:t xml:space="preserve">Eliminating the entire subsidy in one step </w:t>
      </w:r>
      <w:r w:rsidR="00EB1647">
        <w:t xml:space="preserve">would have </w:t>
      </w:r>
      <w:r w:rsidR="00981D3C">
        <w:t>resulted in significant increases to non-residential customers. The Bethel School District</w:t>
      </w:r>
      <w:r w:rsidR="00360292">
        <w:t xml:space="preserve"> (District)</w:t>
      </w:r>
      <w:r w:rsidR="00981D3C">
        <w:t xml:space="preserve">, Rainier View’s largest customer, </w:t>
      </w:r>
      <w:r w:rsidR="00494E35">
        <w:t>would have experienced a 116 percent increase</w:t>
      </w:r>
      <w:r w:rsidR="00704570">
        <w:t xml:space="preserve">, compared to a </w:t>
      </w:r>
      <w:r w:rsidR="00A40987">
        <w:t>16.4 percent increase</w:t>
      </w:r>
      <w:r w:rsidR="00704570">
        <w:t xml:space="preserve"> for residential customers</w:t>
      </w:r>
      <w:r w:rsidR="00494E35">
        <w:t xml:space="preserve">. The District </w:t>
      </w:r>
      <w:r w:rsidR="00981D3C">
        <w:t xml:space="preserve">opposed the </w:t>
      </w:r>
      <w:r w:rsidR="00360292">
        <w:t xml:space="preserve">proposed </w:t>
      </w:r>
      <w:r w:rsidR="00981D3C">
        <w:t xml:space="preserve">rates and argued, among other things, that the District </w:t>
      </w:r>
      <w:r w:rsidR="00360292">
        <w:t xml:space="preserve">did not understand the impact of the proposed rates, </w:t>
      </w:r>
      <w:r w:rsidR="00494E35">
        <w:t xml:space="preserve">and </w:t>
      </w:r>
      <w:r w:rsidR="00360292">
        <w:t xml:space="preserve">that the District, and </w:t>
      </w:r>
      <w:r w:rsidR="00494E35">
        <w:t xml:space="preserve">other public </w:t>
      </w:r>
      <w:r w:rsidR="00D26F2D">
        <w:t>institutions</w:t>
      </w:r>
      <w:r w:rsidR="00494E35">
        <w:t xml:space="preserve">, should be a special customer class, not part of a “commercial” class. Tom Siegel, </w:t>
      </w:r>
      <w:r w:rsidR="00D26F2D">
        <w:t>Superintendent</w:t>
      </w:r>
      <w:r w:rsidR="00494E35">
        <w:t xml:space="preserve"> of the D</w:t>
      </w:r>
      <w:r w:rsidR="00DF5B4E">
        <w:t>i</w:t>
      </w:r>
      <w:r w:rsidR="00494E35">
        <w:t xml:space="preserve">strict, opposed the proposed rates </w:t>
      </w:r>
      <w:r w:rsidR="00494E35" w:rsidRPr="00A61B14">
        <w:t>because of the negative impact it would have on the District and the community</w:t>
      </w:r>
      <w:r w:rsidR="00494E35">
        <w:t>, and because th</w:t>
      </w:r>
      <w:r w:rsidR="00494E35" w:rsidRPr="00A61B14">
        <w:t>e District’s budget ha</w:t>
      </w:r>
      <w:r w:rsidR="00494E35">
        <w:t>d</w:t>
      </w:r>
      <w:r w:rsidR="00494E35" w:rsidRPr="00A61B14">
        <w:t xml:space="preserve"> been set, and </w:t>
      </w:r>
      <w:r w:rsidR="00C47A79">
        <w:t xml:space="preserve">it </w:t>
      </w:r>
      <w:r w:rsidR="00494E35" w:rsidRPr="00A61B14">
        <w:t>d</w:t>
      </w:r>
      <w:r w:rsidR="00494E35">
        <w:t>id</w:t>
      </w:r>
      <w:r w:rsidR="00494E35" w:rsidRPr="00A61B14">
        <w:t xml:space="preserve"> not include funds to pay higher water bills.</w:t>
      </w:r>
    </w:p>
    <w:p w14:paraId="37E4CD7B" w14:textId="77777777" w:rsidR="00DF5B4E" w:rsidRPr="000F453F" w:rsidRDefault="00DF5B4E" w:rsidP="000F453F">
      <w:pPr>
        <w:pStyle w:val="NoSpacing"/>
        <w:rPr>
          <w:rFonts w:eastAsia="Times New Roman"/>
        </w:rPr>
      </w:pPr>
    </w:p>
    <w:p w14:paraId="3228523E" w14:textId="762F0703" w:rsidR="00D15351" w:rsidRDefault="00DF5B4E" w:rsidP="000F453F">
      <w:pPr>
        <w:pStyle w:val="NoSpacing"/>
        <w:rPr>
          <w:rFonts w:eastAsia="Times New Roman"/>
        </w:rPr>
      </w:pPr>
      <w:r>
        <w:rPr>
          <w:rFonts w:eastAsia="Times New Roman"/>
        </w:rPr>
        <w:t>T</w:t>
      </w:r>
      <w:r w:rsidRPr="00DF5B4E">
        <w:rPr>
          <w:rFonts w:eastAsia="Times New Roman"/>
        </w:rPr>
        <w:t xml:space="preserve">he </w:t>
      </w:r>
      <w:r>
        <w:rPr>
          <w:rFonts w:eastAsia="Times New Roman"/>
        </w:rPr>
        <w:t>c</w:t>
      </w:r>
      <w:r w:rsidRPr="00DF5B4E">
        <w:rPr>
          <w:rFonts w:eastAsia="Times New Roman"/>
        </w:rPr>
        <w:t xml:space="preserve">ommissioners directed </w:t>
      </w:r>
      <w:r>
        <w:rPr>
          <w:rFonts w:eastAsia="Times New Roman"/>
        </w:rPr>
        <w:t>s</w:t>
      </w:r>
      <w:r w:rsidRPr="00DF5B4E">
        <w:rPr>
          <w:rFonts w:eastAsia="Times New Roman"/>
        </w:rPr>
        <w:t>taff to prepare a revised rate design that would mitigate the rate shock to the non</w:t>
      </w:r>
      <w:r>
        <w:rPr>
          <w:rFonts w:eastAsia="Times New Roman"/>
        </w:rPr>
        <w:t>-</w:t>
      </w:r>
      <w:r w:rsidRPr="00DF5B4E">
        <w:rPr>
          <w:rFonts w:eastAsia="Times New Roman"/>
        </w:rPr>
        <w:t xml:space="preserve">residential class by increasing rates in three steps. Staff prepared a revised rate design that </w:t>
      </w:r>
      <w:r w:rsidR="00C47A79">
        <w:rPr>
          <w:rFonts w:eastAsia="Times New Roman"/>
        </w:rPr>
        <w:t>eliminated</w:t>
      </w:r>
      <w:r w:rsidR="00C47A79" w:rsidRPr="00DF5B4E">
        <w:rPr>
          <w:rFonts w:eastAsia="Times New Roman"/>
        </w:rPr>
        <w:t xml:space="preserve"> </w:t>
      </w:r>
      <w:r w:rsidRPr="00DF5B4E">
        <w:rPr>
          <w:rFonts w:eastAsia="Times New Roman"/>
        </w:rPr>
        <w:t xml:space="preserve">approximately 33.3 percent of the </w:t>
      </w:r>
      <w:r w:rsidR="0019157B">
        <w:rPr>
          <w:rFonts w:eastAsia="Times New Roman"/>
        </w:rPr>
        <w:t xml:space="preserve">subsidy. </w:t>
      </w:r>
      <w:r w:rsidR="00D15351">
        <w:rPr>
          <w:rFonts w:eastAsia="Times New Roman"/>
        </w:rPr>
        <w:t>The revised rates beca</w:t>
      </w:r>
      <w:r w:rsidR="006B551B">
        <w:rPr>
          <w:rFonts w:eastAsia="Times New Roman"/>
        </w:rPr>
        <w:t>m</w:t>
      </w:r>
      <w:r w:rsidR="00D15351">
        <w:rPr>
          <w:rFonts w:eastAsia="Times New Roman"/>
        </w:rPr>
        <w:t>e effective June 1, 2010.</w:t>
      </w:r>
    </w:p>
    <w:p w14:paraId="13BEDC2F" w14:textId="77777777" w:rsidR="004332A0" w:rsidRDefault="004332A0" w:rsidP="000F453F">
      <w:pPr>
        <w:pStyle w:val="NoSpacing"/>
        <w:rPr>
          <w:rFonts w:eastAsia="Times New Roman"/>
        </w:rPr>
      </w:pPr>
    </w:p>
    <w:p w14:paraId="0C3BAEFE" w14:textId="77777777" w:rsidR="00C155BE" w:rsidRDefault="00C155BE" w:rsidP="007F1BFD">
      <w:pPr>
        <w:pStyle w:val="NoSpacing"/>
      </w:pPr>
      <w:r>
        <w:rPr>
          <w:b/>
          <w:u w:val="single"/>
        </w:rPr>
        <w:t>Customer Comments</w:t>
      </w:r>
    </w:p>
    <w:p w14:paraId="0C3BAEFF" w14:textId="77777777" w:rsidR="00C155BE" w:rsidRDefault="00C155BE" w:rsidP="007F1BFD">
      <w:pPr>
        <w:pStyle w:val="NoSpacing"/>
      </w:pPr>
      <w:r>
        <w:t xml:space="preserve">On August 1, 2011, the company notified its customers of the proposed rate increase by mail. </w:t>
      </w:r>
    </w:p>
    <w:p w14:paraId="0C3BAF00" w14:textId="3EC0A0B9" w:rsidR="00C155BE" w:rsidRDefault="00FF5CDC" w:rsidP="007F1BFD">
      <w:pPr>
        <w:pStyle w:val="NoSpacing"/>
      </w:pPr>
      <w:r>
        <w:t>Six</w:t>
      </w:r>
      <w:r w:rsidR="00E778D7">
        <w:t>teen</w:t>
      </w:r>
      <w:r w:rsidR="00C155BE">
        <w:t xml:space="preserve"> comments have been received to date; all are opposed to the proposed increase. </w:t>
      </w:r>
      <w:r w:rsidR="000C737B">
        <w:t xml:space="preserve">Customers were </w:t>
      </w:r>
      <w:r w:rsidR="009E3882">
        <w:t>notified</w:t>
      </w:r>
      <w:r w:rsidR="000C737B">
        <w:t xml:space="preserve"> that they may access documents pertinent to this rate case on the commission’s website, and that they may contact Pam Smith at 1-888-333-WUTC (9882) </w:t>
      </w:r>
      <w:r>
        <w:t xml:space="preserve">or </w:t>
      </w:r>
      <w:hyperlink r:id="rId12" w:history="1">
        <w:r w:rsidR="000C737B" w:rsidRPr="00C767BD">
          <w:rPr>
            <w:rStyle w:val="Hyperlink"/>
          </w:rPr>
          <w:t>psmith@utc.wa.gov</w:t>
        </w:r>
      </w:hyperlink>
      <w:r w:rsidR="000C737B">
        <w:t xml:space="preserve"> with questions or concerns. </w:t>
      </w:r>
    </w:p>
    <w:p w14:paraId="0C3BAF01" w14:textId="77777777" w:rsidR="000C737B" w:rsidRDefault="000C737B" w:rsidP="007F1BFD">
      <w:pPr>
        <w:pStyle w:val="NoSpacing"/>
      </w:pPr>
    </w:p>
    <w:p w14:paraId="06CA29A4" w14:textId="77777777" w:rsidR="00302238" w:rsidRPr="00E20CCF" w:rsidRDefault="00302238" w:rsidP="00302238">
      <w:pPr>
        <w:rPr>
          <w:b/>
        </w:rPr>
      </w:pPr>
      <w:r w:rsidRPr="00E20CCF">
        <w:rPr>
          <w:b/>
        </w:rPr>
        <w:t>Service Quality</w:t>
      </w:r>
    </w:p>
    <w:p w14:paraId="14AC3486" w14:textId="77777777" w:rsidR="00302238" w:rsidRPr="00E20CCF" w:rsidRDefault="00302238" w:rsidP="00302238">
      <w:pPr>
        <w:numPr>
          <w:ilvl w:val="0"/>
          <w:numId w:val="11"/>
        </w:numPr>
      </w:pPr>
      <w:r>
        <w:t>One</w:t>
      </w:r>
      <w:r w:rsidRPr="00E20CCF">
        <w:t xml:space="preserve"> customer state</w:t>
      </w:r>
      <w:r>
        <w:t>s</w:t>
      </w:r>
      <w:r w:rsidRPr="00E20CCF">
        <w:t xml:space="preserve"> that the company should not be allowed a rate increase when it provides </w:t>
      </w:r>
      <w:r>
        <w:t xml:space="preserve">poor quality </w:t>
      </w:r>
      <w:r w:rsidRPr="00E20CCF">
        <w:t>water.</w:t>
      </w:r>
    </w:p>
    <w:p w14:paraId="2D67B825" w14:textId="77777777" w:rsidR="00302238" w:rsidRPr="00E20CCF" w:rsidRDefault="00302238" w:rsidP="00302238"/>
    <w:p w14:paraId="7F103782" w14:textId="77777777" w:rsidR="00302238" w:rsidRPr="00E20CCF" w:rsidRDefault="00302238" w:rsidP="00302238">
      <w:pPr>
        <w:ind w:left="720"/>
        <w:rPr>
          <w:b/>
        </w:rPr>
      </w:pPr>
      <w:r w:rsidRPr="00E20CCF">
        <w:rPr>
          <w:b/>
        </w:rPr>
        <w:t>Staff Response</w:t>
      </w:r>
    </w:p>
    <w:p w14:paraId="2C2E6ECA" w14:textId="77777777" w:rsidR="00302238" w:rsidRPr="00E20CCF" w:rsidRDefault="00302238" w:rsidP="00302238">
      <w:pPr>
        <w:ind w:left="720"/>
      </w:pPr>
      <w:r>
        <w:t xml:space="preserve">Staff contacted the </w:t>
      </w:r>
      <w:r w:rsidRPr="00E20CCF">
        <w:t>Department of Health (DOH)</w:t>
      </w:r>
      <w:r>
        <w:t xml:space="preserve"> and found </w:t>
      </w:r>
      <w:r w:rsidRPr="00E20CCF">
        <w:t>that th</w:t>
      </w:r>
      <w:r>
        <w:t>e</w:t>
      </w:r>
      <w:r w:rsidRPr="00E20CCF">
        <w:t xml:space="preserve"> customer’s system has experienced iron and/or manganese </w:t>
      </w:r>
      <w:r>
        <w:t xml:space="preserve">deposits that </w:t>
      </w:r>
      <w:r w:rsidRPr="00E20CCF">
        <w:t xml:space="preserve">cause the water to have an unpleasant look, smell or taste. These types of deposits </w:t>
      </w:r>
      <w:r>
        <w:t>do</w:t>
      </w:r>
      <w:r w:rsidRPr="00E20CCF">
        <w:t xml:space="preserve"> not harm human health. DOH </w:t>
      </w:r>
      <w:r>
        <w:t xml:space="preserve">further </w:t>
      </w:r>
      <w:r w:rsidRPr="00E20CCF">
        <w:t xml:space="preserve">explained that iron and manganese issues are common in water systems in Pierce County. </w:t>
      </w:r>
    </w:p>
    <w:p w14:paraId="0C5CF8E7" w14:textId="77777777" w:rsidR="00302238" w:rsidRPr="00E20CCF" w:rsidRDefault="00302238" w:rsidP="00302238">
      <w:pPr>
        <w:ind w:left="720"/>
      </w:pPr>
    </w:p>
    <w:p w14:paraId="65C56E43" w14:textId="77777777" w:rsidR="00302238" w:rsidRDefault="00302238" w:rsidP="00302238">
      <w:pPr>
        <w:ind w:left="720"/>
      </w:pPr>
      <w:r>
        <w:t>Staff advised the customer that t</w:t>
      </w:r>
      <w:r w:rsidRPr="00E20CCF">
        <w:t>he company is designing an iron and manganese removal system</w:t>
      </w:r>
      <w:r>
        <w:t>, and expects</w:t>
      </w:r>
      <w:r w:rsidRPr="00E20CCF">
        <w:t xml:space="preserve"> to have the system on line by next summer.</w:t>
      </w:r>
    </w:p>
    <w:p w14:paraId="6223F0F5" w14:textId="77777777" w:rsidR="00302238" w:rsidRPr="00E20CCF" w:rsidRDefault="00302238" w:rsidP="00302238">
      <w:pPr>
        <w:ind w:left="720"/>
      </w:pPr>
      <w:r>
        <w:t xml:space="preserve"> </w:t>
      </w:r>
    </w:p>
    <w:p w14:paraId="17DFC112" w14:textId="13ED6811" w:rsidR="00302238" w:rsidRPr="00E20CCF" w:rsidRDefault="00302238" w:rsidP="00302238">
      <w:pPr>
        <w:numPr>
          <w:ilvl w:val="0"/>
          <w:numId w:val="11"/>
        </w:numPr>
      </w:pPr>
      <w:r>
        <w:t>Two</w:t>
      </w:r>
      <w:r w:rsidRPr="00E20CCF">
        <w:t xml:space="preserve"> customer</w:t>
      </w:r>
      <w:r>
        <w:t>s say</w:t>
      </w:r>
      <w:r w:rsidRPr="00E20CCF">
        <w:t xml:space="preserve"> the company should not get the </w:t>
      </w:r>
      <w:r>
        <w:t xml:space="preserve">requested </w:t>
      </w:r>
      <w:r w:rsidRPr="00E20CCF">
        <w:t xml:space="preserve">increase because </w:t>
      </w:r>
      <w:r>
        <w:t xml:space="preserve">the company </w:t>
      </w:r>
      <w:r w:rsidRPr="00E20CCF">
        <w:t xml:space="preserve">will not increase water pressure </w:t>
      </w:r>
      <w:r>
        <w:t>to their</w:t>
      </w:r>
      <w:r w:rsidRPr="00E20CCF">
        <w:t xml:space="preserve"> neighborhood</w:t>
      </w:r>
      <w:r>
        <w:t>s, and one customer mentioned bad tasting water.</w:t>
      </w:r>
    </w:p>
    <w:p w14:paraId="7DFE8FC0" w14:textId="77777777" w:rsidR="00302238" w:rsidRPr="00E20CCF" w:rsidRDefault="00302238" w:rsidP="00302238"/>
    <w:p w14:paraId="29DDAC24" w14:textId="77777777" w:rsidR="00302238" w:rsidRPr="00E20CCF" w:rsidRDefault="00302238" w:rsidP="00302238">
      <w:pPr>
        <w:ind w:left="720"/>
        <w:rPr>
          <w:b/>
        </w:rPr>
      </w:pPr>
      <w:r w:rsidRPr="00E20CCF">
        <w:rPr>
          <w:b/>
        </w:rPr>
        <w:t>Staff Response</w:t>
      </w:r>
    </w:p>
    <w:p w14:paraId="3821B06E" w14:textId="35C56884" w:rsidR="00302238" w:rsidRPr="009A0E47" w:rsidRDefault="00302238" w:rsidP="00302238">
      <w:pPr>
        <w:ind w:left="720"/>
      </w:pPr>
      <w:r>
        <w:t xml:space="preserve">Staff learned that </w:t>
      </w:r>
      <w:r w:rsidRPr="00E20CCF">
        <w:t xml:space="preserve">the </w:t>
      </w:r>
      <w:r>
        <w:t xml:space="preserve">water </w:t>
      </w:r>
      <w:r w:rsidRPr="00E20CCF">
        <w:t xml:space="preserve">pressure </w:t>
      </w:r>
      <w:r>
        <w:t>in each</w:t>
      </w:r>
      <w:r w:rsidRPr="00E20CCF">
        <w:t xml:space="preserve"> customer’s neighborhood </w:t>
      </w:r>
      <w:r>
        <w:t>ranges from 47 to 60</w:t>
      </w:r>
      <w:r w:rsidRPr="00E20CCF">
        <w:t xml:space="preserve"> psi at the property </w:t>
      </w:r>
      <w:r w:rsidR="00D26F2D" w:rsidRPr="00E20CCF">
        <w:t>lines which exceed</w:t>
      </w:r>
      <w:r w:rsidRPr="00E20CCF">
        <w:t xml:space="preserve"> the DOH requirement of 30 psi. The co</w:t>
      </w:r>
      <w:r>
        <w:t>mpany explained to one customer</w:t>
      </w:r>
      <w:r w:rsidRPr="00E20CCF">
        <w:t xml:space="preserve"> that they will need to provide their own booster system if they want higher water pressure.</w:t>
      </w:r>
      <w:r>
        <w:t xml:space="preserve"> An informal complaint was opened as a result of the other customer comment. The company flushed the water system for 40 minutes; the water was clean and clear with no odors or discoloration. The water quality meets DOH standards. The customer was satisfied with the result.</w:t>
      </w:r>
    </w:p>
    <w:p w14:paraId="7F7A2D25" w14:textId="77777777" w:rsidR="00302238" w:rsidRPr="00E20CCF" w:rsidRDefault="00302238" w:rsidP="00302238"/>
    <w:p w14:paraId="0D22E5B2" w14:textId="77777777" w:rsidR="00302238" w:rsidRPr="00E20CCF" w:rsidRDefault="00302238" w:rsidP="00302238">
      <w:pPr>
        <w:rPr>
          <w:b/>
        </w:rPr>
      </w:pPr>
      <w:r w:rsidRPr="00E20CCF">
        <w:rPr>
          <w:b/>
        </w:rPr>
        <w:t>General Comments</w:t>
      </w:r>
    </w:p>
    <w:p w14:paraId="0ED29DE2" w14:textId="77777777" w:rsidR="00302238" w:rsidRPr="00302238" w:rsidRDefault="00302238" w:rsidP="00302238">
      <w:pPr>
        <w:numPr>
          <w:ilvl w:val="0"/>
          <w:numId w:val="11"/>
        </w:numPr>
        <w:rPr>
          <w:b/>
        </w:rPr>
      </w:pPr>
      <w:r w:rsidRPr="00050729">
        <w:t xml:space="preserve">Five customers commented that customers should not have to pay more just because the 2010 increase did not result in the expected revenue. Three customers also mentioned that the past year was very wet so usage was likely down from previous years, and that customers have conserved water as the company requested. Seven comments mentioned the hardship the increase will create because of the current condition of our country’s economy. The frequency of the company’s requests for higher rates is mentioned in four complaints. </w:t>
      </w:r>
    </w:p>
    <w:p w14:paraId="4E23D57D" w14:textId="77777777" w:rsidR="00302238" w:rsidRPr="00302238" w:rsidRDefault="00302238" w:rsidP="00302238">
      <w:pPr>
        <w:ind w:left="720"/>
        <w:rPr>
          <w:b/>
        </w:rPr>
      </w:pPr>
    </w:p>
    <w:p w14:paraId="5C9E5C13" w14:textId="77777777" w:rsidR="00302238" w:rsidRDefault="00302238" w:rsidP="00302238">
      <w:pPr>
        <w:pStyle w:val="ListParagraph"/>
        <w:rPr>
          <w:b/>
        </w:rPr>
      </w:pPr>
      <w:r w:rsidRPr="00E20CCF">
        <w:rPr>
          <w:b/>
        </w:rPr>
        <w:t>Staff response</w:t>
      </w:r>
    </w:p>
    <w:p w14:paraId="09C7B97E" w14:textId="77777777" w:rsidR="00302238" w:rsidRPr="00E20CCF" w:rsidRDefault="00302238" w:rsidP="00302238">
      <w:pPr>
        <w:ind w:left="720"/>
      </w:pPr>
      <w:r w:rsidRPr="00050729">
        <w:t xml:space="preserve">The last </w:t>
      </w:r>
      <w:r>
        <w:t xml:space="preserve">general rate increase became effective June 1, 2010. </w:t>
      </w:r>
      <w:r w:rsidRPr="00E20CCF">
        <w:t>Customers were advised that state law requires rates to be fair, just, reasonable and sufficient to allow the company to recover reasonable operating expenses and the opportunity to earn a reasonable return on investment. Regulatory staff reviews filings to ensure that all rates and fees are appropriate.</w:t>
      </w:r>
    </w:p>
    <w:p w14:paraId="0C3BAF1D" w14:textId="77777777" w:rsidR="00B92231" w:rsidRDefault="00B92231" w:rsidP="00B9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rPr>
      </w:pPr>
    </w:p>
    <w:p w14:paraId="0C3BAF1E" w14:textId="77777777" w:rsidR="00B92231" w:rsidRDefault="00B92231" w:rsidP="004B7F58">
      <w:pPr>
        <w:jc w:val="center"/>
        <w:rPr>
          <w:b/>
          <w:u w:val="single"/>
        </w:rPr>
      </w:pPr>
      <w:r w:rsidRPr="00450175">
        <w:rPr>
          <w:b/>
          <w:u w:val="single"/>
        </w:rPr>
        <w:t>Rate Comparison</w:t>
      </w:r>
    </w:p>
    <w:p w14:paraId="0C3BAF1F" w14:textId="77777777" w:rsidR="00B92231" w:rsidRDefault="00B92231" w:rsidP="00B92231">
      <w:pPr>
        <w:jc w:val="center"/>
        <w:rPr>
          <w:b/>
          <w:u w:val="single"/>
        </w:rPr>
      </w:pPr>
    </w:p>
    <w:tbl>
      <w:tblPr>
        <w:tblW w:w="4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070"/>
        <w:gridCol w:w="2341"/>
      </w:tblGrid>
      <w:tr w:rsidR="006F3DD7" w:rsidRPr="009270B9" w14:paraId="0C3BAF23" w14:textId="77777777" w:rsidTr="000F453F">
        <w:trPr>
          <w:jc w:val="center"/>
        </w:trPr>
        <w:tc>
          <w:tcPr>
            <w:tcW w:w="2505" w:type="pct"/>
          </w:tcPr>
          <w:p w14:paraId="0C3BAF20" w14:textId="77777777" w:rsidR="006F3DD7" w:rsidRPr="009270B9" w:rsidRDefault="006F3DD7" w:rsidP="00B92231">
            <w:pPr>
              <w:keepNext/>
              <w:widowControl w:val="0"/>
              <w:autoSpaceDE w:val="0"/>
              <w:autoSpaceDN w:val="0"/>
              <w:adjustRightInd w:val="0"/>
              <w:jc w:val="center"/>
              <w:outlineLvl w:val="0"/>
              <w:rPr>
                <w:rFonts w:eastAsia="Times New Roman"/>
                <w:b/>
              </w:rPr>
            </w:pPr>
            <w:r w:rsidRPr="009270B9">
              <w:rPr>
                <w:rFonts w:eastAsia="Times New Roman"/>
                <w:b/>
              </w:rPr>
              <w:t>Monthly Rate</w:t>
            </w:r>
            <w:r>
              <w:rPr>
                <w:rFonts w:eastAsia="Times New Roman"/>
                <w:b/>
              </w:rPr>
              <w:t>*</w:t>
            </w:r>
          </w:p>
        </w:tc>
        <w:tc>
          <w:tcPr>
            <w:tcW w:w="1171" w:type="pct"/>
            <w:vAlign w:val="center"/>
          </w:tcPr>
          <w:p w14:paraId="0C3BAF21" w14:textId="77777777" w:rsidR="006F3DD7" w:rsidRPr="009270B9" w:rsidRDefault="006F3DD7" w:rsidP="00B92231">
            <w:pPr>
              <w:widowControl w:val="0"/>
              <w:autoSpaceDE w:val="0"/>
              <w:autoSpaceDN w:val="0"/>
              <w:adjustRightInd w:val="0"/>
              <w:jc w:val="center"/>
              <w:rPr>
                <w:rFonts w:eastAsia="Times New Roman"/>
                <w:b/>
              </w:rPr>
            </w:pPr>
            <w:r w:rsidRPr="009270B9">
              <w:rPr>
                <w:rFonts w:eastAsia="Times New Roman"/>
                <w:b/>
              </w:rPr>
              <w:t>Current Rate</w:t>
            </w:r>
          </w:p>
        </w:tc>
        <w:tc>
          <w:tcPr>
            <w:tcW w:w="1324" w:type="pct"/>
          </w:tcPr>
          <w:p w14:paraId="0C3BAF22" w14:textId="77777777" w:rsidR="006F3DD7" w:rsidRPr="009270B9" w:rsidRDefault="006F3DD7">
            <w:pPr>
              <w:widowControl w:val="0"/>
              <w:autoSpaceDE w:val="0"/>
              <w:autoSpaceDN w:val="0"/>
              <w:adjustRightInd w:val="0"/>
              <w:jc w:val="center"/>
              <w:rPr>
                <w:rFonts w:eastAsia="Times New Roman"/>
                <w:b/>
              </w:rPr>
            </w:pPr>
            <w:r>
              <w:rPr>
                <w:rFonts w:eastAsia="Times New Roman"/>
                <w:b/>
              </w:rPr>
              <w:t xml:space="preserve"> </w:t>
            </w:r>
            <w:r w:rsidRPr="009270B9">
              <w:rPr>
                <w:rFonts w:eastAsia="Times New Roman"/>
                <w:b/>
              </w:rPr>
              <w:t>Proposed Rate</w:t>
            </w:r>
          </w:p>
        </w:tc>
      </w:tr>
      <w:tr w:rsidR="006F3DD7" w:rsidRPr="009270B9" w14:paraId="0C3BAF27" w14:textId="77777777" w:rsidTr="000F453F">
        <w:trPr>
          <w:jc w:val="center"/>
        </w:trPr>
        <w:tc>
          <w:tcPr>
            <w:tcW w:w="2505" w:type="pct"/>
          </w:tcPr>
          <w:p w14:paraId="0C3BAF24" w14:textId="77777777" w:rsidR="006F3DD7" w:rsidRPr="00BE627B" w:rsidRDefault="006F3DD7" w:rsidP="00B92231">
            <w:pPr>
              <w:keepNext/>
              <w:widowControl w:val="0"/>
              <w:autoSpaceDE w:val="0"/>
              <w:autoSpaceDN w:val="0"/>
              <w:adjustRightInd w:val="0"/>
              <w:outlineLvl w:val="0"/>
              <w:rPr>
                <w:rFonts w:eastAsia="Times New Roman"/>
                <w:b/>
              </w:rPr>
            </w:pPr>
            <w:r w:rsidRPr="00BE627B">
              <w:rPr>
                <w:rFonts w:eastAsia="Times New Roman"/>
                <w:b/>
              </w:rPr>
              <w:t>Residential Metered Rate Service</w:t>
            </w:r>
          </w:p>
        </w:tc>
        <w:tc>
          <w:tcPr>
            <w:tcW w:w="1171" w:type="pct"/>
          </w:tcPr>
          <w:p w14:paraId="0C3BAF25" w14:textId="77777777" w:rsidR="006F3DD7" w:rsidRPr="009270B9" w:rsidRDefault="006F3DD7" w:rsidP="00B92231">
            <w:pPr>
              <w:widowControl w:val="0"/>
              <w:autoSpaceDE w:val="0"/>
              <w:autoSpaceDN w:val="0"/>
              <w:adjustRightInd w:val="0"/>
              <w:jc w:val="center"/>
              <w:rPr>
                <w:rFonts w:eastAsia="Times New Roman"/>
              </w:rPr>
            </w:pPr>
          </w:p>
        </w:tc>
        <w:tc>
          <w:tcPr>
            <w:tcW w:w="1324" w:type="pct"/>
          </w:tcPr>
          <w:p w14:paraId="0C3BAF26" w14:textId="77777777" w:rsidR="006F3DD7" w:rsidRPr="009270B9" w:rsidRDefault="006F3DD7" w:rsidP="00B92231">
            <w:pPr>
              <w:widowControl w:val="0"/>
              <w:autoSpaceDE w:val="0"/>
              <w:autoSpaceDN w:val="0"/>
              <w:adjustRightInd w:val="0"/>
              <w:jc w:val="center"/>
              <w:rPr>
                <w:rFonts w:eastAsia="Times New Roman"/>
              </w:rPr>
            </w:pPr>
          </w:p>
        </w:tc>
      </w:tr>
      <w:tr w:rsidR="006F3DD7" w:rsidRPr="009270B9" w14:paraId="0C3BAF2B" w14:textId="77777777" w:rsidTr="000F453F">
        <w:trPr>
          <w:jc w:val="center"/>
        </w:trPr>
        <w:tc>
          <w:tcPr>
            <w:tcW w:w="2505" w:type="pct"/>
          </w:tcPr>
          <w:p w14:paraId="0C3BAF28" w14:textId="77777777" w:rsidR="006F3DD7" w:rsidRPr="009270B9" w:rsidRDefault="006F3DD7" w:rsidP="00B92231">
            <w:pPr>
              <w:keepNext/>
              <w:widowControl w:val="0"/>
              <w:autoSpaceDE w:val="0"/>
              <w:autoSpaceDN w:val="0"/>
              <w:adjustRightInd w:val="0"/>
              <w:outlineLvl w:val="0"/>
              <w:rPr>
                <w:rFonts w:eastAsia="Times New Roman"/>
              </w:rPr>
            </w:pPr>
            <w:r>
              <w:rPr>
                <w:rFonts w:eastAsia="Times New Roman"/>
              </w:rPr>
              <w:t>Base Rate (3/4-</w:t>
            </w:r>
            <w:r w:rsidRPr="009270B9">
              <w:rPr>
                <w:rFonts w:eastAsia="Times New Roman"/>
              </w:rPr>
              <w:t>inch meter)</w:t>
            </w:r>
            <w:r>
              <w:rPr>
                <w:rFonts w:eastAsia="Times New Roman"/>
              </w:rPr>
              <w:t xml:space="preserve"> </w:t>
            </w:r>
          </w:p>
        </w:tc>
        <w:tc>
          <w:tcPr>
            <w:tcW w:w="1171" w:type="pct"/>
          </w:tcPr>
          <w:p w14:paraId="0C3BAF29"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$12.22</w:t>
            </w:r>
          </w:p>
        </w:tc>
        <w:tc>
          <w:tcPr>
            <w:tcW w:w="1324" w:type="pct"/>
          </w:tcPr>
          <w:p w14:paraId="0C3BAF2A"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$13.90</w:t>
            </w:r>
          </w:p>
        </w:tc>
      </w:tr>
      <w:tr w:rsidR="006F3DD7" w:rsidRPr="009270B9" w14:paraId="0C3BAF2F" w14:textId="77777777" w:rsidTr="000F453F">
        <w:trPr>
          <w:jc w:val="center"/>
        </w:trPr>
        <w:tc>
          <w:tcPr>
            <w:tcW w:w="2505" w:type="pct"/>
          </w:tcPr>
          <w:p w14:paraId="0C3BAF2C" w14:textId="77777777" w:rsidR="006F3DD7" w:rsidRPr="009270B9" w:rsidRDefault="006F3DD7" w:rsidP="00B92231">
            <w:pPr>
              <w:widowControl w:val="0"/>
              <w:autoSpaceDE w:val="0"/>
              <w:autoSpaceDN w:val="0"/>
              <w:adjustRightInd w:val="0"/>
              <w:rPr>
                <w:rFonts w:eastAsia="Times New Roman"/>
              </w:rPr>
            </w:pPr>
            <w:r w:rsidRPr="009270B9">
              <w:rPr>
                <w:rFonts w:eastAsia="Times New Roman"/>
              </w:rPr>
              <w:t xml:space="preserve">0 – </w:t>
            </w:r>
            <w:r>
              <w:rPr>
                <w:rFonts w:eastAsia="Times New Roman"/>
              </w:rPr>
              <w:t>6</w:t>
            </w:r>
            <w:r w:rsidRPr="009270B9">
              <w:rPr>
                <w:rFonts w:eastAsia="Times New Roman"/>
              </w:rPr>
              <w:t>00 Cubic Feet</w:t>
            </w:r>
          </w:p>
        </w:tc>
        <w:tc>
          <w:tcPr>
            <w:tcW w:w="1171" w:type="pct"/>
          </w:tcPr>
          <w:p w14:paraId="0C3BAF2D"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$.85</w:t>
            </w:r>
          </w:p>
        </w:tc>
        <w:tc>
          <w:tcPr>
            <w:tcW w:w="1324" w:type="pct"/>
          </w:tcPr>
          <w:p w14:paraId="0C3BAF2E"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$.95</w:t>
            </w:r>
          </w:p>
        </w:tc>
      </w:tr>
      <w:tr w:rsidR="006F3DD7" w:rsidRPr="009270B9" w14:paraId="0C3BAF33" w14:textId="77777777" w:rsidTr="000F453F">
        <w:trPr>
          <w:jc w:val="center"/>
        </w:trPr>
        <w:tc>
          <w:tcPr>
            <w:tcW w:w="2505" w:type="pct"/>
          </w:tcPr>
          <w:p w14:paraId="0C3BAF30" w14:textId="77777777" w:rsidR="006F3DD7" w:rsidRPr="009270B9" w:rsidRDefault="006F3DD7" w:rsidP="00B92231">
            <w:pPr>
              <w:widowControl w:val="0"/>
              <w:autoSpaceDE w:val="0"/>
              <w:autoSpaceDN w:val="0"/>
              <w:adjustRightInd w:val="0"/>
              <w:rPr>
                <w:rFonts w:eastAsia="Times New Roman"/>
              </w:rPr>
            </w:pPr>
            <w:r>
              <w:rPr>
                <w:rFonts w:eastAsia="Times New Roman"/>
              </w:rPr>
              <w:t>601</w:t>
            </w:r>
            <w:r w:rsidRPr="009270B9">
              <w:rPr>
                <w:rFonts w:eastAsia="Times New Roman"/>
              </w:rPr>
              <w:t xml:space="preserve"> – </w:t>
            </w:r>
            <w:r>
              <w:rPr>
                <w:rFonts w:eastAsia="Times New Roman"/>
              </w:rPr>
              <w:t>3,0</w:t>
            </w:r>
            <w:r w:rsidRPr="009270B9">
              <w:rPr>
                <w:rFonts w:eastAsia="Times New Roman"/>
              </w:rPr>
              <w:t>00 Cubic Feet</w:t>
            </w:r>
          </w:p>
        </w:tc>
        <w:tc>
          <w:tcPr>
            <w:tcW w:w="1171" w:type="pct"/>
          </w:tcPr>
          <w:p w14:paraId="0C3BAF31" w14:textId="77777777" w:rsidR="006F3DD7" w:rsidRPr="009270B9" w:rsidRDefault="006F3DD7" w:rsidP="00B92231">
            <w:pPr>
              <w:widowControl w:val="0"/>
              <w:autoSpaceDE w:val="0"/>
              <w:autoSpaceDN w:val="0"/>
              <w:adjustRightInd w:val="0"/>
              <w:jc w:val="center"/>
              <w:rPr>
                <w:rFonts w:eastAsia="Times New Roman"/>
              </w:rPr>
            </w:pPr>
            <w:r w:rsidRPr="009270B9">
              <w:rPr>
                <w:rFonts w:eastAsia="Times New Roman"/>
              </w:rPr>
              <w:t>$.</w:t>
            </w:r>
            <w:r>
              <w:rPr>
                <w:rFonts w:eastAsia="Times New Roman"/>
              </w:rPr>
              <w:t>91</w:t>
            </w:r>
          </w:p>
        </w:tc>
        <w:tc>
          <w:tcPr>
            <w:tcW w:w="1324" w:type="pct"/>
          </w:tcPr>
          <w:p w14:paraId="0C3BAF32"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$1.00</w:t>
            </w:r>
          </w:p>
        </w:tc>
      </w:tr>
      <w:tr w:rsidR="006F3DD7" w:rsidRPr="009270B9" w14:paraId="0C3BAF37" w14:textId="77777777" w:rsidTr="000F453F">
        <w:trPr>
          <w:jc w:val="center"/>
        </w:trPr>
        <w:tc>
          <w:tcPr>
            <w:tcW w:w="2505" w:type="pct"/>
          </w:tcPr>
          <w:p w14:paraId="0C3BAF34" w14:textId="77777777" w:rsidR="006F3DD7" w:rsidRPr="009270B9" w:rsidRDefault="006F3DD7" w:rsidP="00B92231">
            <w:pPr>
              <w:widowControl w:val="0"/>
              <w:autoSpaceDE w:val="0"/>
              <w:autoSpaceDN w:val="0"/>
              <w:adjustRightInd w:val="0"/>
              <w:rPr>
                <w:rFonts w:eastAsia="Times New Roman"/>
              </w:rPr>
            </w:pPr>
            <w:r w:rsidRPr="009270B9">
              <w:rPr>
                <w:rFonts w:eastAsia="Times New Roman"/>
              </w:rPr>
              <w:t xml:space="preserve">Over </w:t>
            </w:r>
            <w:r>
              <w:rPr>
                <w:rFonts w:eastAsia="Times New Roman"/>
              </w:rPr>
              <w:t>3,</w:t>
            </w:r>
            <w:r w:rsidRPr="009270B9">
              <w:rPr>
                <w:rFonts w:eastAsia="Times New Roman"/>
              </w:rPr>
              <w:t>00</w:t>
            </w:r>
            <w:r>
              <w:rPr>
                <w:rFonts w:eastAsia="Times New Roman"/>
              </w:rPr>
              <w:t>0</w:t>
            </w:r>
            <w:r w:rsidRPr="009270B9">
              <w:rPr>
                <w:rFonts w:eastAsia="Times New Roman"/>
              </w:rPr>
              <w:t xml:space="preserve"> Cubic Feet</w:t>
            </w:r>
          </w:p>
        </w:tc>
        <w:tc>
          <w:tcPr>
            <w:tcW w:w="1171" w:type="pct"/>
          </w:tcPr>
          <w:p w14:paraId="0C3BAF35" w14:textId="77777777" w:rsidR="006F3DD7" w:rsidRPr="009270B9" w:rsidRDefault="006F3DD7" w:rsidP="00B92231">
            <w:pPr>
              <w:widowControl w:val="0"/>
              <w:autoSpaceDE w:val="0"/>
              <w:autoSpaceDN w:val="0"/>
              <w:adjustRightInd w:val="0"/>
              <w:jc w:val="center"/>
              <w:rPr>
                <w:rFonts w:eastAsia="Times New Roman"/>
              </w:rPr>
            </w:pPr>
            <w:r w:rsidRPr="009270B9">
              <w:rPr>
                <w:rFonts w:eastAsia="Times New Roman"/>
              </w:rPr>
              <w:t>$</w:t>
            </w:r>
            <w:r>
              <w:rPr>
                <w:rFonts w:eastAsia="Times New Roman"/>
              </w:rPr>
              <w:t>5.00</w:t>
            </w:r>
          </w:p>
        </w:tc>
        <w:tc>
          <w:tcPr>
            <w:tcW w:w="1324" w:type="pct"/>
          </w:tcPr>
          <w:p w14:paraId="0C3BAF36"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$5.00</w:t>
            </w:r>
          </w:p>
        </w:tc>
      </w:tr>
      <w:tr w:rsidR="006F3DD7" w:rsidRPr="009270B9" w14:paraId="0C3BAF3B" w14:textId="77777777" w:rsidTr="000F453F">
        <w:trPr>
          <w:jc w:val="center"/>
        </w:trPr>
        <w:tc>
          <w:tcPr>
            <w:tcW w:w="2505" w:type="pct"/>
          </w:tcPr>
          <w:p w14:paraId="0C3BAF38" w14:textId="77777777" w:rsidR="006F3DD7" w:rsidRPr="009270B9" w:rsidRDefault="006F3DD7" w:rsidP="00B92231">
            <w:pPr>
              <w:widowControl w:val="0"/>
              <w:autoSpaceDE w:val="0"/>
              <w:autoSpaceDN w:val="0"/>
              <w:adjustRightInd w:val="0"/>
              <w:rPr>
                <w:rFonts w:eastAsia="Times New Roman"/>
              </w:rPr>
            </w:pPr>
          </w:p>
        </w:tc>
        <w:tc>
          <w:tcPr>
            <w:tcW w:w="1171" w:type="pct"/>
          </w:tcPr>
          <w:p w14:paraId="0C3BAF39" w14:textId="77777777" w:rsidR="006F3DD7" w:rsidRPr="009270B9" w:rsidRDefault="006F3DD7" w:rsidP="00B92231">
            <w:pPr>
              <w:widowControl w:val="0"/>
              <w:autoSpaceDE w:val="0"/>
              <w:autoSpaceDN w:val="0"/>
              <w:adjustRightInd w:val="0"/>
              <w:jc w:val="center"/>
              <w:rPr>
                <w:rFonts w:eastAsia="Times New Roman"/>
              </w:rPr>
            </w:pPr>
          </w:p>
        </w:tc>
        <w:tc>
          <w:tcPr>
            <w:tcW w:w="1324" w:type="pct"/>
          </w:tcPr>
          <w:p w14:paraId="0C3BAF3A" w14:textId="77777777" w:rsidR="006F3DD7" w:rsidRPr="009270B9" w:rsidRDefault="006F3DD7" w:rsidP="00B92231">
            <w:pPr>
              <w:widowControl w:val="0"/>
              <w:autoSpaceDE w:val="0"/>
              <w:autoSpaceDN w:val="0"/>
              <w:adjustRightInd w:val="0"/>
              <w:jc w:val="center"/>
              <w:rPr>
                <w:rFonts w:eastAsia="Times New Roman"/>
              </w:rPr>
            </w:pPr>
          </w:p>
        </w:tc>
      </w:tr>
      <w:tr w:rsidR="006F3DD7" w:rsidRPr="009270B9" w14:paraId="0C3BAF3F" w14:textId="77777777" w:rsidTr="000F453F">
        <w:trPr>
          <w:jc w:val="center"/>
        </w:trPr>
        <w:tc>
          <w:tcPr>
            <w:tcW w:w="2505" w:type="pct"/>
          </w:tcPr>
          <w:p w14:paraId="0C3BAF3C" w14:textId="77777777" w:rsidR="006F3DD7" w:rsidRPr="009270B9" w:rsidRDefault="006F3DD7" w:rsidP="00B92231">
            <w:pPr>
              <w:keepNext/>
              <w:widowControl w:val="0"/>
              <w:autoSpaceDE w:val="0"/>
              <w:autoSpaceDN w:val="0"/>
              <w:adjustRightInd w:val="0"/>
              <w:outlineLvl w:val="0"/>
              <w:rPr>
                <w:rFonts w:eastAsia="Times New Roman"/>
              </w:rPr>
            </w:pPr>
            <w:r w:rsidRPr="009270B9">
              <w:rPr>
                <w:rFonts w:eastAsia="Times New Roman"/>
              </w:rPr>
              <w:t>Base Rate (1-inch meter)</w:t>
            </w:r>
            <w:r>
              <w:rPr>
                <w:rFonts w:eastAsia="Times New Roman"/>
              </w:rPr>
              <w:t xml:space="preserve"> </w:t>
            </w:r>
          </w:p>
        </w:tc>
        <w:tc>
          <w:tcPr>
            <w:tcW w:w="1171" w:type="pct"/>
          </w:tcPr>
          <w:p w14:paraId="0C3BAF3D"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$15.11</w:t>
            </w:r>
          </w:p>
        </w:tc>
        <w:tc>
          <w:tcPr>
            <w:tcW w:w="1324" w:type="pct"/>
          </w:tcPr>
          <w:p w14:paraId="0C3BAF3E"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$17.75</w:t>
            </w:r>
          </w:p>
        </w:tc>
      </w:tr>
      <w:tr w:rsidR="006F3DD7" w:rsidRPr="009270B9" w14:paraId="0C3BAF43" w14:textId="77777777" w:rsidTr="000F453F">
        <w:trPr>
          <w:jc w:val="center"/>
        </w:trPr>
        <w:tc>
          <w:tcPr>
            <w:tcW w:w="2505" w:type="pct"/>
          </w:tcPr>
          <w:p w14:paraId="0C3BAF40" w14:textId="77777777" w:rsidR="006F3DD7" w:rsidRPr="009270B9" w:rsidRDefault="006F3DD7" w:rsidP="00B92231">
            <w:pPr>
              <w:widowControl w:val="0"/>
              <w:autoSpaceDE w:val="0"/>
              <w:autoSpaceDN w:val="0"/>
              <w:adjustRightInd w:val="0"/>
              <w:rPr>
                <w:rFonts w:eastAsia="Times New Roman"/>
              </w:rPr>
            </w:pPr>
            <w:r w:rsidRPr="009270B9">
              <w:rPr>
                <w:rFonts w:eastAsia="Times New Roman"/>
              </w:rPr>
              <w:t xml:space="preserve">0 – </w:t>
            </w:r>
            <w:r>
              <w:rPr>
                <w:rFonts w:eastAsia="Times New Roman"/>
              </w:rPr>
              <w:t>1,5</w:t>
            </w:r>
            <w:r w:rsidRPr="009270B9">
              <w:rPr>
                <w:rFonts w:eastAsia="Times New Roman"/>
              </w:rPr>
              <w:t>00 Cubic Feet</w:t>
            </w:r>
          </w:p>
        </w:tc>
        <w:tc>
          <w:tcPr>
            <w:tcW w:w="1171" w:type="pct"/>
          </w:tcPr>
          <w:p w14:paraId="0C3BAF41"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$.85</w:t>
            </w:r>
          </w:p>
        </w:tc>
        <w:tc>
          <w:tcPr>
            <w:tcW w:w="1324" w:type="pct"/>
          </w:tcPr>
          <w:p w14:paraId="0C3BAF42"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$.95</w:t>
            </w:r>
          </w:p>
        </w:tc>
      </w:tr>
      <w:tr w:rsidR="006F3DD7" w:rsidRPr="009270B9" w14:paraId="0C3BAF47" w14:textId="77777777" w:rsidTr="000F453F">
        <w:trPr>
          <w:jc w:val="center"/>
        </w:trPr>
        <w:tc>
          <w:tcPr>
            <w:tcW w:w="2505" w:type="pct"/>
          </w:tcPr>
          <w:p w14:paraId="0C3BAF44" w14:textId="77777777" w:rsidR="006F3DD7" w:rsidRPr="009270B9" w:rsidRDefault="006F3DD7" w:rsidP="00B92231">
            <w:pPr>
              <w:widowControl w:val="0"/>
              <w:autoSpaceDE w:val="0"/>
              <w:autoSpaceDN w:val="0"/>
              <w:adjustRightInd w:val="0"/>
              <w:rPr>
                <w:rFonts w:eastAsia="Times New Roman"/>
              </w:rPr>
            </w:pPr>
            <w:r>
              <w:rPr>
                <w:rFonts w:eastAsia="Times New Roman"/>
              </w:rPr>
              <w:t>1,501</w:t>
            </w:r>
            <w:r w:rsidRPr="009270B9">
              <w:rPr>
                <w:rFonts w:eastAsia="Times New Roman"/>
              </w:rPr>
              <w:t xml:space="preserve"> – </w:t>
            </w:r>
            <w:r>
              <w:rPr>
                <w:rFonts w:eastAsia="Times New Roman"/>
              </w:rPr>
              <w:t>7,5</w:t>
            </w:r>
            <w:r w:rsidRPr="009270B9">
              <w:rPr>
                <w:rFonts w:eastAsia="Times New Roman"/>
              </w:rPr>
              <w:t>0</w:t>
            </w:r>
            <w:r>
              <w:rPr>
                <w:rFonts w:eastAsia="Times New Roman"/>
              </w:rPr>
              <w:t>0</w:t>
            </w:r>
            <w:r w:rsidRPr="009270B9">
              <w:rPr>
                <w:rFonts w:eastAsia="Times New Roman"/>
              </w:rPr>
              <w:t xml:space="preserve"> Cubic Feet</w:t>
            </w:r>
          </w:p>
        </w:tc>
        <w:tc>
          <w:tcPr>
            <w:tcW w:w="1171" w:type="pct"/>
          </w:tcPr>
          <w:p w14:paraId="0C3BAF45" w14:textId="77777777" w:rsidR="006F3DD7" w:rsidRPr="009270B9" w:rsidRDefault="006F3DD7" w:rsidP="00B92231">
            <w:pPr>
              <w:widowControl w:val="0"/>
              <w:autoSpaceDE w:val="0"/>
              <w:autoSpaceDN w:val="0"/>
              <w:adjustRightInd w:val="0"/>
              <w:jc w:val="center"/>
              <w:rPr>
                <w:rFonts w:eastAsia="Times New Roman"/>
              </w:rPr>
            </w:pPr>
            <w:r w:rsidRPr="009270B9">
              <w:rPr>
                <w:rFonts w:eastAsia="Times New Roman"/>
              </w:rPr>
              <w:t>$.</w:t>
            </w:r>
            <w:r>
              <w:rPr>
                <w:rFonts w:eastAsia="Times New Roman"/>
              </w:rPr>
              <w:t>91</w:t>
            </w:r>
          </w:p>
        </w:tc>
        <w:tc>
          <w:tcPr>
            <w:tcW w:w="1324" w:type="pct"/>
          </w:tcPr>
          <w:p w14:paraId="0C3BAF46"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$1.00</w:t>
            </w:r>
          </w:p>
        </w:tc>
      </w:tr>
      <w:tr w:rsidR="006F3DD7" w:rsidRPr="009270B9" w14:paraId="0C3BAF4B" w14:textId="77777777" w:rsidTr="000F453F">
        <w:trPr>
          <w:jc w:val="center"/>
        </w:trPr>
        <w:tc>
          <w:tcPr>
            <w:tcW w:w="2505" w:type="pct"/>
          </w:tcPr>
          <w:p w14:paraId="0C3BAF48" w14:textId="77777777" w:rsidR="006F3DD7" w:rsidRPr="009270B9" w:rsidRDefault="006F3DD7" w:rsidP="00B92231">
            <w:pPr>
              <w:widowControl w:val="0"/>
              <w:autoSpaceDE w:val="0"/>
              <w:autoSpaceDN w:val="0"/>
              <w:adjustRightInd w:val="0"/>
              <w:rPr>
                <w:rFonts w:eastAsia="Times New Roman"/>
              </w:rPr>
            </w:pPr>
            <w:r w:rsidRPr="009270B9">
              <w:rPr>
                <w:rFonts w:eastAsia="Times New Roman"/>
              </w:rPr>
              <w:t xml:space="preserve">Over </w:t>
            </w:r>
            <w:r>
              <w:rPr>
                <w:rFonts w:eastAsia="Times New Roman"/>
              </w:rPr>
              <w:t>7,5</w:t>
            </w:r>
            <w:r w:rsidRPr="009270B9">
              <w:rPr>
                <w:rFonts w:eastAsia="Times New Roman"/>
              </w:rPr>
              <w:t>0</w:t>
            </w:r>
            <w:r>
              <w:rPr>
                <w:rFonts w:eastAsia="Times New Roman"/>
              </w:rPr>
              <w:t>0</w:t>
            </w:r>
            <w:r w:rsidRPr="009270B9">
              <w:rPr>
                <w:rFonts w:eastAsia="Times New Roman"/>
              </w:rPr>
              <w:t xml:space="preserve"> Cubic Feet</w:t>
            </w:r>
          </w:p>
        </w:tc>
        <w:tc>
          <w:tcPr>
            <w:tcW w:w="1171" w:type="pct"/>
          </w:tcPr>
          <w:p w14:paraId="0C3BAF49" w14:textId="77777777" w:rsidR="006F3DD7" w:rsidRPr="009270B9" w:rsidRDefault="006F3DD7" w:rsidP="00B92231">
            <w:pPr>
              <w:widowControl w:val="0"/>
              <w:autoSpaceDE w:val="0"/>
              <w:autoSpaceDN w:val="0"/>
              <w:adjustRightInd w:val="0"/>
              <w:jc w:val="center"/>
              <w:rPr>
                <w:rFonts w:eastAsia="Times New Roman"/>
              </w:rPr>
            </w:pPr>
            <w:r w:rsidRPr="009270B9">
              <w:rPr>
                <w:rFonts w:eastAsia="Times New Roman"/>
              </w:rPr>
              <w:t>$</w:t>
            </w:r>
            <w:r>
              <w:rPr>
                <w:rFonts w:eastAsia="Times New Roman"/>
              </w:rPr>
              <w:t>5.00</w:t>
            </w:r>
          </w:p>
        </w:tc>
        <w:tc>
          <w:tcPr>
            <w:tcW w:w="1324" w:type="pct"/>
          </w:tcPr>
          <w:p w14:paraId="0C3BAF4A"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$5.00</w:t>
            </w:r>
          </w:p>
        </w:tc>
      </w:tr>
      <w:tr w:rsidR="006F3DD7" w:rsidRPr="009270B9" w14:paraId="0C3BAF4F" w14:textId="77777777" w:rsidTr="000F453F">
        <w:trPr>
          <w:trHeight w:val="260"/>
          <w:jc w:val="center"/>
        </w:trPr>
        <w:tc>
          <w:tcPr>
            <w:tcW w:w="2505" w:type="pct"/>
          </w:tcPr>
          <w:p w14:paraId="0C3BAF4C" w14:textId="77777777" w:rsidR="006F3DD7" w:rsidRPr="009270B9" w:rsidRDefault="006F3DD7" w:rsidP="00B92231">
            <w:pPr>
              <w:widowControl w:val="0"/>
              <w:autoSpaceDE w:val="0"/>
              <w:autoSpaceDN w:val="0"/>
              <w:adjustRightInd w:val="0"/>
              <w:rPr>
                <w:rFonts w:eastAsia="Times New Roman"/>
              </w:rPr>
            </w:pPr>
          </w:p>
        </w:tc>
        <w:tc>
          <w:tcPr>
            <w:tcW w:w="1171" w:type="pct"/>
          </w:tcPr>
          <w:p w14:paraId="0C3BAF4D" w14:textId="77777777" w:rsidR="006F3DD7" w:rsidRPr="009270B9" w:rsidRDefault="006F3DD7" w:rsidP="00B92231">
            <w:pPr>
              <w:widowControl w:val="0"/>
              <w:autoSpaceDE w:val="0"/>
              <w:autoSpaceDN w:val="0"/>
              <w:adjustRightInd w:val="0"/>
              <w:jc w:val="center"/>
              <w:rPr>
                <w:rFonts w:eastAsia="Times New Roman"/>
              </w:rPr>
            </w:pPr>
          </w:p>
        </w:tc>
        <w:tc>
          <w:tcPr>
            <w:tcW w:w="1324" w:type="pct"/>
          </w:tcPr>
          <w:p w14:paraId="0C3BAF4E" w14:textId="77777777" w:rsidR="006F3DD7" w:rsidRPr="009270B9" w:rsidRDefault="006F3DD7" w:rsidP="00B92231">
            <w:pPr>
              <w:widowControl w:val="0"/>
              <w:autoSpaceDE w:val="0"/>
              <w:autoSpaceDN w:val="0"/>
              <w:adjustRightInd w:val="0"/>
              <w:jc w:val="center"/>
              <w:rPr>
                <w:rFonts w:eastAsia="Times New Roman"/>
              </w:rPr>
            </w:pPr>
          </w:p>
        </w:tc>
      </w:tr>
      <w:tr w:rsidR="006F3DD7" w:rsidRPr="009270B9" w14:paraId="0C3BAF53" w14:textId="77777777" w:rsidTr="000F453F">
        <w:trPr>
          <w:jc w:val="center"/>
        </w:trPr>
        <w:tc>
          <w:tcPr>
            <w:tcW w:w="2505" w:type="pct"/>
          </w:tcPr>
          <w:p w14:paraId="0C3BAF50" w14:textId="77777777" w:rsidR="006F3DD7" w:rsidRPr="009270B9" w:rsidRDefault="006F3DD7" w:rsidP="00B92231">
            <w:pPr>
              <w:widowControl w:val="0"/>
              <w:autoSpaceDE w:val="0"/>
              <w:autoSpaceDN w:val="0"/>
              <w:adjustRightInd w:val="0"/>
              <w:rPr>
                <w:rFonts w:eastAsia="Times New Roman"/>
              </w:rPr>
            </w:pPr>
            <w:r>
              <w:rPr>
                <w:rFonts w:eastAsia="Times New Roman"/>
                <w:b/>
              </w:rPr>
              <w:t>Non-</w:t>
            </w:r>
            <w:r w:rsidRPr="00BE627B">
              <w:rPr>
                <w:rFonts w:eastAsia="Times New Roman"/>
                <w:b/>
              </w:rPr>
              <w:t>Residential Metered Rate Service</w:t>
            </w:r>
          </w:p>
        </w:tc>
        <w:tc>
          <w:tcPr>
            <w:tcW w:w="1171" w:type="pct"/>
          </w:tcPr>
          <w:p w14:paraId="0C3BAF51" w14:textId="77777777" w:rsidR="006F3DD7" w:rsidRPr="009270B9" w:rsidRDefault="006F3DD7" w:rsidP="00B92231">
            <w:pPr>
              <w:widowControl w:val="0"/>
              <w:autoSpaceDE w:val="0"/>
              <w:autoSpaceDN w:val="0"/>
              <w:adjustRightInd w:val="0"/>
              <w:jc w:val="center"/>
              <w:rPr>
                <w:rFonts w:eastAsia="Times New Roman"/>
              </w:rPr>
            </w:pPr>
          </w:p>
        </w:tc>
        <w:tc>
          <w:tcPr>
            <w:tcW w:w="1324" w:type="pct"/>
          </w:tcPr>
          <w:p w14:paraId="0C3BAF52" w14:textId="77777777" w:rsidR="006F3DD7" w:rsidRPr="009270B9" w:rsidRDefault="006F3DD7" w:rsidP="00B92231">
            <w:pPr>
              <w:widowControl w:val="0"/>
              <w:autoSpaceDE w:val="0"/>
              <w:autoSpaceDN w:val="0"/>
              <w:adjustRightInd w:val="0"/>
              <w:jc w:val="center"/>
              <w:rPr>
                <w:rFonts w:eastAsia="Times New Roman"/>
              </w:rPr>
            </w:pPr>
          </w:p>
        </w:tc>
      </w:tr>
      <w:tr w:rsidR="006F3DD7" w:rsidRPr="009270B9" w14:paraId="0C3BAF57" w14:textId="77777777" w:rsidTr="000F453F">
        <w:trPr>
          <w:jc w:val="center"/>
        </w:trPr>
        <w:tc>
          <w:tcPr>
            <w:tcW w:w="2505" w:type="pct"/>
          </w:tcPr>
          <w:p w14:paraId="0C3BAF54" w14:textId="77777777" w:rsidR="006F3DD7" w:rsidRPr="009270B9" w:rsidRDefault="006F3DD7" w:rsidP="00B92231">
            <w:pPr>
              <w:keepNext/>
              <w:widowControl w:val="0"/>
              <w:autoSpaceDE w:val="0"/>
              <w:autoSpaceDN w:val="0"/>
              <w:adjustRightInd w:val="0"/>
              <w:outlineLvl w:val="0"/>
              <w:rPr>
                <w:rFonts w:eastAsia="Times New Roman"/>
              </w:rPr>
            </w:pPr>
            <w:r w:rsidRPr="009270B9">
              <w:rPr>
                <w:rFonts w:eastAsia="Times New Roman"/>
              </w:rPr>
              <w:t>Base Rate (1-inch meter)</w:t>
            </w:r>
            <w:r>
              <w:rPr>
                <w:rFonts w:eastAsia="Times New Roman"/>
              </w:rPr>
              <w:t xml:space="preserve"> </w:t>
            </w:r>
          </w:p>
        </w:tc>
        <w:tc>
          <w:tcPr>
            <w:tcW w:w="1171" w:type="pct"/>
          </w:tcPr>
          <w:p w14:paraId="0C3BAF55" w14:textId="77777777" w:rsidR="006F3DD7" w:rsidRPr="009270B9" w:rsidRDefault="006F3DD7" w:rsidP="00B92231">
            <w:pPr>
              <w:widowControl w:val="0"/>
              <w:autoSpaceDE w:val="0"/>
              <w:autoSpaceDN w:val="0"/>
              <w:adjustRightInd w:val="0"/>
              <w:jc w:val="center"/>
              <w:rPr>
                <w:rFonts w:eastAsia="Times New Roman"/>
              </w:rPr>
            </w:pPr>
            <w:r w:rsidRPr="009270B9">
              <w:rPr>
                <w:rFonts w:eastAsia="Times New Roman"/>
              </w:rPr>
              <w:t>$</w:t>
            </w:r>
            <w:r>
              <w:rPr>
                <w:rFonts w:eastAsia="Times New Roman"/>
              </w:rPr>
              <w:t>12.13</w:t>
            </w:r>
          </w:p>
        </w:tc>
        <w:tc>
          <w:tcPr>
            <w:tcW w:w="1324" w:type="pct"/>
          </w:tcPr>
          <w:p w14:paraId="0C3BAF56"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$17.75</w:t>
            </w:r>
          </w:p>
        </w:tc>
      </w:tr>
      <w:tr w:rsidR="006F3DD7" w:rsidRPr="009270B9" w14:paraId="0C3BAF5B" w14:textId="77777777" w:rsidTr="000F453F">
        <w:trPr>
          <w:jc w:val="center"/>
        </w:trPr>
        <w:tc>
          <w:tcPr>
            <w:tcW w:w="2505" w:type="pct"/>
          </w:tcPr>
          <w:p w14:paraId="0C3BAF58" w14:textId="77777777" w:rsidR="006F3DD7" w:rsidRPr="009270B9" w:rsidRDefault="006F3DD7" w:rsidP="00B92231">
            <w:pPr>
              <w:widowControl w:val="0"/>
              <w:autoSpaceDE w:val="0"/>
              <w:autoSpaceDN w:val="0"/>
              <w:adjustRightInd w:val="0"/>
              <w:rPr>
                <w:rFonts w:eastAsia="Times New Roman"/>
              </w:rPr>
            </w:pPr>
            <w:r w:rsidRPr="009270B9">
              <w:rPr>
                <w:rFonts w:eastAsia="Times New Roman"/>
              </w:rPr>
              <w:t xml:space="preserve">0 – </w:t>
            </w:r>
            <w:r>
              <w:rPr>
                <w:rFonts w:eastAsia="Times New Roman"/>
              </w:rPr>
              <w:t>1,5</w:t>
            </w:r>
            <w:r w:rsidRPr="009270B9">
              <w:rPr>
                <w:rFonts w:eastAsia="Times New Roman"/>
              </w:rPr>
              <w:t>00 Cubic Feet</w:t>
            </w:r>
          </w:p>
        </w:tc>
        <w:tc>
          <w:tcPr>
            <w:tcW w:w="1171" w:type="pct"/>
          </w:tcPr>
          <w:p w14:paraId="0C3BAF59"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$.85</w:t>
            </w:r>
          </w:p>
        </w:tc>
        <w:tc>
          <w:tcPr>
            <w:tcW w:w="1324" w:type="pct"/>
          </w:tcPr>
          <w:p w14:paraId="0C3BAF5A" w14:textId="77777777" w:rsidR="006F3DD7" w:rsidRPr="009270B9" w:rsidRDefault="006F3DD7" w:rsidP="00B92231">
            <w:pPr>
              <w:widowControl w:val="0"/>
              <w:autoSpaceDE w:val="0"/>
              <w:autoSpaceDN w:val="0"/>
              <w:adjustRightInd w:val="0"/>
              <w:jc w:val="center"/>
              <w:rPr>
                <w:rFonts w:eastAsia="Times New Roman"/>
              </w:rPr>
            </w:pPr>
            <w:r w:rsidRPr="009270B9">
              <w:rPr>
                <w:rFonts w:eastAsia="Times New Roman"/>
              </w:rPr>
              <w:t>$</w:t>
            </w:r>
            <w:r>
              <w:rPr>
                <w:rFonts w:eastAsia="Times New Roman"/>
              </w:rPr>
              <w:t>.95</w:t>
            </w:r>
          </w:p>
        </w:tc>
      </w:tr>
      <w:tr w:rsidR="006F3DD7" w:rsidRPr="009270B9" w14:paraId="0C3BAF5F" w14:textId="77777777" w:rsidTr="000F453F">
        <w:trPr>
          <w:jc w:val="center"/>
        </w:trPr>
        <w:tc>
          <w:tcPr>
            <w:tcW w:w="2505" w:type="pct"/>
          </w:tcPr>
          <w:p w14:paraId="0C3BAF5C" w14:textId="77777777" w:rsidR="006F3DD7" w:rsidRPr="009270B9" w:rsidRDefault="006F3DD7" w:rsidP="00B92231">
            <w:pPr>
              <w:widowControl w:val="0"/>
              <w:autoSpaceDE w:val="0"/>
              <w:autoSpaceDN w:val="0"/>
              <w:adjustRightInd w:val="0"/>
              <w:rPr>
                <w:rFonts w:eastAsia="Times New Roman"/>
              </w:rPr>
            </w:pPr>
            <w:r>
              <w:rPr>
                <w:rFonts w:eastAsia="Times New Roman"/>
              </w:rPr>
              <w:t>1,501</w:t>
            </w:r>
            <w:r w:rsidRPr="009270B9">
              <w:rPr>
                <w:rFonts w:eastAsia="Times New Roman"/>
              </w:rPr>
              <w:t xml:space="preserve"> – </w:t>
            </w:r>
            <w:r>
              <w:rPr>
                <w:rFonts w:eastAsia="Times New Roman"/>
              </w:rPr>
              <w:t>7,5</w:t>
            </w:r>
            <w:r w:rsidRPr="009270B9">
              <w:rPr>
                <w:rFonts w:eastAsia="Times New Roman"/>
              </w:rPr>
              <w:t>0</w:t>
            </w:r>
            <w:r>
              <w:rPr>
                <w:rFonts w:eastAsia="Times New Roman"/>
              </w:rPr>
              <w:t>0</w:t>
            </w:r>
            <w:r w:rsidRPr="009270B9">
              <w:rPr>
                <w:rFonts w:eastAsia="Times New Roman"/>
              </w:rPr>
              <w:t xml:space="preserve"> Cubic Feet</w:t>
            </w:r>
          </w:p>
        </w:tc>
        <w:tc>
          <w:tcPr>
            <w:tcW w:w="1171" w:type="pct"/>
          </w:tcPr>
          <w:p w14:paraId="0C3BAF5D"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$1.10</w:t>
            </w:r>
          </w:p>
        </w:tc>
        <w:tc>
          <w:tcPr>
            <w:tcW w:w="1324" w:type="pct"/>
          </w:tcPr>
          <w:p w14:paraId="0C3BAF5E" w14:textId="77777777" w:rsidR="006F3DD7" w:rsidRPr="009270B9" w:rsidRDefault="006F3DD7" w:rsidP="00B92231">
            <w:pPr>
              <w:widowControl w:val="0"/>
              <w:autoSpaceDE w:val="0"/>
              <w:autoSpaceDN w:val="0"/>
              <w:adjustRightInd w:val="0"/>
              <w:jc w:val="center"/>
              <w:rPr>
                <w:rFonts w:eastAsia="Times New Roman"/>
              </w:rPr>
            </w:pPr>
            <w:r w:rsidRPr="009270B9">
              <w:rPr>
                <w:rFonts w:eastAsia="Times New Roman"/>
              </w:rPr>
              <w:t>$</w:t>
            </w:r>
            <w:r>
              <w:rPr>
                <w:rFonts w:eastAsia="Times New Roman"/>
              </w:rPr>
              <w:t>1.25</w:t>
            </w:r>
          </w:p>
        </w:tc>
      </w:tr>
      <w:tr w:rsidR="006F3DD7" w:rsidRPr="009270B9" w14:paraId="0C3BAF63" w14:textId="77777777" w:rsidTr="000F453F">
        <w:trPr>
          <w:jc w:val="center"/>
        </w:trPr>
        <w:tc>
          <w:tcPr>
            <w:tcW w:w="2505" w:type="pct"/>
          </w:tcPr>
          <w:p w14:paraId="0C3BAF60" w14:textId="77777777" w:rsidR="006F3DD7" w:rsidRPr="009270B9" w:rsidRDefault="006F3DD7" w:rsidP="00B92231">
            <w:pPr>
              <w:widowControl w:val="0"/>
              <w:autoSpaceDE w:val="0"/>
              <w:autoSpaceDN w:val="0"/>
              <w:adjustRightInd w:val="0"/>
              <w:rPr>
                <w:rFonts w:eastAsia="Times New Roman"/>
              </w:rPr>
            </w:pPr>
            <w:r w:rsidRPr="009270B9">
              <w:rPr>
                <w:rFonts w:eastAsia="Times New Roman"/>
              </w:rPr>
              <w:t xml:space="preserve">Over </w:t>
            </w:r>
            <w:r>
              <w:rPr>
                <w:rFonts w:eastAsia="Times New Roman"/>
              </w:rPr>
              <w:t>7,5</w:t>
            </w:r>
            <w:r w:rsidRPr="009270B9">
              <w:rPr>
                <w:rFonts w:eastAsia="Times New Roman"/>
              </w:rPr>
              <w:t>0</w:t>
            </w:r>
            <w:r>
              <w:rPr>
                <w:rFonts w:eastAsia="Times New Roman"/>
              </w:rPr>
              <w:t>0</w:t>
            </w:r>
            <w:r w:rsidRPr="009270B9">
              <w:rPr>
                <w:rFonts w:eastAsia="Times New Roman"/>
              </w:rPr>
              <w:t xml:space="preserve"> Cubic Feet</w:t>
            </w:r>
          </w:p>
        </w:tc>
        <w:tc>
          <w:tcPr>
            <w:tcW w:w="1171" w:type="pct"/>
          </w:tcPr>
          <w:p w14:paraId="0C3BAF61" w14:textId="77777777" w:rsidR="006F3DD7" w:rsidRPr="009270B9" w:rsidRDefault="006F3DD7" w:rsidP="00B92231">
            <w:pPr>
              <w:widowControl w:val="0"/>
              <w:autoSpaceDE w:val="0"/>
              <w:autoSpaceDN w:val="0"/>
              <w:adjustRightInd w:val="0"/>
              <w:jc w:val="center"/>
              <w:rPr>
                <w:rFonts w:eastAsia="Times New Roman"/>
              </w:rPr>
            </w:pPr>
            <w:r w:rsidRPr="009270B9">
              <w:rPr>
                <w:rFonts w:eastAsia="Times New Roman"/>
              </w:rPr>
              <w:t>$</w:t>
            </w:r>
            <w:r>
              <w:rPr>
                <w:rFonts w:eastAsia="Times New Roman"/>
              </w:rPr>
              <w:t>1.36</w:t>
            </w:r>
          </w:p>
        </w:tc>
        <w:tc>
          <w:tcPr>
            <w:tcW w:w="1324" w:type="pct"/>
          </w:tcPr>
          <w:p w14:paraId="0C3BAF62"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$1.50</w:t>
            </w:r>
          </w:p>
        </w:tc>
      </w:tr>
    </w:tbl>
    <w:p w14:paraId="0C3BAF64" w14:textId="77777777" w:rsidR="00B92231" w:rsidRDefault="00B92231" w:rsidP="00B92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rPr>
      </w:pPr>
    </w:p>
    <w:p w14:paraId="0C3BAF65" w14:textId="77777777" w:rsidR="00B92231" w:rsidRPr="00C873CD" w:rsidRDefault="00B92231" w:rsidP="00815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jc w:val="center"/>
        <w:rPr>
          <w:rFonts w:eastAsia="Times New Roman"/>
          <w:sz w:val="22"/>
          <w:szCs w:val="22"/>
        </w:rPr>
      </w:pPr>
      <w:r w:rsidRPr="00C873CD">
        <w:rPr>
          <w:rFonts w:eastAsia="Times New Roman"/>
          <w:sz w:val="22"/>
          <w:szCs w:val="22"/>
        </w:rPr>
        <w:t>* Other upsize meter rates are also changed and available in the proposed tariff.</w:t>
      </w:r>
    </w:p>
    <w:p w14:paraId="0C3BAF66" w14:textId="77777777" w:rsidR="00B92231" w:rsidRPr="00C873CD" w:rsidRDefault="00B92231" w:rsidP="00B92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sz w:val="22"/>
          <w:szCs w:val="22"/>
        </w:rPr>
      </w:pPr>
    </w:p>
    <w:p w14:paraId="0C3BAF67" w14:textId="77777777" w:rsidR="00B92231" w:rsidRDefault="00B92231" w:rsidP="00B92231">
      <w:pPr>
        <w:jc w:val="center"/>
        <w:rPr>
          <w:rFonts w:eastAsia="Times New Roman"/>
          <w:b/>
          <w:u w:val="single"/>
        </w:rPr>
      </w:pPr>
    </w:p>
    <w:p w14:paraId="0C3BAF68" w14:textId="4EBDD1D6" w:rsidR="00EB1647" w:rsidRDefault="00EB1647">
      <w:pPr>
        <w:rPr>
          <w:rFonts w:eastAsia="Times New Roman"/>
          <w:b/>
          <w:u w:val="single"/>
        </w:rPr>
      </w:pPr>
      <w:r>
        <w:rPr>
          <w:rFonts w:eastAsia="Times New Roman"/>
          <w:b/>
          <w:u w:val="single"/>
        </w:rPr>
        <w:br w:type="page"/>
      </w:r>
    </w:p>
    <w:p w14:paraId="0C3BAF69" w14:textId="235F54E1" w:rsidR="00B92231" w:rsidRPr="009270B9" w:rsidRDefault="00B92231" w:rsidP="00B92231">
      <w:pPr>
        <w:jc w:val="center"/>
        <w:rPr>
          <w:rFonts w:eastAsia="Times New Roman"/>
          <w:b/>
          <w:u w:val="single"/>
        </w:rPr>
      </w:pPr>
      <w:r w:rsidRPr="009270B9">
        <w:rPr>
          <w:rFonts w:eastAsia="Times New Roman"/>
          <w:b/>
          <w:u w:val="single"/>
        </w:rPr>
        <w:t>Average Bill Comparison</w:t>
      </w:r>
      <w:r w:rsidR="006F3DD7">
        <w:rPr>
          <w:rFonts w:eastAsia="Times New Roman"/>
          <w:b/>
          <w:u w:val="single"/>
        </w:rPr>
        <w:t>--Residential</w:t>
      </w:r>
    </w:p>
    <w:p w14:paraId="0C3BAF6A" w14:textId="77777777" w:rsidR="00B92231" w:rsidRPr="009270B9" w:rsidRDefault="00B92231" w:rsidP="00B92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rPr>
      </w:pPr>
    </w:p>
    <w:tbl>
      <w:tblPr>
        <w:tblW w:w="3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1956"/>
        <w:gridCol w:w="2203"/>
      </w:tblGrid>
      <w:tr w:rsidR="006F3DD7" w:rsidRPr="009270B9" w14:paraId="0C3BAF70" w14:textId="77777777" w:rsidTr="008152CC">
        <w:trPr>
          <w:trHeight w:val="620"/>
          <w:jc w:val="center"/>
        </w:trPr>
        <w:tc>
          <w:tcPr>
            <w:tcW w:w="2180" w:type="pct"/>
          </w:tcPr>
          <w:p w14:paraId="0C3BAF6B" w14:textId="77777777" w:rsidR="006F3DD7" w:rsidRPr="009270B9" w:rsidRDefault="006F3DD7" w:rsidP="00B92231">
            <w:pPr>
              <w:keepNext/>
              <w:widowControl w:val="0"/>
              <w:autoSpaceDE w:val="0"/>
              <w:autoSpaceDN w:val="0"/>
              <w:adjustRightInd w:val="0"/>
              <w:jc w:val="center"/>
              <w:outlineLvl w:val="0"/>
              <w:rPr>
                <w:rFonts w:eastAsia="Times New Roman"/>
                <w:b/>
              </w:rPr>
            </w:pPr>
            <w:r w:rsidRPr="009270B9">
              <w:rPr>
                <w:rFonts w:eastAsia="Times New Roman"/>
                <w:b/>
              </w:rPr>
              <w:t xml:space="preserve">Average Monthly </w:t>
            </w:r>
            <w:r>
              <w:rPr>
                <w:rFonts w:eastAsia="Times New Roman"/>
                <w:b/>
              </w:rPr>
              <w:t>Useage</w:t>
            </w:r>
          </w:p>
          <w:p w14:paraId="0C3BAF6C" w14:textId="2769D459" w:rsidR="006F3DD7" w:rsidRPr="009270B9" w:rsidRDefault="006F3DD7" w:rsidP="00B84E7C">
            <w:pPr>
              <w:keepNext/>
              <w:widowControl w:val="0"/>
              <w:autoSpaceDE w:val="0"/>
              <w:autoSpaceDN w:val="0"/>
              <w:adjustRightInd w:val="0"/>
              <w:jc w:val="center"/>
              <w:outlineLvl w:val="0"/>
              <w:rPr>
                <w:rFonts w:eastAsia="Times New Roman"/>
                <w:b/>
              </w:rPr>
            </w:pPr>
            <w:r>
              <w:rPr>
                <w:rFonts w:eastAsia="Times New Roman"/>
                <w:b/>
              </w:rPr>
              <w:t>8</w:t>
            </w:r>
            <w:r w:rsidR="00A54D16">
              <w:rPr>
                <w:rFonts w:eastAsia="Times New Roman"/>
                <w:b/>
              </w:rPr>
              <w:t>23</w:t>
            </w:r>
            <w:r>
              <w:rPr>
                <w:rFonts w:eastAsia="Times New Roman"/>
                <w:b/>
              </w:rPr>
              <w:t xml:space="preserve"> </w:t>
            </w:r>
            <w:r w:rsidR="00B84E7C" w:rsidRPr="00B84E7C">
              <w:rPr>
                <w:rFonts w:eastAsia="Times New Roman"/>
                <w:b/>
              </w:rPr>
              <w:t>Cubic Feet</w:t>
            </w:r>
          </w:p>
        </w:tc>
        <w:tc>
          <w:tcPr>
            <w:tcW w:w="1326" w:type="pct"/>
            <w:vAlign w:val="center"/>
          </w:tcPr>
          <w:p w14:paraId="0C3BAF6D" w14:textId="77777777" w:rsidR="006F3DD7" w:rsidRPr="009270B9" w:rsidRDefault="006F3DD7" w:rsidP="00B92231">
            <w:pPr>
              <w:widowControl w:val="0"/>
              <w:autoSpaceDE w:val="0"/>
              <w:autoSpaceDN w:val="0"/>
              <w:adjustRightInd w:val="0"/>
              <w:jc w:val="center"/>
              <w:rPr>
                <w:rFonts w:eastAsia="Times New Roman"/>
                <w:b/>
              </w:rPr>
            </w:pPr>
            <w:r w:rsidRPr="009270B9">
              <w:rPr>
                <w:rFonts w:eastAsia="Times New Roman"/>
                <w:b/>
              </w:rPr>
              <w:t>Current Rate</w:t>
            </w:r>
          </w:p>
        </w:tc>
        <w:tc>
          <w:tcPr>
            <w:tcW w:w="1494" w:type="pct"/>
            <w:vAlign w:val="center"/>
          </w:tcPr>
          <w:p w14:paraId="0C3BAF6F" w14:textId="77777777" w:rsidR="006F3DD7" w:rsidRPr="009270B9" w:rsidRDefault="006F3DD7">
            <w:pPr>
              <w:widowControl w:val="0"/>
              <w:autoSpaceDE w:val="0"/>
              <w:autoSpaceDN w:val="0"/>
              <w:adjustRightInd w:val="0"/>
              <w:jc w:val="center"/>
              <w:rPr>
                <w:rFonts w:eastAsia="Times New Roman"/>
                <w:b/>
              </w:rPr>
            </w:pPr>
            <w:r w:rsidRPr="009270B9">
              <w:rPr>
                <w:rFonts w:eastAsia="Times New Roman"/>
                <w:b/>
              </w:rPr>
              <w:t>Proposed Rate</w:t>
            </w:r>
          </w:p>
        </w:tc>
      </w:tr>
      <w:tr w:rsidR="006F3DD7" w:rsidRPr="009270B9" w14:paraId="0C3BAF74" w14:textId="77777777" w:rsidTr="000F453F">
        <w:trPr>
          <w:jc w:val="center"/>
        </w:trPr>
        <w:tc>
          <w:tcPr>
            <w:tcW w:w="2180" w:type="pct"/>
          </w:tcPr>
          <w:p w14:paraId="0C3BAF71" w14:textId="1119A9CC" w:rsidR="006F3DD7" w:rsidRPr="009270B9" w:rsidRDefault="006F3DD7" w:rsidP="00155281">
            <w:pPr>
              <w:keepNext/>
              <w:widowControl w:val="0"/>
              <w:autoSpaceDE w:val="0"/>
              <w:autoSpaceDN w:val="0"/>
              <w:adjustRightInd w:val="0"/>
              <w:outlineLvl w:val="0"/>
              <w:rPr>
                <w:rFonts w:eastAsia="Times New Roman"/>
              </w:rPr>
            </w:pPr>
            <w:r>
              <w:rPr>
                <w:rFonts w:eastAsia="Times New Roman"/>
              </w:rPr>
              <w:t>Base Rate (3/4-</w:t>
            </w:r>
            <w:r w:rsidR="00B84E7C">
              <w:rPr>
                <w:rFonts w:eastAsia="Times New Roman"/>
              </w:rPr>
              <w:t>I</w:t>
            </w:r>
            <w:r w:rsidR="00B84E7C" w:rsidRPr="009270B9">
              <w:rPr>
                <w:rFonts w:eastAsia="Times New Roman"/>
              </w:rPr>
              <w:t xml:space="preserve">nch </w:t>
            </w:r>
            <w:r w:rsidR="00B84E7C">
              <w:rPr>
                <w:rFonts w:eastAsia="Times New Roman"/>
              </w:rPr>
              <w:t>M</w:t>
            </w:r>
            <w:r w:rsidR="00B84E7C" w:rsidRPr="009270B9">
              <w:rPr>
                <w:rFonts w:eastAsia="Times New Roman"/>
              </w:rPr>
              <w:t>eter</w:t>
            </w:r>
            <w:r w:rsidRPr="009270B9">
              <w:rPr>
                <w:rFonts w:eastAsia="Times New Roman"/>
              </w:rPr>
              <w:t>)</w:t>
            </w:r>
          </w:p>
        </w:tc>
        <w:tc>
          <w:tcPr>
            <w:tcW w:w="1326" w:type="pct"/>
          </w:tcPr>
          <w:p w14:paraId="0C3BAF72"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$12.22</w:t>
            </w:r>
          </w:p>
        </w:tc>
        <w:tc>
          <w:tcPr>
            <w:tcW w:w="1494" w:type="pct"/>
          </w:tcPr>
          <w:p w14:paraId="0C3BAF73" w14:textId="77777777" w:rsidR="006F3DD7" w:rsidRPr="009553EB" w:rsidRDefault="006F3DD7" w:rsidP="00B92231">
            <w:pPr>
              <w:widowControl w:val="0"/>
              <w:autoSpaceDE w:val="0"/>
              <w:autoSpaceDN w:val="0"/>
              <w:adjustRightInd w:val="0"/>
              <w:jc w:val="center"/>
              <w:rPr>
                <w:rFonts w:eastAsia="Times New Roman"/>
              </w:rPr>
            </w:pPr>
            <w:r>
              <w:rPr>
                <w:rFonts w:eastAsia="Times New Roman"/>
              </w:rPr>
              <w:t>$13.90</w:t>
            </w:r>
          </w:p>
        </w:tc>
      </w:tr>
      <w:tr w:rsidR="006F3DD7" w:rsidRPr="009270B9" w14:paraId="0C3BAF78" w14:textId="77777777" w:rsidTr="000F453F">
        <w:trPr>
          <w:jc w:val="center"/>
        </w:trPr>
        <w:tc>
          <w:tcPr>
            <w:tcW w:w="2180" w:type="pct"/>
          </w:tcPr>
          <w:p w14:paraId="0C3BAF75" w14:textId="2093A844" w:rsidR="006F3DD7" w:rsidRPr="009270B9" w:rsidRDefault="006F3DD7" w:rsidP="00B92231">
            <w:pPr>
              <w:widowControl w:val="0"/>
              <w:autoSpaceDE w:val="0"/>
              <w:autoSpaceDN w:val="0"/>
              <w:adjustRightInd w:val="0"/>
              <w:rPr>
                <w:rFonts w:eastAsia="Times New Roman"/>
              </w:rPr>
            </w:pPr>
            <w:r>
              <w:rPr>
                <w:rFonts w:eastAsia="Times New Roman"/>
              </w:rPr>
              <w:t xml:space="preserve">0 - 600 </w:t>
            </w:r>
            <w:r w:rsidR="00B84E7C" w:rsidRPr="009270B9">
              <w:rPr>
                <w:rFonts w:eastAsia="Times New Roman"/>
              </w:rPr>
              <w:t>Cubic Feet</w:t>
            </w:r>
          </w:p>
        </w:tc>
        <w:tc>
          <w:tcPr>
            <w:tcW w:w="1326" w:type="pct"/>
          </w:tcPr>
          <w:p w14:paraId="0C3BAF76" w14:textId="77777777" w:rsidR="006F3DD7" w:rsidRPr="009270B9" w:rsidRDefault="006F3DD7" w:rsidP="00B92231">
            <w:pPr>
              <w:widowControl w:val="0"/>
              <w:autoSpaceDE w:val="0"/>
              <w:autoSpaceDN w:val="0"/>
              <w:adjustRightInd w:val="0"/>
              <w:jc w:val="center"/>
              <w:rPr>
                <w:rFonts w:eastAsia="Times New Roman"/>
              </w:rPr>
            </w:pPr>
            <w:r>
              <w:rPr>
                <w:rFonts w:eastAsia="Times New Roman"/>
              </w:rPr>
              <w:t>$5.10</w:t>
            </w:r>
          </w:p>
        </w:tc>
        <w:tc>
          <w:tcPr>
            <w:tcW w:w="1494" w:type="pct"/>
          </w:tcPr>
          <w:p w14:paraId="0C3BAF77" w14:textId="77777777" w:rsidR="006F3DD7" w:rsidRPr="009553EB" w:rsidRDefault="006F3DD7" w:rsidP="00B92231">
            <w:pPr>
              <w:widowControl w:val="0"/>
              <w:autoSpaceDE w:val="0"/>
              <w:autoSpaceDN w:val="0"/>
              <w:adjustRightInd w:val="0"/>
              <w:jc w:val="center"/>
              <w:rPr>
                <w:rFonts w:eastAsia="Times New Roman"/>
              </w:rPr>
            </w:pPr>
            <w:r>
              <w:rPr>
                <w:rFonts w:eastAsia="Times New Roman"/>
              </w:rPr>
              <w:t>$5.70</w:t>
            </w:r>
          </w:p>
        </w:tc>
      </w:tr>
      <w:tr w:rsidR="006F3DD7" w:rsidRPr="009270B9" w14:paraId="0C3BAF7C" w14:textId="77777777" w:rsidTr="000F453F">
        <w:trPr>
          <w:jc w:val="center"/>
        </w:trPr>
        <w:tc>
          <w:tcPr>
            <w:tcW w:w="2180" w:type="pct"/>
          </w:tcPr>
          <w:p w14:paraId="0C3BAF79" w14:textId="5BAAF22C" w:rsidR="006F3DD7" w:rsidRPr="009270B9" w:rsidRDefault="006F3DD7" w:rsidP="00A54D16">
            <w:pPr>
              <w:widowControl w:val="0"/>
              <w:autoSpaceDE w:val="0"/>
              <w:autoSpaceDN w:val="0"/>
              <w:adjustRightInd w:val="0"/>
              <w:rPr>
                <w:rFonts w:eastAsia="Times New Roman"/>
              </w:rPr>
            </w:pPr>
            <w:r>
              <w:rPr>
                <w:rFonts w:eastAsia="Times New Roman"/>
              </w:rPr>
              <w:t xml:space="preserve">601 - </w:t>
            </w:r>
            <w:r w:rsidR="00A54D16">
              <w:rPr>
                <w:rFonts w:eastAsia="Times New Roman"/>
              </w:rPr>
              <w:t>823</w:t>
            </w:r>
            <w:r>
              <w:rPr>
                <w:rFonts w:eastAsia="Times New Roman"/>
              </w:rPr>
              <w:t xml:space="preserve"> </w:t>
            </w:r>
            <w:r w:rsidR="00B84E7C" w:rsidRPr="009270B9">
              <w:rPr>
                <w:rFonts w:eastAsia="Times New Roman"/>
              </w:rPr>
              <w:t>Cubic Feet</w:t>
            </w:r>
          </w:p>
        </w:tc>
        <w:tc>
          <w:tcPr>
            <w:tcW w:w="1326" w:type="pct"/>
          </w:tcPr>
          <w:p w14:paraId="0C3BAF7A" w14:textId="2604D4D3" w:rsidR="006F3DD7" w:rsidRPr="009270B9" w:rsidRDefault="006F3DD7" w:rsidP="00704570">
            <w:pPr>
              <w:widowControl w:val="0"/>
              <w:autoSpaceDE w:val="0"/>
              <w:autoSpaceDN w:val="0"/>
              <w:adjustRightInd w:val="0"/>
              <w:jc w:val="center"/>
              <w:rPr>
                <w:rFonts w:eastAsia="Times New Roman"/>
              </w:rPr>
            </w:pPr>
            <w:r>
              <w:rPr>
                <w:rFonts w:eastAsia="Times New Roman"/>
              </w:rPr>
              <w:t>$</w:t>
            </w:r>
            <w:r w:rsidR="00A54D16">
              <w:rPr>
                <w:rFonts w:eastAsia="Times New Roman"/>
              </w:rPr>
              <w:t>2.03</w:t>
            </w:r>
          </w:p>
        </w:tc>
        <w:tc>
          <w:tcPr>
            <w:tcW w:w="1494" w:type="pct"/>
          </w:tcPr>
          <w:p w14:paraId="0C3BAF7B" w14:textId="1BA16511" w:rsidR="006F3DD7" w:rsidRPr="009553EB" w:rsidRDefault="006F3DD7" w:rsidP="00A54D16">
            <w:pPr>
              <w:widowControl w:val="0"/>
              <w:autoSpaceDE w:val="0"/>
              <w:autoSpaceDN w:val="0"/>
              <w:adjustRightInd w:val="0"/>
              <w:jc w:val="center"/>
              <w:rPr>
                <w:rFonts w:eastAsia="Times New Roman"/>
              </w:rPr>
            </w:pPr>
            <w:r>
              <w:rPr>
                <w:rFonts w:eastAsia="Times New Roman"/>
              </w:rPr>
              <w:t>$</w:t>
            </w:r>
            <w:r w:rsidR="00A54D16">
              <w:rPr>
                <w:rFonts w:eastAsia="Times New Roman"/>
              </w:rPr>
              <w:t>2.20</w:t>
            </w:r>
          </w:p>
        </w:tc>
      </w:tr>
      <w:tr w:rsidR="006F3DD7" w:rsidRPr="009270B9" w14:paraId="0C3BAF80" w14:textId="77777777" w:rsidTr="000F453F">
        <w:trPr>
          <w:jc w:val="center"/>
        </w:trPr>
        <w:tc>
          <w:tcPr>
            <w:tcW w:w="2180" w:type="pct"/>
          </w:tcPr>
          <w:p w14:paraId="0C3BAF7D" w14:textId="77777777" w:rsidR="006F3DD7" w:rsidRPr="009270B9" w:rsidRDefault="006F3DD7" w:rsidP="00B92231">
            <w:pPr>
              <w:widowControl w:val="0"/>
              <w:autoSpaceDE w:val="0"/>
              <w:autoSpaceDN w:val="0"/>
              <w:adjustRightInd w:val="0"/>
              <w:rPr>
                <w:rFonts w:eastAsia="Times New Roman"/>
              </w:rPr>
            </w:pPr>
            <w:r w:rsidRPr="009270B9">
              <w:rPr>
                <w:rFonts w:eastAsia="Times New Roman"/>
              </w:rPr>
              <w:t>Average Monthly Bill</w:t>
            </w:r>
          </w:p>
        </w:tc>
        <w:tc>
          <w:tcPr>
            <w:tcW w:w="1326" w:type="pct"/>
          </w:tcPr>
          <w:p w14:paraId="0C3BAF7E" w14:textId="19AEF96C" w:rsidR="006F3DD7" w:rsidRDefault="006F3DD7" w:rsidP="00B92231">
            <w:pPr>
              <w:widowControl w:val="0"/>
              <w:autoSpaceDE w:val="0"/>
              <w:autoSpaceDN w:val="0"/>
              <w:adjustRightInd w:val="0"/>
              <w:jc w:val="center"/>
              <w:rPr>
                <w:rFonts w:eastAsia="Times New Roman"/>
              </w:rPr>
            </w:pPr>
            <w:r>
              <w:rPr>
                <w:rFonts w:eastAsia="Times New Roman"/>
              </w:rPr>
              <w:t>$</w:t>
            </w:r>
            <w:r w:rsidR="00A54D16">
              <w:rPr>
                <w:rFonts w:eastAsia="Times New Roman"/>
              </w:rPr>
              <w:t>19.35</w:t>
            </w:r>
            <w:r>
              <w:rPr>
                <w:rFonts w:eastAsia="Times New Roman"/>
              </w:rPr>
              <w:t xml:space="preserve"> </w:t>
            </w:r>
          </w:p>
        </w:tc>
        <w:tc>
          <w:tcPr>
            <w:tcW w:w="1494" w:type="pct"/>
          </w:tcPr>
          <w:p w14:paraId="0C3BAF7F" w14:textId="2CAF0AA1" w:rsidR="006F3DD7" w:rsidRPr="009553EB" w:rsidRDefault="006F3DD7" w:rsidP="00D5526F">
            <w:pPr>
              <w:widowControl w:val="0"/>
              <w:autoSpaceDE w:val="0"/>
              <w:autoSpaceDN w:val="0"/>
              <w:adjustRightInd w:val="0"/>
              <w:jc w:val="center"/>
              <w:rPr>
                <w:rFonts w:eastAsia="Times New Roman"/>
              </w:rPr>
            </w:pPr>
            <w:r>
              <w:rPr>
                <w:rFonts w:eastAsia="Times New Roman"/>
              </w:rPr>
              <w:t>$</w:t>
            </w:r>
            <w:r w:rsidR="00D5526F">
              <w:rPr>
                <w:rFonts w:eastAsia="Times New Roman"/>
              </w:rPr>
              <w:t>21.80</w:t>
            </w:r>
          </w:p>
        </w:tc>
      </w:tr>
      <w:tr w:rsidR="006F3DD7" w:rsidRPr="009270B9" w14:paraId="0C3BAF84" w14:textId="77777777" w:rsidTr="000F453F">
        <w:trPr>
          <w:jc w:val="center"/>
        </w:trPr>
        <w:tc>
          <w:tcPr>
            <w:tcW w:w="2180" w:type="pct"/>
          </w:tcPr>
          <w:p w14:paraId="0C3BAF81" w14:textId="77777777" w:rsidR="006F3DD7" w:rsidRPr="009270B9" w:rsidRDefault="006F3DD7" w:rsidP="00B92231">
            <w:pPr>
              <w:widowControl w:val="0"/>
              <w:autoSpaceDE w:val="0"/>
              <w:autoSpaceDN w:val="0"/>
              <w:adjustRightInd w:val="0"/>
              <w:rPr>
                <w:rFonts w:eastAsia="Times New Roman"/>
              </w:rPr>
            </w:pPr>
            <w:r w:rsidRPr="007C07AE">
              <w:t>Increase From Current Rates</w:t>
            </w:r>
          </w:p>
        </w:tc>
        <w:tc>
          <w:tcPr>
            <w:tcW w:w="1326" w:type="pct"/>
          </w:tcPr>
          <w:p w14:paraId="0C3BAF82" w14:textId="77777777" w:rsidR="006F3DD7" w:rsidRDefault="006F3DD7" w:rsidP="00B92231">
            <w:pPr>
              <w:widowControl w:val="0"/>
              <w:autoSpaceDE w:val="0"/>
              <w:autoSpaceDN w:val="0"/>
              <w:adjustRightInd w:val="0"/>
              <w:jc w:val="center"/>
              <w:rPr>
                <w:rFonts w:eastAsia="Times New Roman"/>
              </w:rPr>
            </w:pPr>
          </w:p>
        </w:tc>
        <w:tc>
          <w:tcPr>
            <w:tcW w:w="1494" w:type="pct"/>
          </w:tcPr>
          <w:p w14:paraId="0C3BAF83" w14:textId="77777777" w:rsidR="006F3DD7" w:rsidRPr="009553EB" w:rsidRDefault="006F3DD7" w:rsidP="00B92231">
            <w:pPr>
              <w:widowControl w:val="0"/>
              <w:autoSpaceDE w:val="0"/>
              <w:autoSpaceDN w:val="0"/>
              <w:adjustRightInd w:val="0"/>
              <w:jc w:val="center"/>
              <w:rPr>
                <w:rFonts w:eastAsia="Times New Roman"/>
              </w:rPr>
            </w:pPr>
            <w:r>
              <w:rPr>
                <w:rFonts w:eastAsia="Times New Roman"/>
              </w:rPr>
              <w:t xml:space="preserve">12.6% </w:t>
            </w:r>
          </w:p>
        </w:tc>
      </w:tr>
    </w:tbl>
    <w:p w14:paraId="0C3BAF86" w14:textId="77777777" w:rsidR="000C737B" w:rsidRDefault="000C737B" w:rsidP="007F1BFD">
      <w:pPr>
        <w:pStyle w:val="NoSpacing"/>
      </w:pPr>
    </w:p>
    <w:p w14:paraId="0C3BAF87" w14:textId="77777777" w:rsidR="000C737B" w:rsidRDefault="000C737B" w:rsidP="007F1BFD">
      <w:pPr>
        <w:pStyle w:val="NoSpacing"/>
      </w:pPr>
    </w:p>
    <w:p w14:paraId="0C3BAF88" w14:textId="71474E5E" w:rsidR="006F3DD7" w:rsidRPr="009270B9" w:rsidRDefault="006F3DD7" w:rsidP="006F3DD7">
      <w:pPr>
        <w:jc w:val="center"/>
        <w:rPr>
          <w:rFonts w:eastAsia="Times New Roman"/>
          <w:b/>
          <w:u w:val="single"/>
        </w:rPr>
      </w:pPr>
      <w:r w:rsidRPr="009270B9">
        <w:rPr>
          <w:rFonts w:eastAsia="Times New Roman"/>
          <w:b/>
          <w:u w:val="single"/>
        </w:rPr>
        <w:t>Average Bill Comparison</w:t>
      </w:r>
      <w:r>
        <w:rPr>
          <w:rFonts w:eastAsia="Times New Roman"/>
          <w:b/>
          <w:u w:val="single"/>
        </w:rPr>
        <w:t>—Non-Residential</w:t>
      </w:r>
    </w:p>
    <w:p w14:paraId="0C3BAF89" w14:textId="77777777" w:rsidR="006F3DD7" w:rsidRPr="009270B9" w:rsidRDefault="006F3DD7" w:rsidP="006F3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rPr>
      </w:pPr>
    </w:p>
    <w:tbl>
      <w:tblPr>
        <w:tblW w:w="3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1956"/>
        <w:gridCol w:w="2203"/>
      </w:tblGrid>
      <w:tr w:rsidR="006F3DD7" w:rsidRPr="009270B9" w14:paraId="0C3BAF8F" w14:textId="77777777" w:rsidTr="008152CC">
        <w:trPr>
          <w:trHeight w:val="620"/>
          <w:jc w:val="center"/>
        </w:trPr>
        <w:tc>
          <w:tcPr>
            <w:tcW w:w="2180" w:type="pct"/>
          </w:tcPr>
          <w:p w14:paraId="0C3BAF8A" w14:textId="77777777" w:rsidR="006F3DD7" w:rsidRPr="009270B9" w:rsidRDefault="006F3DD7" w:rsidP="001836CB">
            <w:pPr>
              <w:keepNext/>
              <w:widowControl w:val="0"/>
              <w:autoSpaceDE w:val="0"/>
              <w:autoSpaceDN w:val="0"/>
              <w:adjustRightInd w:val="0"/>
              <w:jc w:val="center"/>
              <w:outlineLvl w:val="0"/>
              <w:rPr>
                <w:rFonts w:eastAsia="Times New Roman"/>
                <w:b/>
              </w:rPr>
            </w:pPr>
            <w:r w:rsidRPr="009270B9">
              <w:rPr>
                <w:rFonts w:eastAsia="Times New Roman"/>
                <w:b/>
              </w:rPr>
              <w:t xml:space="preserve">Average Monthly </w:t>
            </w:r>
            <w:r>
              <w:rPr>
                <w:rFonts w:eastAsia="Times New Roman"/>
                <w:b/>
              </w:rPr>
              <w:t>Useage</w:t>
            </w:r>
          </w:p>
          <w:p w14:paraId="0C3BAF8B" w14:textId="48196809" w:rsidR="006F3DD7" w:rsidRPr="009270B9" w:rsidRDefault="001836CB" w:rsidP="001836CB">
            <w:pPr>
              <w:keepNext/>
              <w:widowControl w:val="0"/>
              <w:autoSpaceDE w:val="0"/>
              <w:autoSpaceDN w:val="0"/>
              <w:adjustRightInd w:val="0"/>
              <w:jc w:val="center"/>
              <w:outlineLvl w:val="0"/>
              <w:rPr>
                <w:rFonts w:eastAsia="Times New Roman"/>
                <w:b/>
              </w:rPr>
            </w:pPr>
            <w:r>
              <w:rPr>
                <w:rFonts w:eastAsia="Times New Roman"/>
                <w:b/>
              </w:rPr>
              <w:t>3,807</w:t>
            </w:r>
            <w:r w:rsidR="006F3DD7" w:rsidRPr="009270B9">
              <w:rPr>
                <w:rFonts w:eastAsia="Times New Roman"/>
                <w:b/>
              </w:rPr>
              <w:t xml:space="preserve"> </w:t>
            </w:r>
            <w:r w:rsidR="00B84E7C" w:rsidRPr="00B84E7C">
              <w:rPr>
                <w:rFonts w:eastAsia="Times New Roman"/>
                <w:b/>
              </w:rPr>
              <w:t>Cubic Feet</w:t>
            </w:r>
          </w:p>
        </w:tc>
        <w:tc>
          <w:tcPr>
            <w:tcW w:w="1326" w:type="pct"/>
            <w:vAlign w:val="center"/>
          </w:tcPr>
          <w:p w14:paraId="0C3BAF8C" w14:textId="77777777" w:rsidR="006F3DD7" w:rsidRPr="009270B9" w:rsidRDefault="006F3DD7" w:rsidP="001836CB">
            <w:pPr>
              <w:widowControl w:val="0"/>
              <w:autoSpaceDE w:val="0"/>
              <w:autoSpaceDN w:val="0"/>
              <w:adjustRightInd w:val="0"/>
              <w:jc w:val="center"/>
              <w:rPr>
                <w:rFonts w:eastAsia="Times New Roman"/>
                <w:b/>
              </w:rPr>
            </w:pPr>
            <w:r w:rsidRPr="009270B9">
              <w:rPr>
                <w:rFonts w:eastAsia="Times New Roman"/>
                <w:b/>
              </w:rPr>
              <w:t>Current Rate</w:t>
            </w:r>
          </w:p>
        </w:tc>
        <w:tc>
          <w:tcPr>
            <w:tcW w:w="1494" w:type="pct"/>
            <w:vAlign w:val="center"/>
          </w:tcPr>
          <w:p w14:paraId="0C3BAF8E" w14:textId="77777777" w:rsidR="006F3DD7" w:rsidRPr="009270B9" w:rsidRDefault="006F3DD7">
            <w:pPr>
              <w:widowControl w:val="0"/>
              <w:autoSpaceDE w:val="0"/>
              <w:autoSpaceDN w:val="0"/>
              <w:adjustRightInd w:val="0"/>
              <w:jc w:val="center"/>
              <w:rPr>
                <w:rFonts w:eastAsia="Times New Roman"/>
                <w:b/>
              </w:rPr>
            </w:pPr>
            <w:r w:rsidRPr="009270B9">
              <w:rPr>
                <w:rFonts w:eastAsia="Times New Roman"/>
                <w:b/>
              </w:rPr>
              <w:t>Proposed Rate</w:t>
            </w:r>
          </w:p>
        </w:tc>
      </w:tr>
      <w:tr w:rsidR="006F3DD7" w:rsidRPr="009270B9" w14:paraId="0C3BAF93" w14:textId="77777777" w:rsidTr="000F453F">
        <w:trPr>
          <w:jc w:val="center"/>
        </w:trPr>
        <w:tc>
          <w:tcPr>
            <w:tcW w:w="2180" w:type="pct"/>
          </w:tcPr>
          <w:p w14:paraId="0C3BAF90" w14:textId="02CAD8B9" w:rsidR="006F3DD7" w:rsidRPr="009270B9" w:rsidRDefault="006F3DD7" w:rsidP="00155281">
            <w:pPr>
              <w:keepNext/>
              <w:widowControl w:val="0"/>
              <w:autoSpaceDE w:val="0"/>
              <w:autoSpaceDN w:val="0"/>
              <w:adjustRightInd w:val="0"/>
              <w:outlineLvl w:val="0"/>
              <w:rPr>
                <w:rFonts w:eastAsia="Times New Roman"/>
              </w:rPr>
            </w:pPr>
            <w:r>
              <w:rPr>
                <w:rFonts w:eastAsia="Times New Roman"/>
              </w:rPr>
              <w:t>Base Rate (</w:t>
            </w:r>
            <w:r w:rsidR="004B7F58">
              <w:rPr>
                <w:rFonts w:eastAsia="Times New Roman"/>
              </w:rPr>
              <w:t>1</w:t>
            </w:r>
            <w:r>
              <w:rPr>
                <w:rFonts w:eastAsia="Times New Roman"/>
              </w:rPr>
              <w:t>-</w:t>
            </w:r>
            <w:r w:rsidR="00B84E7C">
              <w:rPr>
                <w:rFonts w:eastAsia="Times New Roman"/>
              </w:rPr>
              <w:t>I</w:t>
            </w:r>
            <w:r w:rsidR="00B84E7C" w:rsidRPr="009270B9">
              <w:rPr>
                <w:rFonts w:eastAsia="Times New Roman"/>
              </w:rPr>
              <w:t xml:space="preserve">nch </w:t>
            </w:r>
            <w:r w:rsidR="00B84E7C">
              <w:rPr>
                <w:rFonts w:eastAsia="Times New Roman"/>
              </w:rPr>
              <w:t>M</w:t>
            </w:r>
            <w:r w:rsidR="00B84E7C" w:rsidRPr="009270B9">
              <w:rPr>
                <w:rFonts w:eastAsia="Times New Roman"/>
              </w:rPr>
              <w:t>eter</w:t>
            </w:r>
            <w:r w:rsidRPr="009270B9">
              <w:rPr>
                <w:rFonts w:eastAsia="Times New Roman"/>
              </w:rPr>
              <w:t>)</w:t>
            </w:r>
          </w:p>
        </w:tc>
        <w:tc>
          <w:tcPr>
            <w:tcW w:w="1326" w:type="pct"/>
          </w:tcPr>
          <w:p w14:paraId="0C3BAF91" w14:textId="77777777" w:rsidR="006F3DD7" w:rsidRPr="009270B9" w:rsidRDefault="004B7F58" w:rsidP="001836CB">
            <w:pPr>
              <w:widowControl w:val="0"/>
              <w:autoSpaceDE w:val="0"/>
              <w:autoSpaceDN w:val="0"/>
              <w:adjustRightInd w:val="0"/>
              <w:jc w:val="center"/>
              <w:rPr>
                <w:rFonts w:eastAsia="Times New Roman"/>
              </w:rPr>
            </w:pPr>
            <w:r>
              <w:rPr>
                <w:rFonts w:eastAsia="Times New Roman"/>
              </w:rPr>
              <w:t>$12.13</w:t>
            </w:r>
          </w:p>
        </w:tc>
        <w:tc>
          <w:tcPr>
            <w:tcW w:w="1494" w:type="pct"/>
          </w:tcPr>
          <w:p w14:paraId="0C3BAF92" w14:textId="77777777" w:rsidR="006F3DD7" w:rsidRPr="009553EB" w:rsidRDefault="004B7F58" w:rsidP="001836CB">
            <w:pPr>
              <w:widowControl w:val="0"/>
              <w:autoSpaceDE w:val="0"/>
              <w:autoSpaceDN w:val="0"/>
              <w:adjustRightInd w:val="0"/>
              <w:jc w:val="center"/>
              <w:rPr>
                <w:rFonts w:eastAsia="Times New Roman"/>
              </w:rPr>
            </w:pPr>
            <w:r>
              <w:rPr>
                <w:rFonts w:eastAsia="Times New Roman"/>
              </w:rPr>
              <w:t>$17.75</w:t>
            </w:r>
          </w:p>
        </w:tc>
      </w:tr>
      <w:tr w:rsidR="006F3DD7" w:rsidRPr="009270B9" w14:paraId="0C3BAF97" w14:textId="77777777" w:rsidTr="000F453F">
        <w:trPr>
          <w:jc w:val="center"/>
        </w:trPr>
        <w:tc>
          <w:tcPr>
            <w:tcW w:w="2180" w:type="pct"/>
          </w:tcPr>
          <w:p w14:paraId="0C3BAF94" w14:textId="3AE8EFC6" w:rsidR="006F3DD7" w:rsidRPr="009270B9" w:rsidRDefault="006F3DD7" w:rsidP="004B7F58">
            <w:pPr>
              <w:widowControl w:val="0"/>
              <w:autoSpaceDE w:val="0"/>
              <w:autoSpaceDN w:val="0"/>
              <w:adjustRightInd w:val="0"/>
              <w:rPr>
                <w:rFonts w:eastAsia="Times New Roman"/>
              </w:rPr>
            </w:pPr>
            <w:r>
              <w:rPr>
                <w:rFonts w:eastAsia="Times New Roman"/>
              </w:rPr>
              <w:t xml:space="preserve">0 </w:t>
            </w:r>
            <w:r w:rsidR="004B7F58">
              <w:rPr>
                <w:rFonts w:eastAsia="Times New Roman"/>
              </w:rPr>
              <w:t>– 1,500</w:t>
            </w:r>
            <w:r>
              <w:rPr>
                <w:rFonts w:eastAsia="Times New Roman"/>
              </w:rPr>
              <w:t xml:space="preserve"> </w:t>
            </w:r>
            <w:r w:rsidR="00B84E7C" w:rsidRPr="00B84E7C">
              <w:rPr>
                <w:rFonts w:eastAsia="Times New Roman"/>
              </w:rPr>
              <w:t>Cubic Feet</w:t>
            </w:r>
          </w:p>
        </w:tc>
        <w:tc>
          <w:tcPr>
            <w:tcW w:w="1326" w:type="pct"/>
          </w:tcPr>
          <w:p w14:paraId="0C3BAF95" w14:textId="77777777" w:rsidR="006F3DD7" w:rsidRPr="009270B9" w:rsidRDefault="004B7F58" w:rsidP="001836CB">
            <w:pPr>
              <w:widowControl w:val="0"/>
              <w:autoSpaceDE w:val="0"/>
              <w:autoSpaceDN w:val="0"/>
              <w:adjustRightInd w:val="0"/>
              <w:jc w:val="center"/>
              <w:rPr>
                <w:rFonts w:eastAsia="Times New Roman"/>
              </w:rPr>
            </w:pPr>
            <w:r>
              <w:rPr>
                <w:rFonts w:eastAsia="Times New Roman"/>
              </w:rPr>
              <w:t>$12.75</w:t>
            </w:r>
          </w:p>
        </w:tc>
        <w:tc>
          <w:tcPr>
            <w:tcW w:w="1494" w:type="pct"/>
          </w:tcPr>
          <w:p w14:paraId="0C3BAF96" w14:textId="77777777" w:rsidR="006F3DD7" w:rsidRPr="009553EB" w:rsidRDefault="004B7F58" w:rsidP="001836CB">
            <w:pPr>
              <w:widowControl w:val="0"/>
              <w:autoSpaceDE w:val="0"/>
              <w:autoSpaceDN w:val="0"/>
              <w:adjustRightInd w:val="0"/>
              <w:jc w:val="center"/>
              <w:rPr>
                <w:rFonts w:eastAsia="Times New Roman"/>
              </w:rPr>
            </w:pPr>
            <w:r>
              <w:rPr>
                <w:rFonts w:eastAsia="Times New Roman"/>
              </w:rPr>
              <w:t>$14.25</w:t>
            </w:r>
          </w:p>
        </w:tc>
      </w:tr>
      <w:tr w:rsidR="006F3DD7" w:rsidRPr="009270B9" w14:paraId="0C3BAF9B" w14:textId="77777777" w:rsidTr="000F453F">
        <w:trPr>
          <w:jc w:val="center"/>
        </w:trPr>
        <w:tc>
          <w:tcPr>
            <w:tcW w:w="2180" w:type="pct"/>
          </w:tcPr>
          <w:p w14:paraId="0C3BAF98" w14:textId="15434C1C" w:rsidR="006F3DD7" w:rsidRPr="009270B9" w:rsidRDefault="004B7F58" w:rsidP="001836CB">
            <w:pPr>
              <w:widowControl w:val="0"/>
              <w:autoSpaceDE w:val="0"/>
              <w:autoSpaceDN w:val="0"/>
              <w:adjustRightInd w:val="0"/>
              <w:rPr>
                <w:rFonts w:eastAsia="Times New Roman"/>
              </w:rPr>
            </w:pPr>
            <w:r>
              <w:rPr>
                <w:rFonts w:eastAsia="Times New Roman"/>
              </w:rPr>
              <w:t>1,501 – 3,807</w:t>
            </w:r>
            <w:r w:rsidR="006F3DD7">
              <w:rPr>
                <w:rFonts w:eastAsia="Times New Roman"/>
              </w:rPr>
              <w:t xml:space="preserve"> </w:t>
            </w:r>
            <w:r w:rsidR="00B84E7C" w:rsidRPr="00B84E7C">
              <w:rPr>
                <w:rFonts w:eastAsia="Times New Roman"/>
              </w:rPr>
              <w:t>Cubic Feet</w:t>
            </w:r>
          </w:p>
        </w:tc>
        <w:tc>
          <w:tcPr>
            <w:tcW w:w="1326" w:type="pct"/>
          </w:tcPr>
          <w:p w14:paraId="0C3BAF99" w14:textId="77777777" w:rsidR="006F3DD7" w:rsidRPr="009270B9" w:rsidRDefault="004B7F58" w:rsidP="001836CB">
            <w:pPr>
              <w:widowControl w:val="0"/>
              <w:autoSpaceDE w:val="0"/>
              <w:autoSpaceDN w:val="0"/>
              <w:adjustRightInd w:val="0"/>
              <w:jc w:val="center"/>
              <w:rPr>
                <w:rFonts w:eastAsia="Times New Roman"/>
              </w:rPr>
            </w:pPr>
            <w:r>
              <w:rPr>
                <w:rFonts w:eastAsia="Times New Roman"/>
              </w:rPr>
              <w:t>$25.38</w:t>
            </w:r>
          </w:p>
        </w:tc>
        <w:tc>
          <w:tcPr>
            <w:tcW w:w="1494" w:type="pct"/>
          </w:tcPr>
          <w:p w14:paraId="0C3BAF9A" w14:textId="77777777" w:rsidR="006F3DD7" w:rsidRPr="009553EB" w:rsidRDefault="004B7F58" w:rsidP="001836CB">
            <w:pPr>
              <w:widowControl w:val="0"/>
              <w:autoSpaceDE w:val="0"/>
              <w:autoSpaceDN w:val="0"/>
              <w:adjustRightInd w:val="0"/>
              <w:jc w:val="center"/>
              <w:rPr>
                <w:rFonts w:eastAsia="Times New Roman"/>
              </w:rPr>
            </w:pPr>
            <w:r>
              <w:rPr>
                <w:rFonts w:eastAsia="Times New Roman"/>
              </w:rPr>
              <w:t>$28.84</w:t>
            </w:r>
          </w:p>
        </w:tc>
      </w:tr>
      <w:tr w:rsidR="006F3DD7" w:rsidRPr="009270B9" w14:paraId="0C3BAF9F" w14:textId="77777777" w:rsidTr="000F453F">
        <w:trPr>
          <w:jc w:val="center"/>
        </w:trPr>
        <w:tc>
          <w:tcPr>
            <w:tcW w:w="2180" w:type="pct"/>
          </w:tcPr>
          <w:p w14:paraId="0C3BAF9C" w14:textId="77777777" w:rsidR="006F3DD7" w:rsidRPr="009270B9" w:rsidRDefault="006F3DD7" w:rsidP="001836CB">
            <w:pPr>
              <w:widowControl w:val="0"/>
              <w:autoSpaceDE w:val="0"/>
              <w:autoSpaceDN w:val="0"/>
              <w:adjustRightInd w:val="0"/>
              <w:rPr>
                <w:rFonts w:eastAsia="Times New Roman"/>
              </w:rPr>
            </w:pPr>
            <w:r w:rsidRPr="009270B9">
              <w:rPr>
                <w:rFonts w:eastAsia="Times New Roman"/>
              </w:rPr>
              <w:t>Average Monthly Bill</w:t>
            </w:r>
          </w:p>
        </w:tc>
        <w:tc>
          <w:tcPr>
            <w:tcW w:w="1326" w:type="pct"/>
          </w:tcPr>
          <w:p w14:paraId="0C3BAF9D" w14:textId="77777777" w:rsidR="006F3DD7" w:rsidRDefault="004B7F58" w:rsidP="001836CB">
            <w:pPr>
              <w:widowControl w:val="0"/>
              <w:autoSpaceDE w:val="0"/>
              <w:autoSpaceDN w:val="0"/>
              <w:adjustRightInd w:val="0"/>
              <w:jc w:val="center"/>
              <w:rPr>
                <w:rFonts w:eastAsia="Times New Roman"/>
              </w:rPr>
            </w:pPr>
            <w:r>
              <w:rPr>
                <w:rFonts w:eastAsia="Times New Roman"/>
              </w:rPr>
              <w:t>$50.26</w:t>
            </w:r>
          </w:p>
        </w:tc>
        <w:tc>
          <w:tcPr>
            <w:tcW w:w="1494" w:type="pct"/>
          </w:tcPr>
          <w:p w14:paraId="0C3BAF9E" w14:textId="77777777" w:rsidR="006F3DD7" w:rsidRPr="009553EB" w:rsidRDefault="004B7F58" w:rsidP="001836CB">
            <w:pPr>
              <w:widowControl w:val="0"/>
              <w:autoSpaceDE w:val="0"/>
              <w:autoSpaceDN w:val="0"/>
              <w:adjustRightInd w:val="0"/>
              <w:jc w:val="center"/>
              <w:rPr>
                <w:rFonts w:eastAsia="Times New Roman"/>
              </w:rPr>
            </w:pPr>
            <w:r>
              <w:rPr>
                <w:rFonts w:eastAsia="Times New Roman"/>
              </w:rPr>
              <w:t>$60.84</w:t>
            </w:r>
          </w:p>
        </w:tc>
      </w:tr>
      <w:tr w:rsidR="006F3DD7" w:rsidRPr="009270B9" w14:paraId="0C3BAFA3" w14:textId="77777777" w:rsidTr="000F453F">
        <w:trPr>
          <w:jc w:val="center"/>
        </w:trPr>
        <w:tc>
          <w:tcPr>
            <w:tcW w:w="2180" w:type="pct"/>
          </w:tcPr>
          <w:p w14:paraId="0C3BAFA0" w14:textId="77777777" w:rsidR="006F3DD7" w:rsidRPr="009270B9" w:rsidRDefault="006F3DD7" w:rsidP="001836CB">
            <w:pPr>
              <w:widowControl w:val="0"/>
              <w:autoSpaceDE w:val="0"/>
              <w:autoSpaceDN w:val="0"/>
              <w:adjustRightInd w:val="0"/>
              <w:rPr>
                <w:rFonts w:eastAsia="Times New Roman"/>
              </w:rPr>
            </w:pPr>
            <w:r w:rsidRPr="007C07AE">
              <w:t>Increase From Current Rates</w:t>
            </w:r>
          </w:p>
        </w:tc>
        <w:tc>
          <w:tcPr>
            <w:tcW w:w="1326" w:type="pct"/>
          </w:tcPr>
          <w:p w14:paraId="0C3BAFA1" w14:textId="77777777" w:rsidR="006F3DD7" w:rsidRDefault="006F3DD7" w:rsidP="001836CB">
            <w:pPr>
              <w:widowControl w:val="0"/>
              <w:autoSpaceDE w:val="0"/>
              <w:autoSpaceDN w:val="0"/>
              <w:adjustRightInd w:val="0"/>
              <w:jc w:val="center"/>
              <w:rPr>
                <w:rFonts w:eastAsia="Times New Roman"/>
              </w:rPr>
            </w:pPr>
          </w:p>
        </w:tc>
        <w:tc>
          <w:tcPr>
            <w:tcW w:w="1494" w:type="pct"/>
          </w:tcPr>
          <w:p w14:paraId="0C3BAFA2" w14:textId="77777777" w:rsidR="006F3DD7" w:rsidRPr="009553EB" w:rsidRDefault="004B7F58" w:rsidP="001836CB">
            <w:pPr>
              <w:widowControl w:val="0"/>
              <w:autoSpaceDE w:val="0"/>
              <w:autoSpaceDN w:val="0"/>
              <w:adjustRightInd w:val="0"/>
              <w:jc w:val="center"/>
              <w:rPr>
                <w:rFonts w:eastAsia="Times New Roman"/>
              </w:rPr>
            </w:pPr>
            <w:r>
              <w:rPr>
                <w:rFonts w:eastAsia="Times New Roman"/>
              </w:rPr>
              <w:t>21.1%</w:t>
            </w:r>
          </w:p>
        </w:tc>
      </w:tr>
    </w:tbl>
    <w:p w14:paraId="0C3BAFA4" w14:textId="77777777" w:rsidR="006F3DD7" w:rsidRDefault="006F3DD7" w:rsidP="006F3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D768EC" w14:textId="77777777" w:rsidR="006B551B" w:rsidRPr="000F453F" w:rsidRDefault="006B551B" w:rsidP="006B551B">
      <w:pPr>
        <w:pStyle w:val="NoSpacing"/>
        <w:rPr>
          <w:b/>
          <w:u w:val="single"/>
        </w:rPr>
      </w:pPr>
      <w:r w:rsidRPr="000F453F">
        <w:rPr>
          <w:b/>
          <w:u w:val="single"/>
        </w:rPr>
        <w:t>Discussion</w:t>
      </w:r>
    </w:p>
    <w:p w14:paraId="60E0D3BD" w14:textId="77777777" w:rsidR="006B551B" w:rsidRDefault="006B551B" w:rsidP="006B551B">
      <w:pPr>
        <w:pStyle w:val="NoSpacing"/>
      </w:pPr>
    </w:p>
    <w:p w14:paraId="2C27E7BB" w14:textId="042BEA7B" w:rsidR="006B551B" w:rsidRDefault="006B551B" w:rsidP="006B551B">
      <w:pPr>
        <w:pStyle w:val="NoSpacing"/>
      </w:pPr>
      <w:r>
        <w:t>The proposed increase was prompted by a combination of increased expenses (employee salaries, health insurance, and taxes</w:t>
      </w:r>
      <w:r w:rsidRPr="008515A2">
        <w:t>) and lower revenue due, in part, to staff’s rate design which impute</w:t>
      </w:r>
      <w:r w:rsidR="001A0DCB" w:rsidRPr="008515A2">
        <w:t>d</w:t>
      </w:r>
      <w:r w:rsidRPr="008515A2">
        <w:t xml:space="preserve"> base rate charges for multiple customers for whom large blocks of time passed with</w:t>
      </w:r>
      <w:r w:rsidR="00C47A79" w:rsidRPr="008515A2">
        <w:t xml:space="preserve"> no water useage</w:t>
      </w:r>
      <w:r w:rsidRPr="008515A2">
        <w:t>. Staff has reviewed this issue in light of the current</w:t>
      </w:r>
      <w:r w:rsidRPr="00431CA4">
        <w:t xml:space="preserve"> economic climate with high housing foreclosure rates and adjusted income for residential customers with seven to twelve months of </w:t>
      </w:r>
      <w:r>
        <w:t>no</w:t>
      </w:r>
      <w:r w:rsidRPr="00431CA4">
        <w:t xml:space="preserve"> </w:t>
      </w:r>
      <w:r w:rsidR="00C47A79">
        <w:t>water useage</w:t>
      </w:r>
      <w:r w:rsidRPr="00431CA4">
        <w:t>.</w:t>
      </w:r>
      <w:r>
        <w:t xml:space="preserve"> </w:t>
      </w:r>
      <w:r w:rsidR="000855B6">
        <w:t>W</w:t>
      </w:r>
      <w:r>
        <w:t xml:space="preserve">ithout a rate increase, the company will </w:t>
      </w:r>
      <w:r w:rsidR="00C47A79">
        <w:t>not</w:t>
      </w:r>
      <w:r>
        <w:t xml:space="preserve"> meet its </w:t>
      </w:r>
      <w:r w:rsidR="00A40987">
        <w:t xml:space="preserve">debt-service coverage ratio </w:t>
      </w:r>
      <w:r>
        <w:t>requirements.</w:t>
      </w:r>
    </w:p>
    <w:p w14:paraId="11F1C442" w14:textId="77777777" w:rsidR="006B551B" w:rsidRDefault="006B551B" w:rsidP="006B551B">
      <w:pPr>
        <w:pStyle w:val="NoSpacing"/>
      </w:pPr>
    </w:p>
    <w:p w14:paraId="0302CADB" w14:textId="55CB75D3" w:rsidR="006B551B" w:rsidRDefault="006B551B" w:rsidP="006B551B">
      <w:pPr>
        <w:pStyle w:val="NoSpacing"/>
      </w:pPr>
      <w:r>
        <w:t>The company file</w:t>
      </w:r>
      <w:r w:rsidR="00EB1647">
        <w:t>d</w:t>
      </w:r>
      <w:r>
        <w:t xml:space="preserve"> proposed rates that </w:t>
      </w:r>
      <w:r w:rsidR="00C47A79">
        <w:t xml:space="preserve">would </w:t>
      </w:r>
      <w:r>
        <w:t xml:space="preserve">eliminate only a small amount of the subsidy, not the full “second step” contemplated in the last rate case. In support of its proposal, the company states that this filing is made </w:t>
      </w:r>
      <w:r w:rsidR="008515A2">
        <w:t xml:space="preserve">just 14 months </w:t>
      </w:r>
      <w:r>
        <w:t xml:space="preserve">after the last rate increase became effective on </w:t>
      </w:r>
      <w:r w:rsidR="00AF3FDF">
        <w:t xml:space="preserve">   </w:t>
      </w:r>
      <w:r>
        <w:t>June 1, 2010, and that the company is concerned that taking the full “second step” to eliminat</w:t>
      </w:r>
      <w:r w:rsidR="00C47A79">
        <w:t>e</w:t>
      </w:r>
      <w:r>
        <w:t xml:space="preserve"> the subsidy would cause another delay</w:t>
      </w:r>
      <w:r w:rsidR="00532EA7">
        <w:t xml:space="preserve">, </w:t>
      </w:r>
      <w:r>
        <w:t xml:space="preserve">similar to the seven and one half months </w:t>
      </w:r>
      <w:r w:rsidR="00532EA7">
        <w:t xml:space="preserve">delay </w:t>
      </w:r>
      <w:r>
        <w:t xml:space="preserve">experienced in the last rate case in Docket UW-091466, and force the company to violate its </w:t>
      </w:r>
      <w:r w:rsidR="000855B6">
        <w:t>debt-service</w:t>
      </w:r>
      <w:r>
        <w:t xml:space="preserve"> </w:t>
      </w:r>
      <w:r w:rsidR="00D26F2D">
        <w:t>coverage</w:t>
      </w:r>
      <w:r>
        <w:t xml:space="preserve"> </w:t>
      </w:r>
      <w:r w:rsidR="00D26F2D">
        <w:t>requirements</w:t>
      </w:r>
      <w:r>
        <w:t>. To address these issues, the company agrees:</w:t>
      </w:r>
    </w:p>
    <w:p w14:paraId="7B895396" w14:textId="77777777" w:rsidR="006B551B" w:rsidRDefault="006B551B" w:rsidP="006B551B">
      <w:pPr>
        <w:pStyle w:val="NoSpacing"/>
      </w:pPr>
    </w:p>
    <w:p w14:paraId="1D2CF3D9" w14:textId="55A8E29F" w:rsidR="006B551B" w:rsidRDefault="006B551B" w:rsidP="006B551B">
      <w:pPr>
        <w:pStyle w:val="NoSpacing"/>
        <w:numPr>
          <w:ilvl w:val="0"/>
          <w:numId w:val="15"/>
        </w:numPr>
      </w:pPr>
      <w:r>
        <w:t xml:space="preserve">To file a full rate case no later than </w:t>
      </w:r>
      <w:r w:rsidR="00586133">
        <w:t>April 15</w:t>
      </w:r>
      <w:r>
        <w:t xml:space="preserve">, 2013, that </w:t>
      </w:r>
      <w:r w:rsidR="00532EA7">
        <w:t xml:space="preserve">would </w:t>
      </w:r>
      <w:r>
        <w:t xml:space="preserve">implement the full “second step” by eliminating 50 percent of the remaining subsidy (an additional 33.3 percent of the original subsidy). </w:t>
      </w:r>
      <w:r w:rsidR="00532EA7">
        <w:t>The next rate case would eliminate any remaining subsidy</w:t>
      </w:r>
      <w:r>
        <w:t xml:space="preserve"> </w:t>
      </w:r>
      <w:r w:rsidR="000855B6">
        <w:t>(33.3 percent of the original subsidy)</w:t>
      </w:r>
      <w:r>
        <w:t xml:space="preserve">. </w:t>
      </w:r>
    </w:p>
    <w:p w14:paraId="5E5888D1" w14:textId="77777777" w:rsidR="006B551B" w:rsidRDefault="006B551B" w:rsidP="000F453F">
      <w:pPr>
        <w:pStyle w:val="NoSpacing"/>
        <w:ind w:left="785"/>
      </w:pPr>
    </w:p>
    <w:p w14:paraId="60939FD4" w14:textId="3709E6EA" w:rsidR="006B551B" w:rsidRDefault="006B551B">
      <w:pPr>
        <w:pStyle w:val="NoSpacing"/>
        <w:numPr>
          <w:ilvl w:val="0"/>
          <w:numId w:val="15"/>
        </w:numPr>
      </w:pPr>
      <w:r>
        <w:t xml:space="preserve">To </w:t>
      </w:r>
      <w:r w:rsidR="00EB1647" w:rsidRPr="00EB1647">
        <w:t xml:space="preserve">work with staff to prepare a notice that </w:t>
      </w:r>
      <w:r w:rsidR="00532EA7">
        <w:t xml:space="preserve">the company </w:t>
      </w:r>
      <w:r w:rsidR="00EB1647" w:rsidRPr="00EB1647">
        <w:t xml:space="preserve">will </w:t>
      </w:r>
      <w:r w:rsidR="00532EA7">
        <w:t>send</w:t>
      </w:r>
      <w:r w:rsidR="00EB1647" w:rsidRPr="00EB1647">
        <w:t xml:space="preserve"> to all non-residential customers advising them of the 2013 rate case and the expected impact to non-residential rates. </w:t>
      </w:r>
      <w:r w:rsidR="00532EA7">
        <w:t xml:space="preserve">The company will send the notice </w:t>
      </w:r>
      <w:r w:rsidR="00532EA7" w:rsidRPr="00EB1647">
        <w:t xml:space="preserve">no later than February 29, 2012, </w:t>
      </w:r>
      <w:r w:rsidR="00532EA7">
        <w:t xml:space="preserve">to </w:t>
      </w:r>
      <w:r>
        <w:t xml:space="preserve">give all </w:t>
      </w:r>
      <w:r w:rsidR="00532EA7">
        <w:t xml:space="preserve">customers </w:t>
      </w:r>
      <w:r>
        <w:t xml:space="preserve">sufficient time to </w:t>
      </w:r>
      <w:r w:rsidR="00532EA7">
        <w:t xml:space="preserve">plan and </w:t>
      </w:r>
      <w:r>
        <w:t>budget</w:t>
      </w:r>
      <w:r w:rsidR="00532EA7">
        <w:t xml:space="preserve"> for the expected change</w:t>
      </w:r>
      <w:r w:rsidR="00EB1647">
        <w:t>s</w:t>
      </w:r>
      <w:r>
        <w:t xml:space="preserve">. </w:t>
      </w:r>
    </w:p>
    <w:p w14:paraId="36032098" w14:textId="77777777" w:rsidR="000855B6" w:rsidRDefault="000855B6" w:rsidP="000F453F">
      <w:pPr>
        <w:pStyle w:val="ListParagraph"/>
      </w:pPr>
    </w:p>
    <w:p w14:paraId="43FA98C4" w14:textId="74FA0B16" w:rsidR="000855B6" w:rsidRDefault="000855B6" w:rsidP="000F453F">
      <w:pPr>
        <w:pStyle w:val="NoSpacing"/>
      </w:pPr>
      <w:r>
        <w:t>Staff’s review of the company’s filing found that the proposed revenue requirement was not sufficient to cover the company’s operating expenses. Staff and the company agree</w:t>
      </w:r>
      <w:r w:rsidR="00EB1647">
        <w:t xml:space="preserve">d to </w:t>
      </w:r>
      <w:r>
        <w:t xml:space="preserve">a </w:t>
      </w:r>
      <w:r w:rsidR="00EB1647">
        <w:t xml:space="preserve">revised </w:t>
      </w:r>
      <w:r>
        <w:t xml:space="preserve">revenue requirement that would generate $545,419 (12.6 percent) in additional annual revenue. The </w:t>
      </w:r>
      <w:r w:rsidR="00EB1647">
        <w:t>proposed</w:t>
      </w:r>
      <w:r>
        <w:t xml:space="preserve"> rates will generate the revised revenue requirement. </w:t>
      </w:r>
    </w:p>
    <w:p w14:paraId="0C3BAFA5" w14:textId="77777777" w:rsidR="00E835A8" w:rsidRDefault="00E835A8">
      <w:pPr>
        <w:rPr>
          <w:b/>
          <w:u w:val="single"/>
        </w:rPr>
      </w:pPr>
    </w:p>
    <w:p w14:paraId="0C3BAFA6" w14:textId="77777777" w:rsidR="00C155BE" w:rsidRDefault="00D56F7E" w:rsidP="007F1BFD">
      <w:pPr>
        <w:pStyle w:val="NoSpacing"/>
        <w:rPr>
          <w:b/>
          <w:u w:val="single"/>
        </w:rPr>
      </w:pPr>
      <w:r>
        <w:rPr>
          <w:b/>
          <w:u w:val="single"/>
        </w:rPr>
        <w:t>Conclusion</w:t>
      </w:r>
    </w:p>
    <w:p w14:paraId="0C3BAFA7" w14:textId="77777777" w:rsidR="006F3DD7" w:rsidRDefault="006F3DD7" w:rsidP="007F1BFD">
      <w:pPr>
        <w:pStyle w:val="NoSpacing"/>
        <w:rPr>
          <w:b/>
          <w:u w:val="single"/>
        </w:rPr>
      </w:pPr>
    </w:p>
    <w:p w14:paraId="0C3BAFA8" w14:textId="11EC6538" w:rsidR="006F3DD7" w:rsidRPr="00263F7B" w:rsidRDefault="006F3DD7" w:rsidP="006F3DD7">
      <w:r w:rsidRPr="00263F7B">
        <w:t>Commission staff has completed its review of the company’s supporting financial documents, books and records. Staff’s review shows that the revised expenses are reasonable and required as part of the company’s operations. The customer</w:t>
      </w:r>
      <w:r w:rsidR="00532EA7">
        <w:t>s’</w:t>
      </w:r>
      <w:r w:rsidRPr="00263F7B">
        <w:t xml:space="preserve"> comments do not change staff’s opinion that the company’s financial information supports the revised revenue requirement</w:t>
      </w:r>
      <w:r w:rsidR="00DD63B1">
        <w:t xml:space="preserve">. Staff further concludes that, with the company’s agreement to file a rate case by </w:t>
      </w:r>
      <w:r w:rsidR="00586133">
        <w:t>April 15</w:t>
      </w:r>
      <w:r w:rsidR="00DD63B1">
        <w:t xml:space="preserve">, 2013, that will incorporate the full “second step” to </w:t>
      </w:r>
      <w:r w:rsidR="008515A2">
        <w:t xml:space="preserve">reduce </w:t>
      </w:r>
      <w:r w:rsidR="00DD63B1">
        <w:t>rate subsidies and notice non</w:t>
      </w:r>
      <w:r w:rsidR="000855B6">
        <w:t>-</w:t>
      </w:r>
      <w:r w:rsidR="00DD63B1">
        <w:t xml:space="preserve">residential customers of those proposed changes no later than February 29, 2012, that </w:t>
      </w:r>
      <w:r w:rsidRPr="00263F7B">
        <w:t xml:space="preserve">the </w:t>
      </w:r>
      <w:r w:rsidR="00DD63B1">
        <w:t>proposed</w:t>
      </w:r>
      <w:r w:rsidR="00DD63B1" w:rsidRPr="00263F7B">
        <w:t xml:space="preserve"> </w:t>
      </w:r>
      <w:r w:rsidRPr="00263F7B">
        <w:t>rates and charges are fair, just, reasonable, and sufficient.</w:t>
      </w:r>
    </w:p>
    <w:p w14:paraId="0C3BAFA9" w14:textId="77777777" w:rsidR="006F3DD7" w:rsidRDefault="006F3DD7" w:rsidP="007F1BFD">
      <w:pPr>
        <w:pStyle w:val="NoSpacing"/>
      </w:pPr>
    </w:p>
    <w:p w14:paraId="0C3BAFAA" w14:textId="77777777" w:rsidR="00D56F7E" w:rsidRDefault="00D25976" w:rsidP="00D56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Calibri"/>
          <w:lang w:bidi="en-US"/>
        </w:rPr>
      </w:pPr>
      <w:r w:rsidRPr="006F3DD7">
        <w:rPr>
          <w:rFonts w:eastAsia="Calibri"/>
          <w:lang w:bidi="en-US"/>
        </w:rPr>
        <w:t>Staff recommends that the commission i</w:t>
      </w:r>
      <w:r w:rsidR="00D56F7E" w:rsidRPr="006F3DD7">
        <w:rPr>
          <w:rFonts w:eastAsia="Calibri"/>
          <w:lang w:bidi="en-US"/>
        </w:rPr>
        <w:t>ssue an Order to:</w:t>
      </w:r>
    </w:p>
    <w:p w14:paraId="3D7B3593" w14:textId="77777777" w:rsidR="00D26F2D" w:rsidRPr="006F3DD7" w:rsidRDefault="00D26F2D" w:rsidP="00D56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Calibri"/>
          <w:lang w:bidi="en-US"/>
        </w:rPr>
      </w:pPr>
    </w:p>
    <w:p w14:paraId="0F47062D" w14:textId="77777777" w:rsidR="006D2E1E" w:rsidRPr="00263F7B" w:rsidRDefault="006D2E1E" w:rsidP="008152CC">
      <w:pPr>
        <w:widowControl w:val="0"/>
        <w:numPr>
          <w:ilvl w:val="0"/>
          <w:numId w:val="18"/>
        </w:numPr>
        <w:autoSpaceDE w:val="0"/>
        <w:autoSpaceDN w:val="0"/>
        <w:adjustRightInd w:val="0"/>
        <w:rPr>
          <w:rFonts w:eastAsia="Times New Roman"/>
          <w:color w:val="000000"/>
        </w:rPr>
      </w:pPr>
      <w:r w:rsidRPr="00263F7B">
        <w:rPr>
          <w:rFonts w:eastAsia="Times New Roman"/>
          <w:color w:val="000000"/>
        </w:rPr>
        <w:t>Dismiss the Complaint and Order Suspending the Tariff Revisions filed by Rainier View Water Company, Inc., in Docket UW-</w:t>
      </w:r>
      <w:r>
        <w:rPr>
          <w:rFonts w:eastAsia="Times New Roman"/>
          <w:color w:val="000000"/>
        </w:rPr>
        <w:t>111399</w:t>
      </w:r>
      <w:r w:rsidRPr="00263F7B">
        <w:rPr>
          <w:rFonts w:eastAsia="Times New Roman"/>
          <w:color w:val="000000"/>
        </w:rPr>
        <w:t>.</w:t>
      </w:r>
    </w:p>
    <w:p w14:paraId="32C4A286" w14:textId="77777777" w:rsidR="006D2E1E" w:rsidRPr="006F3DD7" w:rsidRDefault="006D2E1E" w:rsidP="006D2E1E">
      <w:pPr>
        <w:widowControl w:val="0"/>
        <w:autoSpaceDE w:val="0"/>
        <w:autoSpaceDN w:val="0"/>
        <w:adjustRightInd w:val="0"/>
        <w:ind w:left="360"/>
        <w:rPr>
          <w:rFonts w:eastAsia="Calibri"/>
          <w:color w:val="000000"/>
          <w:sz w:val="22"/>
          <w:szCs w:val="22"/>
        </w:rPr>
      </w:pPr>
    </w:p>
    <w:p w14:paraId="3C9BAEAB" w14:textId="77777777" w:rsidR="006D2E1E" w:rsidRPr="00D25976" w:rsidRDefault="006D2E1E" w:rsidP="008152CC">
      <w:pPr>
        <w:widowControl w:val="0"/>
        <w:numPr>
          <w:ilvl w:val="0"/>
          <w:numId w:val="18"/>
        </w:numPr>
        <w:autoSpaceDE w:val="0"/>
        <w:autoSpaceDN w:val="0"/>
        <w:adjustRightInd w:val="0"/>
        <w:rPr>
          <w:rFonts w:eastAsia="Calibri"/>
          <w:color w:val="000000"/>
          <w:sz w:val="22"/>
          <w:szCs w:val="22"/>
        </w:rPr>
      </w:pPr>
      <w:r w:rsidRPr="006A20F0">
        <w:rPr>
          <w:rFonts w:eastAsia="Calibri"/>
          <w:color w:val="000000"/>
          <w:lang w:bidi="en-US"/>
        </w:rPr>
        <w:t xml:space="preserve">Allow the revised rates </w:t>
      </w:r>
      <w:r>
        <w:rPr>
          <w:rFonts w:eastAsia="Calibri"/>
          <w:color w:val="000000"/>
          <w:lang w:bidi="en-US"/>
        </w:rPr>
        <w:t xml:space="preserve">and tariff revisions </w:t>
      </w:r>
      <w:r w:rsidRPr="006A20F0">
        <w:rPr>
          <w:rFonts w:eastAsia="Calibri"/>
          <w:color w:val="000000"/>
          <w:lang w:bidi="en-US"/>
        </w:rPr>
        <w:t>filed by Rainier View Water Company, Inc.</w:t>
      </w:r>
      <w:r>
        <w:rPr>
          <w:rFonts w:eastAsia="Calibri"/>
          <w:color w:val="000000"/>
          <w:lang w:bidi="en-US"/>
        </w:rPr>
        <w:t>,</w:t>
      </w:r>
      <w:r w:rsidRPr="006A20F0">
        <w:rPr>
          <w:rFonts w:eastAsia="Calibri"/>
          <w:color w:val="000000"/>
        </w:rPr>
        <w:t xml:space="preserve"> on</w:t>
      </w:r>
      <w:r>
        <w:rPr>
          <w:rFonts w:eastAsia="Calibri"/>
          <w:color w:val="000000"/>
        </w:rPr>
        <w:t xml:space="preserve"> </w:t>
      </w:r>
      <w:r w:rsidRPr="006F3DD7">
        <w:rPr>
          <w:rFonts w:eastAsia="Calibri"/>
          <w:color w:val="000000"/>
          <w:lang w:bidi="en-US"/>
        </w:rPr>
        <w:t>August 1,</w:t>
      </w:r>
      <w:r>
        <w:rPr>
          <w:rFonts w:eastAsia="Calibri"/>
          <w:color w:val="000000"/>
          <w:lang w:bidi="en-US"/>
        </w:rPr>
        <w:t xml:space="preserve"> 2011, and on November 23</w:t>
      </w:r>
      <w:r w:rsidRPr="00741C4C">
        <w:rPr>
          <w:rFonts w:eastAsia="Calibri"/>
          <w:color w:val="000000"/>
          <w:lang w:bidi="en-US"/>
        </w:rPr>
        <w:t>,</w:t>
      </w:r>
      <w:r>
        <w:rPr>
          <w:rFonts w:eastAsia="Calibri"/>
          <w:color w:val="000000"/>
          <w:lang w:bidi="en-US"/>
        </w:rPr>
        <w:t xml:space="preserve"> 2011, to become effective January 1, 2012.</w:t>
      </w:r>
    </w:p>
    <w:p w14:paraId="3B88B49B" w14:textId="77777777" w:rsidR="006D2E1E" w:rsidRDefault="006D2E1E" w:rsidP="006D2E1E">
      <w:pPr>
        <w:widowControl w:val="0"/>
        <w:autoSpaceDE w:val="0"/>
        <w:autoSpaceDN w:val="0"/>
        <w:adjustRightInd w:val="0"/>
        <w:rPr>
          <w:rFonts w:eastAsia="Calibri"/>
          <w:color w:val="000000"/>
          <w:lang w:bidi="en-US"/>
        </w:rPr>
      </w:pPr>
    </w:p>
    <w:p w14:paraId="06857A06" w14:textId="77777777" w:rsidR="006D2E1E" w:rsidRDefault="006D2E1E" w:rsidP="008152CC">
      <w:pPr>
        <w:pStyle w:val="ListParagraph"/>
        <w:widowControl w:val="0"/>
        <w:numPr>
          <w:ilvl w:val="0"/>
          <w:numId w:val="18"/>
        </w:numPr>
        <w:autoSpaceDE w:val="0"/>
        <w:autoSpaceDN w:val="0"/>
        <w:adjustRightInd w:val="0"/>
        <w:rPr>
          <w:rFonts w:eastAsia="Calibri"/>
          <w:color w:val="000000"/>
        </w:rPr>
      </w:pPr>
      <w:r w:rsidRPr="00410E5B">
        <w:rPr>
          <w:rFonts w:eastAsia="Calibri"/>
          <w:color w:val="000000"/>
        </w:rPr>
        <w:t xml:space="preserve">Direct the company to file </w:t>
      </w:r>
      <w:r>
        <w:rPr>
          <w:rFonts w:eastAsia="Calibri"/>
          <w:color w:val="000000"/>
        </w:rPr>
        <w:t>a</w:t>
      </w:r>
      <w:r w:rsidRPr="00410E5B">
        <w:rPr>
          <w:rFonts w:eastAsia="Calibri"/>
          <w:color w:val="000000"/>
        </w:rPr>
        <w:t xml:space="preserve"> general rate case no later than </w:t>
      </w:r>
      <w:r>
        <w:rPr>
          <w:rFonts w:eastAsia="Calibri"/>
          <w:color w:val="000000"/>
        </w:rPr>
        <w:t>April 15</w:t>
      </w:r>
      <w:r w:rsidRPr="00410E5B">
        <w:rPr>
          <w:rFonts w:eastAsia="Calibri"/>
          <w:color w:val="000000"/>
        </w:rPr>
        <w:t xml:space="preserve">, 2013, </w:t>
      </w:r>
      <w:r>
        <w:rPr>
          <w:rFonts w:eastAsia="Calibri"/>
          <w:color w:val="000000"/>
        </w:rPr>
        <w:t xml:space="preserve">that will eliminate 50 percent of </w:t>
      </w:r>
      <w:r w:rsidRPr="00410E5B">
        <w:rPr>
          <w:rFonts w:eastAsia="Calibri"/>
          <w:color w:val="000000"/>
        </w:rPr>
        <w:t xml:space="preserve">the remaining </w:t>
      </w:r>
      <w:r>
        <w:rPr>
          <w:rFonts w:eastAsia="Calibri"/>
          <w:color w:val="000000"/>
        </w:rPr>
        <w:t>subsidy</w:t>
      </w:r>
      <w:r w:rsidRPr="00410E5B">
        <w:rPr>
          <w:rFonts w:eastAsia="Calibri"/>
          <w:color w:val="000000"/>
        </w:rPr>
        <w:t xml:space="preserve"> </w:t>
      </w:r>
      <w:r>
        <w:rPr>
          <w:rFonts w:eastAsia="Calibri"/>
          <w:color w:val="000000"/>
        </w:rPr>
        <w:t xml:space="preserve">between </w:t>
      </w:r>
      <w:r w:rsidRPr="00410E5B">
        <w:rPr>
          <w:rFonts w:eastAsia="Calibri"/>
          <w:color w:val="000000"/>
        </w:rPr>
        <w:t xml:space="preserve">residential </w:t>
      </w:r>
      <w:r>
        <w:rPr>
          <w:rFonts w:eastAsia="Calibri"/>
          <w:color w:val="000000"/>
        </w:rPr>
        <w:t xml:space="preserve">customers and </w:t>
      </w:r>
      <w:r w:rsidRPr="00410E5B">
        <w:rPr>
          <w:rFonts w:eastAsia="Calibri"/>
          <w:color w:val="000000"/>
        </w:rPr>
        <w:t xml:space="preserve">non-residential </w:t>
      </w:r>
      <w:r>
        <w:rPr>
          <w:rFonts w:eastAsia="Calibri"/>
          <w:color w:val="000000"/>
        </w:rPr>
        <w:t>customers</w:t>
      </w:r>
      <w:r w:rsidRPr="00410E5B">
        <w:rPr>
          <w:rFonts w:eastAsia="Calibri"/>
          <w:color w:val="000000"/>
        </w:rPr>
        <w:t>.</w:t>
      </w:r>
      <w:r>
        <w:rPr>
          <w:rFonts w:eastAsia="Calibri"/>
          <w:color w:val="000000"/>
        </w:rPr>
        <w:t xml:space="preserve"> </w:t>
      </w:r>
    </w:p>
    <w:p w14:paraId="49A6F83E" w14:textId="77777777" w:rsidR="006D2E1E" w:rsidRPr="006F3DD7" w:rsidRDefault="006D2E1E" w:rsidP="006D2E1E">
      <w:pPr>
        <w:pStyle w:val="ListParagraph"/>
        <w:rPr>
          <w:rFonts w:eastAsia="Calibri"/>
          <w:color w:val="000000"/>
        </w:rPr>
      </w:pPr>
    </w:p>
    <w:p w14:paraId="258E47FA" w14:textId="07D1EFBA" w:rsidR="006D2E1E" w:rsidRPr="00410E5B" w:rsidRDefault="008515A2" w:rsidP="008152CC">
      <w:pPr>
        <w:pStyle w:val="ListParagraph"/>
        <w:widowControl w:val="0"/>
        <w:numPr>
          <w:ilvl w:val="0"/>
          <w:numId w:val="18"/>
        </w:numPr>
        <w:autoSpaceDE w:val="0"/>
        <w:autoSpaceDN w:val="0"/>
        <w:adjustRightInd w:val="0"/>
        <w:rPr>
          <w:rFonts w:eastAsia="Calibri"/>
          <w:color w:val="000000"/>
        </w:rPr>
      </w:pPr>
      <w:r w:rsidRPr="008515A2">
        <w:rPr>
          <w:rFonts w:eastAsia="Calibri"/>
          <w:color w:val="000000"/>
        </w:rPr>
        <w:t>Direct the company to work with staff to prepare a notice to all non-residential customers advising them of the 2013 rate case and the expected impact to non-residential rates. To give non-residential customers ample time to plan and budget for rate changes in 2013, the company must send the notice no later than February 29, 2012.</w:t>
      </w:r>
      <w:r w:rsidR="006D2E1E">
        <w:rPr>
          <w:rFonts w:eastAsia="Calibri"/>
          <w:color w:val="000000"/>
        </w:rPr>
        <w:t xml:space="preserve"> </w:t>
      </w:r>
    </w:p>
    <w:p w14:paraId="6DB0716F" w14:textId="02E00FB4" w:rsidR="00D95A1A" w:rsidRPr="008152CC" w:rsidRDefault="00D95A1A" w:rsidP="008152CC">
      <w:pPr>
        <w:widowControl w:val="0"/>
        <w:autoSpaceDE w:val="0"/>
        <w:autoSpaceDN w:val="0"/>
        <w:adjustRightInd w:val="0"/>
        <w:rPr>
          <w:rFonts w:eastAsia="Calibri"/>
          <w:color w:val="000000"/>
        </w:rPr>
      </w:pPr>
    </w:p>
    <w:p w14:paraId="548F5D75" w14:textId="209776AC" w:rsidR="00D26F2D" w:rsidRPr="008152CC" w:rsidRDefault="00D26F2D" w:rsidP="008152CC">
      <w:pPr>
        <w:widowControl w:val="0"/>
        <w:autoSpaceDE w:val="0"/>
        <w:autoSpaceDN w:val="0"/>
        <w:adjustRightInd w:val="0"/>
        <w:rPr>
          <w:rFonts w:eastAsia="Calibri"/>
          <w:color w:val="000000"/>
        </w:rPr>
      </w:pPr>
      <w:r w:rsidRPr="008152CC">
        <w:rPr>
          <w:rFonts w:eastAsia="Calibri"/>
          <w:color w:val="000000"/>
        </w:rPr>
        <w:t xml:space="preserve">  </w:t>
      </w:r>
    </w:p>
    <w:p w14:paraId="0C3BAFB4" w14:textId="77777777" w:rsidR="00D25976" w:rsidRPr="008152CC" w:rsidRDefault="00D25976" w:rsidP="00D25976">
      <w:pPr>
        <w:pStyle w:val="ListParagraph"/>
        <w:widowControl w:val="0"/>
        <w:autoSpaceDE w:val="0"/>
        <w:autoSpaceDN w:val="0"/>
        <w:adjustRightInd w:val="0"/>
        <w:ind w:left="360"/>
        <w:rPr>
          <w:rFonts w:eastAsia="Calibri"/>
          <w:color w:val="000000"/>
        </w:rPr>
      </w:pPr>
    </w:p>
    <w:p w14:paraId="0C3BAFB5" w14:textId="77777777" w:rsidR="00C24170" w:rsidRDefault="00C24170" w:rsidP="00D25976">
      <w:pPr>
        <w:widowControl w:val="0"/>
        <w:autoSpaceDE w:val="0"/>
        <w:autoSpaceDN w:val="0"/>
        <w:adjustRightInd w:val="0"/>
        <w:ind w:left="720"/>
      </w:pPr>
    </w:p>
    <w:sectPr w:rsidR="00C24170" w:rsidSect="00264389">
      <w:headerReference w:type="default" r:id="rId13"/>
      <w:pgSz w:w="12240" w:h="15840" w:code="1"/>
      <w:pgMar w:top="1440" w:right="1440" w:bottom="1440" w:left="1440" w:header="18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AFB8" w14:textId="77777777" w:rsidR="006D2E1E" w:rsidRDefault="006D2E1E" w:rsidP="00245254">
      <w:r>
        <w:separator/>
      </w:r>
    </w:p>
  </w:endnote>
  <w:endnote w:type="continuationSeparator" w:id="0">
    <w:p w14:paraId="0C3BAFB9" w14:textId="77777777" w:rsidR="006D2E1E" w:rsidRDefault="006D2E1E" w:rsidP="0024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BAFB6" w14:textId="77777777" w:rsidR="006D2E1E" w:rsidRDefault="006D2E1E" w:rsidP="00245254">
      <w:r>
        <w:separator/>
      </w:r>
    </w:p>
  </w:footnote>
  <w:footnote w:type="continuationSeparator" w:id="0">
    <w:p w14:paraId="0C3BAFB7" w14:textId="77777777" w:rsidR="006D2E1E" w:rsidRDefault="006D2E1E" w:rsidP="00245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AFBA" w14:textId="77777777" w:rsidR="006D2E1E" w:rsidRDefault="006D2E1E" w:rsidP="00245254">
    <w:pPr>
      <w:tabs>
        <w:tab w:val="center" w:pos="4680"/>
        <w:tab w:val="right" w:pos="9360"/>
      </w:tabs>
      <w:rPr>
        <w:rFonts w:eastAsia="Calibri"/>
        <w:sz w:val="20"/>
        <w:szCs w:val="20"/>
        <w:lang w:bidi="en-US"/>
      </w:rPr>
    </w:pPr>
  </w:p>
  <w:p w14:paraId="0C3BAFBB" w14:textId="77777777" w:rsidR="006D2E1E" w:rsidRPr="00BA28F5" w:rsidRDefault="006D2E1E" w:rsidP="00245254">
    <w:pPr>
      <w:tabs>
        <w:tab w:val="center" w:pos="4680"/>
        <w:tab w:val="right" w:pos="9360"/>
      </w:tabs>
      <w:rPr>
        <w:rFonts w:eastAsia="Calibri"/>
        <w:sz w:val="20"/>
        <w:szCs w:val="20"/>
        <w:lang w:bidi="en-US"/>
      </w:rPr>
    </w:pPr>
    <w:r w:rsidRPr="00245254">
      <w:rPr>
        <w:rFonts w:eastAsia="Calibri"/>
        <w:sz w:val="20"/>
        <w:szCs w:val="20"/>
        <w:lang w:bidi="en-US"/>
      </w:rPr>
      <w:t>Docket UW-</w:t>
    </w:r>
    <w:r w:rsidRPr="00BA28F5">
      <w:rPr>
        <w:rFonts w:eastAsia="Calibri"/>
        <w:sz w:val="20"/>
        <w:szCs w:val="20"/>
        <w:lang w:bidi="en-US"/>
      </w:rPr>
      <w:t>111399</w:t>
    </w:r>
  </w:p>
  <w:p w14:paraId="0C3BAFBC" w14:textId="77777777" w:rsidR="006D2E1E" w:rsidRPr="00245254" w:rsidRDefault="006D2E1E" w:rsidP="00245254">
    <w:pPr>
      <w:tabs>
        <w:tab w:val="center" w:pos="4680"/>
        <w:tab w:val="right" w:pos="9360"/>
      </w:tabs>
      <w:rPr>
        <w:rFonts w:eastAsia="Calibri"/>
        <w:sz w:val="20"/>
        <w:szCs w:val="20"/>
        <w:lang w:bidi="en-US"/>
      </w:rPr>
    </w:pPr>
    <w:r>
      <w:rPr>
        <w:rFonts w:eastAsia="Calibri"/>
        <w:sz w:val="20"/>
        <w:szCs w:val="20"/>
        <w:lang w:bidi="en-US"/>
      </w:rPr>
      <w:t>Dec</w:t>
    </w:r>
    <w:r w:rsidRPr="00BA28F5">
      <w:rPr>
        <w:rFonts w:eastAsia="Calibri"/>
        <w:sz w:val="20"/>
        <w:szCs w:val="20"/>
        <w:lang w:bidi="en-US"/>
      </w:rPr>
      <w:t>ember</w:t>
    </w:r>
    <w:r>
      <w:rPr>
        <w:rFonts w:eastAsia="Calibri"/>
        <w:sz w:val="20"/>
        <w:szCs w:val="20"/>
        <w:lang w:bidi="en-US"/>
      </w:rPr>
      <w:t xml:space="preserve"> 15</w:t>
    </w:r>
    <w:r w:rsidRPr="00BA28F5">
      <w:rPr>
        <w:rFonts w:eastAsia="Calibri"/>
        <w:sz w:val="20"/>
        <w:szCs w:val="20"/>
        <w:lang w:bidi="en-US"/>
      </w:rPr>
      <w:t>, 2011</w:t>
    </w:r>
  </w:p>
  <w:p w14:paraId="0C3BAFBD" w14:textId="77777777" w:rsidR="006D2E1E" w:rsidRPr="00245254" w:rsidRDefault="006D2E1E" w:rsidP="00245254">
    <w:pPr>
      <w:tabs>
        <w:tab w:val="center" w:pos="4680"/>
        <w:tab w:val="right" w:pos="9360"/>
      </w:tabs>
      <w:rPr>
        <w:rFonts w:eastAsia="Calibri"/>
        <w:sz w:val="20"/>
        <w:szCs w:val="20"/>
        <w:lang w:bidi="en-US"/>
      </w:rPr>
    </w:pPr>
    <w:r w:rsidRPr="00245254">
      <w:rPr>
        <w:rFonts w:eastAsia="Calibri"/>
        <w:sz w:val="20"/>
        <w:szCs w:val="20"/>
        <w:lang w:bidi="en-US"/>
      </w:rPr>
      <w:t xml:space="preserve">Page </w:t>
    </w:r>
    <w:r w:rsidRPr="00245254">
      <w:rPr>
        <w:rFonts w:eastAsia="Calibri"/>
        <w:sz w:val="20"/>
        <w:szCs w:val="20"/>
        <w:lang w:bidi="en-US"/>
      </w:rPr>
      <w:fldChar w:fldCharType="begin"/>
    </w:r>
    <w:r w:rsidRPr="00245254">
      <w:rPr>
        <w:rFonts w:eastAsia="Calibri"/>
        <w:sz w:val="20"/>
        <w:szCs w:val="20"/>
        <w:lang w:bidi="en-US"/>
      </w:rPr>
      <w:instrText xml:space="preserve"> PAGE   \* MERGEFORMAT </w:instrText>
    </w:r>
    <w:r w:rsidRPr="00245254">
      <w:rPr>
        <w:rFonts w:eastAsia="Calibri"/>
        <w:sz w:val="20"/>
        <w:szCs w:val="20"/>
        <w:lang w:bidi="en-US"/>
      </w:rPr>
      <w:fldChar w:fldCharType="separate"/>
    </w:r>
    <w:r w:rsidR="00915C0A">
      <w:rPr>
        <w:rFonts w:eastAsia="Calibri"/>
        <w:noProof/>
        <w:sz w:val="20"/>
        <w:szCs w:val="20"/>
        <w:lang w:bidi="en-US"/>
      </w:rPr>
      <w:t>5</w:t>
    </w:r>
    <w:r w:rsidRPr="00245254">
      <w:rPr>
        <w:rFonts w:eastAsia="Calibri"/>
        <w:sz w:val="20"/>
        <w:szCs w:val="20"/>
        <w:lang w:bidi="en-US"/>
      </w:rPr>
      <w:fldChar w:fldCharType="end"/>
    </w:r>
  </w:p>
  <w:p w14:paraId="0C3BAFBE" w14:textId="77777777" w:rsidR="006D2E1E" w:rsidRDefault="006D2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61E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462589"/>
    <w:multiLevelType w:val="hybridMultilevel"/>
    <w:tmpl w:val="614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26897"/>
    <w:multiLevelType w:val="hybridMultilevel"/>
    <w:tmpl w:val="317E350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C1907"/>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CF8793E"/>
    <w:multiLevelType w:val="hybridMultilevel"/>
    <w:tmpl w:val="BCD6E82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4C0052"/>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6C1845"/>
    <w:multiLevelType w:val="multilevel"/>
    <w:tmpl w:val="59E4E85A"/>
    <w:lvl w:ilvl="0">
      <w:start w:val="1"/>
      <w:numFmt w:val="decimal"/>
      <w:pStyle w:val="Jim1"/>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67DA6AB5"/>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C0D00AD"/>
    <w:multiLevelType w:val="hybridMultilevel"/>
    <w:tmpl w:val="6978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A767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DC6B07"/>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F3B66E1"/>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A9252B"/>
    <w:multiLevelType w:val="hybridMultilevel"/>
    <w:tmpl w:val="BCD6E82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4"/>
  </w:num>
  <w:num w:numId="2">
    <w:abstractNumId w:val="9"/>
  </w:num>
  <w:num w:numId="3">
    <w:abstractNumId w:val="4"/>
  </w:num>
  <w:num w:numId="4">
    <w:abstractNumId w:val="9"/>
  </w:num>
  <w:num w:numId="5">
    <w:abstractNumId w:val="1"/>
  </w:num>
  <w:num w:numId="6">
    <w:abstractNumId w:val="0"/>
  </w:num>
  <w:num w:numId="7">
    <w:abstractNumId w:val="6"/>
  </w:num>
  <w:num w:numId="8">
    <w:abstractNumId w:val="13"/>
  </w:num>
  <w:num w:numId="9">
    <w:abstractNumId w:val="14"/>
  </w:num>
  <w:num w:numId="10">
    <w:abstractNumId w:val="12"/>
  </w:num>
  <w:num w:numId="11">
    <w:abstractNumId w:val="3"/>
  </w:num>
  <w:num w:numId="12">
    <w:abstractNumId w:val="11"/>
  </w:num>
  <w:num w:numId="13">
    <w:abstractNumId w:val="10"/>
  </w:num>
  <w:num w:numId="14">
    <w:abstractNumId w:val="7"/>
  </w:num>
  <w:num w:numId="15">
    <w:abstractNumId w:val="15"/>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6F"/>
    <w:rsid w:val="00003847"/>
    <w:rsid w:val="00024460"/>
    <w:rsid w:val="00030398"/>
    <w:rsid w:val="00033E2D"/>
    <w:rsid w:val="00061941"/>
    <w:rsid w:val="00062FAD"/>
    <w:rsid w:val="000652A3"/>
    <w:rsid w:val="00083FB2"/>
    <w:rsid w:val="00084BF7"/>
    <w:rsid w:val="000855B6"/>
    <w:rsid w:val="00087518"/>
    <w:rsid w:val="000A048C"/>
    <w:rsid w:val="000C2D22"/>
    <w:rsid w:val="000C70F4"/>
    <w:rsid w:val="000C737B"/>
    <w:rsid w:val="000F453F"/>
    <w:rsid w:val="001033D4"/>
    <w:rsid w:val="00124C4D"/>
    <w:rsid w:val="00134BD1"/>
    <w:rsid w:val="001358B9"/>
    <w:rsid w:val="00140A64"/>
    <w:rsid w:val="00155281"/>
    <w:rsid w:val="00156783"/>
    <w:rsid w:val="0017695C"/>
    <w:rsid w:val="00181D58"/>
    <w:rsid w:val="001836CB"/>
    <w:rsid w:val="0018516A"/>
    <w:rsid w:val="0019157B"/>
    <w:rsid w:val="001A0DCB"/>
    <w:rsid w:val="001B22B6"/>
    <w:rsid w:val="001C5AB1"/>
    <w:rsid w:val="001C7342"/>
    <w:rsid w:val="001F1FEF"/>
    <w:rsid w:val="001F4371"/>
    <w:rsid w:val="00201453"/>
    <w:rsid w:val="00217E6F"/>
    <w:rsid w:val="0022425A"/>
    <w:rsid w:val="002407A1"/>
    <w:rsid w:val="00245254"/>
    <w:rsid w:val="00251A5F"/>
    <w:rsid w:val="002547DD"/>
    <w:rsid w:val="00256E98"/>
    <w:rsid w:val="00264389"/>
    <w:rsid w:val="002675D5"/>
    <w:rsid w:val="00271CBF"/>
    <w:rsid w:val="00275752"/>
    <w:rsid w:val="00275D58"/>
    <w:rsid w:val="00282042"/>
    <w:rsid w:val="002A0205"/>
    <w:rsid w:val="002B5769"/>
    <w:rsid w:val="002C039A"/>
    <w:rsid w:val="002C27C2"/>
    <w:rsid w:val="002C5B30"/>
    <w:rsid w:val="00302238"/>
    <w:rsid w:val="00325DE9"/>
    <w:rsid w:val="00326983"/>
    <w:rsid w:val="003351DF"/>
    <w:rsid w:val="003356FA"/>
    <w:rsid w:val="00340706"/>
    <w:rsid w:val="0035055F"/>
    <w:rsid w:val="00355537"/>
    <w:rsid w:val="00356571"/>
    <w:rsid w:val="00360292"/>
    <w:rsid w:val="00370C13"/>
    <w:rsid w:val="00374143"/>
    <w:rsid w:val="00377931"/>
    <w:rsid w:val="00382875"/>
    <w:rsid w:val="00396AF9"/>
    <w:rsid w:val="003B19D4"/>
    <w:rsid w:val="003B73BB"/>
    <w:rsid w:val="003E1936"/>
    <w:rsid w:val="003F0251"/>
    <w:rsid w:val="00410E5B"/>
    <w:rsid w:val="00423AD5"/>
    <w:rsid w:val="00431CA4"/>
    <w:rsid w:val="004332A0"/>
    <w:rsid w:val="00437FED"/>
    <w:rsid w:val="004464BF"/>
    <w:rsid w:val="004514E4"/>
    <w:rsid w:val="00461495"/>
    <w:rsid w:val="00477D84"/>
    <w:rsid w:val="0048133C"/>
    <w:rsid w:val="004866BE"/>
    <w:rsid w:val="00491EC4"/>
    <w:rsid w:val="00494E35"/>
    <w:rsid w:val="004A21E5"/>
    <w:rsid w:val="004A5FBB"/>
    <w:rsid w:val="004B7AF1"/>
    <w:rsid w:val="004B7F58"/>
    <w:rsid w:val="004D0B8A"/>
    <w:rsid w:val="00511D49"/>
    <w:rsid w:val="00515531"/>
    <w:rsid w:val="00523CC1"/>
    <w:rsid w:val="005268CA"/>
    <w:rsid w:val="00532EA7"/>
    <w:rsid w:val="00562039"/>
    <w:rsid w:val="00586133"/>
    <w:rsid w:val="00590850"/>
    <w:rsid w:val="005A121A"/>
    <w:rsid w:val="005B3869"/>
    <w:rsid w:val="005B5276"/>
    <w:rsid w:val="005B6C93"/>
    <w:rsid w:val="005C7273"/>
    <w:rsid w:val="005E0B68"/>
    <w:rsid w:val="005E4FB6"/>
    <w:rsid w:val="005F2F34"/>
    <w:rsid w:val="0061181E"/>
    <w:rsid w:val="00642AF1"/>
    <w:rsid w:val="006432DB"/>
    <w:rsid w:val="00647B19"/>
    <w:rsid w:val="00661CF7"/>
    <w:rsid w:val="00661EF4"/>
    <w:rsid w:val="00683F4F"/>
    <w:rsid w:val="006A20F0"/>
    <w:rsid w:val="006A2BC6"/>
    <w:rsid w:val="006A7C5C"/>
    <w:rsid w:val="006B551B"/>
    <w:rsid w:val="006C2657"/>
    <w:rsid w:val="006C3829"/>
    <w:rsid w:val="006C3F0D"/>
    <w:rsid w:val="006C4F97"/>
    <w:rsid w:val="006D2E1E"/>
    <w:rsid w:val="006D621D"/>
    <w:rsid w:val="006E1966"/>
    <w:rsid w:val="006F3DD7"/>
    <w:rsid w:val="006F747B"/>
    <w:rsid w:val="006F7629"/>
    <w:rsid w:val="00702FA4"/>
    <w:rsid w:val="00704570"/>
    <w:rsid w:val="00720DBD"/>
    <w:rsid w:val="00741C4C"/>
    <w:rsid w:val="0076183D"/>
    <w:rsid w:val="007753EE"/>
    <w:rsid w:val="00787112"/>
    <w:rsid w:val="00792FC6"/>
    <w:rsid w:val="00797135"/>
    <w:rsid w:val="007A6F0C"/>
    <w:rsid w:val="007A72F0"/>
    <w:rsid w:val="007B3723"/>
    <w:rsid w:val="007D1024"/>
    <w:rsid w:val="007D7522"/>
    <w:rsid w:val="007E0E74"/>
    <w:rsid w:val="007F1BFD"/>
    <w:rsid w:val="008152CC"/>
    <w:rsid w:val="00822DF8"/>
    <w:rsid w:val="00835B02"/>
    <w:rsid w:val="00842A35"/>
    <w:rsid w:val="008515A2"/>
    <w:rsid w:val="008554C1"/>
    <w:rsid w:val="008627F6"/>
    <w:rsid w:val="00885DA8"/>
    <w:rsid w:val="008A3C1F"/>
    <w:rsid w:val="008B3B98"/>
    <w:rsid w:val="008F0904"/>
    <w:rsid w:val="008F53D4"/>
    <w:rsid w:val="008F57BB"/>
    <w:rsid w:val="00907648"/>
    <w:rsid w:val="00914BFF"/>
    <w:rsid w:val="00915C0A"/>
    <w:rsid w:val="00927207"/>
    <w:rsid w:val="00930C8A"/>
    <w:rsid w:val="00931721"/>
    <w:rsid w:val="009322EC"/>
    <w:rsid w:val="009440F0"/>
    <w:rsid w:val="00972D40"/>
    <w:rsid w:val="0097762E"/>
    <w:rsid w:val="00981D3C"/>
    <w:rsid w:val="0099016E"/>
    <w:rsid w:val="0099065C"/>
    <w:rsid w:val="00995378"/>
    <w:rsid w:val="009A0D6F"/>
    <w:rsid w:val="009A3131"/>
    <w:rsid w:val="009C3A05"/>
    <w:rsid w:val="009D5F02"/>
    <w:rsid w:val="009E3882"/>
    <w:rsid w:val="009E7811"/>
    <w:rsid w:val="009F122B"/>
    <w:rsid w:val="009F6D56"/>
    <w:rsid w:val="00A05A98"/>
    <w:rsid w:val="00A06FAF"/>
    <w:rsid w:val="00A146BF"/>
    <w:rsid w:val="00A152CB"/>
    <w:rsid w:val="00A32D04"/>
    <w:rsid w:val="00A40987"/>
    <w:rsid w:val="00A54D16"/>
    <w:rsid w:val="00A72F1A"/>
    <w:rsid w:val="00A84C2A"/>
    <w:rsid w:val="00A91BB7"/>
    <w:rsid w:val="00A957E4"/>
    <w:rsid w:val="00AA77B8"/>
    <w:rsid w:val="00AA7D87"/>
    <w:rsid w:val="00AB37B4"/>
    <w:rsid w:val="00AD5659"/>
    <w:rsid w:val="00AE035C"/>
    <w:rsid w:val="00AF3FDF"/>
    <w:rsid w:val="00B03A38"/>
    <w:rsid w:val="00B14A40"/>
    <w:rsid w:val="00B2322A"/>
    <w:rsid w:val="00B262AB"/>
    <w:rsid w:val="00B545DE"/>
    <w:rsid w:val="00B62640"/>
    <w:rsid w:val="00B71CEC"/>
    <w:rsid w:val="00B828A1"/>
    <w:rsid w:val="00B84E7C"/>
    <w:rsid w:val="00B92231"/>
    <w:rsid w:val="00BA28F5"/>
    <w:rsid w:val="00BC3762"/>
    <w:rsid w:val="00BC4D70"/>
    <w:rsid w:val="00BD1678"/>
    <w:rsid w:val="00BD3F74"/>
    <w:rsid w:val="00BD6728"/>
    <w:rsid w:val="00BE36F9"/>
    <w:rsid w:val="00BF4B8A"/>
    <w:rsid w:val="00C155BE"/>
    <w:rsid w:val="00C24170"/>
    <w:rsid w:val="00C463F2"/>
    <w:rsid w:val="00C47A79"/>
    <w:rsid w:val="00C819B2"/>
    <w:rsid w:val="00CA5BD7"/>
    <w:rsid w:val="00CD1FEE"/>
    <w:rsid w:val="00CD4E7C"/>
    <w:rsid w:val="00CE0CEF"/>
    <w:rsid w:val="00D05480"/>
    <w:rsid w:val="00D12D1E"/>
    <w:rsid w:val="00D15351"/>
    <w:rsid w:val="00D24937"/>
    <w:rsid w:val="00D24C81"/>
    <w:rsid w:val="00D25976"/>
    <w:rsid w:val="00D26F2D"/>
    <w:rsid w:val="00D40E26"/>
    <w:rsid w:val="00D43798"/>
    <w:rsid w:val="00D5526F"/>
    <w:rsid w:val="00D56F7E"/>
    <w:rsid w:val="00D64EC1"/>
    <w:rsid w:val="00D73363"/>
    <w:rsid w:val="00D84A11"/>
    <w:rsid w:val="00D84B75"/>
    <w:rsid w:val="00D92A6E"/>
    <w:rsid w:val="00D95A1A"/>
    <w:rsid w:val="00D96760"/>
    <w:rsid w:val="00DA6082"/>
    <w:rsid w:val="00DB2128"/>
    <w:rsid w:val="00DD2A47"/>
    <w:rsid w:val="00DD63B1"/>
    <w:rsid w:val="00DF51F4"/>
    <w:rsid w:val="00DF5B4E"/>
    <w:rsid w:val="00E0366B"/>
    <w:rsid w:val="00E05B70"/>
    <w:rsid w:val="00E303CB"/>
    <w:rsid w:val="00E367E3"/>
    <w:rsid w:val="00E43815"/>
    <w:rsid w:val="00E64A8A"/>
    <w:rsid w:val="00E758E6"/>
    <w:rsid w:val="00E778D7"/>
    <w:rsid w:val="00E835A8"/>
    <w:rsid w:val="00E8517B"/>
    <w:rsid w:val="00E87217"/>
    <w:rsid w:val="00EA60BF"/>
    <w:rsid w:val="00EB1647"/>
    <w:rsid w:val="00EB4282"/>
    <w:rsid w:val="00EB729E"/>
    <w:rsid w:val="00F43A08"/>
    <w:rsid w:val="00F468E2"/>
    <w:rsid w:val="00F50642"/>
    <w:rsid w:val="00F73F22"/>
    <w:rsid w:val="00F74CE9"/>
    <w:rsid w:val="00F75D3B"/>
    <w:rsid w:val="00F82DD4"/>
    <w:rsid w:val="00F86B42"/>
    <w:rsid w:val="00FA680D"/>
    <w:rsid w:val="00FB5793"/>
    <w:rsid w:val="00FD7D34"/>
    <w:rsid w:val="00FE594D"/>
    <w:rsid w:val="00FE66E6"/>
    <w:rsid w:val="00F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D4"/>
  </w:style>
  <w:style w:type="paragraph" w:styleId="Heading1">
    <w:name w:val="heading 1"/>
    <w:basedOn w:val="Normal"/>
    <w:next w:val="Normal"/>
    <w:link w:val="Heading1Char"/>
    <w:qFormat/>
    <w:rsid w:val="008F53D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3D4"/>
  </w:style>
  <w:style w:type="character" w:customStyle="1" w:styleId="Heading1Char">
    <w:name w:val="Heading 1 Char"/>
    <w:basedOn w:val="DefaultParagraphFont"/>
    <w:link w:val="Heading1"/>
    <w:rsid w:val="008F53D4"/>
    <w:rPr>
      <w:rFonts w:asciiTheme="majorHAnsi" w:eastAsiaTheme="majorEastAsia" w:hAnsiTheme="majorHAnsi" w:cstheme="majorBidi"/>
      <w:b/>
      <w:bCs/>
      <w:kern w:val="32"/>
      <w:sz w:val="32"/>
      <w:szCs w:val="32"/>
    </w:rPr>
  </w:style>
  <w:style w:type="paragraph" w:styleId="Header">
    <w:name w:val="header"/>
    <w:basedOn w:val="Normal"/>
    <w:link w:val="HeaderChar"/>
    <w:rsid w:val="008F53D4"/>
    <w:pPr>
      <w:tabs>
        <w:tab w:val="center" w:pos="4320"/>
        <w:tab w:val="right" w:pos="8640"/>
      </w:tabs>
    </w:pPr>
    <w:rPr>
      <w:rFonts w:eastAsia="Times New Roman"/>
    </w:rPr>
  </w:style>
  <w:style w:type="character" w:customStyle="1" w:styleId="HeaderChar">
    <w:name w:val="Header Char"/>
    <w:basedOn w:val="DefaultParagraphFont"/>
    <w:link w:val="Header"/>
    <w:rsid w:val="008F53D4"/>
    <w:rPr>
      <w:rFonts w:eastAsia="Times New Roman"/>
      <w:sz w:val="24"/>
      <w:szCs w:val="24"/>
    </w:rPr>
  </w:style>
  <w:style w:type="paragraph" w:styleId="Footer">
    <w:name w:val="footer"/>
    <w:basedOn w:val="Normal"/>
    <w:link w:val="FooterChar"/>
    <w:rsid w:val="008F53D4"/>
    <w:pPr>
      <w:tabs>
        <w:tab w:val="center" w:pos="4320"/>
        <w:tab w:val="right" w:pos="8640"/>
      </w:tabs>
    </w:pPr>
    <w:rPr>
      <w:rFonts w:eastAsia="Times New Roman"/>
    </w:rPr>
  </w:style>
  <w:style w:type="character" w:customStyle="1" w:styleId="FooterChar">
    <w:name w:val="Footer Char"/>
    <w:basedOn w:val="DefaultParagraphFont"/>
    <w:link w:val="Footer"/>
    <w:rsid w:val="008F53D4"/>
    <w:rPr>
      <w:rFonts w:eastAsia="Times New Roman"/>
      <w:sz w:val="24"/>
      <w:szCs w:val="24"/>
    </w:rPr>
  </w:style>
  <w:style w:type="character" w:styleId="PageNumber">
    <w:name w:val="page number"/>
    <w:basedOn w:val="DefaultParagraphFont"/>
    <w:rsid w:val="008F53D4"/>
  </w:style>
  <w:style w:type="character" w:styleId="Hyperlink">
    <w:name w:val="Hyperlink"/>
    <w:basedOn w:val="DefaultParagraphFont"/>
    <w:rsid w:val="008F53D4"/>
    <w:rPr>
      <w:color w:val="0000FF"/>
      <w:u w:val="single"/>
    </w:rPr>
  </w:style>
  <w:style w:type="character" w:styleId="FollowedHyperlink">
    <w:name w:val="FollowedHyperlink"/>
    <w:basedOn w:val="DefaultParagraphFont"/>
    <w:rsid w:val="008F53D4"/>
    <w:rPr>
      <w:color w:val="800080"/>
      <w:u w:val="single"/>
    </w:rPr>
  </w:style>
  <w:style w:type="paragraph" w:styleId="NormalWeb">
    <w:name w:val="Normal (Web)"/>
    <w:basedOn w:val="Normal"/>
    <w:rsid w:val="008F53D4"/>
    <w:pPr>
      <w:spacing w:before="100" w:beforeAutospacing="1" w:after="100" w:afterAutospacing="1"/>
    </w:pPr>
    <w:rPr>
      <w:rFonts w:eastAsia="Times New Roman"/>
    </w:rPr>
  </w:style>
  <w:style w:type="paragraph" w:styleId="BalloonText">
    <w:name w:val="Balloon Text"/>
    <w:basedOn w:val="Normal"/>
    <w:link w:val="BalloonTextChar"/>
    <w:rsid w:val="002C27C2"/>
    <w:rPr>
      <w:rFonts w:ascii="Tahoma" w:hAnsi="Tahoma" w:cs="Tahoma"/>
      <w:sz w:val="16"/>
      <w:szCs w:val="16"/>
    </w:rPr>
  </w:style>
  <w:style w:type="numbering" w:customStyle="1" w:styleId="Style1">
    <w:name w:val="Style1"/>
    <w:basedOn w:val="NoList"/>
    <w:rsid w:val="008F53D4"/>
    <w:pPr>
      <w:numPr>
        <w:numId w:val="1"/>
      </w:numPr>
    </w:pPr>
  </w:style>
  <w:style w:type="paragraph" w:customStyle="1" w:styleId="Jim1">
    <w:name w:val="Jim 1"/>
    <w:basedOn w:val="Normal"/>
    <w:qFormat/>
    <w:rsid w:val="008F53D4"/>
    <w:pPr>
      <w:numPr>
        <w:numId w:val="4"/>
      </w:numPr>
    </w:pPr>
    <w:rPr>
      <w:rFonts w:eastAsia="Times New Roman"/>
      <w:b/>
    </w:rPr>
  </w:style>
  <w:style w:type="character" w:customStyle="1" w:styleId="BalloonTextChar">
    <w:name w:val="Balloon Text Char"/>
    <w:basedOn w:val="DefaultParagraphFont"/>
    <w:link w:val="BalloonText"/>
    <w:rsid w:val="002C27C2"/>
    <w:rPr>
      <w:rFonts w:ascii="Tahoma" w:hAnsi="Tahoma" w:cs="Tahoma"/>
      <w:sz w:val="16"/>
      <w:szCs w:val="16"/>
    </w:rPr>
  </w:style>
  <w:style w:type="paragraph" w:styleId="ListParagraph">
    <w:name w:val="List Paragraph"/>
    <w:basedOn w:val="Normal"/>
    <w:uiPriority w:val="34"/>
    <w:qFormat/>
    <w:rsid w:val="00702FA4"/>
    <w:pPr>
      <w:ind w:left="720"/>
      <w:contextualSpacing/>
    </w:pPr>
  </w:style>
  <w:style w:type="character" w:styleId="CommentReference">
    <w:name w:val="annotation reference"/>
    <w:basedOn w:val="DefaultParagraphFont"/>
    <w:rsid w:val="00B14A40"/>
    <w:rPr>
      <w:sz w:val="16"/>
      <w:szCs w:val="16"/>
    </w:rPr>
  </w:style>
  <w:style w:type="paragraph" w:styleId="CommentText">
    <w:name w:val="annotation text"/>
    <w:basedOn w:val="Normal"/>
    <w:link w:val="CommentTextChar"/>
    <w:rsid w:val="00B14A40"/>
    <w:rPr>
      <w:sz w:val="20"/>
      <w:szCs w:val="20"/>
    </w:rPr>
  </w:style>
  <w:style w:type="character" w:customStyle="1" w:styleId="CommentTextChar">
    <w:name w:val="Comment Text Char"/>
    <w:basedOn w:val="DefaultParagraphFont"/>
    <w:link w:val="CommentText"/>
    <w:rsid w:val="00B14A40"/>
    <w:rPr>
      <w:sz w:val="20"/>
      <w:szCs w:val="20"/>
    </w:rPr>
  </w:style>
  <w:style w:type="paragraph" w:styleId="CommentSubject">
    <w:name w:val="annotation subject"/>
    <w:basedOn w:val="CommentText"/>
    <w:next w:val="CommentText"/>
    <w:link w:val="CommentSubjectChar"/>
    <w:rsid w:val="00B14A40"/>
    <w:rPr>
      <w:b/>
      <w:bCs/>
    </w:rPr>
  </w:style>
  <w:style w:type="character" w:customStyle="1" w:styleId="CommentSubjectChar">
    <w:name w:val="Comment Subject Char"/>
    <w:basedOn w:val="CommentTextChar"/>
    <w:link w:val="CommentSubject"/>
    <w:rsid w:val="00B14A40"/>
    <w:rPr>
      <w:b/>
      <w:bCs/>
      <w:sz w:val="20"/>
      <w:szCs w:val="20"/>
    </w:rPr>
  </w:style>
  <w:style w:type="paragraph" w:customStyle="1" w:styleId="FindingsConclusions">
    <w:name w:val="Findings &amp; Conclusions"/>
    <w:basedOn w:val="Normal"/>
    <w:autoRedefine/>
    <w:rsid w:val="00DF5B4E"/>
    <w:pPr>
      <w:numPr>
        <w:numId w:val="14"/>
      </w:numPr>
      <w:spacing w:line="288" w:lineRule="auto"/>
    </w:pPr>
    <w:rPr>
      <w:rFonts w:eastAsia="Times New Roman"/>
    </w:rPr>
  </w:style>
  <w:style w:type="paragraph" w:styleId="Revision">
    <w:name w:val="Revision"/>
    <w:hidden/>
    <w:uiPriority w:val="99"/>
    <w:semiHidden/>
    <w:rsid w:val="00256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D4"/>
  </w:style>
  <w:style w:type="paragraph" w:styleId="Heading1">
    <w:name w:val="heading 1"/>
    <w:basedOn w:val="Normal"/>
    <w:next w:val="Normal"/>
    <w:link w:val="Heading1Char"/>
    <w:qFormat/>
    <w:rsid w:val="008F53D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3D4"/>
  </w:style>
  <w:style w:type="character" w:customStyle="1" w:styleId="Heading1Char">
    <w:name w:val="Heading 1 Char"/>
    <w:basedOn w:val="DefaultParagraphFont"/>
    <w:link w:val="Heading1"/>
    <w:rsid w:val="008F53D4"/>
    <w:rPr>
      <w:rFonts w:asciiTheme="majorHAnsi" w:eastAsiaTheme="majorEastAsia" w:hAnsiTheme="majorHAnsi" w:cstheme="majorBidi"/>
      <w:b/>
      <w:bCs/>
      <w:kern w:val="32"/>
      <w:sz w:val="32"/>
      <w:szCs w:val="32"/>
    </w:rPr>
  </w:style>
  <w:style w:type="paragraph" w:styleId="Header">
    <w:name w:val="header"/>
    <w:basedOn w:val="Normal"/>
    <w:link w:val="HeaderChar"/>
    <w:rsid w:val="008F53D4"/>
    <w:pPr>
      <w:tabs>
        <w:tab w:val="center" w:pos="4320"/>
        <w:tab w:val="right" w:pos="8640"/>
      </w:tabs>
    </w:pPr>
    <w:rPr>
      <w:rFonts w:eastAsia="Times New Roman"/>
    </w:rPr>
  </w:style>
  <w:style w:type="character" w:customStyle="1" w:styleId="HeaderChar">
    <w:name w:val="Header Char"/>
    <w:basedOn w:val="DefaultParagraphFont"/>
    <w:link w:val="Header"/>
    <w:rsid w:val="008F53D4"/>
    <w:rPr>
      <w:rFonts w:eastAsia="Times New Roman"/>
      <w:sz w:val="24"/>
      <w:szCs w:val="24"/>
    </w:rPr>
  </w:style>
  <w:style w:type="paragraph" w:styleId="Footer">
    <w:name w:val="footer"/>
    <w:basedOn w:val="Normal"/>
    <w:link w:val="FooterChar"/>
    <w:rsid w:val="008F53D4"/>
    <w:pPr>
      <w:tabs>
        <w:tab w:val="center" w:pos="4320"/>
        <w:tab w:val="right" w:pos="8640"/>
      </w:tabs>
    </w:pPr>
    <w:rPr>
      <w:rFonts w:eastAsia="Times New Roman"/>
    </w:rPr>
  </w:style>
  <w:style w:type="character" w:customStyle="1" w:styleId="FooterChar">
    <w:name w:val="Footer Char"/>
    <w:basedOn w:val="DefaultParagraphFont"/>
    <w:link w:val="Footer"/>
    <w:rsid w:val="008F53D4"/>
    <w:rPr>
      <w:rFonts w:eastAsia="Times New Roman"/>
      <w:sz w:val="24"/>
      <w:szCs w:val="24"/>
    </w:rPr>
  </w:style>
  <w:style w:type="character" w:styleId="PageNumber">
    <w:name w:val="page number"/>
    <w:basedOn w:val="DefaultParagraphFont"/>
    <w:rsid w:val="008F53D4"/>
  </w:style>
  <w:style w:type="character" w:styleId="Hyperlink">
    <w:name w:val="Hyperlink"/>
    <w:basedOn w:val="DefaultParagraphFont"/>
    <w:rsid w:val="008F53D4"/>
    <w:rPr>
      <w:color w:val="0000FF"/>
      <w:u w:val="single"/>
    </w:rPr>
  </w:style>
  <w:style w:type="character" w:styleId="FollowedHyperlink">
    <w:name w:val="FollowedHyperlink"/>
    <w:basedOn w:val="DefaultParagraphFont"/>
    <w:rsid w:val="008F53D4"/>
    <w:rPr>
      <w:color w:val="800080"/>
      <w:u w:val="single"/>
    </w:rPr>
  </w:style>
  <w:style w:type="paragraph" w:styleId="NormalWeb">
    <w:name w:val="Normal (Web)"/>
    <w:basedOn w:val="Normal"/>
    <w:rsid w:val="008F53D4"/>
    <w:pPr>
      <w:spacing w:before="100" w:beforeAutospacing="1" w:after="100" w:afterAutospacing="1"/>
    </w:pPr>
    <w:rPr>
      <w:rFonts w:eastAsia="Times New Roman"/>
    </w:rPr>
  </w:style>
  <w:style w:type="paragraph" w:styleId="BalloonText">
    <w:name w:val="Balloon Text"/>
    <w:basedOn w:val="Normal"/>
    <w:link w:val="BalloonTextChar"/>
    <w:rsid w:val="002C27C2"/>
    <w:rPr>
      <w:rFonts w:ascii="Tahoma" w:hAnsi="Tahoma" w:cs="Tahoma"/>
      <w:sz w:val="16"/>
      <w:szCs w:val="16"/>
    </w:rPr>
  </w:style>
  <w:style w:type="numbering" w:customStyle="1" w:styleId="Style1">
    <w:name w:val="Style1"/>
    <w:basedOn w:val="NoList"/>
    <w:rsid w:val="008F53D4"/>
    <w:pPr>
      <w:numPr>
        <w:numId w:val="1"/>
      </w:numPr>
    </w:pPr>
  </w:style>
  <w:style w:type="paragraph" w:customStyle="1" w:styleId="Jim1">
    <w:name w:val="Jim 1"/>
    <w:basedOn w:val="Normal"/>
    <w:qFormat/>
    <w:rsid w:val="008F53D4"/>
    <w:pPr>
      <w:numPr>
        <w:numId w:val="4"/>
      </w:numPr>
    </w:pPr>
    <w:rPr>
      <w:rFonts w:eastAsia="Times New Roman"/>
      <w:b/>
    </w:rPr>
  </w:style>
  <w:style w:type="character" w:customStyle="1" w:styleId="BalloonTextChar">
    <w:name w:val="Balloon Text Char"/>
    <w:basedOn w:val="DefaultParagraphFont"/>
    <w:link w:val="BalloonText"/>
    <w:rsid w:val="002C27C2"/>
    <w:rPr>
      <w:rFonts w:ascii="Tahoma" w:hAnsi="Tahoma" w:cs="Tahoma"/>
      <w:sz w:val="16"/>
      <w:szCs w:val="16"/>
    </w:rPr>
  </w:style>
  <w:style w:type="paragraph" w:styleId="ListParagraph">
    <w:name w:val="List Paragraph"/>
    <w:basedOn w:val="Normal"/>
    <w:uiPriority w:val="34"/>
    <w:qFormat/>
    <w:rsid w:val="00702FA4"/>
    <w:pPr>
      <w:ind w:left="720"/>
      <w:contextualSpacing/>
    </w:pPr>
  </w:style>
  <w:style w:type="character" w:styleId="CommentReference">
    <w:name w:val="annotation reference"/>
    <w:basedOn w:val="DefaultParagraphFont"/>
    <w:rsid w:val="00B14A40"/>
    <w:rPr>
      <w:sz w:val="16"/>
      <w:szCs w:val="16"/>
    </w:rPr>
  </w:style>
  <w:style w:type="paragraph" w:styleId="CommentText">
    <w:name w:val="annotation text"/>
    <w:basedOn w:val="Normal"/>
    <w:link w:val="CommentTextChar"/>
    <w:rsid w:val="00B14A40"/>
    <w:rPr>
      <w:sz w:val="20"/>
      <w:szCs w:val="20"/>
    </w:rPr>
  </w:style>
  <w:style w:type="character" w:customStyle="1" w:styleId="CommentTextChar">
    <w:name w:val="Comment Text Char"/>
    <w:basedOn w:val="DefaultParagraphFont"/>
    <w:link w:val="CommentText"/>
    <w:rsid w:val="00B14A40"/>
    <w:rPr>
      <w:sz w:val="20"/>
      <w:szCs w:val="20"/>
    </w:rPr>
  </w:style>
  <w:style w:type="paragraph" w:styleId="CommentSubject">
    <w:name w:val="annotation subject"/>
    <w:basedOn w:val="CommentText"/>
    <w:next w:val="CommentText"/>
    <w:link w:val="CommentSubjectChar"/>
    <w:rsid w:val="00B14A40"/>
    <w:rPr>
      <w:b/>
      <w:bCs/>
    </w:rPr>
  </w:style>
  <w:style w:type="character" w:customStyle="1" w:styleId="CommentSubjectChar">
    <w:name w:val="Comment Subject Char"/>
    <w:basedOn w:val="CommentTextChar"/>
    <w:link w:val="CommentSubject"/>
    <w:rsid w:val="00B14A40"/>
    <w:rPr>
      <w:b/>
      <w:bCs/>
      <w:sz w:val="20"/>
      <w:szCs w:val="20"/>
    </w:rPr>
  </w:style>
  <w:style w:type="paragraph" w:customStyle="1" w:styleId="FindingsConclusions">
    <w:name w:val="Findings &amp; Conclusions"/>
    <w:basedOn w:val="Normal"/>
    <w:autoRedefine/>
    <w:rsid w:val="00DF5B4E"/>
    <w:pPr>
      <w:numPr>
        <w:numId w:val="14"/>
      </w:numPr>
      <w:spacing w:line="288" w:lineRule="auto"/>
    </w:pPr>
    <w:rPr>
      <w:rFonts w:eastAsia="Times New Roman"/>
    </w:rPr>
  </w:style>
  <w:style w:type="paragraph" w:styleId="Revision">
    <w:name w:val="Revision"/>
    <w:hidden/>
    <w:uiPriority w:val="99"/>
    <w:semiHidden/>
    <w:rsid w:val="0025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7869">
      <w:bodyDiv w:val="1"/>
      <w:marLeft w:val="0"/>
      <w:marRight w:val="0"/>
      <w:marTop w:val="0"/>
      <w:marBottom w:val="0"/>
      <w:divBdr>
        <w:top w:val="none" w:sz="0" w:space="0" w:color="auto"/>
        <w:left w:val="none" w:sz="0" w:space="0" w:color="auto"/>
        <w:bottom w:val="none" w:sz="0" w:space="0" w:color="auto"/>
        <w:right w:val="none" w:sz="0" w:space="0" w:color="auto"/>
      </w:divBdr>
    </w:div>
    <w:div w:id="14384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smith@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37AE1CE7AC0E4DA76514227E04B6F6" ma:contentTypeVersion="135" ma:contentTypeDescription="" ma:contentTypeScope="" ma:versionID="ade58e66e6556808ec9f90d18eff6e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2011-08-01T07:00:00+00:00</OpenedDate>
    <Date1 xmlns="dc463f71-b30c-4ab2-9473-d307f9d35888">2011-12-15T08:00:00+00:00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111399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EFDC-B286-4CFE-AEA0-707298499C40}"/>
</file>

<file path=customXml/itemProps2.xml><?xml version="1.0" encoding="utf-8"?>
<ds:datastoreItem xmlns:ds="http://schemas.openxmlformats.org/officeDocument/2006/customXml" ds:itemID="{9B0F7564-D3BE-483F-8B80-89E25726F6ED}"/>
</file>

<file path=customXml/itemProps3.xml><?xml version="1.0" encoding="utf-8"?>
<ds:datastoreItem xmlns:ds="http://schemas.openxmlformats.org/officeDocument/2006/customXml" ds:itemID="{EB592543-236F-4BC0-ACC1-9E4D49EC36D5}"/>
</file>

<file path=customXml/itemProps4.xml><?xml version="1.0" encoding="utf-8"?>
<ds:datastoreItem xmlns:ds="http://schemas.openxmlformats.org/officeDocument/2006/customXml" ds:itemID="{03C20E95-7FBB-49C4-90D1-121954520509}"/>
</file>

<file path=customXml/itemProps5.xml><?xml version="1.0" encoding="utf-8"?>
<ds:datastoreItem xmlns:ds="http://schemas.openxmlformats.org/officeDocument/2006/customXml" ds:itemID="{97DCBCD0-4A0E-4AD0-95CE-9258AEF1C42A}"/>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JWard</dc:creator>
  <cp:lastModifiedBy>Catherine Taliaferro</cp:lastModifiedBy>
  <cp:revision>2</cp:revision>
  <cp:lastPrinted>2011-12-09T19:41:00Z</cp:lastPrinted>
  <dcterms:created xsi:type="dcterms:W3CDTF">2011-12-13T00:25:00Z</dcterms:created>
  <dcterms:modified xsi:type="dcterms:W3CDTF">2011-12-13T00:25:00Z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0x0101006E56B4D1795A2E4DB2F0B01679ED314A006737AE1CE7AC0E4DA76514227E04B6F6</vt:lpwstr>
  </property>
  <property fmtid="{D5CDD505-2E9C-101B-9397-08002B2CF9AE}" pid="3" name="_docset_NoMedatataSyncRequired">
    <vt:lpwstr>False</vt:lpwstr>
  </property>
</Properties>
</file>