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A35" w:rsidRDefault="00813A35" w:rsidP="00813A35">
      <w:pPr>
        <w:rPr>
          <w:rFonts w:ascii="Times New Roman" w:hAnsi="Times New Roman" w:cs="Times New Roman"/>
          <w:sz w:val="24"/>
          <w:szCs w:val="24"/>
        </w:rPr>
      </w:pPr>
    </w:p>
    <w:tbl>
      <w:tblPr>
        <w:tblStyle w:val="TableGrid"/>
        <w:tblW w:w="0" w:type="auto"/>
        <w:tblLook w:val="04A0"/>
      </w:tblPr>
      <w:tblGrid>
        <w:gridCol w:w="516"/>
        <w:gridCol w:w="2302"/>
        <w:gridCol w:w="2323"/>
        <w:gridCol w:w="4540"/>
        <w:gridCol w:w="3495"/>
      </w:tblGrid>
      <w:tr w:rsidR="00A16DC5" w:rsidTr="00FF0EB1">
        <w:trPr>
          <w:tblHeader/>
        </w:trPr>
        <w:tc>
          <w:tcPr>
            <w:tcW w:w="516" w:type="dxa"/>
          </w:tcPr>
          <w:p w:rsidR="00A16DC5" w:rsidRDefault="00A16DC5" w:rsidP="00813A35">
            <w:pPr>
              <w:rPr>
                <w:rFonts w:ascii="Times New Roman" w:hAnsi="Times New Roman" w:cs="Times New Roman"/>
                <w:sz w:val="24"/>
                <w:szCs w:val="24"/>
              </w:rPr>
            </w:pPr>
          </w:p>
        </w:tc>
        <w:tc>
          <w:tcPr>
            <w:tcW w:w="2302" w:type="dxa"/>
            <w:shd w:val="pct10" w:color="auto" w:fill="auto"/>
          </w:tcPr>
          <w:p w:rsidR="00A16DC5" w:rsidRPr="00A16DC5" w:rsidRDefault="00A16DC5" w:rsidP="00A16DC5">
            <w:pPr>
              <w:rPr>
                <w:rFonts w:ascii="Times New Roman" w:hAnsi="Times New Roman" w:cs="Times New Roman"/>
                <w:b/>
                <w:sz w:val="24"/>
                <w:szCs w:val="24"/>
              </w:rPr>
            </w:pPr>
            <w:r>
              <w:rPr>
                <w:rFonts w:ascii="Times New Roman" w:hAnsi="Times New Roman" w:cs="Times New Roman"/>
                <w:b/>
                <w:sz w:val="24"/>
                <w:szCs w:val="24"/>
              </w:rPr>
              <w:t>Section</w:t>
            </w:r>
          </w:p>
        </w:tc>
        <w:tc>
          <w:tcPr>
            <w:tcW w:w="2323" w:type="dxa"/>
            <w:shd w:val="pct10" w:color="auto" w:fill="auto"/>
          </w:tcPr>
          <w:p w:rsidR="00A16DC5" w:rsidRPr="00A16DC5" w:rsidRDefault="00A16DC5" w:rsidP="00813A35">
            <w:pPr>
              <w:rPr>
                <w:rFonts w:ascii="Times New Roman" w:hAnsi="Times New Roman" w:cs="Times New Roman"/>
                <w:b/>
                <w:sz w:val="24"/>
                <w:szCs w:val="24"/>
              </w:rPr>
            </w:pPr>
            <w:r>
              <w:rPr>
                <w:rFonts w:ascii="Times New Roman" w:hAnsi="Times New Roman" w:cs="Times New Roman"/>
                <w:b/>
                <w:sz w:val="24"/>
                <w:szCs w:val="24"/>
              </w:rPr>
              <w:t>Commenter</w:t>
            </w:r>
          </w:p>
        </w:tc>
        <w:tc>
          <w:tcPr>
            <w:tcW w:w="4540" w:type="dxa"/>
            <w:shd w:val="pct10" w:color="auto" w:fill="auto"/>
          </w:tcPr>
          <w:p w:rsidR="00A16DC5" w:rsidRPr="00A16DC5" w:rsidRDefault="00A16DC5" w:rsidP="00813A35">
            <w:pPr>
              <w:rPr>
                <w:rFonts w:ascii="Times New Roman" w:hAnsi="Times New Roman" w:cs="Times New Roman"/>
                <w:b/>
                <w:sz w:val="24"/>
                <w:szCs w:val="24"/>
              </w:rPr>
            </w:pPr>
            <w:r>
              <w:rPr>
                <w:rFonts w:ascii="Times New Roman" w:hAnsi="Times New Roman" w:cs="Times New Roman"/>
                <w:b/>
                <w:sz w:val="24"/>
                <w:szCs w:val="24"/>
              </w:rPr>
              <w:t>Comments</w:t>
            </w:r>
          </w:p>
        </w:tc>
        <w:tc>
          <w:tcPr>
            <w:tcW w:w="3495" w:type="dxa"/>
            <w:shd w:val="pct10" w:color="auto" w:fill="auto"/>
          </w:tcPr>
          <w:p w:rsidR="00A16DC5" w:rsidRPr="00A16DC5" w:rsidRDefault="00A16DC5" w:rsidP="00813A35">
            <w:pPr>
              <w:rPr>
                <w:rFonts w:ascii="Times New Roman" w:hAnsi="Times New Roman" w:cs="Times New Roman"/>
                <w:b/>
                <w:sz w:val="24"/>
                <w:szCs w:val="24"/>
              </w:rPr>
            </w:pPr>
            <w:r>
              <w:rPr>
                <w:rFonts w:ascii="Times New Roman" w:hAnsi="Times New Roman" w:cs="Times New Roman"/>
                <w:b/>
                <w:sz w:val="24"/>
                <w:szCs w:val="24"/>
              </w:rPr>
              <w:t>Staff Response</w:t>
            </w:r>
          </w:p>
        </w:tc>
      </w:tr>
      <w:tr w:rsidR="00F9506F" w:rsidTr="002F6150">
        <w:trPr>
          <w:trHeight w:val="530"/>
        </w:trPr>
        <w:tc>
          <w:tcPr>
            <w:tcW w:w="13176" w:type="dxa"/>
            <w:gridSpan w:val="5"/>
            <w:vAlign w:val="center"/>
          </w:tcPr>
          <w:p w:rsidR="00F9506F" w:rsidRDefault="002F6150" w:rsidP="002F6150">
            <w:pPr>
              <w:jc w:val="center"/>
              <w:rPr>
                <w:rFonts w:ascii="Times New Roman" w:hAnsi="Times New Roman" w:cs="Times New Roman"/>
                <w:b/>
                <w:sz w:val="24"/>
                <w:szCs w:val="24"/>
              </w:rPr>
            </w:pPr>
            <w:r w:rsidRPr="002F6150">
              <w:rPr>
                <w:rFonts w:ascii="Times New Roman" w:hAnsi="Times New Roman" w:cs="Times New Roman"/>
                <w:b/>
                <w:sz w:val="24"/>
                <w:szCs w:val="24"/>
              </w:rPr>
              <w:t>480-100-405</w:t>
            </w:r>
            <w:r>
              <w:rPr>
                <w:rFonts w:ascii="Times New Roman" w:hAnsi="Times New Roman" w:cs="Times New Roman"/>
                <w:b/>
                <w:sz w:val="24"/>
                <w:szCs w:val="24"/>
              </w:rPr>
              <w:t xml:space="preserve"> Electrical</w:t>
            </w:r>
            <w:r w:rsidR="003442F2" w:rsidRPr="003442F2">
              <w:rPr>
                <w:rFonts w:ascii="Times New Roman" w:hAnsi="Times New Roman" w:cs="Times New Roman"/>
                <w:b/>
                <w:sz w:val="24"/>
                <w:szCs w:val="24"/>
              </w:rPr>
              <w:t xml:space="preserve"> company generation resource compliance with the greenhouse</w:t>
            </w:r>
            <w:r w:rsidR="003442F2">
              <w:rPr>
                <w:rFonts w:ascii="Times New Roman" w:hAnsi="Times New Roman" w:cs="Times New Roman"/>
                <w:b/>
                <w:sz w:val="24"/>
                <w:szCs w:val="24"/>
              </w:rPr>
              <w:t xml:space="preserve"> </w:t>
            </w:r>
            <w:r w:rsidR="003442F2" w:rsidRPr="00F260BC">
              <w:rPr>
                <w:rFonts w:ascii="Times New Roman" w:hAnsi="Times New Roman" w:cs="Times New Roman"/>
                <w:b/>
                <w:sz w:val="24"/>
                <w:szCs w:val="24"/>
              </w:rPr>
              <w:t>gas</w:t>
            </w:r>
            <w:r w:rsidR="003442F2" w:rsidRPr="003442F2">
              <w:rPr>
                <w:rFonts w:ascii="Times New Roman" w:hAnsi="Times New Roman" w:cs="Times New Roman"/>
                <w:b/>
                <w:sz w:val="24"/>
                <w:szCs w:val="24"/>
              </w:rPr>
              <w:t xml:space="preserve"> emissions performance standard.</w:t>
            </w:r>
          </w:p>
        </w:tc>
      </w:tr>
      <w:tr w:rsidR="00B1347D" w:rsidTr="00A62240">
        <w:tc>
          <w:tcPr>
            <w:tcW w:w="516" w:type="dxa"/>
          </w:tcPr>
          <w:p w:rsidR="00B1347D" w:rsidRDefault="00B1347D" w:rsidP="00813A35">
            <w:pPr>
              <w:rPr>
                <w:rFonts w:ascii="Times New Roman" w:hAnsi="Times New Roman" w:cs="Times New Roman"/>
                <w:sz w:val="24"/>
                <w:szCs w:val="24"/>
              </w:rPr>
            </w:pPr>
          </w:p>
        </w:tc>
        <w:tc>
          <w:tcPr>
            <w:tcW w:w="2302" w:type="dxa"/>
          </w:tcPr>
          <w:p w:rsidR="00B1347D" w:rsidRPr="00B1347D" w:rsidRDefault="00B1347D" w:rsidP="00B1347D">
            <w:pPr>
              <w:rPr>
                <w:rFonts w:ascii="Times New Roman" w:hAnsi="Times New Roman" w:cs="Times New Roman"/>
                <w:sz w:val="24"/>
                <w:szCs w:val="24"/>
              </w:rPr>
            </w:pPr>
            <w:r w:rsidRPr="00B1347D">
              <w:rPr>
                <w:rFonts w:ascii="Times New Roman" w:hAnsi="Times New Roman" w:cs="Times New Roman"/>
                <w:sz w:val="24"/>
                <w:szCs w:val="24"/>
              </w:rPr>
              <w:t>480-100-405</w:t>
            </w:r>
          </w:p>
          <w:p w:rsidR="00B1347D" w:rsidRPr="00B1347D" w:rsidRDefault="00B1347D" w:rsidP="00B1347D">
            <w:pPr>
              <w:rPr>
                <w:rFonts w:ascii="Times New Roman" w:hAnsi="Times New Roman" w:cs="Times New Roman"/>
                <w:sz w:val="24"/>
                <w:szCs w:val="24"/>
              </w:rPr>
            </w:pPr>
            <w:r w:rsidRPr="00B1347D">
              <w:rPr>
                <w:rFonts w:ascii="Times New Roman" w:hAnsi="Times New Roman" w:cs="Times New Roman"/>
                <w:sz w:val="24"/>
                <w:szCs w:val="24"/>
              </w:rPr>
              <w:t xml:space="preserve"> </w:t>
            </w:r>
          </w:p>
          <w:p w:rsidR="00B1347D" w:rsidRPr="00B1347D" w:rsidRDefault="00B1347D" w:rsidP="00B1347D">
            <w:pPr>
              <w:rPr>
                <w:rFonts w:ascii="Times New Roman" w:hAnsi="Times New Roman" w:cs="Times New Roman"/>
                <w:sz w:val="24"/>
                <w:szCs w:val="24"/>
              </w:rPr>
            </w:pPr>
          </w:p>
          <w:p w:rsidR="00B1347D" w:rsidRPr="00B1347D" w:rsidRDefault="00B1347D" w:rsidP="00B1347D">
            <w:pPr>
              <w:rPr>
                <w:rFonts w:ascii="Times New Roman" w:hAnsi="Times New Roman" w:cs="Times New Roman"/>
                <w:sz w:val="24"/>
                <w:szCs w:val="24"/>
              </w:rPr>
            </w:pPr>
          </w:p>
          <w:p w:rsidR="00B1347D" w:rsidRPr="00B1347D" w:rsidRDefault="00B1347D" w:rsidP="00B1347D">
            <w:pPr>
              <w:rPr>
                <w:rFonts w:ascii="Times New Roman" w:hAnsi="Times New Roman" w:cs="Times New Roman"/>
                <w:sz w:val="24"/>
                <w:szCs w:val="24"/>
              </w:rPr>
            </w:pPr>
          </w:p>
          <w:p w:rsidR="00B1347D" w:rsidRPr="00B1347D" w:rsidRDefault="00B1347D" w:rsidP="00B1347D">
            <w:pPr>
              <w:rPr>
                <w:rFonts w:ascii="Times New Roman" w:hAnsi="Times New Roman" w:cs="Times New Roman"/>
                <w:sz w:val="24"/>
                <w:szCs w:val="24"/>
              </w:rPr>
            </w:pPr>
          </w:p>
          <w:p w:rsidR="00B1347D" w:rsidRPr="00B1347D" w:rsidRDefault="00B1347D" w:rsidP="00B1347D">
            <w:pPr>
              <w:rPr>
                <w:rFonts w:ascii="Times New Roman" w:hAnsi="Times New Roman" w:cs="Times New Roman"/>
                <w:sz w:val="24"/>
                <w:szCs w:val="24"/>
              </w:rPr>
            </w:pPr>
          </w:p>
          <w:p w:rsidR="00B1347D" w:rsidRPr="00B1347D" w:rsidRDefault="00B1347D" w:rsidP="00B1347D">
            <w:pPr>
              <w:rPr>
                <w:rFonts w:ascii="Times New Roman" w:hAnsi="Times New Roman" w:cs="Times New Roman"/>
                <w:sz w:val="24"/>
                <w:szCs w:val="24"/>
              </w:rPr>
            </w:pPr>
          </w:p>
          <w:p w:rsidR="00B1347D" w:rsidRPr="00B1347D" w:rsidRDefault="00B1347D" w:rsidP="00B1347D">
            <w:pPr>
              <w:rPr>
                <w:rFonts w:ascii="Times New Roman" w:hAnsi="Times New Roman" w:cs="Times New Roman"/>
                <w:sz w:val="24"/>
                <w:szCs w:val="24"/>
              </w:rPr>
            </w:pPr>
          </w:p>
          <w:p w:rsidR="00B1347D" w:rsidRPr="00B1347D" w:rsidRDefault="00B1347D" w:rsidP="00B1347D">
            <w:pPr>
              <w:rPr>
                <w:rFonts w:ascii="Times New Roman" w:hAnsi="Times New Roman" w:cs="Times New Roman"/>
                <w:sz w:val="24"/>
                <w:szCs w:val="24"/>
              </w:rPr>
            </w:pPr>
          </w:p>
          <w:p w:rsidR="00B1347D" w:rsidRPr="00B1347D" w:rsidRDefault="00B1347D" w:rsidP="00B1347D">
            <w:pPr>
              <w:rPr>
                <w:rFonts w:ascii="Times New Roman" w:hAnsi="Times New Roman" w:cs="Times New Roman"/>
                <w:sz w:val="24"/>
                <w:szCs w:val="24"/>
              </w:rPr>
            </w:pPr>
          </w:p>
          <w:p w:rsidR="00B1347D" w:rsidRPr="00B1347D" w:rsidRDefault="00B1347D" w:rsidP="00B1347D">
            <w:pPr>
              <w:rPr>
                <w:rFonts w:ascii="Times New Roman" w:hAnsi="Times New Roman" w:cs="Times New Roman"/>
                <w:sz w:val="24"/>
                <w:szCs w:val="24"/>
              </w:rPr>
            </w:pPr>
          </w:p>
          <w:p w:rsidR="00B1347D" w:rsidRPr="00B1347D" w:rsidRDefault="00B1347D" w:rsidP="00B1347D">
            <w:pPr>
              <w:rPr>
                <w:rFonts w:ascii="Times New Roman" w:hAnsi="Times New Roman" w:cs="Times New Roman"/>
                <w:sz w:val="24"/>
                <w:szCs w:val="24"/>
              </w:rPr>
            </w:pPr>
          </w:p>
          <w:p w:rsidR="00B1347D" w:rsidRPr="00B1347D" w:rsidRDefault="00B1347D" w:rsidP="00B1347D">
            <w:pPr>
              <w:rPr>
                <w:rFonts w:ascii="Times New Roman" w:hAnsi="Times New Roman" w:cs="Times New Roman"/>
                <w:sz w:val="24"/>
                <w:szCs w:val="24"/>
              </w:rPr>
            </w:pPr>
            <w:r w:rsidRPr="00B1347D">
              <w:rPr>
                <w:rFonts w:ascii="Times New Roman" w:hAnsi="Times New Roman" w:cs="Times New Roman"/>
                <w:sz w:val="24"/>
                <w:szCs w:val="24"/>
              </w:rPr>
              <w:t>480-100-405</w:t>
            </w:r>
          </w:p>
          <w:p w:rsidR="00B1347D" w:rsidRDefault="00B1347D" w:rsidP="00813A35">
            <w:pPr>
              <w:rPr>
                <w:rFonts w:ascii="Times New Roman" w:hAnsi="Times New Roman" w:cs="Times New Roman"/>
                <w:sz w:val="24"/>
                <w:szCs w:val="24"/>
              </w:rPr>
            </w:pPr>
          </w:p>
          <w:p w:rsidR="00B1347D" w:rsidRDefault="00B1347D" w:rsidP="00813A35">
            <w:pPr>
              <w:rPr>
                <w:rFonts w:ascii="Times New Roman" w:hAnsi="Times New Roman" w:cs="Times New Roman"/>
                <w:sz w:val="24"/>
                <w:szCs w:val="24"/>
              </w:rPr>
            </w:pPr>
          </w:p>
          <w:p w:rsidR="00B1347D" w:rsidRDefault="00B1347D" w:rsidP="00813A35">
            <w:pPr>
              <w:rPr>
                <w:rFonts w:ascii="Times New Roman" w:hAnsi="Times New Roman" w:cs="Times New Roman"/>
                <w:sz w:val="24"/>
                <w:szCs w:val="24"/>
              </w:rPr>
            </w:pPr>
          </w:p>
          <w:p w:rsidR="00B1347D" w:rsidRDefault="00B1347D" w:rsidP="00813A35">
            <w:pPr>
              <w:rPr>
                <w:rFonts w:ascii="Times New Roman" w:hAnsi="Times New Roman" w:cs="Times New Roman"/>
                <w:sz w:val="24"/>
                <w:szCs w:val="24"/>
              </w:rPr>
            </w:pPr>
          </w:p>
          <w:p w:rsidR="00B1347D" w:rsidRDefault="00B1347D" w:rsidP="00813A35">
            <w:pPr>
              <w:rPr>
                <w:rFonts w:ascii="Times New Roman" w:hAnsi="Times New Roman" w:cs="Times New Roman"/>
                <w:sz w:val="24"/>
                <w:szCs w:val="24"/>
              </w:rPr>
            </w:pPr>
          </w:p>
        </w:tc>
        <w:tc>
          <w:tcPr>
            <w:tcW w:w="2323" w:type="dxa"/>
          </w:tcPr>
          <w:p w:rsidR="00B842DC" w:rsidRPr="00B842DC" w:rsidRDefault="00B842DC" w:rsidP="00B842DC">
            <w:pPr>
              <w:rPr>
                <w:rFonts w:ascii="Times New Roman" w:hAnsi="Times New Roman" w:cs="Times New Roman"/>
                <w:sz w:val="24"/>
                <w:szCs w:val="24"/>
              </w:rPr>
            </w:pPr>
            <w:r w:rsidRPr="00B842DC">
              <w:rPr>
                <w:rFonts w:ascii="Times New Roman" w:hAnsi="Times New Roman" w:cs="Times New Roman"/>
                <w:sz w:val="24"/>
                <w:szCs w:val="24"/>
              </w:rPr>
              <w:t>Pacific Power (PacifiCorp or Company)</w:t>
            </w:r>
          </w:p>
          <w:p w:rsidR="00B842DC" w:rsidRPr="00B842DC" w:rsidRDefault="00B842DC" w:rsidP="00B842DC">
            <w:pPr>
              <w:rPr>
                <w:rFonts w:ascii="Times New Roman" w:hAnsi="Times New Roman" w:cs="Times New Roman"/>
                <w:sz w:val="24"/>
                <w:szCs w:val="24"/>
              </w:rPr>
            </w:pPr>
          </w:p>
          <w:p w:rsidR="00B842DC" w:rsidRPr="00B842DC" w:rsidRDefault="00B842DC" w:rsidP="00B842DC">
            <w:pPr>
              <w:rPr>
                <w:rFonts w:ascii="Times New Roman" w:hAnsi="Times New Roman" w:cs="Times New Roman"/>
                <w:sz w:val="24"/>
                <w:szCs w:val="24"/>
              </w:rPr>
            </w:pPr>
          </w:p>
          <w:p w:rsidR="00B842DC" w:rsidRPr="00B842DC" w:rsidRDefault="00B842DC" w:rsidP="00B842DC">
            <w:pPr>
              <w:rPr>
                <w:rFonts w:ascii="Times New Roman" w:hAnsi="Times New Roman" w:cs="Times New Roman"/>
                <w:sz w:val="24"/>
                <w:szCs w:val="24"/>
              </w:rPr>
            </w:pPr>
          </w:p>
          <w:p w:rsidR="00B842DC" w:rsidRPr="00B842DC" w:rsidRDefault="00B842DC" w:rsidP="00B842DC">
            <w:pPr>
              <w:rPr>
                <w:rFonts w:ascii="Times New Roman" w:hAnsi="Times New Roman" w:cs="Times New Roman"/>
                <w:sz w:val="24"/>
                <w:szCs w:val="24"/>
              </w:rPr>
            </w:pPr>
          </w:p>
          <w:p w:rsidR="00B842DC" w:rsidRPr="00B842DC" w:rsidRDefault="00B842DC" w:rsidP="00B842DC">
            <w:pPr>
              <w:rPr>
                <w:rFonts w:ascii="Times New Roman" w:hAnsi="Times New Roman" w:cs="Times New Roman"/>
                <w:sz w:val="24"/>
                <w:szCs w:val="24"/>
              </w:rPr>
            </w:pPr>
          </w:p>
          <w:p w:rsidR="00B842DC" w:rsidRPr="00B842DC" w:rsidRDefault="00B842DC" w:rsidP="00B842DC">
            <w:pPr>
              <w:rPr>
                <w:rFonts w:ascii="Times New Roman" w:hAnsi="Times New Roman" w:cs="Times New Roman"/>
                <w:sz w:val="24"/>
                <w:szCs w:val="24"/>
              </w:rPr>
            </w:pPr>
          </w:p>
          <w:p w:rsidR="00B842DC" w:rsidRPr="00B842DC" w:rsidRDefault="00B842DC" w:rsidP="00B842DC">
            <w:pPr>
              <w:rPr>
                <w:rFonts w:ascii="Times New Roman" w:hAnsi="Times New Roman" w:cs="Times New Roman"/>
                <w:sz w:val="24"/>
                <w:szCs w:val="24"/>
              </w:rPr>
            </w:pPr>
          </w:p>
          <w:p w:rsidR="00B842DC" w:rsidRPr="00B842DC" w:rsidRDefault="00B842DC" w:rsidP="00B842DC">
            <w:pPr>
              <w:rPr>
                <w:rFonts w:ascii="Times New Roman" w:hAnsi="Times New Roman" w:cs="Times New Roman"/>
                <w:sz w:val="24"/>
                <w:szCs w:val="24"/>
              </w:rPr>
            </w:pPr>
          </w:p>
          <w:p w:rsidR="00B842DC" w:rsidRPr="00B842DC" w:rsidRDefault="00B842DC" w:rsidP="00B842DC">
            <w:pPr>
              <w:rPr>
                <w:rFonts w:ascii="Times New Roman" w:hAnsi="Times New Roman" w:cs="Times New Roman"/>
                <w:sz w:val="24"/>
                <w:szCs w:val="24"/>
              </w:rPr>
            </w:pPr>
          </w:p>
          <w:p w:rsidR="00B842DC" w:rsidRPr="00B842DC" w:rsidRDefault="00B842DC" w:rsidP="00B842DC">
            <w:pPr>
              <w:rPr>
                <w:rFonts w:ascii="Times New Roman" w:hAnsi="Times New Roman" w:cs="Times New Roman"/>
                <w:sz w:val="24"/>
                <w:szCs w:val="24"/>
              </w:rPr>
            </w:pPr>
          </w:p>
          <w:p w:rsidR="00B842DC" w:rsidRPr="00B842DC" w:rsidRDefault="00B842DC" w:rsidP="00B842DC">
            <w:pPr>
              <w:rPr>
                <w:rFonts w:ascii="Times New Roman" w:hAnsi="Times New Roman" w:cs="Times New Roman"/>
                <w:sz w:val="24"/>
                <w:szCs w:val="24"/>
              </w:rPr>
            </w:pPr>
            <w:r w:rsidRPr="00B842DC">
              <w:rPr>
                <w:rFonts w:ascii="Times New Roman" w:hAnsi="Times New Roman" w:cs="Times New Roman"/>
                <w:sz w:val="24"/>
                <w:szCs w:val="24"/>
              </w:rPr>
              <w:t xml:space="preserve">PacifiCorp </w:t>
            </w:r>
          </w:p>
          <w:p w:rsidR="00B842DC" w:rsidRPr="00B842DC" w:rsidRDefault="00B842DC" w:rsidP="00B842DC">
            <w:pPr>
              <w:rPr>
                <w:rFonts w:ascii="Times New Roman" w:hAnsi="Times New Roman" w:cs="Times New Roman"/>
                <w:sz w:val="24"/>
                <w:szCs w:val="24"/>
              </w:rPr>
            </w:pPr>
          </w:p>
          <w:p w:rsidR="00B1347D" w:rsidRPr="003442F2" w:rsidRDefault="00B1347D" w:rsidP="003442F2">
            <w:pPr>
              <w:rPr>
                <w:rFonts w:ascii="Times New Roman" w:hAnsi="Times New Roman" w:cs="Times New Roman"/>
                <w:sz w:val="24"/>
                <w:szCs w:val="24"/>
              </w:rPr>
            </w:pPr>
          </w:p>
        </w:tc>
        <w:tc>
          <w:tcPr>
            <w:tcW w:w="4540" w:type="dxa"/>
          </w:tcPr>
          <w:p w:rsidR="00B842DC" w:rsidRDefault="00B842DC" w:rsidP="00B842DC">
            <w:pPr>
              <w:rPr>
                <w:rFonts w:ascii="Times New Roman" w:hAnsi="Times New Roman" w:cs="Times New Roman"/>
                <w:sz w:val="24"/>
                <w:szCs w:val="24"/>
              </w:rPr>
            </w:pPr>
            <w:r w:rsidRPr="000F757A">
              <w:rPr>
                <w:rFonts w:ascii="Times New Roman" w:hAnsi="Times New Roman" w:cs="Times New Roman"/>
                <w:b/>
                <w:sz w:val="24"/>
                <w:szCs w:val="24"/>
              </w:rPr>
              <w:t>PacifiCorp</w:t>
            </w:r>
            <w:r>
              <w:rPr>
                <w:rFonts w:ascii="Times New Roman" w:hAnsi="Times New Roman" w:cs="Times New Roman"/>
                <w:sz w:val="24"/>
                <w:szCs w:val="24"/>
              </w:rPr>
              <w:t xml:space="preserve"> proposes to move the Staff proposed wording regarding long-term financial commitments with Bonneville power administration from WAC 480-100-405(2)(d), which are the definitions for the chapter, to WAC 480-100-405(1). The proposed relocation of the proposed wording  includes changing the wording from “definition” to “chapter” and replaces “include” to apply to make it consist with its placement within the rule.</w:t>
            </w:r>
          </w:p>
          <w:p w:rsidR="00B842DC" w:rsidRDefault="00B842DC" w:rsidP="00B842DC">
            <w:pPr>
              <w:rPr>
                <w:rFonts w:ascii="Times New Roman" w:hAnsi="Times New Roman" w:cs="Times New Roman"/>
                <w:sz w:val="24"/>
                <w:szCs w:val="24"/>
              </w:rPr>
            </w:pPr>
          </w:p>
          <w:p w:rsidR="00B842DC" w:rsidRDefault="00B842DC" w:rsidP="00B842DC">
            <w:pPr>
              <w:rPr>
                <w:rFonts w:ascii="Times New Roman" w:hAnsi="Times New Roman" w:cs="Times New Roman"/>
                <w:sz w:val="24"/>
                <w:szCs w:val="24"/>
              </w:rPr>
            </w:pPr>
          </w:p>
          <w:p w:rsidR="00B842DC" w:rsidRDefault="00B842DC" w:rsidP="00B842DC">
            <w:pPr>
              <w:rPr>
                <w:rFonts w:ascii="Times New Roman" w:hAnsi="Times New Roman" w:cs="Times New Roman"/>
                <w:sz w:val="24"/>
                <w:szCs w:val="24"/>
              </w:rPr>
            </w:pPr>
            <w:r>
              <w:rPr>
                <w:rFonts w:ascii="Times New Roman" w:hAnsi="Times New Roman" w:cs="Times New Roman"/>
                <w:sz w:val="24"/>
                <w:szCs w:val="24"/>
              </w:rPr>
              <w:t xml:space="preserve">PacifiCorp states that the proposed change in WAC 480-100-405(2)(g) raises a significant question as to the Commissions ability to regulate facilities located outside the state. The Company asks for the Commission to provide an opportunity in this proceeding for the parties to discuss how the Commission interprets its extraterritorial authority. </w:t>
            </w:r>
          </w:p>
          <w:p w:rsidR="00B1347D" w:rsidRPr="000F757A" w:rsidRDefault="00B1347D" w:rsidP="002571BB">
            <w:pPr>
              <w:rPr>
                <w:rFonts w:ascii="Times New Roman" w:hAnsi="Times New Roman" w:cs="Times New Roman"/>
                <w:b/>
                <w:sz w:val="24"/>
                <w:szCs w:val="24"/>
              </w:rPr>
            </w:pPr>
          </w:p>
        </w:tc>
        <w:tc>
          <w:tcPr>
            <w:tcW w:w="3495" w:type="dxa"/>
          </w:tcPr>
          <w:p w:rsidR="00B842DC" w:rsidRDefault="00B842DC" w:rsidP="00B842DC">
            <w:pPr>
              <w:rPr>
                <w:rFonts w:ascii="Times New Roman" w:hAnsi="Times New Roman" w:cs="Times New Roman"/>
                <w:sz w:val="24"/>
                <w:szCs w:val="24"/>
              </w:rPr>
            </w:pPr>
            <w:r w:rsidRPr="003442F2">
              <w:rPr>
                <w:rFonts w:ascii="Times New Roman" w:hAnsi="Times New Roman" w:cs="Times New Roman"/>
                <w:b/>
                <w:sz w:val="24"/>
                <w:szCs w:val="24"/>
              </w:rPr>
              <w:t>Staff agrees.</w:t>
            </w:r>
            <w:r>
              <w:rPr>
                <w:rFonts w:ascii="Times New Roman" w:hAnsi="Times New Roman" w:cs="Times New Roman"/>
                <w:sz w:val="24"/>
                <w:szCs w:val="24"/>
              </w:rPr>
              <w:t xml:space="preserve">  Staff that there may be confusion of the term “long-term financial commitment” if there exists two definitions one in statute and one in the related WAC. Staff will adopt the proposed wording.</w:t>
            </w:r>
          </w:p>
          <w:p w:rsidR="00B842DC" w:rsidRDefault="00B842DC" w:rsidP="00B842DC">
            <w:pPr>
              <w:rPr>
                <w:rFonts w:ascii="Times New Roman" w:hAnsi="Times New Roman" w:cs="Times New Roman"/>
                <w:sz w:val="24"/>
                <w:szCs w:val="24"/>
              </w:rPr>
            </w:pPr>
          </w:p>
          <w:p w:rsidR="00B842DC" w:rsidRDefault="00B842DC" w:rsidP="00B842DC">
            <w:pPr>
              <w:rPr>
                <w:rFonts w:ascii="Times New Roman" w:hAnsi="Times New Roman" w:cs="Times New Roman"/>
                <w:sz w:val="24"/>
                <w:szCs w:val="24"/>
              </w:rPr>
            </w:pPr>
          </w:p>
          <w:p w:rsidR="00B842DC" w:rsidRDefault="00B842DC" w:rsidP="00B842DC">
            <w:pPr>
              <w:rPr>
                <w:rFonts w:ascii="Times New Roman" w:hAnsi="Times New Roman" w:cs="Times New Roman"/>
                <w:sz w:val="24"/>
                <w:szCs w:val="24"/>
              </w:rPr>
            </w:pPr>
          </w:p>
          <w:p w:rsidR="00B842DC" w:rsidRDefault="00B842DC" w:rsidP="00B842DC">
            <w:pPr>
              <w:rPr>
                <w:rFonts w:ascii="Times New Roman" w:hAnsi="Times New Roman" w:cs="Times New Roman"/>
                <w:sz w:val="24"/>
                <w:szCs w:val="24"/>
              </w:rPr>
            </w:pPr>
          </w:p>
          <w:p w:rsidR="00B842DC" w:rsidRDefault="00B842DC" w:rsidP="00B842DC">
            <w:pPr>
              <w:rPr>
                <w:rFonts w:ascii="Times New Roman" w:hAnsi="Times New Roman" w:cs="Times New Roman"/>
                <w:b/>
                <w:sz w:val="24"/>
                <w:szCs w:val="24"/>
              </w:rPr>
            </w:pPr>
          </w:p>
          <w:p w:rsidR="00B842DC" w:rsidRDefault="00B842DC" w:rsidP="00B842DC">
            <w:pPr>
              <w:rPr>
                <w:rFonts w:ascii="Times New Roman" w:hAnsi="Times New Roman" w:cs="Times New Roman"/>
                <w:b/>
                <w:sz w:val="24"/>
                <w:szCs w:val="24"/>
              </w:rPr>
            </w:pPr>
          </w:p>
          <w:p w:rsidR="00B842DC" w:rsidRPr="00D83B57" w:rsidRDefault="00B842DC" w:rsidP="00B842DC">
            <w:pPr>
              <w:rPr>
                <w:rFonts w:ascii="Times New Roman" w:hAnsi="Times New Roman" w:cs="Times New Roman"/>
                <w:sz w:val="24"/>
                <w:szCs w:val="24"/>
              </w:rPr>
            </w:pPr>
            <w:r w:rsidRPr="00D83B57">
              <w:rPr>
                <w:rFonts w:ascii="Times New Roman" w:hAnsi="Times New Roman" w:cs="Times New Roman"/>
                <w:b/>
                <w:sz w:val="24"/>
                <w:szCs w:val="24"/>
              </w:rPr>
              <w:t>Staff disagrees</w:t>
            </w:r>
            <w:r>
              <w:rPr>
                <w:rFonts w:ascii="Times New Roman" w:hAnsi="Times New Roman" w:cs="Times New Roman"/>
                <w:b/>
                <w:sz w:val="24"/>
                <w:szCs w:val="24"/>
              </w:rPr>
              <w:t xml:space="preserve">. </w:t>
            </w:r>
            <w:r w:rsidRPr="00D83B57">
              <w:rPr>
                <w:rFonts w:ascii="Times New Roman" w:hAnsi="Times New Roman" w:cs="Times New Roman"/>
                <w:sz w:val="24"/>
                <w:szCs w:val="24"/>
              </w:rPr>
              <w:t>The commission is not regulating facilities outside Washington State.  The commission is only regulating the power acquisition choices of the regulated company, whether the power comes from in-state or out-of-state.  Plus, the rule only reflects the exact language of the statute.</w:t>
            </w:r>
            <w:r>
              <w:rPr>
                <w:rFonts w:ascii="Times New Roman" w:hAnsi="Times New Roman" w:cs="Times New Roman"/>
                <w:sz w:val="24"/>
                <w:szCs w:val="24"/>
              </w:rPr>
              <w:t xml:space="preserve"> Staff believes the proposed meeting would not be productive. </w:t>
            </w:r>
          </w:p>
          <w:p w:rsidR="00B1347D" w:rsidRPr="003442F2" w:rsidRDefault="00B1347D" w:rsidP="008A1BD6">
            <w:pPr>
              <w:rPr>
                <w:rFonts w:ascii="Times New Roman" w:hAnsi="Times New Roman" w:cs="Times New Roman"/>
                <w:b/>
                <w:sz w:val="24"/>
                <w:szCs w:val="24"/>
              </w:rPr>
            </w:pPr>
          </w:p>
        </w:tc>
      </w:tr>
      <w:tr w:rsidR="002F6150" w:rsidTr="002F6150">
        <w:tc>
          <w:tcPr>
            <w:tcW w:w="13176" w:type="dxa"/>
            <w:gridSpan w:val="5"/>
          </w:tcPr>
          <w:p w:rsidR="002F6150" w:rsidRDefault="002F6150" w:rsidP="002F6150">
            <w:pPr>
              <w:ind w:left="1350" w:hanging="1350"/>
              <w:rPr>
                <w:rFonts w:ascii="Times New Roman" w:hAnsi="Times New Roman" w:cs="Times New Roman"/>
                <w:b/>
                <w:sz w:val="24"/>
                <w:szCs w:val="24"/>
              </w:rPr>
            </w:pPr>
            <w:r w:rsidRPr="002F6150">
              <w:rPr>
                <w:rFonts w:ascii="Times New Roman" w:hAnsi="Times New Roman" w:cs="Times New Roman"/>
                <w:b/>
                <w:sz w:val="24"/>
                <w:szCs w:val="24"/>
              </w:rPr>
              <w:lastRenderedPageBreak/>
              <w:t>480-100-415</w:t>
            </w:r>
            <w:r>
              <w:rPr>
                <w:rFonts w:ascii="Times New Roman" w:hAnsi="Times New Roman" w:cs="Times New Roman"/>
                <w:b/>
                <w:sz w:val="24"/>
                <w:szCs w:val="24"/>
              </w:rPr>
              <w:t xml:space="preserve"> </w:t>
            </w:r>
            <w:r w:rsidRPr="002F6150">
              <w:rPr>
                <w:rFonts w:ascii="Times New Roman" w:hAnsi="Times New Roman" w:cs="Times New Roman"/>
                <w:b/>
                <w:sz w:val="24"/>
                <w:szCs w:val="24"/>
              </w:rPr>
              <w:t>Electrical company applications for commission determination outside of a general rate case of electric generation resource compliance with greenhouse gas emissions performance standard</w:t>
            </w:r>
          </w:p>
        </w:tc>
      </w:tr>
      <w:tr w:rsidR="00A16DC5" w:rsidTr="00A62240">
        <w:tc>
          <w:tcPr>
            <w:tcW w:w="516" w:type="dxa"/>
          </w:tcPr>
          <w:p w:rsidR="00A16DC5" w:rsidRDefault="00A16DC5" w:rsidP="00813A35">
            <w:pPr>
              <w:rPr>
                <w:rFonts w:ascii="Times New Roman" w:hAnsi="Times New Roman" w:cs="Times New Roman"/>
                <w:sz w:val="24"/>
                <w:szCs w:val="24"/>
              </w:rPr>
            </w:pPr>
          </w:p>
        </w:tc>
        <w:tc>
          <w:tcPr>
            <w:tcW w:w="2302" w:type="dxa"/>
          </w:tcPr>
          <w:p w:rsidR="00C03D70" w:rsidRDefault="00713C57" w:rsidP="00813A35">
            <w:pPr>
              <w:rPr>
                <w:rFonts w:ascii="Times New Roman" w:hAnsi="Times New Roman" w:cs="Times New Roman"/>
                <w:sz w:val="24"/>
                <w:szCs w:val="24"/>
              </w:rPr>
            </w:pPr>
            <w:r>
              <w:rPr>
                <w:rFonts w:ascii="Times New Roman" w:hAnsi="Times New Roman" w:cs="Times New Roman"/>
                <w:sz w:val="24"/>
                <w:szCs w:val="24"/>
              </w:rPr>
              <w:t>4</w:t>
            </w:r>
            <w:r w:rsidR="00BC5ADE">
              <w:rPr>
                <w:rFonts w:ascii="Times New Roman" w:hAnsi="Times New Roman" w:cs="Times New Roman"/>
                <w:sz w:val="24"/>
                <w:szCs w:val="24"/>
              </w:rPr>
              <w:t>80-100-</w:t>
            </w:r>
            <w:r w:rsidR="00554CDF">
              <w:rPr>
                <w:rFonts w:ascii="Times New Roman" w:hAnsi="Times New Roman" w:cs="Times New Roman"/>
                <w:sz w:val="24"/>
                <w:szCs w:val="24"/>
              </w:rPr>
              <w:t>415</w:t>
            </w:r>
          </w:p>
          <w:p w:rsidR="00675278" w:rsidRDefault="00675278"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p>
          <w:p w:rsidR="00832A97" w:rsidRDefault="00832A97" w:rsidP="00813A35">
            <w:pPr>
              <w:rPr>
                <w:rFonts w:ascii="Times New Roman" w:hAnsi="Times New Roman" w:cs="Times New Roman"/>
                <w:sz w:val="24"/>
                <w:szCs w:val="24"/>
              </w:rPr>
            </w:pPr>
            <w:r>
              <w:rPr>
                <w:rFonts w:ascii="Times New Roman" w:hAnsi="Times New Roman" w:cs="Times New Roman"/>
                <w:sz w:val="24"/>
                <w:szCs w:val="24"/>
              </w:rPr>
              <w:t>480-</w:t>
            </w:r>
            <w:r w:rsidR="00057D77">
              <w:rPr>
                <w:rFonts w:ascii="Times New Roman" w:hAnsi="Times New Roman" w:cs="Times New Roman"/>
                <w:sz w:val="24"/>
                <w:szCs w:val="24"/>
              </w:rPr>
              <w:t>100</w:t>
            </w:r>
            <w:r>
              <w:rPr>
                <w:rFonts w:ascii="Times New Roman" w:hAnsi="Times New Roman" w:cs="Times New Roman"/>
                <w:sz w:val="24"/>
                <w:szCs w:val="24"/>
              </w:rPr>
              <w:t>-</w:t>
            </w:r>
            <w:r w:rsidR="00057D77">
              <w:rPr>
                <w:rFonts w:ascii="Times New Roman" w:hAnsi="Times New Roman" w:cs="Times New Roman"/>
                <w:sz w:val="24"/>
                <w:szCs w:val="24"/>
              </w:rPr>
              <w:t>415(1)</w:t>
            </w:r>
          </w:p>
          <w:p w:rsidR="00C03D70" w:rsidRDefault="00C03D70" w:rsidP="00813A35">
            <w:pPr>
              <w:rPr>
                <w:rFonts w:ascii="Times New Roman" w:hAnsi="Times New Roman" w:cs="Times New Roman"/>
                <w:sz w:val="24"/>
                <w:szCs w:val="24"/>
              </w:rPr>
            </w:pPr>
          </w:p>
          <w:p w:rsidR="00C03D70" w:rsidRDefault="00C03D70" w:rsidP="00813A35">
            <w:pPr>
              <w:rPr>
                <w:rFonts w:ascii="Times New Roman" w:hAnsi="Times New Roman" w:cs="Times New Roman"/>
                <w:sz w:val="24"/>
                <w:szCs w:val="24"/>
              </w:rPr>
            </w:pPr>
          </w:p>
        </w:tc>
        <w:tc>
          <w:tcPr>
            <w:tcW w:w="2323" w:type="dxa"/>
          </w:tcPr>
          <w:p w:rsidR="00BC5ADE" w:rsidRDefault="000F757A" w:rsidP="00BC5ADE">
            <w:pPr>
              <w:rPr>
                <w:rFonts w:ascii="Times New Roman" w:hAnsi="Times New Roman" w:cs="Times New Roman"/>
                <w:sz w:val="24"/>
                <w:szCs w:val="24"/>
              </w:rPr>
            </w:pPr>
            <w:r w:rsidRPr="000F757A">
              <w:rPr>
                <w:rFonts w:ascii="Times New Roman" w:hAnsi="Times New Roman" w:cs="Times New Roman"/>
                <w:sz w:val="24"/>
                <w:szCs w:val="24"/>
              </w:rPr>
              <w:t>PacifiCorp</w:t>
            </w:r>
            <w:r w:rsidR="00BC5ADE">
              <w:rPr>
                <w:rFonts w:ascii="Times New Roman" w:hAnsi="Times New Roman" w:cs="Times New Roman"/>
                <w:sz w:val="24"/>
                <w:szCs w:val="24"/>
              </w:rPr>
              <w:t xml:space="preserve">  </w:t>
            </w:r>
          </w:p>
          <w:p w:rsidR="00BC5ADE" w:rsidRDefault="00BC5ADE" w:rsidP="00BC5ADE">
            <w:pPr>
              <w:rPr>
                <w:rFonts w:ascii="Times New Roman" w:hAnsi="Times New Roman" w:cs="Times New Roman"/>
                <w:sz w:val="24"/>
                <w:szCs w:val="24"/>
              </w:rPr>
            </w:pPr>
          </w:p>
          <w:p w:rsidR="00BC5ADE" w:rsidRDefault="00BC5ADE" w:rsidP="00F655BE">
            <w:pPr>
              <w:rPr>
                <w:rFonts w:ascii="Times New Roman" w:hAnsi="Times New Roman" w:cs="Times New Roman"/>
                <w:sz w:val="24"/>
                <w:szCs w:val="24"/>
              </w:rPr>
            </w:pPr>
          </w:p>
          <w:p w:rsidR="00C03D70" w:rsidRDefault="00C03D70" w:rsidP="002571BB">
            <w:pPr>
              <w:rPr>
                <w:rFonts w:ascii="Times New Roman" w:hAnsi="Times New Roman" w:cs="Times New Roman"/>
                <w:sz w:val="24"/>
                <w:szCs w:val="24"/>
              </w:rPr>
            </w:pPr>
          </w:p>
          <w:p w:rsidR="00832A97" w:rsidRDefault="00832A97" w:rsidP="002571BB">
            <w:pPr>
              <w:rPr>
                <w:rFonts w:ascii="Times New Roman" w:hAnsi="Times New Roman" w:cs="Times New Roman"/>
                <w:sz w:val="24"/>
                <w:szCs w:val="24"/>
              </w:rPr>
            </w:pPr>
          </w:p>
          <w:p w:rsidR="00832A97" w:rsidRDefault="00832A97" w:rsidP="002571BB">
            <w:pPr>
              <w:rPr>
                <w:rFonts w:ascii="Times New Roman" w:hAnsi="Times New Roman" w:cs="Times New Roman"/>
                <w:sz w:val="24"/>
                <w:szCs w:val="24"/>
              </w:rPr>
            </w:pPr>
          </w:p>
          <w:p w:rsidR="00832A97" w:rsidRDefault="00832A97" w:rsidP="002571BB">
            <w:pPr>
              <w:rPr>
                <w:rFonts w:ascii="Times New Roman" w:hAnsi="Times New Roman" w:cs="Times New Roman"/>
                <w:sz w:val="24"/>
                <w:szCs w:val="24"/>
              </w:rPr>
            </w:pPr>
          </w:p>
          <w:p w:rsidR="00832A97" w:rsidRDefault="00832A97" w:rsidP="002571BB">
            <w:pPr>
              <w:rPr>
                <w:rFonts w:ascii="Times New Roman" w:hAnsi="Times New Roman" w:cs="Times New Roman"/>
                <w:sz w:val="24"/>
                <w:szCs w:val="24"/>
              </w:rPr>
            </w:pPr>
          </w:p>
          <w:p w:rsidR="00832A97" w:rsidRDefault="00832A97" w:rsidP="002571BB">
            <w:pPr>
              <w:rPr>
                <w:rFonts w:ascii="Times New Roman" w:hAnsi="Times New Roman" w:cs="Times New Roman"/>
                <w:sz w:val="24"/>
                <w:szCs w:val="24"/>
              </w:rPr>
            </w:pPr>
          </w:p>
          <w:p w:rsidR="006D5A6C" w:rsidRDefault="006D5A6C" w:rsidP="002571BB">
            <w:pPr>
              <w:rPr>
                <w:rFonts w:ascii="Times New Roman" w:hAnsi="Times New Roman" w:cs="Times New Roman"/>
                <w:sz w:val="24"/>
                <w:szCs w:val="24"/>
              </w:rPr>
            </w:pPr>
          </w:p>
          <w:p w:rsidR="00832A97" w:rsidRDefault="00057D77" w:rsidP="00057D77">
            <w:pPr>
              <w:rPr>
                <w:rFonts w:ascii="Times New Roman" w:hAnsi="Times New Roman" w:cs="Times New Roman"/>
                <w:sz w:val="24"/>
                <w:szCs w:val="24"/>
              </w:rPr>
            </w:pPr>
            <w:r>
              <w:rPr>
                <w:rFonts w:ascii="Times New Roman" w:hAnsi="Times New Roman" w:cs="Times New Roman"/>
                <w:sz w:val="24"/>
                <w:szCs w:val="24"/>
              </w:rPr>
              <w:t>NW Energy Coalition</w:t>
            </w:r>
            <w:r w:rsidR="00832A97">
              <w:rPr>
                <w:rFonts w:ascii="Times New Roman" w:hAnsi="Times New Roman" w:cs="Times New Roman"/>
                <w:sz w:val="24"/>
                <w:szCs w:val="24"/>
              </w:rPr>
              <w:t xml:space="preserve"> </w:t>
            </w:r>
          </w:p>
        </w:tc>
        <w:tc>
          <w:tcPr>
            <w:tcW w:w="4540" w:type="dxa"/>
          </w:tcPr>
          <w:p w:rsidR="00D7107F" w:rsidRDefault="00BC5ADE" w:rsidP="00D7107F">
            <w:pPr>
              <w:rPr>
                <w:rFonts w:ascii="Times New Roman" w:hAnsi="Times New Roman" w:cs="Times New Roman"/>
                <w:sz w:val="24"/>
                <w:szCs w:val="24"/>
              </w:rPr>
            </w:pPr>
            <w:r w:rsidRPr="000F757A">
              <w:rPr>
                <w:rFonts w:ascii="Times New Roman" w:hAnsi="Times New Roman" w:cs="Times New Roman"/>
                <w:b/>
                <w:sz w:val="24"/>
                <w:szCs w:val="24"/>
              </w:rPr>
              <w:t>PacifiCorp</w:t>
            </w:r>
            <w:r>
              <w:rPr>
                <w:rFonts w:ascii="Times New Roman" w:hAnsi="Times New Roman" w:cs="Times New Roman"/>
                <w:sz w:val="24"/>
                <w:szCs w:val="24"/>
              </w:rPr>
              <w:t xml:space="preserve"> </w:t>
            </w:r>
            <w:r w:rsidR="00D7107F">
              <w:rPr>
                <w:rFonts w:ascii="Times New Roman" w:hAnsi="Times New Roman" w:cs="Times New Roman"/>
                <w:sz w:val="24"/>
                <w:szCs w:val="24"/>
              </w:rPr>
              <w:t>suggests that</w:t>
            </w:r>
            <w:r w:rsidR="00554CDF">
              <w:rPr>
                <w:rFonts w:ascii="Times New Roman" w:hAnsi="Times New Roman" w:cs="Times New Roman"/>
                <w:sz w:val="24"/>
                <w:szCs w:val="24"/>
              </w:rPr>
              <w:t xml:space="preserve"> the wording in WAC 480-100-415(3)(a)(iii) and </w:t>
            </w:r>
            <w:r w:rsidR="00554CDF" w:rsidRPr="00554CDF">
              <w:rPr>
                <w:rFonts w:ascii="Times New Roman" w:hAnsi="Times New Roman" w:cs="Times New Roman"/>
                <w:sz w:val="24"/>
                <w:szCs w:val="24"/>
              </w:rPr>
              <w:t>(3)(</w:t>
            </w:r>
            <w:r w:rsidR="00554CDF">
              <w:rPr>
                <w:rFonts w:ascii="Times New Roman" w:hAnsi="Times New Roman" w:cs="Times New Roman"/>
                <w:sz w:val="24"/>
                <w:szCs w:val="24"/>
              </w:rPr>
              <w:t>b</w:t>
            </w:r>
            <w:r w:rsidR="00554CDF" w:rsidRPr="00554CDF">
              <w:rPr>
                <w:rFonts w:ascii="Times New Roman" w:hAnsi="Times New Roman" w:cs="Times New Roman"/>
                <w:sz w:val="24"/>
                <w:szCs w:val="24"/>
              </w:rPr>
              <w:t>)(iii)</w:t>
            </w:r>
            <w:r w:rsidR="00554CDF">
              <w:rPr>
                <w:rFonts w:ascii="Times New Roman" w:hAnsi="Times New Roman" w:cs="Times New Roman"/>
                <w:sz w:val="24"/>
                <w:szCs w:val="24"/>
              </w:rPr>
              <w:t xml:space="preserve"> </w:t>
            </w:r>
            <w:r w:rsidR="00D7107F">
              <w:rPr>
                <w:rFonts w:ascii="Times New Roman" w:hAnsi="Times New Roman" w:cs="Times New Roman"/>
                <w:sz w:val="24"/>
                <w:szCs w:val="24"/>
              </w:rPr>
              <w:t>that</w:t>
            </w:r>
            <w:r w:rsidR="00554CDF">
              <w:rPr>
                <w:rFonts w:ascii="Times New Roman" w:hAnsi="Times New Roman" w:cs="Times New Roman"/>
                <w:sz w:val="24"/>
                <w:szCs w:val="24"/>
              </w:rPr>
              <w:t xml:space="preserve"> requires applicants to provide “[s]uch other information as is available concerning…” be changed. </w:t>
            </w:r>
            <w:r w:rsidR="00D7107F">
              <w:rPr>
                <w:rFonts w:ascii="Times New Roman" w:hAnsi="Times New Roman" w:cs="Times New Roman"/>
                <w:sz w:val="24"/>
                <w:szCs w:val="24"/>
              </w:rPr>
              <w:t xml:space="preserve"> The wording, they argue, </w:t>
            </w:r>
            <w:r w:rsidR="000F757A">
              <w:rPr>
                <w:rFonts w:ascii="Times New Roman" w:hAnsi="Times New Roman" w:cs="Times New Roman"/>
                <w:sz w:val="24"/>
                <w:szCs w:val="24"/>
              </w:rPr>
              <w:t xml:space="preserve">is “…vague and potentially unachievable.”  The Company says that it “…may not be aware of all available emissions characteristics ….” </w:t>
            </w:r>
          </w:p>
          <w:p w:rsidR="00731FBD" w:rsidRDefault="00731FBD" w:rsidP="002571BB">
            <w:pPr>
              <w:rPr>
                <w:rFonts w:ascii="Times New Roman" w:hAnsi="Times New Roman" w:cs="Times New Roman"/>
                <w:sz w:val="24"/>
                <w:szCs w:val="24"/>
              </w:rPr>
            </w:pPr>
          </w:p>
          <w:p w:rsidR="00057D77" w:rsidRPr="00057D77" w:rsidRDefault="00057D77" w:rsidP="00057D77">
            <w:pPr>
              <w:rPr>
                <w:rFonts w:ascii="Times New Roman" w:hAnsi="Times New Roman" w:cs="Times New Roman"/>
                <w:sz w:val="24"/>
                <w:szCs w:val="24"/>
              </w:rPr>
            </w:pPr>
            <w:r>
              <w:rPr>
                <w:rFonts w:ascii="Times New Roman" w:hAnsi="Times New Roman" w:cs="Times New Roman"/>
                <w:sz w:val="24"/>
                <w:szCs w:val="24"/>
              </w:rPr>
              <w:t xml:space="preserve">The </w:t>
            </w:r>
            <w:r w:rsidRPr="00057D77">
              <w:rPr>
                <w:rFonts w:ascii="Times New Roman" w:hAnsi="Times New Roman" w:cs="Times New Roman"/>
                <w:b/>
                <w:sz w:val="24"/>
                <w:szCs w:val="24"/>
              </w:rPr>
              <w:t xml:space="preserve">NW Energy Coalition </w:t>
            </w:r>
            <w:r>
              <w:rPr>
                <w:rFonts w:ascii="Times New Roman" w:hAnsi="Times New Roman" w:cs="Times New Roman"/>
                <w:sz w:val="24"/>
                <w:szCs w:val="24"/>
              </w:rPr>
              <w:t xml:space="preserve">believes that the proposed wording in WAC </w:t>
            </w:r>
            <w:r w:rsidRPr="00057D77">
              <w:rPr>
                <w:rFonts w:ascii="Times New Roman" w:hAnsi="Times New Roman" w:cs="Times New Roman"/>
                <w:sz w:val="24"/>
                <w:szCs w:val="24"/>
              </w:rPr>
              <w:t>480-100-415(1)</w:t>
            </w:r>
            <w:r>
              <w:rPr>
                <w:rFonts w:ascii="Times New Roman" w:hAnsi="Times New Roman" w:cs="Times New Roman"/>
                <w:sz w:val="24"/>
                <w:szCs w:val="24"/>
              </w:rPr>
              <w:t xml:space="preserve"> </w:t>
            </w:r>
            <w:r w:rsidR="007F0FDE">
              <w:rPr>
                <w:rFonts w:ascii="Times New Roman" w:hAnsi="Times New Roman" w:cs="Times New Roman"/>
                <w:sz w:val="24"/>
                <w:szCs w:val="24"/>
              </w:rPr>
              <w:t>confines</w:t>
            </w:r>
            <w:r>
              <w:rPr>
                <w:rFonts w:ascii="Times New Roman" w:hAnsi="Times New Roman" w:cs="Times New Roman"/>
                <w:sz w:val="24"/>
                <w:szCs w:val="24"/>
              </w:rPr>
              <w:t xml:space="preserve"> the 12 percent </w:t>
            </w:r>
            <w:r w:rsidR="007F0FDE">
              <w:rPr>
                <w:rFonts w:ascii="Times New Roman" w:hAnsi="Times New Roman" w:cs="Times New Roman"/>
                <w:sz w:val="24"/>
                <w:szCs w:val="24"/>
              </w:rPr>
              <w:t xml:space="preserve">from unspecified sources limitation to filings before the commission outside of a General Rate Case (GRC).  They recommend either inclusion of the language in the definition of “long-term financial commitment” or by adding an additional provision clarifying that no long-term financial commitment would be considered within the context of a GRC if it includes more than 12 percent unspecified sources. </w:t>
            </w:r>
          </w:p>
          <w:p w:rsidR="00C56EAA" w:rsidRDefault="00C56EAA" w:rsidP="002571BB">
            <w:pPr>
              <w:rPr>
                <w:rFonts w:ascii="Times New Roman" w:hAnsi="Times New Roman" w:cs="Times New Roman"/>
                <w:sz w:val="24"/>
                <w:szCs w:val="24"/>
              </w:rPr>
            </w:pPr>
          </w:p>
          <w:p w:rsidR="00D623E4" w:rsidRDefault="00D623E4" w:rsidP="002571BB">
            <w:pPr>
              <w:rPr>
                <w:rFonts w:ascii="Times New Roman" w:hAnsi="Times New Roman" w:cs="Times New Roman"/>
                <w:sz w:val="24"/>
                <w:szCs w:val="24"/>
              </w:rPr>
            </w:pPr>
          </w:p>
        </w:tc>
        <w:tc>
          <w:tcPr>
            <w:tcW w:w="3495" w:type="dxa"/>
          </w:tcPr>
          <w:p w:rsidR="006D5A6C" w:rsidRDefault="00BC5ADE" w:rsidP="008A1BD6">
            <w:pPr>
              <w:rPr>
                <w:rFonts w:ascii="Times New Roman" w:hAnsi="Times New Roman" w:cs="Times New Roman"/>
                <w:b/>
                <w:sz w:val="24"/>
                <w:szCs w:val="24"/>
              </w:rPr>
            </w:pPr>
            <w:r>
              <w:rPr>
                <w:rFonts w:ascii="Times New Roman" w:hAnsi="Times New Roman" w:cs="Times New Roman"/>
                <w:b/>
                <w:sz w:val="24"/>
                <w:szCs w:val="24"/>
              </w:rPr>
              <w:t>Staff</w:t>
            </w:r>
            <w:r w:rsidR="00E61B39">
              <w:rPr>
                <w:rFonts w:ascii="Times New Roman" w:hAnsi="Times New Roman" w:cs="Times New Roman"/>
                <w:b/>
                <w:sz w:val="24"/>
                <w:szCs w:val="24"/>
              </w:rPr>
              <w:t xml:space="preserve"> agrees.</w:t>
            </w:r>
            <w:r>
              <w:rPr>
                <w:rFonts w:ascii="Times New Roman" w:hAnsi="Times New Roman" w:cs="Times New Roman"/>
                <w:sz w:val="24"/>
                <w:szCs w:val="24"/>
              </w:rPr>
              <w:t xml:space="preserve"> </w:t>
            </w:r>
            <w:r w:rsidR="000F757A">
              <w:rPr>
                <w:rFonts w:ascii="Times New Roman" w:hAnsi="Times New Roman" w:cs="Times New Roman"/>
                <w:sz w:val="24"/>
                <w:szCs w:val="24"/>
              </w:rPr>
              <w:t xml:space="preserve">The company cannot provide information that it does not know about or that is unavailable to it.  Staff proposes </w:t>
            </w:r>
            <w:r w:rsidR="000F757A" w:rsidRPr="000F757A">
              <w:rPr>
                <w:rFonts w:ascii="Times New Roman" w:hAnsi="Times New Roman" w:cs="Times New Roman"/>
                <w:sz w:val="24"/>
                <w:szCs w:val="24"/>
              </w:rPr>
              <w:t>changing the language to "such other information as is available to</w:t>
            </w:r>
            <w:r w:rsidR="00F87FAF">
              <w:rPr>
                <w:rFonts w:ascii="Times New Roman" w:hAnsi="Times New Roman" w:cs="Times New Roman"/>
                <w:sz w:val="24"/>
                <w:szCs w:val="24"/>
              </w:rPr>
              <w:t xml:space="preserve"> or in the possession of </w:t>
            </w:r>
            <w:r w:rsidR="000F757A" w:rsidRPr="000F757A">
              <w:rPr>
                <w:rFonts w:ascii="Times New Roman" w:hAnsi="Times New Roman" w:cs="Times New Roman"/>
                <w:sz w:val="24"/>
                <w:szCs w:val="24"/>
              </w:rPr>
              <w:t>the electrical company</w:t>
            </w:r>
            <w:r w:rsidR="00EA6B5A">
              <w:rPr>
                <w:rFonts w:ascii="Times New Roman" w:hAnsi="Times New Roman" w:cs="Times New Roman"/>
                <w:sz w:val="24"/>
                <w:szCs w:val="24"/>
              </w:rPr>
              <w:t>.</w:t>
            </w:r>
            <w:r w:rsidR="000F757A" w:rsidRPr="000F757A">
              <w:rPr>
                <w:rFonts w:ascii="Times New Roman" w:hAnsi="Times New Roman" w:cs="Times New Roman"/>
                <w:sz w:val="24"/>
                <w:szCs w:val="24"/>
              </w:rPr>
              <w:t>"</w:t>
            </w:r>
          </w:p>
          <w:p w:rsidR="006420FD" w:rsidRDefault="006420FD" w:rsidP="008A1BD6">
            <w:pPr>
              <w:rPr>
                <w:rFonts w:ascii="Times New Roman" w:hAnsi="Times New Roman" w:cs="Times New Roman"/>
                <w:b/>
                <w:sz w:val="24"/>
                <w:szCs w:val="24"/>
              </w:rPr>
            </w:pPr>
          </w:p>
          <w:p w:rsidR="006420FD" w:rsidRDefault="006420FD" w:rsidP="00FA5C3D">
            <w:pPr>
              <w:rPr>
                <w:rFonts w:ascii="Times New Roman" w:hAnsi="Times New Roman" w:cs="Times New Roman"/>
                <w:b/>
                <w:sz w:val="24"/>
                <w:szCs w:val="24"/>
              </w:rPr>
            </w:pPr>
          </w:p>
          <w:p w:rsidR="00731FBD" w:rsidRDefault="00FA5C3D" w:rsidP="00FF0EB1">
            <w:pPr>
              <w:rPr>
                <w:rFonts w:ascii="Times New Roman" w:hAnsi="Times New Roman" w:cs="Times New Roman"/>
                <w:sz w:val="24"/>
                <w:szCs w:val="24"/>
              </w:rPr>
            </w:pPr>
            <w:r>
              <w:rPr>
                <w:rFonts w:ascii="Times New Roman" w:hAnsi="Times New Roman" w:cs="Times New Roman"/>
                <w:b/>
                <w:sz w:val="24"/>
                <w:szCs w:val="24"/>
              </w:rPr>
              <w:t xml:space="preserve">Staff </w:t>
            </w:r>
            <w:r w:rsidR="00C56EAA">
              <w:rPr>
                <w:rFonts w:ascii="Times New Roman" w:hAnsi="Times New Roman" w:cs="Times New Roman"/>
                <w:b/>
                <w:sz w:val="24"/>
                <w:szCs w:val="24"/>
              </w:rPr>
              <w:t>disagrees.</w:t>
            </w:r>
            <w:r w:rsidR="00C56EAA">
              <w:rPr>
                <w:rFonts w:ascii="Times New Roman" w:hAnsi="Times New Roman" w:cs="Times New Roman"/>
                <w:sz w:val="24"/>
                <w:szCs w:val="24"/>
              </w:rPr>
              <w:t xml:space="preserve"> Th</w:t>
            </w:r>
            <w:r w:rsidR="007F0FDE">
              <w:rPr>
                <w:rFonts w:ascii="Times New Roman" w:hAnsi="Times New Roman" w:cs="Times New Roman"/>
                <w:sz w:val="24"/>
                <w:szCs w:val="24"/>
              </w:rPr>
              <w:t xml:space="preserve">e </w:t>
            </w:r>
            <w:r w:rsidR="002F6150">
              <w:rPr>
                <w:rFonts w:ascii="Times New Roman" w:hAnsi="Times New Roman" w:cs="Times New Roman"/>
                <w:sz w:val="24"/>
                <w:szCs w:val="24"/>
              </w:rPr>
              <w:t>examination</w:t>
            </w:r>
            <w:r w:rsidR="003E5E5C">
              <w:rPr>
                <w:rFonts w:ascii="Times New Roman" w:hAnsi="Times New Roman" w:cs="Times New Roman"/>
                <w:sz w:val="24"/>
                <w:szCs w:val="24"/>
              </w:rPr>
              <w:t xml:space="preserve"> of the rule by the</w:t>
            </w:r>
            <w:r w:rsidR="007F0FDE">
              <w:rPr>
                <w:rFonts w:ascii="Times New Roman" w:hAnsi="Times New Roman" w:cs="Times New Roman"/>
                <w:sz w:val="24"/>
                <w:szCs w:val="24"/>
              </w:rPr>
              <w:t xml:space="preserve"> NW Energy Coalition </w:t>
            </w:r>
            <w:r w:rsidR="002F6150">
              <w:rPr>
                <w:rFonts w:ascii="Times New Roman" w:hAnsi="Times New Roman" w:cs="Times New Roman"/>
                <w:sz w:val="24"/>
                <w:szCs w:val="24"/>
              </w:rPr>
              <w:t xml:space="preserve">takes </w:t>
            </w:r>
            <w:r w:rsidR="00C56EAA">
              <w:rPr>
                <w:rFonts w:ascii="Times New Roman" w:hAnsi="Times New Roman" w:cs="Times New Roman"/>
                <w:sz w:val="24"/>
                <w:szCs w:val="24"/>
              </w:rPr>
              <w:t>too broad</w:t>
            </w:r>
            <w:r w:rsidR="002F6150">
              <w:rPr>
                <w:rFonts w:ascii="Times New Roman" w:hAnsi="Times New Roman" w:cs="Times New Roman"/>
                <w:sz w:val="24"/>
                <w:szCs w:val="24"/>
              </w:rPr>
              <w:t xml:space="preserve"> of a </w:t>
            </w:r>
            <w:r w:rsidR="00C55544">
              <w:rPr>
                <w:rFonts w:ascii="Times New Roman" w:hAnsi="Times New Roman" w:cs="Times New Roman"/>
                <w:sz w:val="24"/>
                <w:szCs w:val="24"/>
              </w:rPr>
              <w:t>perspective</w:t>
            </w:r>
            <w:r w:rsidR="00C56EAA">
              <w:rPr>
                <w:rFonts w:ascii="Times New Roman" w:hAnsi="Times New Roman" w:cs="Times New Roman"/>
                <w:sz w:val="24"/>
                <w:szCs w:val="24"/>
              </w:rPr>
              <w:t>. The rule</w:t>
            </w:r>
            <w:r w:rsidR="007F0FDE">
              <w:rPr>
                <w:rFonts w:ascii="Times New Roman" w:hAnsi="Times New Roman" w:cs="Times New Roman"/>
                <w:sz w:val="24"/>
                <w:szCs w:val="24"/>
              </w:rPr>
              <w:t xml:space="preserve"> addresses filings of non-GRC applications.</w:t>
            </w:r>
            <w:r w:rsidR="003E5E5C">
              <w:rPr>
                <w:rFonts w:ascii="Times New Roman" w:hAnsi="Times New Roman" w:cs="Times New Roman"/>
                <w:sz w:val="24"/>
                <w:szCs w:val="24"/>
              </w:rPr>
              <w:t xml:space="preserve"> The proposed change merely adds the additional restriction provided in HB 2129.</w:t>
            </w:r>
            <w:r w:rsidR="007F0FDE">
              <w:rPr>
                <w:rFonts w:ascii="Times New Roman" w:hAnsi="Times New Roman" w:cs="Times New Roman"/>
                <w:sz w:val="24"/>
                <w:szCs w:val="24"/>
              </w:rPr>
              <w:t xml:space="preserve"> </w:t>
            </w:r>
            <w:r w:rsidR="00D21386">
              <w:rPr>
                <w:rFonts w:ascii="Times New Roman" w:hAnsi="Times New Roman" w:cs="Times New Roman"/>
                <w:sz w:val="24"/>
                <w:szCs w:val="24"/>
              </w:rPr>
              <w:t xml:space="preserve">Staff believes the rule </w:t>
            </w:r>
            <w:r w:rsidR="00C56EAA">
              <w:rPr>
                <w:rFonts w:ascii="Times New Roman" w:hAnsi="Times New Roman" w:cs="Times New Roman"/>
                <w:sz w:val="24"/>
                <w:szCs w:val="24"/>
              </w:rPr>
              <w:t xml:space="preserve">certainly </w:t>
            </w:r>
            <w:r w:rsidR="00D21386">
              <w:rPr>
                <w:rFonts w:ascii="Times New Roman" w:hAnsi="Times New Roman" w:cs="Times New Roman"/>
                <w:sz w:val="24"/>
                <w:szCs w:val="24"/>
              </w:rPr>
              <w:t xml:space="preserve">could be </w:t>
            </w:r>
            <w:r w:rsidR="00C56EAA">
              <w:rPr>
                <w:rFonts w:ascii="Times New Roman" w:hAnsi="Times New Roman" w:cs="Times New Roman"/>
                <w:sz w:val="24"/>
                <w:szCs w:val="24"/>
              </w:rPr>
              <w:t>broaden</w:t>
            </w:r>
            <w:r w:rsidR="003E5E5C">
              <w:rPr>
                <w:rFonts w:ascii="Times New Roman" w:hAnsi="Times New Roman" w:cs="Times New Roman"/>
                <w:sz w:val="24"/>
                <w:szCs w:val="24"/>
              </w:rPr>
              <w:t>ed</w:t>
            </w:r>
            <w:r w:rsidR="00C56EAA">
              <w:rPr>
                <w:rFonts w:ascii="Times New Roman" w:hAnsi="Times New Roman" w:cs="Times New Roman"/>
                <w:sz w:val="24"/>
                <w:szCs w:val="24"/>
              </w:rPr>
              <w:t xml:space="preserve"> </w:t>
            </w:r>
            <w:r w:rsidR="00D21386">
              <w:rPr>
                <w:rFonts w:ascii="Times New Roman" w:hAnsi="Times New Roman" w:cs="Times New Roman"/>
                <w:sz w:val="24"/>
                <w:szCs w:val="24"/>
              </w:rPr>
              <w:t xml:space="preserve">to include GRC applications but </w:t>
            </w:r>
            <w:r w:rsidR="003E5E5C">
              <w:rPr>
                <w:rFonts w:ascii="Times New Roman" w:hAnsi="Times New Roman" w:cs="Times New Roman"/>
                <w:sz w:val="24"/>
                <w:szCs w:val="24"/>
              </w:rPr>
              <w:t xml:space="preserve">Staff </w:t>
            </w:r>
            <w:r w:rsidR="00D21386">
              <w:rPr>
                <w:rFonts w:ascii="Times New Roman" w:hAnsi="Times New Roman" w:cs="Times New Roman"/>
                <w:sz w:val="24"/>
                <w:szCs w:val="24"/>
              </w:rPr>
              <w:t>believe</w:t>
            </w:r>
            <w:r w:rsidR="003E5E5C">
              <w:rPr>
                <w:rFonts w:ascii="Times New Roman" w:hAnsi="Times New Roman" w:cs="Times New Roman"/>
                <w:sz w:val="24"/>
                <w:szCs w:val="24"/>
              </w:rPr>
              <w:t>s</w:t>
            </w:r>
            <w:r w:rsidR="00D21386">
              <w:rPr>
                <w:rFonts w:ascii="Times New Roman" w:hAnsi="Times New Roman" w:cs="Times New Roman"/>
                <w:sz w:val="24"/>
                <w:szCs w:val="24"/>
              </w:rPr>
              <w:t xml:space="preserve"> </w:t>
            </w:r>
            <w:r w:rsidR="003E5E5C">
              <w:rPr>
                <w:rFonts w:ascii="Times New Roman" w:hAnsi="Times New Roman" w:cs="Times New Roman"/>
                <w:sz w:val="24"/>
                <w:szCs w:val="24"/>
              </w:rPr>
              <w:t>(1)</w:t>
            </w:r>
            <w:r w:rsidR="002F6150" w:rsidRPr="002F6150">
              <w:rPr>
                <w:rFonts w:ascii="Times New Roman" w:hAnsi="Times New Roman" w:cs="Times New Roman"/>
                <w:sz w:val="24"/>
                <w:szCs w:val="24"/>
              </w:rPr>
              <w:t xml:space="preserve"> it would widen the scope of the rulemaking beyond its original intent</w:t>
            </w:r>
            <w:r w:rsidR="002F6150">
              <w:rPr>
                <w:rFonts w:ascii="Times New Roman" w:hAnsi="Times New Roman" w:cs="Times New Roman"/>
                <w:sz w:val="24"/>
                <w:szCs w:val="24"/>
              </w:rPr>
              <w:t xml:space="preserve"> and </w:t>
            </w:r>
            <w:r w:rsidR="002F6150" w:rsidRPr="002F6150">
              <w:rPr>
                <w:rFonts w:ascii="Times New Roman" w:hAnsi="Times New Roman" w:cs="Times New Roman"/>
                <w:sz w:val="24"/>
                <w:szCs w:val="24"/>
              </w:rPr>
              <w:t>(2)</w:t>
            </w:r>
            <w:r w:rsidR="003E5E5C">
              <w:rPr>
                <w:rFonts w:ascii="Times New Roman" w:hAnsi="Times New Roman" w:cs="Times New Roman"/>
                <w:sz w:val="24"/>
                <w:szCs w:val="24"/>
              </w:rPr>
              <w:t xml:space="preserve"> </w:t>
            </w:r>
            <w:r w:rsidR="009C2203">
              <w:rPr>
                <w:rFonts w:ascii="Times New Roman" w:hAnsi="Times New Roman" w:cs="Times New Roman"/>
                <w:sz w:val="24"/>
                <w:szCs w:val="24"/>
              </w:rPr>
              <w:t>it</w:t>
            </w:r>
            <w:r w:rsidR="003E5E5C">
              <w:rPr>
                <w:rFonts w:ascii="Times New Roman" w:hAnsi="Times New Roman" w:cs="Times New Roman"/>
                <w:sz w:val="24"/>
                <w:szCs w:val="24"/>
              </w:rPr>
              <w:t xml:space="preserve"> is not necessary to </w:t>
            </w:r>
            <w:r w:rsidR="003435B0">
              <w:rPr>
                <w:rFonts w:ascii="Times New Roman" w:hAnsi="Times New Roman" w:cs="Times New Roman"/>
                <w:sz w:val="24"/>
                <w:szCs w:val="24"/>
              </w:rPr>
              <w:t xml:space="preserve">effectively </w:t>
            </w:r>
            <w:r w:rsidR="00FF0EB1">
              <w:rPr>
                <w:rFonts w:ascii="Times New Roman" w:hAnsi="Times New Roman" w:cs="Times New Roman"/>
                <w:sz w:val="24"/>
                <w:szCs w:val="24"/>
              </w:rPr>
              <w:t>implement</w:t>
            </w:r>
            <w:r w:rsidR="003E5E5C">
              <w:rPr>
                <w:rFonts w:ascii="Times New Roman" w:hAnsi="Times New Roman" w:cs="Times New Roman"/>
                <w:sz w:val="24"/>
                <w:szCs w:val="24"/>
              </w:rPr>
              <w:t xml:space="preserve"> the 12 percent rule in a GRC. </w:t>
            </w:r>
          </w:p>
          <w:p w:rsidR="00992E1B" w:rsidRPr="00731FBD" w:rsidRDefault="00992E1B" w:rsidP="00FF0EB1">
            <w:pPr>
              <w:rPr>
                <w:rFonts w:ascii="Times New Roman" w:hAnsi="Times New Roman" w:cs="Times New Roman"/>
                <w:sz w:val="24"/>
                <w:szCs w:val="24"/>
              </w:rPr>
            </w:pPr>
          </w:p>
        </w:tc>
      </w:tr>
      <w:tr w:rsidR="00992E1B" w:rsidRPr="00992E1B" w:rsidTr="00202DBC">
        <w:tc>
          <w:tcPr>
            <w:tcW w:w="13176" w:type="dxa"/>
            <w:gridSpan w:val="5"/>
          </w:tcPr>
          <w:p w:rsidR="00992E1B" w:rsidRPr="00992E1B" w:rsidRDefault="00992E1B" w:rsidP="00202DBC">
            <w:pPr>
              <w:ind w:left="1350" w:hanging="1350"/>
              <w:rPr>
                <w:rFonts w:ascii="Times New Roman" w:hAnsi="Times New Roman" w:cs="Times New Roman"/>
                <w:b/>
                <w:sz w:val="24"/>
                <w:szCs w:val="24"/>
              </w:rPr>
            </w:pPr>
            <w:r w:rsidRPr="00992E1B">
              <w:rPr>
                <w:rFonts w:ascii="Times New Roman" w:hAnsi="Times New Roman" w:cs="Times New Roman"/>
                <w:b/>
                <w:sz w:val="24"/>
                <w:szCs w:val="24"/>
              </w:rPr>
              <w:lastRenderedPageBreak/>
              <w:t xml:space="preserve">480-100-425 Electrical company applications for exemption from the greenhouse gas emissions performance standard. </w:t>
            </w:r>
          </w:p>
          <w:p w:rsidR="00992E1B" w:rsidRDefault="00992E1B" w:rsidP="00202DBC">
            <w:pPr>
              <w:ind w:left="1350" w:hanging="1350"/>
              <w:rPr>
                <w:rFonts w:ascii="Times New Roman" w:hAnsi="Times New Roman" w:cs="Times New Roman"/>
                <w:b/>
                <w:sz w:val="24"/>
                <w:szCs w:val="24"/>
              </w:rPr>
            </w:pPr>
          </w:p>
        </w:tc>
      </w:tr>
      <w:tr w:rsidR="00992E1B" w:rsidTr="00A62240">
        <w:tc>
          <w:tcPr>
            <w:tcW w:w="516" w:type="dxa"/>
          </w:tcPr>
          <w:p w:rsidR="00992E1B" w:rsidRDefault="00992E1B" w:rsidP="00813A35">
            <w:pPr>
              <w:rPr>
                <w:rFonts w:ascii="Times New Roman" w:hAnsi="Times New Roman" w:cs="Times New Roman"/>
                <w:sz w:val="24"/>
                <w:szCs w:val="24"/>
              </w:rPr>
            </w:pPr>
          </w:p>
        </w:tc>
        <w:tc>
          <w:tcPr>
            <w:tcW w:w="2302" w:type="dxa"/>
          </w:tcPr>
          <w:p w:rsidR="00992E1B" w:rsidRDefault="00992E1B" w:rsidP="00813A35">
            <w:pPr>
              <w:rPr>
                <w:rFonts w:ascii="Times New Roman" w:hAnsi="Times New Roman" w:cs="Times New Roman"/>
                <w:sz w:val="24"/>
                <w:szCs w:val="24"/>
              </w:rPr>
            </w:pPr>
            <w:r w:rsidRPr="00992E1B">
              <w:rPr>
                <w:rFonts w:ascii="Times New Roman" w:hAnsi="Times New Roman" w:cs="Times New Roman"/>
                <w:sz w:val="24"/>
                <w:szCs w:val="24"/>
              </w:rPr>
              <w:t>480-100-415</w:t>
            </w:r>
          </w:p>
        </w:tc>
        <w:tc>
          <w:tcPr>
            <w:tcW w:w="2323" w:type="dxa"/>
          </w:tcPr>
          <w:p w:rsidR="00992E1B" w:rsidRPr="000F757A" w:rsidRDefault="00992E1B" w:rsidP="00BC5ADE">
            <w:pPr>
              <w:rPr>
                <w:rFonts w:ascii="Times New Roman" w:hAnsi="Times New Roman" w:cs="Times New Roman"/>
                <w:sz w:val="24"/>
                <w:szCs w:val="24"/>
              </w:rPr>
            </w:pPr>
            <w:r>
              <w:rPr>
                <w:rFonts w:ascii="Times New Roman" w:hAnsi="Times New Roman" w:cs="Times New Roman"/>
                <w:sz w:val="24"/>
                <w:szCs w:val="24"/>
              </w:rPr>
              <w:t>PSE</w:t>
            </w:r>
          </w:p>
        </w:tc>
        <w:tc>
          <w:tcPr>
            <w:tcW w:w="4540" w:type="dxa"/>
          </w:tcPr>
          <w:p w:rsidR="00992E1B" w:rsidRPr="00992E1B" w:rsidRDefault="00992E1B" w:rsidP="00992E1B">
            <w:pPr>
              <w:rPr>
                <w:rFonts w:ascii="Times New Roman" w:hAnsi="Times New Roman" w:cs="Times New Roman"/>
                <w:sz w:val="24"/>
                <w:szCs w:val="24"/>
              </w:rPr>
            </w:pPr>
            <w:r w:rsidRPr="00992E1B">
              <w:rPr>
                <w:rFonts w:ascii="Times New Roman" w:hAnsi="Times New Roman" w:cs="Times New Roman"/>
                <w:sz w:val="24"/>
                <w:szCs w:val="24"/>
              </w:rPr>
              <w:t>PSE recommended that the Commission provide some guidance to utilities regarding the criteria that will be considered in establishing “extraordinary cost impacts on utility ratepayers” as used in WAC 480-100-425.  At several points in their comments, PSE suggested language which would set a definite number to the threshold “extraordinary cost impacts.”  Specifically, PSE proposed adopting the following language into Commission regulations, “Extraordinary cost impacts on utility ratepayers means that the average bill of all utility customers will increase by 20% or more on average.”</w:t>
            </w:r>
          </w:p>
        </w:tc>
        <w:tc>
          <w:tcPr>
            <w:tcW w:w="3495" w:type="dxa"/>
          </w:tcPr>
          <w:p w:rsidR="00992E1B" w:rsidRPr="00992E1B" w:rsidRDefault="00992E1B" w:rsidP="00992E1B">
            <w:pPr>
              <w:rPr>
                <w:rFonts w:ascii="Times New Roman" w:hAnsi="Times New Roman"/>
              </w:rPr>
            </w:pPr>
            <w:r w:rsidRPr="00992E1B">
              <w:rPr>
                <w:rFonts w:ascii="Times New Roman" w:hAnsi="Times New Roman"/>
                <w:b/>
              </w:rPr>
              <w:t xml:space="preserve">Staff disagrees. </w:t>
            </w:r>
            <w:r w:rsidRPr="00992E1B">
              <w:rPr>
                <w:rFonts w:ascii="Times New Roman" w:hAnsi="Times New Roman"/>
              </w:rPr>
              <w:t xml:space="preserve">The wording extraordinary cost impacts on utility ratepayers is from the legislative language in RCW 80.80.060(4). Without direct guidance from the legislature the commission must base is understanding of the term on the facts and circumstances of the case before it and cannot arbitrarily select a definition e.g., 20% of average bill.  </w:t>
            </w:r>
          </w:p>
          <w:p w:rsidR="00992E1B" w:rsidRDefault="00992E1B" w:rsidP="00992E1B">
            <w:pPr>
              <w:rPr>
                <w:rFonts w:ascii="Times New Roman" w:hAnsi="Times New Roman"/>
              </w:rPr>
            </w:pPr>
          </w:p>
          <w:p w:rsidR="00992E1B" w:rsidRPr="00992E1B" w:rsidRDefault="00992E1B" w:rsidP="00992E1B">
            <w:pPr>
              <w:rPr>
                <w:rFonts w:ascii="Times New Roman" w:hAnsi="Times New Roman" w:cs="Times New Roman"/>
                <w:b/>
                <w:sz w:val="24"/>
                <w:szCs w:val="24"/>
              </w:rPr>
            </w:pPr>
          </w:p>
        </w:tc>
      </w:tr>
      <w:tr w:rsidR="00992E1B" w:rsidRPr="00992E1B" w:rsidTr="0081459D">
        <w:tc>
          <w:tcPr>
            <w:tcW w:w="13176" w:type="dxa"/>
            <w:gridSpan w:val="5"/>
          </w:tcPr>
          <w:p w:rsidR="00992E1B" w:rsidRPr="00992E1B" w:rsidRDefault="00992E1B" w:rsidP="00992E1B">
            <w:pPr>
              <w:ind w:left="1350" w:hanging="1350"/>
              <w:rPr>
                <w:rFonts w:ascii="Times New Roman" w:hAnsi="Times New Roman" w:cs="Times New Roman"/>
                <w:b/>
                <w:sz w:val="24"/>
                <w:szCs w:val="24"/>
              </w:rPr>
            </w:pPr>
          </w:p>
        </w:tc>
      </w:tr>
    </w:tbl>
    <w:p w:rsidR="00813A35" w:rsidRPr="00340A20" w:rsidRDefault="00813A35" w:rsidP="00FF0EB1">
      <w:pPr>
        <w:tabs>
          <w:tab w:val="left" w:pos="10199"/>
        </w:tabs>
        <w:rPr>
          <w:rFonts w:ascii="Times New Roman" w:hAnsi="Times New Roman" w:cs="Times New Roman"/>
          <w:sz w:val="24"/>
          <w:szCs w:val="24"/>
        </w:rPr>
      </w:pPr>
    </w:p>
    <w:sectPr w:rsidR="00813A35" w:rsidRPr="00340A20" w:rsidSect="00813A35">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150" w:rsidRDefault="002F6150" w:rsidP="00C07471">
      <w:r>
        <w:separator/>
      </w:r>
    </w:p>
  </w:endnote>
  <w:endnote w:type="continuationSeparator" w:id="0">
    <w:p w:rsidR="002F6150" w:rsidRDefault="002F6150" w:rsidP="00C074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55084"/>
      <w:docPartObj>
        <w:docPartGallery w:val="Page Numbers (Bottom of Page)"/>
        <w:docPartUnique/>
      </w:docPartObj>
    </w:sdtPr>
    <w:sdtEndPr>
      <w:rPr>
        <w:color w:val="7F7F7F" w:themeColor="background1" w:themeShade="7F"/>
        <w:spacing w:val="60"/>
      </w:rPr>
    </w:sdtEndPr>
    <w:sdtContent>
      <w:p w:rsidR="00FF0EB1" w:rsidRDefault="006E16AC">
        <w:pPr>
          <w:pStyle w:val="Footer"/>
          <w:pBdr>
            <w:top w:val="single" w:sz="4" w:space="1" w:color="D9D9D9" w:themeColor="background1" w:themeShade="D9"/>
          </w:pBdr>
          <w:jc w:val="right"/>
        </w:pPr>
        <w:fldSimple w:instr=" PAGE   \* MERGEFORMAT ">
          <w:r w:rsidR="00AB23F5">
            <w:rPr>
              <w:noProof/>
            </w:rPr>
            <w:t>1</w:t>
          </w:r>
        </w:fldSimple>
        <w:r w:rsidR="00FF0EB1">
          <w:t xml:space="preserve"> | </w:t>
        </w:r>
        <w:r w:rsidR="00FF0EB1">
          <w:rPr>
            <w:color w:val="7F7F7F" w:themeColor="background1" w:themeShade="7F"/>
            <w:spacing w:val="60"/>
          </w:rPr>
          <w:t>Page</w:t>
        </w:r>
      </w:p>
    </w:sdtContent>
  </w:sdt>
  <w:p w:rsidR="002F6150" w:rsidRDefault="002F6150" w:rsidP="00A63E0F">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150" w:rsidRDefault="002F6150" w:rsidP="00C07471">
      <w:r>
        <w:separator/>
      </w:r>
    </w:p>
  </w:footnote>
  <w:footnote w:type="continuationSeparator" w:id="0">
    <w:p w:rsidR="002F6150" w:rsidRDefault="002F6150" w:rsidP="00C074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B1" w:rsidRPr="00FF0EB1" w:rsidRDefault="00FF0EB1" w:rsidP="00FF0EB1">
    <w:pPr>
      <w:pStyle w:val="Header"/>
      <w:jc w:val="center"/>
      <w:rPr>
        <w:b/>
        <w:sz w:val="32"/>
      </w:rPr>
    </w:pPr>
    <w:r w:rsidRPr="00FF0EB1">
      <w:rPr>
        <w:b/>
        <w:sz w:val="32"/>
      </w:rPr>
      <w:t>U</w:t>
    </w:r>
    <w:r w:rsidR="00EA6B5A">
      <w:rPr>
        <w:b/>
        <w:sz w:val="32"/>
      </w:rPr>
      <w:t>E</w:t>
    </w:r>
    <w:r w:rsidRPr="00FF0EB1">
      <w:rPr>
        <w:b/>
        <w:sz w:val="32"/>
      </w:rPr>
      <w:t>-100</w:t>
    </w:r>
    <w:r w:rsidR="00EA6B5A">
      <w:rPr>
        <w:b/>
        <w:sz w:val="32"/>
      </w:rPr>
      <w:t>865</w:t>
    </w:r>
    <w:r w:rsidRPr="00FF0EB1">
      <w:rPr>
        <w:b/>
        <w:sz w:val="32"/>
      </w:rPr>
      <w:t xml:space="preserve"> </w:t>
    </w:r>
    <w:r w:rsidR="00EA6B5A">
      <w:rPr>
        <w:b/>
        <w:sz w:val="32"/>
      </w:rPr>
      <w:t>GHG Rulemaking RCW 80.80</w:t>
    </w:r>
  </w:p>
  <w:p w:rsidR="00FF0EB1" w:rsidRPr="00FF0EB1" w:rsidRDefault="00FF0EB1" w:rsidP="00FF0EB1">
    <w:pPr>
      <w:pStyle w:val="Header"/>
      <w:jc w:val="center"/>
      <w:rPr>
        <w:b/>
        <w:sz w:val="32"/>
      </w:rPr>
    </w:pPr>
    <w:r w:rsidRPr="00FF0EB1">
      <w:rPr>
        <w:b/>
        <w:sz w:val="32"/>
      </w:rPr>
      <w:t>Comment Summary Matrix</w:t>
    </w:r>
  </w:p>
  <w:p w:rsidR="00FF0EB1" w:rsidRPr="00FF0EB1" w:rsidRDefault="00FF0EB1" w:rsidP="00FF0EB1">
    <w:pPr>
      <w:pStyle w:val="Header"/>
      <w:jc w:val="center"/>
      <w:rPr>
        <w:b/>
        <w:sz w:val="32"/>
      </w:rPr>
    </w:pPr>
    <w:r w:rsidRPr="00FF0EB1">
      <w:rPr>
        <w:b/>
        <w:sz w:val="32"/>
      </w:rPr>
      <w:t>August 19, 2010</w:t>
    </w:r>
  </w:p>
  <w:p w:rsidR="00FF0EB1" w:rsidRPr="00FF0EB1" w:rsidRDefault="00FF0EB1" w:rsidP="00FF0EB1">
    <w:pPr>
      <w:pStyle w:val="Header"/>
      <w:jc w:val="center"/>
      <w:rPr>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1C76"/>
    <w:multiLevelType w:val="hybridMultilevel"/>
    <w:tmpl w:val="25D48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311B57"/>
    <w:multiLevelType w:val="hybridMultilevel"/>
    <w:tmpl w:val="1BC4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B96480"/>
    <w:multiLevelType w:val="hybridMultilevel"/>
    <w:tmpl w:val="B67C620E"/>
    <w:lvl w:ilvl="0" w:tplc="82848D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55E63A9"/>
    <w:multiLevelType w:val="hybridMultilevel"/>
    <w:tmpl w:val="BADC3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2D55AF"/>
    <w:multiLevelType w:val="hybridMultilevel"/>
    <w:tmpl w:val="71B82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88D15E1"/>
    <w:multiLevelType w:val="hybridMultilevel"/>
    <w:tmpl w:val="920C6B1E"/>
    <w:lvl w:ilvl="0" w:tplc="B82A9B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231735"/>
    <w:multiLevelType w:val="hybridMultilevel"/>
    <w:tmpl w:val="8D44F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74753"/>
  </w:hdrShapeDefaults>
  <w:footnotePr>
    <w:footnote w:id="-1"/>
    <w:footnote w:id="0"/>
  </w:footnotePr>
  <w:endnotePr>
    <w:endnote w:id="-1"/>
    <w:endnote w:id="0"/>
  </w:endnotePr>
  <w:compat/>
  <w:rsids>
    <w:rsidRoot w:val="00813A35"/>
    <w:rsid w:val="00004B8E"/>
    <w:rsid w:val="0000577B"/>
    <w:rsid w:val="00011F6B"/>
    <w:rsid w:val="00044488"/>
    <w:rsid w:val="00051E6E"/>
    <w:rsid w:val="00057D77"/>
    <w:rsid w:val="0006572A"/>
    <w:rsid w:val="00066CA3"/>
    <w:rsid w:val="00077D80"/>
    <w:rsid w:val="00090035"/>
    <w:rsid w:val="000C4857"/>
    <w:rsid w:val="000F757A"/>
    <w:rsid w:val="0010009E"/>
    <w:rsid w:val="00104512"/>
    <w:rsid w:val="001223D9"/>
    <w:rsid w:val="001270C1"/>
    <w:rsid w:val="00132EF0"/>
    <w:rsid w:val="00151D1C"/>
    <w:rsid w:val="00161FAF"/>
    <w:rsid w:val="001627F9"/>
    <w:rsid w:val="00177DB4"/>
    <w:rsid w:val="00182962"/>
    <w:rsid w:val="001A2E4D"/>
    <w:rsid w:val="001C362E"/>
    <w:rsid w:val="001D2ABA"/>
    <w:rsid w:val="001E5D17"/>
    <w:rsid w:val="001F4952"/>
    <w:rsid w:val="00203DDD"/>
    <w:rsid w:val="00241BBD"/>
    <w:rsid w:val="002552CC"/>
    <w:rsid w:val="0025565A"/>
    <w:rsid w:val="002571BB"/>
    <w:rsid w:val="002643F1"/>
    <w:rsid w:val="00275EC3"/>
    <w:rsid w:val="00281721"/>
    <w:rsid w:val="00282B1E"/>
    <w:rsid w:val="00285741"/>
    <w:rsid w:val="00297F13"/>
    <w:rsid w:val="002D0283"/>
    <w:rsid w:val="002E3ADF"/>
    <w:rsid w:val="002E7803"/>
    <w:rsid w:val="002F6150"/>
    <w:rsid w:val="00305079"/>
    <w:rsid w:val="00307A2F"/>
    <w:rsid w:val="003210D4"/>
    <w:rsid w:val="00327F24"/>
    <w:rsid w:val="003366D1"/>
    <w:rsid w:val="00340A20"/>
    <w:rsid w:val="003435B0"/>
    <w:rsid w:val="003442F2"/>
    <w:rsid w:val="00355B32"/>
    <w:rsid w:val="00367C93"/>
    <w:rsid w:val="00375DC4"/>
    <w:rsid w:val="00396597"/>
    <w:rsid w:val="003A0575"/>
    <w:rsid w:val="003C5801"/>
    <w:rsid w:val="003E2465"/>
    <w:rsid w:val="003E37B7"/>
    <w:rsid w:val="003E3D8A"/>
    <w:rsid w:val="003E4FF8"/>
    <w:rsid w:val="003E5E5C"/>
    <w:rsid w:val="003F52E8"/>
    <w:rsid w:val="004166AF"/>
    <w:rsid w:val="00430C33"/>
    <w:rsid w:val="00454031"/>
    <w:rsid w:val="00454F87"/>
    <w:rsid w:val="00483041"/>
    <w:rsid w:val="004841D5"/>
    <w:rsid w:val="004B7143"/>
    <w:rsid w:val="004C06A8"/>
    <w:rsid w:val="004C4200"/>
    <w:rsid w:val="004D5400"/>
    <w:rsid w:val="004D741E"/>
    <w:rsid w:val="004D7F56"/>
    <w:rsid w:val="004E2F04"/>
    <w:rsid w:val="004E64E7"/>
    <w:rsid w:val="00517F8E"/>
    <w:rsid w:val="00534A16"/>
    <w:rsid w:val="00546AC9"/>
    <w:rsid w:val="00554CDF"/>
    <w:rsid w:val="00562051"/>
    <w:rsid w:val="005B5C38"/>
    <w:rsid w:val="005E5ED7"/>
    <w:rsid w:val="00615FEA"/>
    <w:rsid w:val="00623FAC"/>
    <w:rsid w:val="0063770C"/>
    <w:rsid w:val="006420FD"/>
    <w:rsid w:val="00643913"/>
    <w:rsid w:val="00643A57"/>
    <w:rsid w:val="00675278"/>
    <w:rsid w:val="0068602B"/>
    <w:rsid w:val="00686EDF"/>
    <w:rsid w:val="00693680"/>
    <w:rsid w:val="00694BA0"/>
    <w:rsid w:val="006A104F"/>
    <w:rsid w:val="006A32EC"/>
    <w:rsid w:val="006A75B9"/>
    <w:rsid w:val="006C4869"/>
    <w:rsid w:val="006D5A6C"/>
    <w:rsid w:val="006E16AC"/>
    <w:rsid w:val="006E584C"/>
    <w:rsid w:val="006F2E2D"/>
    <w:rsid w:val="006F43F3"/>
    <w:rsid w:val="006F57D5"/>
    <w:rsid w:val="006F5AB6"/>
    <w:rsid w:val="00700EF1"/>
    <w:rsid w:val="007078ED"/>
    <w:rsid w:val="007121CD"/>
    <w:rsid w:val="00713C57"/>
    <w:rsid w:val="007160D5"/>
    <w:rsid w:val="00724631"/>
    <w:rsid w:val="00725871"/>
    <w:rsid w:val="00730997"/>
    <w:rsid w:val="00731FBD"/>
    <w:rsid w:val="00733358"/>
    <w:rsid w:val="00735072"/>
    <w:rsid w:val="0073684C"/>
    <w:rsid w:val="007404FE"/>
    <w:rsid w:val="0078206A"/>
    <w:rsid w:val="007865FE"/>
    <w:rsid w:val="007A6D43"/>
    <w:rsid w:val="007B097D"/>
    <w:rsid w:val="007F0FDE"/>
    <w:rsid w:val="007F4F31"/>
    <w:rsid w:val="00804435"/>
    <w:rsid w:val="00813A35"/>
    <w:rsid w:val="00813B0D"/>
    <w:rsid w:val="0081487E"/>
    <w:rsid w:val="00815D63"/>
    <w:rsid w:val="00824804"/>
    <w:rsid w:val="0083168C"/>
    <w:rsid w:val="00832439"/>
    <w:rsid w:val="00832A97"/>
    <w:rsid w:val="00842452"/>
    <w:rsid w:val="00846448"/>
    <w:rsid w:val="0086126C"/>
    <w:rsid w:val="0087530C"/>
    <w:rsid w:val="00885358"/>
    <w:rsid w:val="0089027F"/>
    <w:rsid w:val="008A1BD6"/>
    <w:rsid w:val="008A5290"/>
    <w:rsid w:val="008B2714"/>
    <w:rsid w:val="008B43F1"/>
    <w:rsid w:val="008B7E10"/>
    <w:rsid w:val="008C5E0D"/>
    <w:rsid w:val="008D1369"/>
    <w:rsid w:val="008D30CF"/>
    <w:rsid w:val="008D6047"/>
    <w:rsid w:val="008E6D1B"/>
    <w:rsid w:val="008F475E"/>
    <w:rsid w:val="00911B0F"/>
    <w:rsid w:val="0091615B"/>
    <w:rsid w:val="00920052"/>
    <w:rsid w:val="0093149E"/>
    <w:rsid w:val="009345E9"/>
    <w:rsid w:val="00943B26"/>
    <w:rsid w:val="0094540D"/>
    <w:rsid w:val="00975036"/>
    <w:rsid w:val="00982626"/>
    <w:rsid w:val="00992E1B"/>
    <w:rsid w:val="009970B4"/>
    <w:rsid w:val="009A5B95"/>
    <w:rsid w:val="009B5F88"/>
    <w:rsid w:val="009C2203"/>
    <w:rsid w:val="009D76DE"/>
    <w:rsid w:val="009E49DE"/>
    <w:rsid w:val="009E6ABB"/>
    <w:rsid w:val="009F2DAC"/>
    <w:rsid w:val="00A03B02"/>
    <w:rsid w:val="00A10FE1"/>
    <w:rsid w:val="00A15C56"/>
    <w:rsid w:val="00A16DC5"/>
    <w:rsid w:val="00A23A07"/>
    <w:rsid w:val="00A30A73"/>
    <w:rsid w:val="00A62240"/>
    <w:rsid w:val="00A63E0F"/>
    <w:rsid w:val="00A7719F"/>
    <w:rsid w:val="00A8074E"/>
    <w:rsid w:val="00A92112"/>
    <w:rsid w:val="00AB23F5"/>
    <w:rsid w:val="00AB2439"/>
    <w:rsid w:val="00AD22C7"/>
    <w:rsid w:val="00AF0492"/>
    <w:rsid w:val="00AF44FD"/>
    <w:rsid w:val="00B038FB"/>
    <w:rsid w:val="00B1347D"/>
    <w:rsid w:val="00B3180E"/>
    <w:rsid w:val="00B459CA"/>
    <w:rsid w:val="00B51B03"/>
    <w:rsid w:val="00B70985"/>
    <w:rsid w:val="00B7302C"/>
    <w:rsid w:val="00B842DC"/>
    <w:rsid w:val="00B95817"/>
    <w:rsid w:val="00B95C49"/>
    <w:rsid w:val="00BA48BB"/>
    <w:rsid w:val="00BA5DC9"/>
    <w:rsid w:val="00BC5ADE"/>
    <w:rsid w:val="00BD296B"/>
    <w:rsid w:val="00BE31B7"/>
    <w:rsid w:val="00BF4053"/>
    <w:rsid w:val="00C00981"/>
    <w:rsid w:val="00C03D70"/>
    <w:rsid w:val="00C07471"/>
    <w:rsid w:val="00C55544"/>
    <w:rsid w:val="00C56EAA"/>
    <w:rsid w:val="00C6569B"/>
    <w:rsid w:val="00C90CD0"/>
    <w:rsid w:val="00CA3A12"/>
    <w:rsid w:val="00CB49FB"/>
    <w:rsid w:val="00CC0790"/>
    <w:rsid w:val="00CC25EB"/>
    <w:rsid w:val="00CC5B4B"/>
    <w:rsid w:val="00CD1CF9"/>
    <w:rsid w:val="00CF1412"/>
    <w:rsid w:val="00CF494A"/>
    <w:rsid w:val="00D21386"/>
    <w:rsid w:val="00D235DB"/>
    <w:rsid w:val="00D2400A"/>
    <w:rsid w:val="00D25BAB"/>
    <w:rsid w:val="00D2770C"/>
    <w:rsid w:val="00D318AC"/>
    <w:rsid w:val="00D3400A"/>
    <w:rsid w:val="00D34877"/>
    <w:rsid w:val="00D465C8"/>
    <w:rsid w:val="00D5260E"/>
    <w:rsid w:val="00D623E4"/>
    <w:rsid w:val="00D63CB2"/>
    <w:rsid w:val="00D7107F"/>
    <w:rsid w:val="00D83B57"/>
    <w:rsid w:val="00D966C3"/>
    <w:rsid w:val="00DB356D"/>
    <w:rsid w:val="00DC401D"/>
    <w:rsid w:val="00DC51CD"/>
    <w:rsid w:val="00DD2036"/>
    <w:rsid w:val="00DE2FAD"/>
    <w:rsid w:val="00DE514B"/>
    <w:rsid w:val="00DF0DB8"/>
    <w:rsid w:val="00DF36DC"/>
    <w:rsid w:val="00E00CA8"/>
    <w:rsid w:val="00E12269"/>
    <w:rsid w:val="00E12A68"/>
    <w:rsid w:val="00E41DC1"/>
    <w:rsid w:val="00E44D7A"/>
    <w:rsid w:val="00E551D8"/>
    <w:rsid w:val="00E5725B"/>
    <w:rsid w:val="00E61B39"/>
    <w:rsid w:val="00E70C21"/>
    <w:rsid w:val="00E7674F"/>
    <w:rsid w:val="00EA04F2"/>
    <w:rsid w:val="00EA11C9"/>
    <w:rsid w:val="00EA6B5A"/>
    <w:rsid w:val="00EC3999"/>
    <w:rsid w:val="00EC6D62"/>
    <w:rsid w:val="00ED5687"/>
    <w:rsid w:val="00EE6B00"/>
    <w:rsid w:val="00F02B52"/>
    <w:rsid w:val="00F126CA"/>
    <w:rsid w:val="00F260BC"/>
    <w:rsid w:val="00F32826"/>
    <w:rsid w:val="00F35765"/>
    <w:rsid w:val="00F40365"/>
    <w:rsid w:val="00F41FA4"/>
    <w:rsid w:val="00F42DB8"/>
    <w:rsid w:val="00F46379"/>
    <w:rsid w:val="00F655BE"/>
    <w:rsid w:val="00F70042"/>
    <w:rsid w:val="00F87FAF"/>
    <w:rsid w:val="00F9506F"/>
    <w:rsid w:val="00FA5C3D"/>
    <w:rsid w:val="00FA7528"/>
    <w:rsid w:val="00FC10E0"/>
    <w:rsid w:val="00FC2924"/>
    <w:rsid w:val="00FD2FE5"/>
    <w:rsid w:val="00FD6516"/>
    <w:rsid w:val="00FE1E2E"/>
    <w:rsid w:val="00FF0EB1"/>
    <w:rsid w:val="00FF33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2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D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07471"/>
    <w:pPr>
      <w:tabs>
        <w:tab w:val="center" w:pos="4680"/>
        <w:tab w:val="right" w:pos="9360"/>
      </w:tabs>
    </w:pPr>
  </w:style>
  <w:style w:type="character" w:customStyle="1" w:styleId="HeaderChar">
    <w:name w:val="Header Char"/>
    <w:basedOn w:val="DefaultParagraphFont"/>
    <w:link w:val="Header"/>
    <w:uiPriority w:val="99"/>
    <w:semiHidden/>
    <w:rsid w:val="00C07471"/>
  </w:style>
  <w:style w:type="paragraph" w:styleId="Footer">
    <w:name w:val="footer"/>
    <w:basedOn w:val="Normal"/>
    <w:link w:val="FooterChar"/>
    <w:uiPriority w:val="99"/>
    <w:unhideWhenUsed/>
    <w:rsid w:val="00C07471"/>
    <w:pPr>
      <w:tabs>
        <w:tab w:val="center" w:pos="4680"/>
        <w:tab w:val="right" w:pos="9360"/>
      </w:tabs>
    </w:pPr>
  </w:style>
  <w:style w:type="character" w:customStyle="1" w:styleId="FooterChar">
    <w:name w:val="Footer Char"/>
    <w:basedOn w:val="DefaultParagraphFont"/>
    <w:link w:val="Footer"/>
    <w:uiPriority w:val="99"/>
    <w:rsid w:val="00C07471"/>
  </w:style>
  <w:style w:type="paragraph" w:styleId="ListParagraph">
    <w:name w:val="List Paragraph"/>
    <w:basedOn w:val="Normal"/>
    <w:uiPriority w:val="34"/>
    <w:qFormat/>
    <w:rsid w:val="00E12A68"/>
    <w:pPr>
      <w:ind w:left="720"/>
      <w:contextualSpacing/>
    </w:pPr>
  </w:style>
  <w:style w:type="paragraph" w:styleId="BalloonText">
    <w:name w:val="Balloon Text"/>
    <w:basedOn w:val="Normal"/>
    <w:link w:val="BalloonTextChar"/>
    <w:uiPriority w:val="99"/>
    <w:semiHidden/>
    <w:unhideWhenUsed/>
    <w:rsid w:val="00A63E0F"/>
    <w:rPr>
      <w:rFonts w:ascii="Tahoma" w:hAnsi="Tahoma" w:cs="Tahoma"/>
      <w:sz w:val="16"/>
      <w:szCs w:val="16"/>
    </w:rPr>
  </w:style>
  <w:style w:type="character" w:customStyle="1" w:styleId="BalloonTextChar">
    <w:name w:val="Balloon Text Char"/>
    <w:basedOn w:val="DefaultParagraphFont"/>
    <w:link w:val="BalloonText"/>
    <w:uiPriority w:val="99"/>
    <w:semiHidden/>
    <w:rsid w:val="00A63E0F"/>
    <w:rPr>
      <w:rFonts w:ascii="Tahoma" w:hAnsi="Tahoma" w:cs="Tahoma"/>
      <w:sz w:val="16"/>
      <w:szCs w:val="16"/>
    </w:rPr>
  </w:style>
  <w:style w:type="character" w:styleId="CommentReference">
    <w:name w:val="annotation reference"/>
    <w:basedOn w:val="DefaultParagraphFont"/>
    <w:uiPriority w:val="99"/>
    <w:semiHidden/>
    <w:unhideWhenUsed/>
    <w:rsid w:val="00D318AC"/>
    <w:rPr>
      <w:sz w:val="16"/>
      <w:szCs w:val="16"/>
    </w:rPr>
  </w:style>
  <w:style w:type="paragraph" w:styleId="CommentText">
    <w:name w:val="annotation text"/>
    <w:basedOn w:val="Normal"/>
    <w:link w:val="CommentTextChar"/>
    <w:uiPriority w:val="99"/>
    <w:semiHidden/>
    <w:unhideWhenUsed/>
    <w:rsid w:val="00D318AC"/>
    <w:rPr>
      <w:sz w:val="20"/>
      <w:szCs w:val="20"/>
    </w:rPr>
  </w:style>
  <w:style w:type="character" w:customStyle="1" w:styleId="CommentTextChar">
    <w:name w:val="Comment Text Char"/>
    <w:basedOn w:val="DefaultParagraphFont"/>
    <w:link w:val="CommentText"/>
    <w:uiPriority w:val="99"/>
    <w:semiHidden/>
    <w:rsid w:val="00D318AC"/>
    <w:rPr>
      <w:sz w:val="20"/>
      <w:szCs w:val="20"/>
    </w:rPr>
  </w:style>
  <w:style w:type="paragraph" w:styleId="CommentSubject">
    <w:name w:val="annotation subject"/>
    <w:basedOn w:val="CommentText"/>
    <w:next w:val="CommentText"/>
    <w:link w:val="CommentSubjectChar"/>
    <w:uiPriority w:val="99"/>
    <w:semiHidden/>
    <w:unhideWhenUsed/>
    <w:rsid w:val="00D318AC"/>
    <w:rPr>
      <w:b/>
      <w:bCs/>
    </w:rPr>
  </w:style>
  <w:style w:type="character" w:customStyle="1" w:styleId="CommentSubjectChar">
    <w:name w:val="Comment Subject Char"/>
    <w:basedOn w:val="CommentTextChar"/>
    <w:link w:val="CommentSubject"/>
    <w:uiPriority w:val="99"/>
    <w:semiHidden/>
    <w:rsid w:val="00D318AC"/>
    <w:rPr>
      <w:b/>
      <w:bCs/>
    </w:rPr>
  </w:style>
  <w:style w:type="paragraph" w:styleId="Revision">
    <w:name w:val="Revision"/>
    <w:hidden/>
    <w:uiPriority w:val="99"/>
    <w:semiHidden/>
    <w:rsid w:val="00D318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CR-102</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2010-05-19T07:00:00+00:00</OpenedDate>
    <Date1 xmlns="dc463f71-b30c-4ab2-9473-d307f9d35888">2010-09-03T07:00:00+00:00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100865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EB2E71DF6E6644AD6C4407D4537962" ma:contentTypeVersion="131" ma:contentTypeDescription="" ma:contentTypeScope="" ma:versionID="438452cd34d8f537075c006ca48aca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DC507-03EC-4CA6-AFD0-DC1BCBBAEA10}"/>
</file>

<file path=customXml/itemProps2.xml><?xml version="1.0" encoding="utf-8"?>
<ds:datastoreItem xmlns:ds="http://schemas.openxmlformats.org/officeDocument/2006/customXml" ds:itemID="{18704B47-87E0-4049-96B7-261E84555844}"/>
</file>

<file path=customXml/itemProps3.xml><?xml version="1.0" encoding="utf-8"?>
<ds:datastoreItem xmlns:ds="http://schemas.openxmlformats.org/officeDocument/2006/customXml" ds:itemID="{89D14A41-6FCA-4AA1-A77E-9C9D4EDC62AD}"/>
</file>

<file path=customXml/itemProps4.xml><?xml version="1.0" encoding="utf-8"?>
<ds:datastoreItem xmlns:ds="http://schemas.openxmlformats.org/officeDocument/2006/customXml" ds:itemID="{15DFFAFE-5038-4D72-9BA3-F60E01BEC811}"/>
</file>

<file path=customXml/itemProps5.xml><?xml version="1.0" encoding="utf-8"?>
<ds:datastoreItem xmlns:ds="http://schemas.openxmlformats.org/officeDocument/2006/customXml" ds:itemID="{F00916EC-64B2-4943-93E1-693299B92163}"/>
</file>

<file path=docProps/app.xml><?xml version="1.0" encoding="utf-8"?>
<Properties xmlns="http://schemas.openxmlformats.org/officeDocument/2006/extended-properties" xmlns:vt="http://schemas.openxmlformats.org/officeDocument/2006/docPropsVTypes">
  <Template>Normal.dotm</Template>
  <TotalTime>1</TotalTime>
  <Pages>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Kouchi</dc:creator>
  <cp:lastModifiedBy>Kippi Walker</cp:lastModifiedBy>
  <cp:revision>2</cp:revision>
  <cp:lastPrinted>2010-09-09T16:42:00Z</cp:lastPrinted>
  <dcterms:created xsi:type="dcterms:W3CDTF">2010-09-09T18:03:00Z</dcterms:created>
  <dcterms:modified xsi:type="dcterms:W3CDTF">2010-09-09T18:03:00Z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0x0101006E56B4D1795A2E4DB2F0B01679ED314A00A6EB2E71DF6E6644AD6C4407D4537962</vt:lpwstr>
  </property>
  <property fmtid="{D5CDD505-2E9C-101B-9397-08002B2CF9AE}" pid="3" name="_docset_NoMedatataSyncRequired">
    <vt:lpwstr>False</vt:lpwstr>
  </property>
</Properties>
</file>