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77507E">
        <w:t>4</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70A5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45060B" w:rsidRDefault="00BE21E7" w:rsidP="00BE21E7">
      <w:pPr>
        <w:pStyle w:val="TestBody"/>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lastRenderedPageBreak/>
        <w:t>I.</w:t>
      </w:r>
      <w:r w:rsidR="00274C65">
        <w:rPr>
          <w:rFonts w:ascii="Times New Roman" w:hAnsi="Times New Roman" w:cs="Times New Roman"/>
          <w:b/>
          <w:bCs/>
          <w:u w:val="single"/>
        </w:rPr>
        <w:t xml:space="preserve">  </w:t>
      </w:r>
      <w:r w:rsidRPr="0045060B">
        <w:rPr>
          <w:rFonts w:ascii="Times New Roman" w:hAnsi="Times New Roman" w:cs="Times New Roman"/>
          <w:b/>
          <w:bCs/>
          <w:u w:val="single"/>
        </w:rPr>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testimony will</w:t>
      </w:r>
      <w:r w:rsidR="009F321F">
        <w:rPr>
          <w:rFonts w:ascii="Times New Roman" w:hAnsi="Times New Roman" w:cs="Times New Roman"/>
        </w:rPr>
        <w:t>:</w:t>
      </w:r>
      <w:r w:rsidRPr="00BE21E7">
        <w:rPr>
          <w:rFonts w:ascii="Times New Roman" w:hAnsi="Times New Roman" w:cs="Times New Roman"/>
        </w:rPr>
        <w:t xml:space="preserve"> </w:t>
      </w:r>
      <w:r w:rsidR="009F321F">
        <w:rPr>
          <w:rFonts w:ascii="Times New Roman" w:hAnsi="Times New Roman" w:cs="Times New Roman"/>
        </w:rPr>
        <w:t>(</w:t>
      </w:r>
      <w:r w:rsidRPr="00BE21E7">
        <w:rPr>
          <w:rFonts w:ascii="Times New Roman" w:hAnsi="Times New Roman" w:cs="Times New Roman"/>
        </w:rPr>
        <w:t xml:space="preserve">1) identify and explain the proposed normalizing and pro forma adjustments to the </w:t>
      </w:r>
      <w:r w:rsidR="00876525">
        <w:rPr>
          <w:rFonts w:ascii="Times New Roman" w:hAnsi="Times New Roman" w:cs="Times New Roman"/>
        </w:rPr>
        <w:t>J</w:t>
      </w:r>
      <w:r w:rsidR="0077507E">
        <w:rPr>
          <w:rFonts w:ascii="Times New Roman" w:hAnsi="Times New Roman" w:cs="Times New Roman"/>
        </w:rPr>
        <w:t>uly</w:t>
      </w:r>
      <w:r w:rsidR="00876525">
        <w:rPr>
          <w:rFonts w:ascii="Times New Roman" w:hAnsi="Times New Roman" w:cs="Times New Roman"/>
        </w:rPr>
        <w:t xml:space="preserve"> 20</w:t>
      </w:r>
      <w:r w:rsidR="00593E33">
        <w:rPr>
          <w:rFonts w:ascii="Times New Roman" w:hAnsi="Times New Roman" w:cs="Times New Roman"/>
        </w:rPr>
        <w:t>1</w:t>
      </w:r>
      <w:r w:rsidR="0077507E">
        <w:rPr>
          <w:rFonts w:ascii="Times New Roman" w:hAnsi="Times New Roman" w:cs="Times New Roman"/>
        </w:rPr>
        <w:t>2</w:t>
      </w:r>
      <w:r w:rsidRPr="00BE21E7">
        <w:rPr>
          <w:rFonts w:ascii="Times New Roman" w:hAnsi="Times New Roman" w:cs="Times New Roman"/>
        </w:rPr>
        <w:t xml:space="preserve"> through </w:t>
      </w:r>
      <w:r w:rsidR="0077507E">
        <w:rPr>
          <w:rFonts w:ascii="Times New Roman" w:hAnsi="Times New Roman" w:cs="Times New Roman"/>
        </w:rPr>
        <w:t>June</w:t>
      </w:r>
      <w:r w:rsidRPr="00BE21E7">
        <w:rPr>
          <w:rFonts w:ascii="Times New Roman" w:hAnsi="Times New Roman" w:cs="Times New Roman"/>
        </w:rPr>
        <w:t xml:space="preserve"> 20</w:t>
      </w:r>
      <w:r w:rsidR="00593E33">
        <w:rPr>
          <w:rFonts w:ascii="Times New Roman" w:hAnsi="Times New Roman" w:cs="Times New Roman"/>
        </w:rPr>
        <w:t>1</w:t>
      </w:r>
      <w:r w:rsidR="0077507E">
        <w:rPr>
          <w:rFonts w:ascii="Times New Roman" w:hAnsi="Times New Roman" w:cs="Times New Roman"/>
        </w:rPr>
        <w:t>3</w:t>
      </w:r>
      <w:r w:rsidRPr="00BE21E7">
        <w:rPr>
          <w:rFonts w:ascii="Times New Roman" w:hAnsi="Times New Roman" w:cs="Times New Roman"/>
        </w:rPr>
        <w:t xml:space="preserve"> test period power s</w:t>
      </w:r>
      <w:r w:rsidR="00F134B6">
        <w:rPr>
          <w:rFonts w:ascii="Times New Roman" w:hAnsi="Times New Roman" w:cs="Times New Roman"/>
        </w:rPr>
        <w:t>upply revenues and expenses</w:t>
      </w:r>
      <w:r w:rsidR="009F321F">
        <w:rPr>
          <w:rFonts w:ascii="Times New Roman" w:hAnsi="Times New Roman" w:cs="Times New Roman"/>
        </w:rPr>
        <w:t>;</w:t>
      </w:r>
      <w:r w:rsidR="00F134B6">
        <w:rPr>
          <w:rFonts w:ascii="Times New Roman" w:hAnsi="Times New Roman" w:cs="Times New Roman"/>
        </w:rPr>
        <w:t xml:space="preserve"> </w:t>
      </w:r>
      <w:r w:rsidR="009F321F">
        <w:rPr>
          <w:rFonts w:ascii="Times New Roman" w:hAnsi="Times New Roman" w:cs="Times New Roman"/>
        </w:rPr>
        <w:t>(</w:t>
      </w:r>
      <w:r w:rsidR="00F134B6">
        <w:rPr>
          <w:rFonts w:ascii="Times New Roman" w:hAnsi="Times New Roman" w:cs="Times New Roman"/>
        </w:rPr>
        <w:t xml:space="preserve">2) </w:t>
      </w:r>
      <w:r w:rsidR="0077507E">
        <w:rPr>
          <w:rFonts w:ascii="Times New Roman" w:hAnsi="Times New Roman" w:cs="Times New Roman"/>
        </w:rPr>
        <w:t xml:space="preserve">provide justification for retaining the current level of the Retail Revenue Credit in the </w:t>
      </w:r>
      <w:r w:rsidR="00F134B6">
        <w:rPr>
          <w:rFonts w:ascii="Times New Roman" w:hAnsi="Times New Roman" w:cs="Times New Roman"/>
        </w:rPr>
        <w:t>Energy Recovery Mec</w:t>
      </w:r>
      <w:r w:rsidR="0077507E">
        <w:rPr>
          <w:rFonts w:ascii="Times New Roman" w:hAnsi="Times New Roman" w:cs="Times New Roman"/>
        </w:rPr>
        <w:t>hanism (ERM)</w:t>
      </w:r>
      <w:r w:rsidR="009F321F">
        <w:rPr>
          <w:rFonts w:ascii="Times New Roman" w:hAnsi="Times New Roman" w:cs="Times New Roman"/>
        </w:rPr>
        <w:t>;</w:t>
      </w:r>
      <w:r w:rsidR="0077507E">
        <w:rPr>
          <w:rFonts w:ascii="Times New Roman" w:hAnsi="Times New Roman" w:cs="Times New Roman"/>
        </w:rPr>
        <w:t xml:space="preserve"> </w:t>
      </w:r>
      <w:r w:rsidR="009F321F">
        <w:rPr>
          <w:rFonts w:ascii="Times New Roman" w:hAnsi="Times New Roman" w:cs="Times New Roman"/>
        </w:rPr>
        <w:t>(</w:t>
      </w:r>
      <w:r w:rsidR="00F134B6">
        <w:rPr>
          <w:rFonts w:ascii="Times New Roman" w:hAnsi="Times New Roman" w:cs="Times New Roman"/>
        </w:rPr>
        <w:t>3</w:t>
      </w:r>
      <w:r w:rsidRPr="00BE21E7">
        <w:rPr>
          <w:rFonts w:ascii="Times New Roman" w:hAnsi="Times New Roman" w:cs="Times New Roman"/>
        </w:rPr>
        <w:t xml:space="preserve">) </w:t>
      </w:r>
      <w:r w:rsidR="0077507E">
        <w:rPr>
          <w:rFonts w:ascii="Times New Roman" w:hAnsi="Times New Roman" w:cs="Times New Roman"/>
        </w:rPr>
        <w:t>describe a proposed mechanism to track, defer and return Renewable Energy Credit (REC) revenue to customers</w:t>
      </w:r>
      <w:r w:rsidR="009F321F">
        <w:rPr>
          <w:rFonts w:ascii="Times New Roman" w:hAnsi="Times New Roman" w:cs="Times New Roman"/>
        </w:rPr>
        <w:t>;</w:t>
      </w:r>
      <w:r w:rsidR="0077507E">
        <w:rPr>
          <w:rFonts w:ascii="Times New Roman" w:hAnsi="Times New Roman" w:cs="Times New Roman"/>
        </w:rPr>
        <w:t xml:space="preserve"> and </w:t>
      </w:r>
      <w:r w:rsidR="009F321F">
        <w:rPr>
          <w:rFonts w:ascii="Times New Roman" w:hAnsi="Times New Roman" w:cs="Times New Roman"/>
        </w:rPr>
        <w:t>(</w:t>
      </w:r>
      <w:r w:rsidR="0077507E">
        <w:rPr>
          <w:rFonts w:ascii="Times New Roman" w:hAnsi="Times New Roman" w:cs="Times New Roman"/>
        </w:rPr>
        <w:t xml:space="preserve">4) </w:t>
      </w:r>
      <w:r w:rsidRPr="00BE21E7">
        <w:rPr>
          <w:rFonts w:ascii="Times New Roman" w:hAnsi="Times New Roman" w:cs="Times New Roman"/>
        </w:rPr>
        <w:lastRenderedPageBreak/>
        <w:t xml:space="preserve">describe the proposed level of expense and retail revenue credit for ERM purposes, using the pro forma costs proposed by the </w:t>
      </w:r>
      <w:r w:rsidR="006C0205">
        <w:rPr>
          <w:rFonts w:ascii="Times New Roman" w:hAnsi="Times New Roman" w:cs="Times New Roman"/>
        </w:rPr>
        <w:t>Company in this filing</w:t>
      </w:r>
      <w:r w:rsidR="002108F5">
        <w:rPr>
          <w:rFonts w:ascii="Times New Roman" w:hAnsi="Times New Roman" w:cs="Times New Roman"/>
        </w:rPr>
        <w:t>.</w:t>
      </w:r>
      <w:r w:rsidR="002108F5">
        <w:rPr>
          <w:rStyle w:val="FootnoteReference"/>
          <w:rFonts w:ascii="Times New Roman" w:hAnsi="Times New Roman"/>
        </w:rPr>
        <w:footnoteReference w:id="1"/>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F23840">
        <w:rPr>
          <w:rFonts w:ascii="Times New Roman" w:hAnsi="Times New Roman" w:cs="Times New Roman"/>
        </w:rPr>
        <w:t>7</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F22C09" w:rsidRPr="00A774E3">
        <w:rPr>
          <w:rFonts w:ascii="Times New Roman" w:hAnsi="Times New Roman" w:cs="Times New Roman"/>
        </w:rPr>
        <w:t xml:space="preserve">.  </w:t>
      </w:r>
      <w:r w:rsidR="004B4163">
        <w:rPr>
          <w:rFonts w:ascii="Times New Roman" w:hAnsi="Times New Roman" w:cs="Times New Roman"/>
        </w:rPr>
        <w:t xml:space="preserve">A schematic of the proposed REC revenue rebate mechanism is shown in Exhibit No. </w:t>
      </w:r>
      <w:proofErr w:type="gramStart"/>
      <w:r w:rsidR="004B4163">
        <w:rPr>
          <w:rFonts w:ascii="Times New Roman" w:hAnsi="Times New Roman" w:cs="Times New Roman"/>
        </w:rPr>
        <w:t>___ (WGJ-5).</w:t>
      </w:r>
      <w:proofErr w:type="gramEnd"/>
      <w:r w:rsidR="004B4163">
        <w:rPr>
          <w:rFonts w:ascii="Times New Roman" w:hAnsi="Times New Roman" w:cs="Times New Roman"/>
        </w:rPr>
        <w:t xml:space="preserve">  </w:t>
      </w:r>
      <w:r w:rsidR="00F23840">
        <w:rPr>
          <w:rFonts w:ascii="Times New Roman" w:hAnsi="Times New Roman" w:cs="Times New Roman"/>
        </w:rPr>
        <w:t xml:space="preserve">A table showing the net REC revenues, both actual and projected by year, </w:t>
      </w:r>
      <w:r w:rsidR="00EE7C43">
        <w:rPr>
          <w:rFonts w:ascii="Times New Roman" w:hAnsi="Times New Roman" w:cs="Times New Roman"/>
        </w:rPr>
        <w:t>proposed to</w:t>
      </w:r>
      <w:r w:rsidR="00F23840">
        <w:rPr>
          <w:rFonts w:ascii="Times New Roman" w:hAnsi="Times New Roman" w:cs="Times New Roman"/>
        </w:rPr>
        <w:t xml:space="preserve"> be returned to customers beginning in January </w:t>
      </w:r>
      <w:r w:rsidR="00647807">
        <w:rPr>
          <w:rFonts w:ascii="Times New Roman" w:hAnsi="Times New Roman" w:cs="Times New Roman"/>
        </w:rPr>
        <w:t>2015</w:t>
      </w:r>
      <w:r w:rsidR="00F23840">
        <w:rPr>
          <w:rFonts w:ascii="Times New Roman" w:hAnsi="Times New Roman" w:cs="Times New Roman"/>
        </w:rPr>
        <w:t xml:space="preserve"> is shown in Exhibit No. </w:t>
      </w:r>
      <w:proofErr w:type="gramStart"/>
      <w:r w:rsidR="00F23840">
        <w:rPr>
          <w:rFonts w:ascii="Times New Roman" w:hAnsi="Times New Roman" w:cs="Times New Roman"/>
        </w:rPr>
        <w:t>__</w:t>
      </w:r>
      <w:r w:rsidR="00647807">
        <w:rPr>
          <w:rFonts w:ascii="Times New Roman" w:hAnsi="Times New Roman" w:cs="Times New Roman"/>
        </w:rPr>
        <w:t>_ (</w:t>
      </w:r>
      <w:r w:rsidR="00F23840">
        <w:rPr>
          <w:rFonts w:ascii="Times New Roman" w:hAnsi="Times New Roman" w:cs="Times New Roman"/>
        </w:rPr>
        <w:t>WGJ-6).</w:t>
      </w:r>
      <w:proofErr w:type="gramEnd"/>
      <w:r w:rsidR="00F23840">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w:t>
      </w:r>
      <w:r w:rsidR="00F23840">
        <w:rPr>
          <w:rFonts w:ascii="Times New Roman" w:hAnsi="Times New Roman" w:cs="Times New Roman"/>
          <w:bCs/>
        </w:rPr>
        <w:t>7</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0945E1" w:rsidRPr="000945E1" w:rsidRDefault="00BE21E7" w:rsidP="000945E1">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r w:rsidR="006B05D4">
        <w:rPr>
          <w:rFonts w:ascii="Times New Roman" w:hAnsi="Times New Roman" w:cs="Times New Roman"/>
        </w:rPr>
        <w:t xml:space="preserve">  </w:t>
      </w:r>
      <w:r w:rsidR="006B05D4" w:rsidRPr="00BE21E7">
        <w:rPr>
          <w:rFonts w:ascii="Times New Roman" w:hAnsi="Times New Roman" w:cs="Times New Roman"/>
        </w:rPr>
        <w:t>Company witness M</w:t>
      </w:r>
      <w:r w:rsidR="006B05D4">
        <w:rPr>
          <w:rFonts w:ascii="Times New Roman" w:hAnsi="Times New Roman" w:cs="Times New Roman"/>
        </w:rPr>
        <w:t>s. Knox provides details supporting the proposed Retail Revenue Credit rate.</w:t>
      </w:r>
    </w:p>
    <w:p w:rsidR="00BE21E7" w:rsidRPr="0045060B" w:rsidRDefault="00BE21E7" w:rsidP="00BE21E7">
      <w:pPr>
        <w:pStyle w:val="TestBody"/>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lastRenderedPageBreak/>
        <w:t>II</w:t>
      </w:r>
      <w:proofErr w:type="gramStart"/>
      <w:r w:rsidRPr="0045060B">
        <w:rPr>
          <w:rFonts w:ascii="Times New Roman" w:hAnsi="Times New Roman" w:cs="Times New Roman"/>
          <w:b/>
          <w:bCs/>
          <w:u w:val="single"/>
        </w:rPr>
        <w:t>.</w:t>
      </w:r>
      <w:r w:rsidR="00274C65">
        <w:rPr>
          <w:rFonts w:ascii="Times New Roman" w:hAnsi="Times New Roman" w:cs="Times New Roman"/>
          <w:b/>
          <w:bCs/>
          <w:u w:val="single"/>
        </w:rPr>
        <w:t xml:space="preserve">  </w:t>
      </w:r>
      <w:r w:rsidRPr="0045060B">
        <w:rPr>
          <w:rFonts w:ascii="Times New Roman" w:hAnsi="Times New Roman" w:cs="Times New Roman"/>
          <w:b/>
          <w:bCs/>
          <w:caps/>
          <w:u w:val="single"/>
        </w:rPr>
        <w:t>Overview</w:t>
      </w:r>
      <w:proofErr w:type="gramEnd"/>
      <w:r w:rsidRPr="0045060B">
        <w:rPr>
          <w:rFonts w:ascii="Times New Roman" w:hAnsi="Times New Roman" w:cs="Times New Roman"/>
          <w:b/>
          <w:bCs/>
          <w:caps/>
          <w:u w:val="single"/>
        </w:rPr>
        <w:t xml:space="preserve"> of Pro Forma </w:t>
      </w:r>
      <w:r w:rsidR="00431EB0" w:rsidRPr="0045060B">
        <w:rPr>
          <w:rFonts w:ascii="Times New Roman" w:hAnsi="Times New Roman" w:cs="Times New Roman"/>
          <w:b/>
          <w:bCs/>
          <w:caps/>
          <w:u w:val="single"/>
        </w:rPr>
        <w:t>POWER SUPPLY</w:t>
      </w:r>
      <w:r w:rsidRPr="0045060B">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test period and the pro forma period.  The table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2"/>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proofErr w:type="gramStart"/>
      <w:r w:rsidR="006D5BF7">
        <w:rPr>
          <w:rFonts w:ascii="Times New Roman" w:hAnsi="Times New Roman" w:cs="Times New Roman"/>
        </w:rPr>
        <w:t>rates, which</w:t>
      </w:r>
      <w:r w:rsidRPr="00BE21E7">
        <w:rPr>
          <w:rFonts w:ascii="Times New Roman" w:hAnsi="Times New Roman" w:cs="Times New Roman"/>
        </w:rPr>
        <w:t xml:space="preserve"> is</w:t>
      </w:r>
      <w:proofErr w:type="gramEnd"/>
      <w:r w:rsidRPr="00BE21E7">
        <w:rPr>
          <w:rFonts w:ascii="Times New Roman" w:hAnsi="Times New Roman" w:cs="Times New Roman"/>
        </w:rPr>
        <w:t xml:space="preserve"> based on a calendar 20</w:t>
      </w:r>
      <w:r w:rsidR="00876525">
        <w:rPr>
          <w:rFonts w:ascii="Times New Roman" w:hAnsi="Times New Roman" w:cs="Times New Roman"/>
        </w:rPr>
        <w:t>1</w:t>
      </w:r>
      <w:r w:rsidR="00CF4DB1">
        <w:rPr>
          <w:rFonts w:ascii="Times New Roman" w:hAnsi="Times New Roman" w:cs="Times New Roman"/>
        </w:rPr>
        <w:t>3</w:t>
      </w:r>
      <w:r w:rsidRPr="00BE21E7">
        <w:rPr>
          <w:rFonts w:ascii="Times New Roman" w:hAnsi="Times New Roman" w:cs="Times New Roman"/>
        </w:rPr>
        <w:t xml:space="preserve"> pro forma period, is also shown.</w:t>
      </w:r>
    </w:p>
    <w:p w:rsidR="00BE21E7" w:rsidRPr="00C03549" w:rsidRDefault="00C55E1F" w:rsidP="0072665A">
      <w:pPr>
        <w:pStyle w:val="TestBody"/>
        <w:spacing w:line="480" w:lineRule="auto"/>
        <w:ind w:left="0" w:firstLine="0"/>
        <w:rPr>
          <w:rFonts w:ascii="Times New Roman" w:hAnsi="Times New Roman" w:cs="Times New Roman"/>
        </w:rPr>
      </w:pPr>
      <w:r w:rsidRPr="00C55E1F">
        <w:rPr>
          <w:noProof/>
        </w:rPr>
        <w:drawing>
          <wp:anchor distT="0" distB="0" distL="114300" distR="114300" simplePos="0" relativeHeight="251658240" behindDoc="1" locked="0" layoutInCell="1" allowOverlap="1">
            <wp:simplePos x="0" y="0"/>
            <wp:positionH relativeFrom="column">
              <wp:posOffset>335280</wp:posOffset>
            </wp:positionH>
            <wp:positionV relativeFrom="paragraph">
              <wp:posOffset>0</wp:posOffset>
            </wp:positionV>
            <wp:extent cx="5461000" cy="2162175"/>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61000" cy="2162175"/>
                    </a:xfrm>
                    <a:prstGeom prst="rect">
                      <a:avLst/>
                    </a:prstGeom>
                    <a:noFill/>
                    <a:ln w="9525">
                      <a:noFill/>
                      <a:miter lim="800000"/>
                      <a:headEnd/>
                      <a:tailEnd/>
                    </a:ln>
                  </pic:spPr>
                </pic:pic>
              </a:graphicData>
            </a:graphic>
          </wp:anchor>
        </w:drawing>
      </w: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0945E1" w:rsidRDefault="000945E1" w:rsidP="008A45E4">
      <w:pPr>
        <w:pStyle w:val="TestBody"/>
        <w:spacing w:line="480" w:lineRule="auto"/>
        <w:ind w:left="0" w:firstLine="720"/>
        <w:rPr>
          <w:rFonts w:ascii="Times New Roman" w:hAnsi="Times New Roman" w:cs="Times New Roman"/>
        </w:rPr>
      </w:pPr>
    </w:p>
    <w:p w:rsidR="00BE21E7" w:rsidRPr="00BE21E7" w:rsidRDefault="00BE21E7" w:rsidP="008A45E4">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 decrease</w:t>
      </w:r>
      <w:r w:rsidRPr="00BE21E7">
        <w:rPr>
          <w:rFonts w:ascii="Times New Roman" w:hAnsi="Times New Roman" w:cs="Times New Roman"/>
        </w:rPr>
        <w:t xml:space="preserve"> of </w:t>
      </w:r>
      <w:r w:rsidRPr="0072665A">
        <w:rPr>
          <w:rFonts w:ascii="Times New Roman" w:hAnsi="Times New Roman" w:cs="Times New Roman"/>
        </w:rPr>
        <w:t>$</w:t>
      </w:r>
      <w:r w:rsidR="00E35276">
        <w:rPr>
          <w:rFonts w:ascii="Times New Roman" w:hAnsi="Times New Roman" w:cs="Times New Roman"/>
        </w:rPr>
        <w:t>21,</w:t>
      </w:r>
      <w:r w:rsidR="00C55E1F">
        <w:rPr>
          <w:rFonts w:ascii="Times New Roman" w:hAnsi="Times New Roman" w:cs="Times New Roman"/>
        </w:rPr>
        <w:t>568</w:t>
      </w:r>
      <w:r w:rsidR="0072665A" w:rsidRPr="0072665A">
        <w:rPr>
          <w:rFonts w:ascii="Times New Roman" w:hAnsi="Times New Roman" w:cs="Times New Roman"/>
        </w:rPr>
        <w:t>,00</w:t>
      </w:r>
      <w:r w:rsidRPr="0072665A">
        <w:rPr>
          <w:rFonts w:ascii="Times New Roman" w:hAnsi="Times New Roman" w:cs="Times New Roman"/>
        </w:rPr>
        <w:t>0 ($</w:t>
      </w:r>
      <w:r w:rsidR="00E35276">
        <w:rPr>
          <w:rFonts w:ascii="Times New Roman" w:hAnsi="Times New Roman" w:cs="Times New Roman"/>
        </w:rPr>
        <w:t>178,</w:t>
      </w:r>
      <w:r w:rsidR="00C55E1F">
        <w:rPr>
          <w:rFonts w:ascii="Times New Roman" w:hAnsi="Times New Roman" w:cs="Times New Roman"/>
        </w:rPr>
        <w:t>835</w:t>
      </w:r>
      <w:r w:rsidR="00DB55EE">
        <w:rPr>
          <w:rFonts w:ascii="Times New Roman" w:hAnsi="Times New Roman" w:cs="Times New Roman"/>
        </w:rPr>
        <w:t>,000</w:t>
      </w:r>
      <w:r w:rsidRPr="0072665A">
        <w:rPr>
          <w:rFonts w:ascii="Times New Roman" w:hAnsi="Times New Roman" w:cs="Times New Roman"/>
        </w:rPr>
        <w:t xml:space="preserve"> - $</w:t>
      </w:r>
      <w:r w:rsidR="00DB55EE">
        <w:rPr>
          <w:rFonts w:ascii="Times New Roman" w:hAnsi="Times New Roman" w:cs="Times New Roman"/>
        </w:rPr>
        <w:t>20</w:t>
      </w:r>
      <w:r w:rsidR="00E35276">
        <w:rPr>
          <w:rFonts w:ascii="Times New Roman" w:hAnsi="Times New Roman" w:cs="Times New Roman"/>
        </w:rPr>
        <w:t>0</w:t>
      </w:r>
      <w:r w:rsidR="00DB55EE">
        <w:rPr>
          <w:rFonts w:ascii="Times New Roman" w:hAnsi="Times New Roman" w:cs="Times New Roman"/>
        </w:rPr>
        <w:t>,</w:t>
      </w:r>
      <w:r w:rsidR="00E35276">
        <w:rPr>
          <w:rFonts w:ascii="Times New Roman" w:hAnsi="Times New Roman" w:cs="Times New Roman"/>
        </w:rPr>
        <w:t>403</w:t>
      </w:r>
      <w:r w:rsidRPr="0072665A">
        <w:rPr>
          <w:rFonts w:ascii="Times New Roman" w:hAnsi="Times New Roman" w:cs="Times New Roman"/>
        </w:rPr>
        <w:t>,000)</w:t>
      </w:r>
      <w:r w:rsidR="00407CC1">
        <w:rPr>
          <w:rFonts w:ascii="Times New Roman" w:hAnsi="Times New Roman" w:cs="Times New Roman"/>
        </w:rPr>
        <w:t xml:space="preserve"> on a system basis</w:t>
      </w:r>
      <w:r w:rsidR="00C55E1F">
        <w:rPr>
          <w:rFonts w:ascii="Times New Roman" w:hAnsi="Times New Roman" w:cs="Times New Roman"/>
        </w:rPr>
        <w:t xml:space="preserve"> and $14,021,357 Washington allocation</w:t>
      </w:r>
      <w:r w:rsidRPr="00BE21E7">
        <w:rPr>
          <w:rFonts w:ascii="Times New Roman" w:hAnsi="Times New Roman" w:cs="Times New Roman"/>
        </w:rPr>
        <w:t xml:space="preserve">. The </w:t>
      </w:r>
      <w:r w:rsidR="00DB55EE">
        <w:rPr>
          <w:rFonts w:ascii="Times New Roman" w:hAnsi="Times New Roman" w:cs="Times New Roman"/>
        </w:rPr>
        <w:t>decrease</w:t>
      </w:r>
      <w:r w:rsidRPr="00BE21E7">
        <w:rPr>
          <w:rFonts w:ascii="Times New Roman" w:hAnsi="Times New Roman" w:cs="Times New Roman"/>
        </w:rPr>
        <w:t xml:space="preserv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C55E1F">
        <w:rPr>
          <w:rFonts w:ascii="Times New Roman" w:hAnsi="Times New Roman" w:cs="Times New Roman"/>
        </w:rPr>
        <w:t>9</w:t>
      </w:r>
      <w:r w:rsidRPr="0072665A">
        <w:rPr>
          <w:rFonts w:ascii="Times New Roman" w:hAnsi="Times New Roman" w:cs="Times New Roman"/>
        </w:rPr>
        <w:t>,</w:t>
      </w:r>
      <w:r w:rsidR="00C55E1F">
        <w:rPr>
          <w:rFonts w:ascii="Times New Roman" w:hAnsi="Times New Roman" w:cs="Times New Roman"/>
        </w:rPr>
        <w:t>936</w:t>
      </w:r>
      <w:r w:rsidR="00D83B3A">
        <w:rPr>
          <w:rFonts w:ascii="Times New Roman" w:hAnsi="Times New Roman" w:cs="Times New Roman"/>
        </w:rPr>
        <w:t>,00</w:t>
      </w:r>
      <w:r w:rsidR="00817F2D">
        <w:rPr>
          <w:rFonts w:ascii="Times New Roman" w:hAnsi="Times New Roman" w:cs="Times New Roman"/>
        </w:rPr>
        <w:t>0</w:t>
      </w:r>
      <w:r w:rsidRPr="0072665A">
        <w:rPr>
          <w:rFonts w:ascii="Times New Roman" w:hAnsi="Times New Roman" w:cs="Times New Roman"/>
        </w:rPr>
        <w:t xml:space="preserve"> (system) and </w:t>
      </w:r>
      <w:r w:rsidRPr="008A35A7">
        <w:rPr>
          <w:rFonts w:ascii="Times New Roman" w:hAnsi="Times New Roman" w:cs="Times New Roman"/>
        </w:rPr>
        <w:t>$</w:t>
      </w:r>
      <w:r w:rsidR="00C55E1F">
        <w:rPr>
          <w:rFonts w:ascii="Times New Roman" w:hAnsi="Times New Roman" w:cs="Times New Roman"/>
        </w:rPr>
        <w:t>6</w:t>
      </w:r>
      <w:r w:rsidR="00D83B3A">
        <w:rPr>
          <w:rFonts w:ascii="Times New Roman" w:hAnsi="Times New Roman" w:cs="Times New Roman"/>
        </w:rPr>
        <w:t>,</w:t>
      </w:r>
      <w:r w:rsidR="00C55E1F">
        <w:rPr>
          <w:rFonts w:ascii="Times New Roman" w:hAnsi="Times New Roman" w:cs="Times New Roman"/>
        </w:rPr>
        <w:t>459</w:t>
      </w:r>
      <w:r w:rsidR="00D83B3A">
        <w:rPr>
          <w:rFonts w:ascii="Times New Roman" w:hAnsi="Times New Roman" w:cs="Times New Roman"/>
        </w:rPr>
        <w:t>,</w:t>
      </w:r>
      <w:r w:rsidR="00C55E1F">
        <w:rPr>
          <w:rFonts w:ascii="Times New Roman" w:hAnsi="Times New Roman" w:cs="Times New Roman"/>
        </w:rPr>
        <w:t>394</w:t>
      </w:r>
      <w:r w:rsidR="00200197">
        <w:rPr>
          <w:rFonts w:ascii="Times New Roman" w:hAnsi="Times New Roman" w:cs="Times New Roman"/>
        </w:rPr>
        <w:t xml:space="preserve"> (Washington allocation).  </w:t>
      </w:r>
    </w:p>
    <w:p w:rsidR="00BE21E7" w:rsidRPr="00BE21E7" w:rsidRDefault="000A2769"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Pr>
          <w:rFonts w:ascii="Times New Roman" w:hAnsi="Times New Roman" w:cs="Times New Roman"/>
          <w:b/>
          <w:bCs/>
        </w:rPr>
        <w:lastRenderedPageBreak/>
        <w:t xml:space="preserve">Why is the </w:t>
      </w:r>
      <w:r w:rsidR="008A45E4">
        <w:rPr>
          <w:rFonts w:ascii="Times New Roman" w:hAnsi="Times New Roman" w:cs="Times New Roman"/>
          <w:b/>
          <w:bCs/>
        </w:rPr>
        <w:t>power supply expense for</w:t>
      </w:r>
      <w:r w:rsidR="00BE21E7" w:rsidRPr="00BE21E7">
        <w:rPr>
          <w:rFonts w:ascii="Times New Roman" w:hAnsi="Times New Roman" w:cs="Times New Roman"/>
          <w:b/>
          <w:bCs/>
        </w:rPr>
        <w:t xml:space="preserve"> the pro forma year </w:t>
      </w:r>
      <w:r w:rsidR="008A45E4">
        <w:rPr>
          <w:rFonts w:ascii="Times New Roman" w:hAnsi="Times New Roman" w:cs="Times New Roman"/>
          <w:b/>
          <w:bCs/>
        </w:rPr>
        <w:t>lower than</w:t>
      </w:r>
      <w:r>
        <w:rPr>
          <w:rFonts w:ascii="Times New Roman" w:hAnsi="Times New Roman" w:cs="Times New Roman"/>
          <w:b/>
          <w:bCs/>
        </w:rPr>
        <w:t xml:space="preserve"> </w:t>
      </w:r>
      <w:r w:rsidR="00BE21E7" w:rsidRPr="00BE21E7">
        <w:rPr>
          <w:rFonts w:ascii="Times New Roman" w:hAnsi="Times New Roman" w:cs="Times New Roman"/>
          <w:b/>
          <w:bCs/>
        </w:rPr>
        <w:t>the level of power supply expense currently in base rates?</w:t>
      </w:r>
    </w:p>
    <w:p w:rsidR="00CF4DB1" w:rsidRDefault="008A35A7" w:rsidP="008A35A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de</w:t>
      </w:r>
      <w:r w:rsidR="00BE21E7" w:rsidRPr="00BE21E7">
        <w:rPr>
          <w:rFonts w:ascii="Times New Roman" w:hAnsi="Times New Roman" w:cs="Times New Roman"/>
        </w:rPr>
        <w:t xml:space="preserve">crease in pro forma power supply expense </w:t>
      </w:r>
      <w:r w:rsidR="000A2769">
        <w:rPr>
          <w:rFonts w:ascii="Times New Roman" w:hAnsi="Times New Roman" w:cs="Times New Roman"/>
        </w:rPr>
        <w:t>from</w:t>
      </w:r>
      <w:r w:rsidR="00BE21E7" w:rsidRPr="00BE21E7">
        <w:rPr>
          <w:rFonts w:ascii="Times New Roman" w:hAnsi="Times New Roman" w:cs="Times New Roman"/>
        </w:rPr>
        <w:t xml:space="preserve"> the expense currently in base rates is</w:t>
      </w:r>
      <w:r w:rsidR="001973DE">
        <w:rPr>
          <w:rFonts w:ascii="Times New Roman" w:hAnsi="Times New Roman" w:cs="Times New Roman"/>
        </w:rPr>
        <w:t xml:space="preserve"> primarily </w:t>
      </w:r>
      <w:r w:rsidR="00972518">
        <w:rPr>
          <w:rFonts w:ascii="Times New Roman" w:hAnsi="Times New Roman" w:cs="Times New Roman"/>
        </w:rPr>
        <w:t xml:space="preserve">a result of </w:t>
      </w:r>
      <w:r w:rsidR="004007BE">
        <w:rPr>
          <w:rFonts w:ascii="Times New Roman" w:hAnsi="Times New Roman" w:cs="Times New Roman"/>
        </w:rPr>
        <w:t xml:space="preserve">the </w:t>
      </w:r>
      <w:r w:rsidR="00EE7C43">
        <w:rPr>
          <w:rFonts w:ascii="Times New Roman" w:hAnsi="Times New Roman" w:cs="Times New Roman"/>
        </w:rPr>
        <w:t>Portland General Electric</w:t>
      </w:r>
      <w:r w:rsidR="004007BE">
        <w:rPr>
          <w:rFonts w:ascii="Times New Roman" w:hAnsi="Times New Roman" w:cs="Times New Roman"/>
        </w:rPr>
        <w:t xml:space="preserve"> </w:t>
      </w:r>
      <w:r w:rsidR="00CF4DB1">
        <w:rPr>
          <w:rFonts w:ascii="Times New Roman" w:hAnsi="Times New Roman" w:cs="Times New Roman"/>
        </w:rPr>
        <w:t xml:space="preserve">(PGE) </w:t>
      </w:r>
      <w:r w:rsidR="00EE7C43">
        <w:rPr>
          <w:rFonts w:ascii="Times New Roman" w:hAnsi="Times New Roman" w:cs="Times New Roman"/>
        </w:rPr>
        <w:t>c</w:t>
      </w:r>
      <w:r w:rsidR="004007BE">
        <w:rPr>
          <w:rFonts w:ascii="Times New Roman" w:hAnsi="Times New Roman" w:cs="Times New Roman"/>
        </w:rPr>
        <w:t xml:space="preserve">apacity </w:t>
      </w:r>
      <w:r w:rsidR="00EE7C43">
        <w:rPr>
          <w:rFonts w:ascii="Times New Roman" w:hAnsi="Times New Roman" w:cs="Times New Roman"/>
        </w:rPr>
        <w:t>c</w:t>
      </w:r>
      <w:r w:rsidR="004007BE">
        <w:rPr>
          <w:rFonts w:ascii="Times New Roman" w:hAnsi="Times New Roman" w:cs="Times New Roman"/>
        </w:rPr>
        <w:t>ontract</w:t>
      </w:r>
      <w:r w:rsidR="00EE7C43">
        <w:rPr>
          <w:rFonts w:ascii="Times New Roman" w:hAnsi="Times New Roman" w:cs="Times New Roman"/>
        </w:rPr>
        <w:t xml:space="preserve"> (</w:t>
      </w:r>
      <w:proofErr w:type="spellStart"/>
      <w:r w:rsidR="00EE7C43">
        <w:rPr>
          <w:rFonts w:ascii="Times New Roman" w:hAnsi="Times New Roman" w:cs="Times New Roman"/>
        </w:rPr>
        <w:t>Peaker</w:t>
      </w:r>
      <w:proofErr w:type="spellEnd"/>
      <w:r w:rsidR="00EE7C43">
        <w:rPr>
          <w:rFonts w:ascii="Times New Roman" w:hAnsi="Times New Roman" w:cs="Times New Roman"/>
        </w:rPr>
        <w:t xml:space="preserve"> Capacity)</w:t>
      </w:r>
      <w:r w:rsidR="004007BE">
        <w:rPr>
          <w:rFonts w:ascii="Times New Roman" w:hAnsi="Times New Roman" w:cs="Times New Roman"/>
        </w:rPr>
        <w:t xml:space="preserve"> revenue</w:t>
      </w:r>
      <w:r w:rsidR="00BE21E7" w:rsidRPr="00BE21E7">
        <w:rPr>
          <w:rFonts w:ascii="Times New Roman" w:hAnsi="Times New Roman" w:cs="Times New Roman"/>
        </w:rPr>
        <w:t>.</w:t>
      </w:r>
      <w:r w:rsidR="001973DE">
        <w:rPr>
          <w:rFonts w:ascii="Times New Roman" w:hAnsi="Times New Roman" w:cs="Times New Roman"/>
        </w:rPr>
        <w:t xml:space="preserve">  </w:t>
      </w:r>
      <w:r w:rsidR="004007BE">
        <w:rPr>
          <w:rFonts w:ascii="Times New Roman" w:hAnsi="Times New Roman" w:cs="Times New Roman"/>
        </w:rPr>
        <w:t xml:space="preserve">The </w:t>
      </w:r>
      <w:proofErr w:type="spellStart"/>
      <w:r w:rsidR="004007BE">
        <w:rPr>
          <w:rFonts w:ascii="Times New Roman" w:hAnsi="Times New Roman" w:cs="Times New Roman"/>
        </w:rPr>
        <w:t>Peaker</w:t>
      </w:r>
      <w:proofErr w:type="spellEnd"/>
      <w:r w:rsidR="004007BE">
        <w:rPr>
          <w:rFonts w:ascii="Times New Roman" w:hAnsi="Times New Roman" w:cs="Times New Roman"/>
        </w:rPr>
        <w:t xml:space="preserve"> Capacity contract revenue increases fro</w:t>
      </w:r>
      <w:r w:rsidR="00CF4DB1">
        <w:rPr>
          <w:rFonts w:ascii="Times New Roman" w:hAnsi="Times New Roman" w:cs="Times New Roman"/>
        </w:rPr>
        <w:t>m $1,750,181 in the test-year t</w:t>
      </w:r>
      <w:r w:rsidR="004007BE">
        <w:rPr>
          <w:rFonts w:ascii="Times New Roman" w:hAnsi="Times New Roman" w:cs="Times New Roman"/>
        </w:rPr>
        <w:t xml:space="preserve">o $17,734,955 in the pro forma.  </w:t>
      </w:r>
      <w:r w:rsidR="00EE7C43">
        <w:rPr>
          <w:rFonts w:ascii="Times New Roman" w:hAnsi="Times New Roman" w:cs="Times New Roman"/>
        </w:rPr>
        <w:t>The term of the PGE capacity sale agreement runs from November 1, 1992 to December 31, 2016</w:t>
      </w:r>
      <w:r w:rsidR="0025436C">
        <w:rPr>
          <w:rFonts w:ascii="Times New Roman" w:hAnsi="Times New Roman" w:cs="Times New Roman"/>
        </w:rPr>
        <w:t xml:space="preserve">.  </w:t>
      </w:r>
      <w:r w:rsidR="00EE7C43">
        <w:rPr>
          <w:rFonts w:ascii="Times New Roman" w:hAnsi="Times New Roman" w:cs="Times New Roman"/>
        </w:rPr>
        <w:t xml:space="preserve">In 1998 the Company monetized approximately 90% of the contract value each year for the period </w:t>
      </w:r>
      <w:r w:rsidR="00945390">
        <w:rPr>
          <w:rFonts w:ascii="Times New Roman" w:hAnsi="Times New Roman" w:cs="Times New Roman"/>
        </w:rPr>
        <w:t xml:space="preserve">January 1999 through January 31, 2015.  Through monetizing the majority </w:t>
      </w:r>
      <w:r w:rsidR="0025436C">
        <w:rPr>
          <w:rFonts w:ascii="Times New Roman" w:hAnsi="Times New Roman" w:cs="Times New Roman"/>
        </w:rPr>
        <w:t>of</w:t>
      </w:r>
      <w:r w:rsidR="00945390">
        <w:rPr>
          <w:rFonts w:ascii="Times New Roman" w:hAnsi="Times New Roman" w:cs="Times New Roman"/>
        </w:rPr>
        <w:t xml:space="preserve"> the value of this agreement, Avista received the cash up fro</w:t>
      </w:r>
      <w:r w:rsidR="0025436C">
        <w:rPr>
          <w:rFonts w:ascii="Times New Roman" w:hAnsi="Times New Roman" w:cs="Times New Roman"/>
        </w:rPr>
        <w:t>nt</w:t>
      </w:r>
      <w:r w:rsidR="00945390">
        <w:rPr>
          <w:rFonts w:ascii="Times New Roman" w:hAnsi="Times New Roman" w:cs="Times New Roman"/>
        </w:rPr>
        <w:t xml:space="preserve"> for the portion monetized.</w:t>
      </w:r>
      <w:r w:rsidR="001206CC">
        <w:rPr>
          <w:rStyle w:val="FootnoteReference"/>
          <w:rFonts w:ascii="Times New Roman" w:hAnsi="Times New Roman"/>
        </w:rPr>
        <w:footnoteReference w:id="3"/>
      </w:r>
      <w:r w:rsidR="00945390">
        <w:rPr>
          <w:rFonts w:ascii="Times New Roman" w:hAnsi="Times New Roman" w:cs="Times New Roman"/>
        </w:rPr>
        <w:t xml:space="preserve">  Avista did not monetize the last 23 months of the agreement from February 1, 2015 to December 31, 2016.  Therefore, beginning February 1, 2015 the Company will receive the full revenue from the original PGE capacity sale agreement.</w:t>
      </w:r>
    </w:p>
    <w:p w:rsidR="00AA2ED4" w:rsidRDefault="00FB6544" w:rsidP="00AA2ED4">
      <w:pPr>
        <w:pStyle w:val="BodyText"/>
        <w:spacing w:line="480" w:lineRule="auto"/>
        <w:ind w:firstLine="720"/>
        <w:jc w:val="both"/>
        <w:rPr>
          <w:b w:val="0"/>
        </w:rPr>
      </w:pPr>
      <w:r w:rsidRPr="00FB6544">
        <w:rPr>
          <w:b w:val="0"/>
        </w:rPr>
        <w:t>Pro forma loads</w:t>
      </w:r>
      <w:r w:rsidR="000A2769">
        <w:rPr>
          <w:b w:val="0"/>
        </w:rPr>
        <w:t xml:space="preserve"> (</w:t>
      </w:r>
      <w:r w:rsidR="00EA66E0">
        <w:rPr>
          <w:b w:val="0"/>
        </w:rPr>
        <w:t>July 2012 through June 2013</w:t>
      </w:r>
      <w:r w:rsidR="000A2769">
        <w:rPr>
          <w:b w:val="0"/>
        </w:rPr>
        <w:t xml:space="preserve"> weather adjusted load</w:t>
      </w:r>
      <w:r w:rsidR="007105B1">
        <w:rPr>
          <w:b w:val="0"/>
        </w:rPr>
        <w:t>s</w:t>
      </w:r>
      <w:r w:rsidR="000A2769">
        <w:rPr>
          <w:b w:val="0"/>
        </w:rPr>
        <w:t xml:space="preserve">) </w:t>
      </w:r>
      <w:r w:rsidRPr="00FB6544">
        <w:rPr>
          <w:b w:val="0"/>
        </w:rPr>
        <w:t xml:space="preserve">are </w:t>
      </w:r>
      <w:r w:rsidR="00C43FEC">
        <w:rPr>
          <w:b w:val="0"/>
        </w:rPr>
        <w:t>1046.6</w:t>
      </w:r>
      <w:r w:rsidRPr="00FB6544">
        <w:rPr>
          <w:b w:val="0"/>
        </w:rPr>
        <w:t xml:space="preserve"> </w:t>
      </w:r>
      <w:r w:rsidR="00876319">
        <w:rPr>
          <w:b w:val="0"/>
        </w:rPr>
        <w:t>average megawatts (</w:t>
      </w:r>
      <w:r w:rsidR="00C43FEC">
        <w:rPr>
          <w:b w:val="0"/>
        </w:rPr>
        <w:t>aMW</w:t>
      </w:r>
      <w:r w:rsidR="00876319" w:rsidRPr="00A9086B">
        <w:rPr>
          <w:b w:val="0"/>
          <w:i/>
        </w:rPr>
        <w:t>)</w:t>
      </w:r>
      <w:r w:rsidR="00A9086B">
        <w:rPr>
          <w:b w:val="0"/>
        </w:rPr>
        <w:t>.  This load includes actual weather adjusted test-year load of 1092.1 aMW less Clearwater Paper load of 48.3 aMW, plus Inland Empire Paper incremental load of 1.6</w:t>
      </w:r>
      <w:r w:rsidR="00836F27">
        <w:rPr>
          <w:b w:val="0"/>
        </w:rPr>
        <w:t xml:space="preserve"> </w:t>
      </w:r>
      <w:r w:rsidR="00BE36C6">
        <w:rPr>
          <w:b w:val="0"/>
        </w:rPr>
        <w:t>aMW, plus station service load of 1.2 aMW.</w:t>
      </w:r>
      <w:r w:rsidR="00A9086B">
        <w:rPr>
          <w:b w:val="0"/>
        </w:rPr>
        <w:t xml:space="preserve">  Clea</w:t>
      </w:r>
      <w:r w:rsidR="007A74A3">
        <w:rPr>
          <w:b w:val="0"/>
        </w:rPr>
        <w:t>r</w:t>
      </w:r>
      <w:r w:rsidR="00A9086B">
        <w:rPr>
          <w:b w:val="0"/>
        </w:rPr>
        <w:t xml:space="preserve">water Paper load </w:t>
      </w:r>
      <w:r w:rsidR="00BE36C6">
        <w:rPr>
          <w:b w:val="0"/>
        </w:rPr>
        <w:t xml:space="preserve">equal to their generation in </w:t>
      </w:r>
      <w:r w:rsidR="000945E1">
        <w:rPr>
          <w:b w:val="0"/>
        </w:rPr>
        <w:t xml:space="preserve">the </w:t>
      </w:r>
      <w:r w:rsidR="00BE36C6">
        <w:rPr>
          <w:b w:val="0"/>
        </w:rPr>
        <w:t xml:space="preserve">test-year </w:t>
      </w:r>
      <w:r w:rsidR="00A9086B">
        <w:rPr>
          <w:b w:val="0"/>
        </w:rPr>
        <w:t>was removed because</w:t>
      </w:r>
      <w:r w:rsidR="00FD6B49">
        <w:rPr>
          <w:b w:val="0"/>
        </w:rPr>
        <w:t>,</w:t>
      </w:r>
      <w:r w:rsidR="00A9086B">
        <w:rPr>
          <w:b w:val="0"/>
        </w:rPr>
        <w:t xml:space="preserve"> beginning July 1, 2013</w:t>
      </w:r>
      <w:r w:rsidR="00FD6B49">
        <w:rPr>
          <w:b w:val="0"/>
        </w:rPr>
        <w:t>,</w:t>
      </w:r>
      <w:r w:rsidR="00A9086B">
        <w:rPr>
          <w:b w:val="0"/>
        </w:rPr>
        <w:t xml:space="preserve"> Clearwater </w:t>
      </w:r>
      <w:r w:rsidR="00FD6B49">
        <w:rPr>
          <w:b w:val="0"/>
        </w:rPr>
        <w:t xml:space="preserve">began </w:t>
      </w:r>
      <w:r w:rsidR="00A9086B">
        <w:rPr>
          <w:b w:val="0"/>
        </w:rPr>
        <w:t>generating into their own load and therefore reduced their load o</w:t>
      </w:r>
      <w:r w:rsidR="00836F27">
        <w:rPr>
          <w:b w:val="0"/>
        </w:rPr>
        <w:t>n Avista</w:t>
      </w:r>
      <w:r w:rsidR="00FD6B49">
        <w:rPr>
          <w:b w:val="0"/>
        </w:rPr>
        <w:t>.</w:t>
      </w:r>
      <w:r w:rsidR="00836F27">
        <w:rPr>
          <w:b w:val="0"/>
        </w:rPr>
        <w:t xml:space="preserve"> Clearwater load </w:t>
      </w:r>
      <w:r w:rsidR="00BE36C6">
        <w:rPr>
          <w:b w:val="0"/>
        </w:rPr>
        <w:t xml:space="preserve">equal to their generation </w:t>
      </w:r>
      <w:r w:rsidR="00836F27">
        <w:rPr>
          <w:b w:val="0"/>
        </w:rPr>
        <w:t xml:space="preserve">was removed from system load in prior rates cases </w:t>
      </w:r>
      <w:r w:rsidR="00836F27">
        <w:rPr>
          <w:b w:val="0"/>
        </w:rPr>
        <w:lastRenderedPageBreak/>
        <w:t xml:space="preserve">because the Clearwater generation power purchase was </w:t>
      </w:r>
      <w:r w:rsidR="00945390">
        <w:rPr>
          <w:b w:val="0"/>
        </w:rPr>
        <w:t xml:space="preserve">assigned </w:t>
      </w:r>
      <w:r w:rsidR="00836F27">
        <w:rPr>
          <w:b w:val="0"/>
        </w:rPr>
        <w:t>100%</w:t>
      </w:r>
      <w:r w:rsidR="00945390">
        <w:rPr>
          <w:b w:val="0"/>
        </w:rPr>
        <w:t xml:space="preserve"> </w:t>
      </w:r>
      <w:r w:rsidR="00836F27">
        <w:rPr>
          <w:b w:val="0"/>
        </w:rPr>
        <w:t>to Avista’s Idaho jurisdiction.</w:t>
      </w:r>
      <w:r w:rsidR="007A74A3">
        <w:rPr>
          <w:b w:val="0"/>
        </w:rPr>
        <w:t xml:space="preserve">  The Inland Empire Paper loa</w:t>
      </w:r>
      <w:r w:rsidR="00A9086B">
        <w:rPr>
          <w:b w:val="0"/>
        </w:rPr>
        <w:t>d was increased because</w:t>
      </w:r>
      <w:r w:rsidR="00C019A2">
        <w:rPr>
          <w:b w:val="0"/>
        </w:rPr>
        <w:t xml:space="preserve"> they had an</w:t>
      </w:r>
      <w:r w:rsidR="004D5669">
        <w:rPr>
          <w:b w:val="0"/>
        </w:rPr>
        <w:t xml:space="preserve"> extended outage at their facility that reduced their load during July through September of 2012</w:t>
      </w:r>
      <w:r w:rsidR="007A74A3">
        <w:rPr>
          <w:b w:val="0"/>
        </w:rPr>
        <w:t>.  Additional load was added to July, August and September of the test-year to reflect the expected load at Inland Empire Paper during the pro forma period.</w:t>
      </w:r>
      <w:r w:rsidR="00BE36C6">
        <w:rPr>
          <w:b w:val="0"/>
        </w:rPr>
        <w:t xml:space="preserve">  Station service was added because power consumed from the grid at Company</w:t>
      </w:r>
      <w:r w:rsidR="00945390">
        <w:rPr>
          <w:b w:val="0"/>
        </w:rPr>
        <w:t>-</w:t>
      </w:r>
      <w:r w:rsidR="00BE36C6">
        <w:rPr>
          <w:b w:val="0"/>
        </w:rPr>
        <w:t xml:space="preserve">owned generation is not included in native load calculations. </w:t>
      </w:r>
      <w:r w:rsidR="007A74A3">
        <w:rPr>
          <w:b w:val="0"/>
        </w:rPr>
        <w:t xml:space="preserve"> After these adjustme</w:t>
      </w:r>
      <w:r w:rsidR="00836F27">
        <w:rPr>
          <w:b w:val="0"/>
        </w:rPr>
        <w:t>nts</w:t>
      </w:r>
      <w:r w:rsidR="00FD6B49">
        <w:rPr>
          <w:b w:val="0"/>
        </w:rPr>
        <w:t>,</w:t>
      </w:r>
      <w:r w:rsidR="00836F27">
        <w:rPr>
          <w:b w:val="0"/>
        </w:rPr>
        <w:t xml:space="preserve"> the net effect is that system </w:t>
      </w:r>
      <w:r w:rsidR="00044806">
        <w:rPr>
          <w:b w:val="0"/>
        </w:rPr>
        <w:t>load is 4.3</w:t>
      </w:r>
      <w:r w:rsidR="00836F27">
        <w:rPr>
          <w:b w:val="0"/>
        </w:rPr>
        <w:t xml:space="preserve"> aMW </w:t>
      </w:r>
      <w:r w:rsidR="000A2769">
        <w:rPr>
          <w:b w:val="0"/>
        </w:rPr>
        <w:t>higher</w:t>
      </w:r>
      <w:r w:rsidRPr="00FB6544">
        <w:rPr>
          <w:b w:val="0"/>
        </w:rPr>
        <w:t xml:space="preserve"> than loads that current rates are </w:t>
      </w:r>
      <w:r w:rsidRPr="006D5BF7">
        <w:rPr>
          <w:b w:val="0"/>
        </w:rPr>
        <w:t>based</w:t>
      </w:r>
      <w:r w:rsidRPr="00FB6544">
        <w:rPr>
          <w:b w:val="0"/>
        </w:rPr>
        <w:t xml:space="preserve"> </w:t>
      </w:r>
      <w:r w:rsidR="007105B1">
        <w:rPr>
          <w:b w:val="0"/>
        </w:rPr>
        <w:t xml:space="preserve">on </w:t>
      </w:r>
      <w:r w:rsidR="000A2769">
        <w:rPr>
          <w:b w:val="0"/>
        </w:rPr>
        <w:t>(201</w:t>
      </w:r>
      <w:r w:rsidR="00EA66E0">
        <w:rPr>
          <w:b w:val="0"/>
        </w:rPr>
        <w:t>1</w:t>
      </w:r>
      <w:r w:rsidR="000A2769">
        <w:rPr>
          <w:b w:val="0"/>
        </w:rPr>
        <w:t xml:space="preserve"> weather adjusted load</w:t>
      </w:r>
      <w:r w:rsidR="007A74A3">
        <w:rPr>
          <w:b w:val="0"/>
        </w:rPr>
        <w:t xml:space="preserve"> of 1090.6 aMW</w:t>
      </w:r>
      <w:r w:rsidR="00044806">
        <w:rPr>
          <w:b w:val="0"/>
        </w:rPr>
        <w:t xml:space="preserve"> including Clearwater load equal to their generation</w:t>
      </w:r>
      <w:r w:rsidR="000A2769">
        <w:rPr>
          <w:b w:val="0"/>
        </w:rPr>
        <w:t>).</w:t>
      </w:r>
      <w:r w:rsidR="00A9086B">
        <w:rPr>
          <w:b w:val="0"/>
        </w:rPr>
        <w:t xml:space="preserve">  </w:t>
      </w:r>
    </w:p>
    <w:p w:rsidR="000945E1" w:rsidRDefault="000945E1" w:rsidP="00945166">
      <w:pPr>
        <w:pStyle w:val="BodyText"/>
        <w:spacing w:line="480" w:lineRule="auto"/>
        <w:ind w:firstLine="720"/>
        <w:rPr>
          <w:bCs w:val="0"/>
          <w:u w:val="single"/>
        </w:rPr>
      </w:pPr>
    </w:p>
    <w:p w:rsidR="00BE21E7" w:rsidRPr="0045060B" w:rsidRDefault="00BE21E7" w:rsidP="00945166">
      <w:pPr>
        <w:pStyle w:val="BodyText"/>
        <w:spacing w:line="480" w:lineRule="auto"/>
        <w:ind w:firstLine="720"/>
        <w:rPr>
          <w:bCs w:val="0"/>
          <w:u w:val="single"/>
        </w:rPr>
      </w:pPr>
      <w:r w:rsidRPr="0045060B">
        <w:rPr>
          <w:bCs w:val="0"/>
          <w:u w:val="single"/>
        </w:rPr>
        <w:t>III</w:t>
      </w:r>
      <w:proofErr w:type="gramStart"/>
      <w:r w:rsidRPr="0045060B">
        <w:rPr>
          <w:bCs w:val="0"/>
          <w:u w:val="single"/>
        </w:rPr>
        <w:t>.</w:t>
      </w:r>
      <w:r w:rsidR="00274C65">
        <w:rPr>
          <w:bCs w:val="0"/>
          <w:u w:val="single"/>
        </w:rPr>
        <w:t xml:space="preserve">  </w:t>
      </w:r>
      <w:r w:rsidRPr="0045060B">
        <w:rPr>
          <w:bCs w:val="0"/>
          <w:u w:val="single"/>
        </w:rPr>
        <w:t>PRO</w:t>
      </w:r>
      <w:proofErr w:type="gramEnd"/>
      <w:r w:rsidRPr="0045060B">
        <w:rPr>
          <w:bCs w:val="0"/>
          <w:u w:val="single"/>
        </w:rPr>
        <w:t xml:space="preserve">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FD76EC" w:rsidRDefault="00C019A2"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The pro forma does not include any REC revenues or </w:t>
      </w:r>
      <w:r w:rsidR="00FD76EC">
        <w:rPr>
          <w:rFonts w:ascii="Times New Roman" w:hAnsi="Times New Roman" w:cs="Times New Roman"/>
        </w:rPr>
        <w:t xml:space="preserve">related REC </w:t>
      </w:r>
      <w:r>
        <w:rPr>
          <w:rFonts w:ascii="Times New Roman" w:hAnsi="Times New Roman" w:cs="Times New Roman"/>
        </w:rPr>
        <w:t>expenses, as has been the case in prior rate cases</w:t>
      </w:r>
      <w:r w:rsidRPr="00FD76EC">
        <w:rPr>
          <w:rFonts w:ascii="Times New Roman" w:hAnsi="Times New Roman" w:cs="Times New Roman"/>
        </w:rPr>
        <w:t xml:space="preserve">.  </w:t>
      </w:r>
      <w:proofErr w:type="gramStart"/>
      <w:r w:rsidR="00FD76EC" w:rsidRPr="00FD76EC">
        <w:rPr>
          <w:rFonts w:ascii="Times New Roman" w:hAnsi="Times New Roman" w:cs="Times New Roman"/>
          <w:bCs/>
        </w:rPr>
        <w:t>In Order 09 in Docket No.</w:t>
      </w:r>
      <w:proofErr w:type="gramEnd"/>
      <w:r w:rsidR="00FD76EC" w:rsidRPr="00FD76EC">
        <w:rPr>
          <w:rFonts w:ascii="Times New Roman" w:hAnsi="Times New Roman" w:cs="Times New Roman"/>
          <w:bCs/>
        </w:rPr>
        <w:t xml:space="preserve"> UE-120436</w:t>
      </w:r>
      <w:r w:rsidR="00CB687A">
        <w:rPr>
          <w:rFonts w:ascii="Times New Roman" w:hAnsi="Times New Roman" w:cs="Times New Roman"/>
          <w:bCs/>
        </w:rPr>
        <w:t>,</w:t>
      </w:r>
      <w:r w:rsidR="00FD76EC" w:rsidRPr="00FD76EC">
        <w:rPr>
          <w:rFonts w:ascii="Times New Roman" w:hAnsi="Times New Roman" w:cs="Times New Roman"/>
          <w:bCs/>
        </w:rPr>
        <w:t xml:space="preserve"> the Commission ordered the Company to separately track all REC revenue and develop a mechanism to return REC revenue to customers.  The Commission also ordered the Company to remove REC revenue from base rates beginning January 1, 2015.</w:t>
      </w:r>
      <w:r w:rsidR="00FD76EC">
        <w:rPr>
          <w:rFonts w:ascii="Times New Roman" w:hAnsi="Times New Roman" w:cs="Times New Roman"/>
        </w:rPr>
        <w:t xml:space="preserve">  </w:t>
      </w:r>
    </w:p>
    <w:p w:rsidR="00BE21E7" w:rsidRPr="00BE21E7" w:rsidRDefault="00FD76EC"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Aside from removing REC revenue and REC</w:t>
      </w:r>
      <w:r w:rsidR="00FD6B49">
        <w:rPr>
          <w:rFonts w:ascii="Times New Roman" w:hAnsi="Times New Roman" w:cs="Times New Roman"/>
        </w:rPr>
        <w:t>-</w:t>
      </w:r>
      <w:r>
        <w:rPr>
          <w:rFonts w:ascii="Times New Roman" w:hAnsi="Times New Roman" w:cs="Times New Roman"/>
        </w:rPr>
        <w:t>related expenses from the pro forma</w:t>
      </w:r>
      <w:r w:rsidR="00FD6B49">
        <w:rPr>
          <w:rFonts w:ascii="Times New Roman" w:hAnsi="Times New Roman" w:cs="Times New Roman"/>
        </w:rPr>
        <w:t>,</w:t>
      </w:r>
      <w:r>
        <w:rPr>
          <w:rFonts w:ascii="Times New Roman" w:hAnsi="Times New Roman" w:cs="Times New Roman"/>
        </w:rPr>
        <w:t xml:space="preserve"> t</w:t>
      </w:r>
      <w:r w:rsidR="00BE21E7"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00BE21E7" w:rsidRPr="00BE21E7">
        <w:rPr>
          <w:rFonts w:ascii="Times New Roman" w:hAnsi="Times New Roman" w:cs="Times New Roman"/>
        </w:rPr>
        <w:t>.</w:t>
      </w:r>
      <w:r w:rsidR="0003296D">
        <w:rPr>
          <w:rFonts w:ascii="Times New Roman" w:hAnsi="Times New Roman" w:cs="Times New Roman"/>
        </w:rPr>
        <w:t xml:space="preserve">  </w:t>
      </w:r>
    </w:p>
    <w:p w:rsid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p>
    <w:p w:rsidR="006E4FC3" w:rsidRPr="00BE21E7" w:rsidRDefault="006E4FC3" w:rsidP="00BE21E7">
      <w:pPr>
        <w:pStyle w:val="TestBody"/>
        <w:tabs>
          <w:tab w:val="num" w:pos="720"/>
        </w:tabs>
        <w:spacing w:line="480" w:lineRule="auto"/>
        <w:ind w:left="0" w:firstLine="720"/>
        <w:rPr>
          <w:rFonts w:ascii="Times New Roman" w:hAnsi="Times New Roman" w:cs="Times New Roman"/>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How </w:t>
      </w:r>
      <w:proofErr w:type="gramStart"/>
      <w:r w:rsidRPr="00BE21E7">
        <w:rPr>
          <w:rFonts w:ascii="Times New Roman" w:hAnsi="Times New Roman" w:cs="Times New Roman"/>
          <w:b/>
          <w:bCs/>
        </w:rPr>
        <w:t>are</w:t>
      </w:r>
      <w:proofErr w:type="gramEnd"/>
      <w:r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49447F" w:rsidRDefault="0049447F"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p>
    <w:p w:rsidR="00BE21E7" w:rsidRPr="00BE21E7" w:rsidRDefault="0049447F" w:rsidP="0049447F">
      <w:pPr>
        <w:pStyle w:val="TestBody"/>
        <w:tabs>
          <w:tab w:val="num" w:pos="0"/>
        </w:tabs>
        <w:spacing w:line="480" w:lineRule="auto"/>
        <w:ind w:left="0" w:firstLine="720"/>
        <w:rPr>
          <w:rFonts w:ascii="Times New Roman" w:hAnsi="Times New Roman" w:cs="Times New Roman"/>
          <w:b/>
        </w:rPr>
      </w:pPr>
      <w:r w:rsidRPr="000945E1">
        <w:rPr>
          <w:rFonts w:ascii="Times New Roman" w:hAnsi="Times New Roman" w:cs="Times New Roman"/>
          <w:b/>
        </w:rPr>
        <w:t>Q.</w:t>
      </w:r>
      <w:r w:rsidRPr="000945E1">
        <w:rPr>
          <w:rFonts w:ascii="Times New Roman" w:hAnsi="Times New Roman" w:cs="Times New Roman"/>
          <w:b/>
        </w:rPr>
        <w:tab/>
      </w:r>
      <w:r w:rsidR="006A26AD" w:rsidRPr="000945E1">
        <w:rPr>
          <w:rFonts w:ascii="Times New Roman" w:hAnsi="Times New Roman" w:cs="Times New Roman"/>
          <w:b/>
        </w:rPr>
        <w:t>Are there</w:t>
      </w:r>
      <w:r w:rsidR="006A26AD">
        <w:rPr>
          <w:rFonts w:ascii="Times New Roman" w:hAnsi="Times New Roman" w:cs="Times New Roman"/>
          <w:b/>
        </w:rPr>
        <w:t xml:space="preserv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393612"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4D5669">
        <w:rPr>
          <w:rFonts w:ascii="Times New Roman" w:hAnsi="Times New Roman" w:cs="Times New Roman"/>
        </w:rPr>
        <w:t>Yes</w:t>
      </w:r>
      <w:r w:rsidRPr="00BE21E7">
        <w:rPr>
          <w:rFonts w:ascii="Times New Roman" w:hAnsi="Times New Roman" w:cs="Times New Roman"/>
        </w:rPr>
        <w:t xml:space="preserve">.  </w:t>
      </w:r>
      <w:r w:rsidR="002D7756">
        <w:rPr>
          <w:rFonts w:ascii="Times New Roman" w:hAnsi="Times New Roman" w:cs="Times New Roman"/>
        </w:rPr>
        <w:t>Four</w:t>
      </w:r>
      <w:r w:rsidR="008F6E74">
        <w:rPr>
          <w:rFonts w:ascii="Times New Roman" w:hAnsi="Times New Roman" w:cs="Times New Roman"/>
        </w:rPr>
        <w:t xml:space="preserve"> power purchase contracts </w:t>
      </w:r>
      <w:r w:rsidR="004B4163">
        <w:rPr>
          <w:rFonts w:ascii="Times New Roman" w:hAnsi="Times New Roman" w:cs="Times New Roman"/>
        </w:rPr>
        <w:t xml:space="preserve">and two sale contracts </w:t>
      </w:r>
      <w:r w:rsidR="008F6E74">
        <w:rPr>
          <w:rFonts w:ascii="Times New Roman" w:hAnsi="Times New Roman" w:cs="Times New Roman"/>
        </w:rPr>
        <w:t>end prior to the 2015 pro forma year.  The S</w:t>
      </w:r>
      <w:r w:rsidR="00393612">
        <w:rPr>
          <w:rFonts w:ascii="Times New Roman" w:hAnsi="Times New Roman" w:cs="Times New Roman"/>
        </w:rPr>
        <w:t>pokane Waste-to-Energy contract</w:t>
      </w:r>
      <w:r w:rsidR="008F6E74">
        <w:rPr>
          <w:rFonts w:ascii="Times New Roman" w:hAnsi="Times New Roman" w:cs="Times New Roman"/>
        </w:rPr>
        <w:t xml:space="preserve"> expires November </w:t>
      </w:r>
      <w:r w:rsidR="0025436C">
        <w:rPr>
          <w:rFonts w:ascii="Times New Roman" w:hAnsi="Times New Roman" w:cs="Times New Roman"/>
        </w:rPr>
        <w:t xml:space="preserve">16, </w:t>
      </w:r>
      <w:r w:rsidR="008F6E74">
        <w:rPr>
          <w:rFonts w:ascii="Times New Roman" w:hAnsi="Times New Roman" w:cs="Times New Roman"/>
        </w:rPr>
        <w:t xml:space="preserve">2014, and the Stateline Wind contract expires March </w:t>
      </w:r>
      <w:r w:rsidR="0025436C">
        <w:rPr>
          <w:rFonts w:ascii="Times New Roman" w:hAnsi="Times New Roman" w:cs="Times New Roman"/>
        </w:rPr>
        <w:t xml:space="preserve">31, </w:t>
      </w:r>
      <w:r w:rsidR="008F6E74">
        <w:rPr>
          <w:rFonts w:ascii="Times New Roman" w:hAnsi="Times New Roman" w:cs="Times New Roman"/>
        </w:rPr>
        <w:t xml:space="preserve">2014.  </w:t>
      </w:r>
      <w:r w:rsidR="006316F4">
        <w:rPr>
          <w:rFonts w:ascii="Times New Roman" w:hAnsi="Times New Roman" w:cs="Times New Roman"/>
        </w:rPr>
        <w:t>The Wast</w:t>
      </w:r>
      <w:r w:rsidR="004D52D2">
        <w:rPr>
          <w:rFonts w:ascii="Times New Roman" w:hAnsi="Times New Roman" w:cs="Times New Roman"/>
        </w:rPr>
        <w:t>e</w:t>
      </w:r>
      <w:r w:rsidR="006316F4">
        <w:rPr>
          <w:rFonts w:ascii="Times New Roman" w:hAnsi="Times New Roman" w:cs="Times New Roman"/>
        </w:rPr>
        <w:t xml:space="preserve">-to-Energy purchase </w:t>
      </w:r>
      <w:r w:rsidR="00647807">
        <w:rPr>
          <w:rFonts w:ascii="Times New Roman" w:hAnsi="Times New Roman" w:cs="Times New Roman"/>
        </w:rPr>
        <w:t>provided 16.1</w:t>
      </w:r>
      <w:r w:rsidR="006316F4">
        <w:rPr>
          <w:rFonts w:ascii="Times New Roman" w:hAnsi="Times New Roman" w:cs="Times New Roman"/>
        </w:rPr>
        <w:t xml:space="preserve"> aMW of energy during the test-year. </w:t>
      </w:r>
      <w:r w:rsidR="00393612">
        <w:rPr>
          <w:rFonts w:ascii="Times New Roman" w:hAnsi="Times New Roman" w:cs="Times New Roman"/>
        </w:rPr>
        <w:t>It is likely that there will be a new Wast</w:t>
      </w:r>
      <w:r w:rsidR="002562C3">
        <w:rPr>
          <w:rFonts w:ascii="Times New Roman" w:hAnsi="Times New Roman" w:cs="Times New Roman"/>
        </w:rPr>
        <w:t>e</w:t>
      </w:r>
      <w:r w:rsidR="00393612">
        <w:rPr>
          <w:rFonts w:ascii="Times New Roman" w:hAnsi="Times New Roman" w:cs="Times New Roman"/>
        </w:rPr>
        <w:t>-to-Energy purch</w:t>
      </w:r>
      <w:r w:rsidR="002562C3">
        <w:rPr>
          <w:rFonts w:ascii="Times New Roman" w:hAnsi="Times New Roman" w:cs="Times New Roman"/>
        </w:rPr>
        <w:t>a</w:t>
      </w:r>
      <w:r w:rsidR="00393612">
        <w:rPr>
          <w:rFonts w:ascii="Times New Roman" w:hAnsi="Times New Roman" w:cs="Times New Roman"/>
        </w:rPr>
        <w:t xml:space="preserve">se </w:t>
      </w:r>
      <w:r w:rsidR="0025436C">
        <w:rPr>
          <w:rFonts w:ascii="Times New Roman" w:hAnsi="Times New Roman" w:cs="Times New Roman"/>
        </w:rPr>
        <w:t>and the details will be known sometime in 2014</w:t>
      </w:r>
      <w:r w:rsidR="002562C3">
        <w:rPr>
          <w:rFonts w:ascii="Times New Roman" w:hAnsi="Times New Roman" w:cs="Times New Roman"/>
        </w:rPr>
        <w:t xml:space="preserve">.  </w:t>
      </w:r>
      <w:r w:rsidR="006316F4">
        <w:rPr>
          <w:rFonts w:ascii="Times New Roman" w:hAnsi="Times New Roman" w:cs="Times New Roman"/>
        </w:rPr>
        <w:t>The Stateline Wind purchase provided 8.7 aMW of energy during the test-year</w:t>
      </w:r>
      <w:r w:rsidR="008A5BC6">
        <w:rPr>
          <w:rFonts w:ascii="Times New Roman" w:hAnsi="Times New Roman" w:cs="Times New Roman"/>
        </w:rPr>
        <w:t xml:space="preserve">.  </w:t>
      </w:r>
    </w:p>
    <w:p w:rsidR="002562C3" w:rsidRDefault="002562C3"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Two other contracts that expire in 2014 are the Rocky Reach/Rock Island purchase and the Wells Colville Share purchase.  The Rocky Reach/Rock Island purchase is a 5-year purchase of a 3% slice of Rocky Reach and Rock Island hydroelectric dams owned by Chelan PUD that expires December 31, 2014.  The Wells Co</w:t>
      </w:r>
      <w:r w:rsidR="00E94F2D">
        <w:rPr>
          <w:rFonts w:ascii="Times New Roman" w:hAnsi="Times New Roman" w:cs="Times New Roman"/>
        </w:rPr>
        <w:t>l</w:t>
      </w:r>
      <w:r>
        <w:rPr>
          <w:rFonts w:ascii="Times New Roman" w:hAnsi="Times New Roman" w:cs="Times New Roman"/>
        </w:rPr>
        <w:t xml:space="preserve">ville Share purchase is 21-month purchase of the </w:t>
      </w:r>
      <w:r w:rsidR="00C43FEC">
        <w:rPr>
          <w:rFonts w:ascii="Times New Roman" w:hAnsi="Times New Roman" w:cs="Times New Roman"/>
        </w:rPr>
        <w:t>Colville</w:t>
      </w:r>
      <w:r>
        <w:rPr>
          <w:rFonts w:ascii="Times New Roman" w:hAnsi="Times New Roman" w:cs="Times New Roman"/>
        </w:rPr>
        <w:t xml:space="preserve"> Tribe’s 4.5% share of the Wells hydroelectric dam owned by Douglas PUD that expires September 30, 2014.   Together these two contracts provide A</w:t>
      </w:r>
      <w:r w:rsidR="004B4163">
        <w:rPr>
          <w:rFonts w:ascii="Times New Roman" w:hAnsi="Times New Roman" w:cs="Times New Roman"/>
        </w:rPr>
        <w:t xml:space="preserve">vista with </w:t>
      </w:r>
      <w:r w:rsidR="0025436C">
        <w:rPr>
          <w:rFonts w:ascii="Times New Roman" w:hAnsi="Times New Roman" w:cs="Times New Roman"/>
        </w:rPr>
        <w:t>approximately</w:t>
      </w:r>
      <w:r w:rsidR="004B4163">
        <w:rPr>
          <w:rFonts w:ascii="Times New Roman" w:hAnsi="Times New Roman" w:cs="Times New Roman"/>
        </w:rPr>
        <w:t xml:space="preserve"> 109 MW of Mid-</w:t>
      </w:r>
      <w:r>
        <w:rPr>
          <w:rFonts w:ascii="Times New Roman" w:hAnsi="Times New Roman" w:cs="Times New Roman"/>
        </w:rPr>
        <w:t xml:space="preserve">Columbia </w:t>
      </w:r>
      <w:proofErr w:type="gramStart"/>
      <w:r>
        <w:rPr>
          <w:rFonts w:ascii="Times New Roman" w:hAnsi="Times New Roman" w:cs="Times New Roman"/>
        </w:rPr>
        <w:t>capacity</w:t>
      </w:r>
      <w:proofErr w:type="gramEnd"/>
      <w:r w:rsidR="00D61654">
        <w:rPr>
          <w:rFonts w:ascii="Times New Roman" w:hAnsi="Times New Roman" w:cs="Times New Roman"/>
        </w:rPr>
        <w:t>.  Avis</w:t>
      </w:r>
      <w:r w:rsidR="001D2067">
        <w:rPr>
          <w:rFonts w:ascii="Times New Roman" w:hAnsi="Times New Roman" w:cs="Times New Roman"/>
        </w:rPr>
        <w:t>ta uses this capacity along with additional Mid Col</w:t>
      </w:r>
      <w:r w:rsidR="0047521C">
        <w:rPr>
          <w:rFonts w:ascii="Times New Roman" w:hAnsi="Times New Roman" w:cs="Times New Roman"/>
        </w:rPr>
        <w:t>u</w:t>
      </w:r>
      <w:r w:rsidR="001D2067">
        <w:rPr>
          <w:rFonts w:ascii="Times New Roman" w:hAnsi="Times New Roman" w:cs="Times New Roman"/>
        </w:rPr>
        <w:t xml:space="preserve">mbia capacity purchased from Grant </w:t>
      </w:r>
      <w:r w:rsidR="0025436C">
        <w:rPr>
          <w:rFonts w:ascii="Times New Roman" w:hAnsi="Times New Roman" w:cs="Times New Roman"/>
        </w:rPr>
        <w:t xml:space="preserve">and Douglas </w:t>
      </w:r>
      <w:r w:rsidR="001D2067">
        <w:rPr>
          <w:rFonts w:ascii="Times New Roman" w:hAnsi="Times New Roman" w:cs="Times New Roman"/>
        </w:rPr>
        <w:t xml:space="preserve">PUD to meet load regulation/load following requirements during most of the year.  The purchase of </w:t>
      </w:r>
      <w:r w:rsidR="001D2067">
        <w:rPr>
          <w:rFonts w:ascii="Times New Roman" w:hAnsi="Times New Roman" w:cs="Times New Roman"/>
        </w:rPr>
        <w:lastRenderedPageBreak/>
        <w:t>Mid Col</w:t>
      </w:r>
      <w:r w:rsidR="0047521C">
        <w:rPr>
          <w:rFonts w:ascii="Times New Roman" w:hAnsi="Times New Roman" w:cs="Times New Roman"/>
        </w:rPr>
        <w:t>u</w:t>
      </w:r>
      <w:r w:rsidR="001D2067">
        <w:rPr>
          <w:rFonts w:ascii="Times New Roman" w:hAnsi="Times New Roman" w:cs="Times New Roman"/>
        </w:rPr>
        <w:t xml:space="preserve">mbia capacity allows the company to more efficiently operate its own hydro facilities and makes possible the sale of load regulation services to other entities.  </w:t>
      </w:r>
    </w:p>
    <w:p w:rsidR="00D61654" w:rsidRDefault="00D61654"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Chelan PU</w:t>
      </w:r>
      <w:r w:rsidR="004B4163">
        <w:rPr>
          <w:rFonts w:ascii="Times New Roman" w:hAnsi="Times New Roman" w:cs="Times New Roman"/>
        </w:rPr>
        <w:t>D and the Colville Tribe use an</w:t>
      </w:r>
      <w:r>
        <w:rPr>
          <w:rFonts w:ascii="Times New Roman" w:hAnsi="Times New Roman" w:cs="Times New Roman"/>
        </w:rPr>
        <w:t xml:space="preserve"> </w:t>
      </w:r>
      <w:r w:rsidR="00044806">
        <w:rPr>
          <w:rFonts w:ascii="Times New Roman" w:hAnsi="Times New Roman" w:cs="Times New Roman"/>
        </w:rPr>
        <w:t>auction process to sell the Mid-</w:t>
      </w:r>
      <w:r>
        <w:rPr>
          <w:rFonts w:ascii="Times New Roman" w:hAnsi="Times New Roman" w:cs="Times New Roman"/>
        </w:rPr>
        <w:t>Columbia slice products.  These auctions for product available in the 2015 pro forma year will be held in 2014</w:t>
      </w:r>
      <w:r w:rsidR="000945E1">
        <w:rPr>
          <w:rFonts w:ascii="Times New Roman" w:hAnsi="Times New Roman" w:cs="Times New Roman"/>
        </w:rPr>
        <w:t>, and Avista will participate in the auction process</w:t>
      </w:r>
      <w:r>
        <w:rPr>
          <w:rFonts w:ascii="Times New Roman" w:hAnsi="Times New Roman" w:cs="Times New Roman"/>
        </w:rPr>
        <w:t>.  The pro forma includes anticipate</w:t>
      </w:r>
      <w:r w:rsidR="00460A0B">
        <w:rPr>
          <w:rFonts w:ascii="Times New Roman" w:hAnsi="Times New Roman" w:cs="Times New Roman"/>
        </w:rPr>
        <w:t>s</w:t>
      </w:r>
      <w:r>
        <w:rPr>
          <w:rFonts w:ascii="Times New Roman" w:hAnsi="Times New Roman" w:cs="Times New Roman"/>
        </w:rPr>
        <w:t xml:space="preserve"> purchases from Chelan and the Colville Tribe for the same </w:t>
      </w:r>
      <w:r w:rsidR="00460A0B">
        <w:rPr>
          <w:rFonts w:ascii="Times New Roman" w:hAnsi="Times New Roman" w:cs="Times New Roman"/>
        </w:rPr>
        <w:t>percentage of plant capacity as was</w:t>
      </w:r>
      <w:r>
        <w:rPr>
          <w:rFonts w:ascii="Times New Roman" w:hAnsi="Times New Roman" w:cs="Times New Roman"/>
        </w:rPr>
        <w:t xml:space="preserve"> purchased in the test-year.  The pro forma contains an estimated price for these purchases</w:t>
      </w:r>
      <w:r w:rsidR="004B4163">
        <w:rPr>
          <w:rFonts w:ascii="Times New Roman" w:hAnsi="Times New Roman" w:cs="Times New Roman"/>
        </w:rPr>
        <w:t>.  T</w:t>
      </w:r>
      <w:r>
        <w:rPr>
          <w:rFonts w:ascii="Times New Roman" w:hAnsi="Times New Roman" w:cs="Times New Roman"/>
        </w:rPr>
        <w:t>he actual price for these purchases will be known before January 1, 2015 and the actual expense can be updated before then.</w:t>
      </w:r>
    </w:p>
    <w:p w:rsidR="00BE21E7" w:rsidRDefault="008F6E74" w:rsidP="00BE21E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On the sale</w:t>
      </w:r>
      <w:r w:rsidR="00FD76EC">
        <w:rPr>
          <w:rFonts w:ascii="Times New Roman" w:hAnsi="Times New Roman" w:cs="Times New Roman"/>
        </w:rPr>
        <w:t>s</w:t>
      </w:r>
      <w:r>
        <w:rPr>
          <w:rFonts w:ascii="Times New Roman" w:hAnsi="Times New Roman" w:cs="Times New Roman"/>
        </w:rPr>
        <w:t xml:space="preserve"> side</w:t>
      </w:r>
      <w:r w:rsidR="00FD76EC">
        <w:rPr>
          <w:rFonts w:ascii="Times New Roman" w:hAnsi="Times New Roman" w:cs="Times New Roman"/>
        </w:rPr>
        <w:t>,</w:t>
      </w:r>
      <w:r>
        <w:rPr>
          <w:rFonts w:ascii="Times New Roman" w:hAnsi="Times New Roman" w:cs="Times New Roman"/>
        </w:rPr>
        <w:t xml:space="preserve"> the Pend </w:t>
      </w:r>
      <w:r w:rsidR="00C43FEC">
        <w:rPr>
          <w:rFonts w:ascii="Times New Roman" w:hAnsi="Times New Roman" w:cs="Times New Roman"/>
        </w:rPr>
        <w:t>Oreille</w:t>
      </w:r>
      <w:r>
        <w:rPr>
          <w:rFonts w:ascii="Times New Roman" w:hAnsi="Times New Roman" w:cs="Times New Roman"/>
        </w:rPr>
        <w:t xml:space="preserve"> contract expires September 2014 and the Sacramento Municipal Utility District (SMUD) contract expires December 2014.  The company is negotiating with P</w:t>
      </w:r>
      <w:r w:rsidR="009373A5">
        <w:rPr>
          <w:rFonts w:ascii="Times New Roman" w:hAnsi="Times New Roman" w:cs="Times New Roman"/>
        </w:rPr>
        <w:t xml:space="preserve">end </w:t>
      </w:r>
      <w:r w:rsidR="00C43FEC">
        <w:rPr>
          <w:rFonts w:ascii="Times New Roman" w:hAnsi="Times New Roman" w:cs="Times New Roman"/>
        </w:rPr>
        <w:t>Oreille</w:t>
      </w:r>
      <w:r w:rsidR="009373A5">
        <w:rPr>
          <w:rFonts w:ascii="Times New Roman" w:hAnsi="Times New Roman" w:cs="Times New Roman"/>
        </w:rPr>
        <w:t xml:space="preserve"> for a new contract and</w:t>
      </w:r>
      <w:r>
        <w:rPr>
          <w:rFonts w:ascii="Times New Roman" w:hAnsi="Times New Roman" w:cs="Times New Roman"/>
        </w:rPr>
        <w:t xml:space="preserve"> the pro forma includes revenues equal to the test-year.  The pro forma doesn’t include any SMUD revenue, but also doesn’t include the energy obligation of the SMUD contract that existed in the test-year.  </w:t>
      </w:r>
      <w:r w:rsidR="004B4163">
        <w:rPr>
          <w:rFonts w:ascii="Times New Roman" w:hAnsi="Times New Roman" w:cs="Times New Roman"/>
        </w:rPr>
        <w:t xml:space="preserve">Pro forma revenue included in the SMUD contract line item is based on </w:t>
      </w:r>
      <w:r w:rsidR="00F743C5">
        <w:rPr>
          <w:rFonts w:ascii="Times New Roman" w:hAnsi="Times New Roman" w:cs="Times New Roman"/>
        </w:rPr>
        <w:t xml:space="preserve">the COB minus Mid C price spread utilizing the PGE COB transmission.  </w:t>
      </w:r>
    </w:p>
    <w:p w:rsidR="000945E1" w:rsidRDefault="000945E1" w:rsidP="008527AD">
      <w:pPr>
        <w:pStyle w:val="TestBody"/>
        <w:tabs>
          <w:tab w:val="num" w:pos="72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w:t>
      </w:r>
      <w:r w:rsidRPr="00BE21E7">
        <w:rPr>
          <w:rFonts w:ascii="Times New Roman" w:hAnsi="Times New Roman" w:cs="Times New Roman"/>
        </w:rPr>
        <w:lastRenderedPageBreak/>
        <w:t xml:space="preserve">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4B4163" w:rsidRPr="004B4163">
        <w:rPr>
          <w:rFonts w:ascii="Times New Roman" w:hAnsi="Times New Roman" w:cs="Times New Roman"/>
        </w:rPr>
        <w:t xml:space="preserve">late </w:t>
      </w:r>
      <w:r w:rsidR="005A6D43" w:rsidRPr="004B4163">
        <w:rPr>
          <w:rFonts w:ascii="Times New Roman" w:hAnsi="Times New Roman" w:cs="Times New Roman"/>
        </w:rPr>
        <w:t>201</w:t>
      </w:r>
      <w:r w:rsidR="00BB1045" w:rsidRPr="004B4163">
        <w:rPr>
          <w:rFonts w:ascii="Times New Roman" w:hAnsi="Times New Roman" w:cs="Times New Roman"/>
        </w:rPr>
        <w:t>3</w:t>
      </w:r>
      <w:r w:rsidR="007C4511">
        <w:rPr>
          <w:rFonts w:ascii="Times New Roman" w:hAnsi="Times New Roman" w:cs="Times New Roman"/>
        </w:rPr>
        <w:t xml:space="preserve"> for the 201</w:t>
      </w:r>
      <w:r w:rsidR="00BB1045">
        <w:rPr>
          <w:rFonts w:ascii="Times New Roman" w:hAnsi="Times New Roman" w:cs="Times New Roman"/>
        </w:rPr>
        <w:t>5</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p>
    <w:p w:rsidR="000945E1" w:rsidRDefault="000945E1" w:rsidP="008527AD">
      <w:pPr>
        <w:pStyle w:val="TestBody"/>
        <w:tabs>
          <w:tab w:val="num" w:pos="0"/>
        </w:tabs>
        <w:spacing w:line="480" w:lineRule="auto"/>
        <w:ind w:left="0" w:firstLine="0"/>
        <w:rPr>
          <w:rFonts w:ascii="Times New Roman" w:hAnsi="Times New Roman" w:cs="Times New Roman"/>
          <w:b/>
          <w:bCs/>
          <w:u w:val="single"/>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6E4FC3" w:rsidRPr="00BE21E7" w:rsidRDefault="006E4FC3" w:rsidP="00BE21E7">
      <w:pPr>
        <w:pStyle w:val="TestBody"/>
        <w:tabs>
          <w:tab w:val="num" w:pos="0"/>
        </w:tabs>
        <w:spacing w:line="480" w:lineRule="auto"/>
        <w:ind w:left="0" w:firstLine="720"/>
        <w:rPr>
          <w:rFonts w:ascii="Times New Roman" w:hAnsi="Times New Roman" w:cs="Times New Roman"/>
        </w:rPr>
      </w:pP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5834BD"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F34816">
        <w:rPr>
          <w:rFonts w:ascii="Times New Roman" w:hAnsi="Times New Roman" w:cs="Times New Roman"/>
        </w:rPr>
        <w:t>biggest change is the reduction in transmission purchase</w:t>
      </w:r>
      <w:r w:rsidR="00BB1045">
        <w:rPr>
          <w:rFonts w:ascii="Times New Roman" w:hAnsi="Times New Roman" w:cs="Times New Roman"/>
        </w:rPr>
        <w:t>d</w:t>
      </w:r>
      <w:r w:rsidR="00F34816">
        <w:rPr>
          <w:rFonts w:ascii="Times New Roman" w:hAnsi="Times New Roman" w:cs="Times New Roman"/>
        </w:rPr>
        <w:t xml:space="preserve"> for the Lancaster plant.  Currently </w:t>
      </w:r>
      <w:r w:rsidR="00647807">
        <w:rPr>
          <w:rFonts w:ascii="Times New Roman" w:hAnsi="Times New Roman" w:cs="Times New Roman"/>
        </w:rPr>
        <w:t>the Company</w:t>
      </w:r>
      <w:r w:rsidR="00F34816">
        <w:rPr>
          <w:rFonts w:ascii="Times New Roman" w:hAnsi="Times New Roman" w:cs="Times New Roman"/>
        </w:rPr>
        <w:t xml:space="preserve"> purchases 250 MW of BPA point-to-point </w:t>
      </w:r>
      <w:proofErr w:type="gramStart"/>
      <w:r w:rsidR="00F34816">
        <w:rPr>
          <w:rFonts w:ascii="Times New Roman" w:hAnsi="Times New Roman" w:cs="Times New Roman"/>
        </w:rPr>
        <w:t>transm</w:t>
      </w:r>
      <w:r w:rsidR="004B4163">
        <w:rPr>
          <w:rFonts w:ascii="Times New Roman" w:hAnsi="Times New Roman" w:cs="Times New Roman"/>
        </w:rPr>
        <w:t>i</w:t>
      </w:r>
      <w:r w:rsidR="0053057E">
        <w:rPr>
          <w:rFonts w:ascii="Times New Roman" w:hAnsi="Times New Roman" w:cs="Times New Roman"/>
        </w:rPr>
        <w:t>s</w:t>
      </w:r>
      <w:r w:rsidR="004B4163">
        <w:rPr>
          <w:rFonts w:ascii="Times New Roman" w:hAnsi="Times New Roman" w:cs="Times New Roman"/>
        </w:rPr>
        <w:t>s</w:t>
      </w:r>
      <w:r w:rsidR="00F34816">
        <w:rPr>
          <w:rFonts w:ascii="Times New Roman" w:hAnsi="Times New Roman" w:cs="Times New Roman"/>
        </w:rPr>
        <w:t>ion</w:t>
      </w:r>
      <w:proofErr w:type="gramEnd"/>
      <w:r w:rsidR="00F34816">
        <w:rPr>
          <w:rFonts w:ascii="Times New Roman" w:hAnsi="Times New Roman" w:cs="Times New Roman"/>
        </w:rPr>
        <w:t xml:space="preserve"> to move Lancaster Generation to the </w:t>
      </w:r>
      <w:r w:rsidR="004A135E">
        <w:rPr>
          <w:rFonts w:ascii="Times New Roman" w:hAnsi="Times New Roman" w:cs="Times New Roman"/>
        </w:rPr>
        <w:t>C</w:t>
      </w:r>
      <w:r w:rsidR="00F34816">
        <w:rPr>
          <w:rFonts w:ascii="Times New Roman" w:hAnsi="Times New Roman" w:cs="Times New Roman"/>
        </w:rPr>
        <w:t>ompany’s system.  On December 13, 20</w:t>
      </w:r>
      <w:r w:rsidR="00FD76EC">
        <w:rPr>
          <w:rFonts w:ascii="Times New Roman" w:hAnsi="Times New Roman" w:cs="Times New Roman"/>
        </w:rPr>
        <w:t>1</w:t>
      </w:r>
      <w:r w:rsidR="00F34816">
        <w:rPr>
          <w:rFonts w:ascii="Times New Roman" w:hAnsi="Times New Roman" w:cs="Times New Roman"/>
        </w:rPr>
        <w:t>3</w:t>
      </w:r>
      <w:r w:rsidR="00460A0B">
        <w:rPr>
          <w:rFonts w:ascii="Times New Roman" w:hAnsi="Times New Roman" w:cs="Times New Roman"/>
        </w:rPr>
        <w:t>,</w:t>
      </w:r>
      <w:r w:rsidR="00F34816">
        <w:rPr>
          <w:rFonts w:ascii="Times New Roman" w:hAnsi="Times New Roman" w:cs="Times New Roman"/>
        </w:rPr>
        <w:t xml:space="preserve"> the Lancaster </w:t>
      </w:r>
      <w:r w:rsidR="00044806">
        <w:rPr>
          <w:rFonts w:ascii="Times New Roman" w:hAnsi="Times New Roman" w:cs="Times New Roman"/>
        </w:rPr>
        <w:t>substation became a point of interconnection</w:t>
      </w:r>
      <w:r w:rsidR="00F34816">
        <w:rPr>
          <w:rFonts w:ascii="Times New Roman" w:hAnsi="Times New Roman" w:cs="Times New Roman"/>
        </w:rPr>
        <w:t xml:space="preserve"> to Avista’s transmission system, eliminatin</w:t>
      </w:r>
      <w:r w:rsidR="00044806">
        <w:rPr>
          <w:rFonts w:ascii="Times New Roman" w:hAnsi="Times New Roman" w:cs="Times New Roman"/>
        </w:rPr>
        <w:t>g the need for BPA transmission for Lancaster.</w:t>
      </w:r>
      <w:r w:rsidR="00F34816">
        <w:rPr>
          <w:rFonts w:ascii="Times New Roman" w:hAnsi="Times New Roman" w:cs="Times New Roman"/>
        </w:rPr>
        <w:t xml:space="preserve">  Avista’s </w:t>
      </w:r>
      <w:r w:rsidR="00044806">
        <w:rPr>
          <w:rFonts w:ascii="Times New Roman" w:hAnsi="Times New Roman" w:cs="Times New Roman"/>
        </w:rPr>
        <w:t xml:space="preserve">Lancaster </w:t>
      </w:r>
      <w:r w:rsidR="00F34816">
        <w:rPr>
          <w:rFonts w:ascii="Times New Roman" w:hAnsi="Times New Roman" w:cs="Times New Roman"/>
        </w:rPr>
        <w:t>transmission contracts with BPA allowed for the termination of 150 MW of the 25</w:t>
      </w:r>
      <w:r w:rsidR="0053057E">
        <w:rPr>
          <w:rFonts w:ascii="Times New Roman" w:hAnsi="Times New Roman" w:cs="Times New Roman"/>
        </w:rPr>
        <w:t>0 MW of transmission with a two-</w:t>
      </w:r>
      <w:r w:rsidR="00F34816">
        <w:rPr>
          <w:rFonts w:ascii="Times New Roman" w:hAnsi="Times New Roman" w:cs="Times New Roman"/>
        </w:rPr>
        <w:t>year notice.  The termination notice was give</w:t>
      </w:r>
      <w:r w:rsidR="005834BD">
        <w:rPr>
          <w:rFonts w:ascii="Times New Roman" w:hAnsi="Times New Roman" w:cs="Times New Roman"/>
        </w:rPr>
        <w:t xml:space="preserve">n to BPA on August 31, 2012, when the </w:t>
      </w:r>
      <w:r w:rsidR="004A135E">
        <w:rPr>
          <w:rFonts w:ascii="Times New Roman" w:hAnsi="Times New Roman" w:cs="Times New Roman"/>
        </w:rPr>
        <w:t xml:space="preserve">Company </w:t>
      </w:r>
      <w:r w:rsidR="005834BD">
        <w:rPr>
          <w:rFonts w:ascii="Times New Roman" w:hAnsi="Times New Roman" w:cs="Times New Roman"/>
        </w:rPr>
        <w:t xml:space="preserve">had confirmation that the interconnection to Avista’s system was to be completed by the end of 2013.  </w:t>
      </w:r>
    </w:p>
    <w:p w:rsidR="00BE21E7" w:rsidRDefault="005834BD" w:rsidP="00BE21E7">
      <w:pPr>
        <w:pStyle w:val="TestBody"/>
        <w:spacing w:line="480" w:lineRule="auto"/>
        <w:ind w:left="0" w:firstLine="720"/>
        <w:rPr>
          <w:rFonts w:ascii="Times New Roman" w:hAnsi="Times New Roman" w:cs="Times New Roman"/>
        </w:rPr>
      </w:pPr>
      <w:r>
        <w:rPr>
          <w:rFonts w:ascii="Times New Roman" w:hAnsi="Times New Roman" w:cs="Times New Roman"/>
        </w:rPr>
        <w:t>Other than that significant reduction in transmission expense for Lancaster</w:t>
      </w:r>
      <w:r w:rsidR="004A135E">
        <w:rPr>
          <w:rFonts w:ascii="Times New Roman" w:hAnsi="Times New Roman" w:cs="Times New Roman"/>
        </w:rPr>
        <w:t>,</w:t>
      </w:r>
      <w:r>
        <w:rPr>
          <w:rFonts w:ascii="Times New Roman" w:hAnsi="Times New Roman" w:cs="Times New Roman"/>
        </w:rPr>
        <w:t xml:space="preserve"> there</w:t>
      </w:r>
      <w:r w:rsidR="005A6D43">
        <w:rPr>
          <w:rFonts w:ascii="Times New Roman" w:hAnsi="Times New Roman" w:cs="Times New Roman"/>
        </w:rPr>
        <w:t xml:space="preserve"> are some increases in </w:t>
      </w:r>
      <w:r w:rsidR="005845F1">
        <w:rPr>
          <w:rFonts w:ascii="Times New Roman" w:hAnsi="Times New Roman" w:cs="Times New Roman"/>
        </w:rPr>
        <w:t xml:space="preserve">point-to-point and </w:t>
      </w:r>
      <w:r>
        <w:rPr>
          <w:rFonts w:ascii="Times New Roman" w:hAnsi="Times New Roman" w:cs="Times New Roman"/>
        </w:rPr>
        <w:t>other</w:t>
      </w:r>
      <w:r w:rsidR="005A6D43">
        <w:rPr>
          <w:rFonts w:ascii="Times New Roman" w:hAnsi="Times New Roman" w:cs="Times New Roman"/>
        </w:rPr>
        <w:t xml:space="preserve"> BPA transmission exp</w:t>
      </w:r>
      <w:r>
        <w:rPr>
          <w:rFonts w:ascii="Times New Roman" w:hAnsi="Times New Roman" w:cs="Times New Roman"/>
        </w:rPr>
        <w:t>enses due to rate increases that went into effect on October, 1, 2013</w:t>
      </w:r>
      <w:r w:rsidR="00F34816">
        <w:rPr>
          <w:rFonts w:ascii="Times New Roman" w:hAnsi="Times New Roman" w:cs="Times New Roman"/>
        </w:rPr>
        <w:t>.</w:t>
      </w:r>
      <w:r w:rsidR="005A6D43">
        <w:rPr>
          <w:rFonts w:ascii="Times New Roman" w:hAnsi="Times New Roman" w:cs="Times New Roman"/>
        </w:rPr>
        <w:t xml:space="preserve"> </w:t>
      </w:r>
    </w:p>
    <w:p w:rsidR="000945E1" w:rsidRDefault="000945E1" w:rsidP="00904869">
      <w:pPr>
        <w:pStyle w:val="TestBody"/>
        <w:tabs>
          <w:tab w:val="num" w:pos="0"/>
        </w:tabs>
        <w:spacing w:line="480" w:lineRule="auto"/>
        <w:ind w:left="0" w:firstLine="0"/>
        <w:rPr>
          <w:rFonts w:ascii="Times New Roman" w:hAnsi="Times New Roman" w:cs="Times New Roman"/>
          <w:b/>
          <w:bCs/>
          <w:u w:val="single"/>
        </w:rPr>
      </w:pP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 witness Andrews</w:t>
      </w:r>
      <w:r>
        <w:rPr>
          <w:rFonts w:ascii="Times New Roman" w:hAnsi="Times New Roman" w:cs="Times New Roman"/>
          <w:b/>
          <w:bCs/>
        </w:rPr>
        <w:t>.</w:t>
      </w:r>
    </w:p>
    <w:p w:rsidR="00904869" w:rsidRPr="00BE21E7" w:rsidRDefault="00904869" w:rsidP="00904869">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The proposed pro forma power supply expense as shown in Exhibit No. ___(WGJ-2) is a $</w:t>
      </w:r>
      <w:r w:rsidR="00C97820">
        <w:rPr>
          <w:rFonts w:ascii="Times New Roman" w:hAnsi="Times New Roman" w:cs="Times New Roman"/>
        </w:rPr>
        <w:t>21,</w:t>
      </w:r>
      <w:r w:rsidR="00C55E1F">
        <w:rPr>
          <w:rFonts w:ascii="Times New Roman" w:hAnsi="Times New Roman" w:cs="Times New Roman"/>
        </w:rPr>
        <w:t>568</w:t>
      </w:r>
      <w:r>
        <w:rPr>
          <w:rFonts w:ascii="Times New Roman" w:hAnsi="Times New Roman" w:cs="Times New Roman"/>
        </w:rPr>
        <w:t xml:space="preserve">,000 reduction in expense on a system basis </w:t>
      </w:r>
      <w:r w:rsidRPr="00C97820">
        <w:rPr>
          <w:rFonts w:ascii="Times New Roman" w:hAnsi="Times New Roman" w:cs="Times New Roman"/>
        </w:rPr>
        <w:t>($</w:t>
      </w:r>
      <w:r w:rsidR="00C97820" w:rsidRPr="00C97820">
        <w:rPr>
          <w:rFonts w:ascii="Times New Roman" w:hAnsi="Times New Roman" w:cs="Times New Roman"/>
        </w:rPr>
        <w:t>1</w:t>
      </w:r>
      <w:r w:rsidRPr="00C97820">
        <w:rPr>
          <w:rFonts w:ascii="Times New Roman" w:hAnsi="Times New Roman" w:cs="Times New Roman"/>
        </w:rPr>
        <w:t>4,</w:t>
      </w:r>
      <w:r w:rsidR="00C55E1F">
        <w:rPr>
          <w:rFonts w:ascii="Times New Roman" w:hAnsi="Times New Roman" w:cs="Times New Roman"/>
        </w:rPr>
        <w:t>021</w:t>
      </w:r>
      <w:r w:rsidRPr="00C97820">
        <w:rPr>
          <w:rFonts w:ascii="Times New Roman" w:hAnsi="Times New Roman" w:cs="Times New Roman"/>
        </w:rPr>
        <w:t>,</w:t>
      </w:r>
      <w:r w:rsidR="00C55E1F">
        <w:rPr>
          <w:rFonts w:ascii="Times New Roman" w:hAnsi="Times New Roman" w:cs="Times New Roman"/>
        </w:rPr>
        <w:t>357</w:t>
      </w:r>
      <w:r>
        <w:rPr>
          <w:rFonts w:ascii="Times New Roman" w:hAnsi="Times New Roman" w:cs="Times New Roman"/>
        </w:rPr>
        <w:t xml:space="preserve"> Washington allocation) from </w:t>
      </w:r>
      <w:r w:rsidR="00C97820">
        <w:rPr>
          <w:rFonts w:ascii="Times New Roman" w:hAnsi="Times New Roman" w:cs="Times New Roman"/>
        </w:rPr>
        <w:t xml:space="preserve">the July 2012 through June 2103 </w:t>
      </w:r>
      <w:r>
        <w:rPr>
          <w:rFonts w:ascii="Times New Roman" w:hAnsi="Times New Roman" w:cs="Times New Roman"/>
        </w:rPr>
        <w:t>test-year expense and a $</w:t>
      </w:r>
      <w:r w:rsidR="00C55E1F">
        <w:rPr>
          <w:rFonts w:ascii="Times New Roman" w:hAnsi="Times New Roman" w:cs="Times New Roman"/>
        </w:rPr>
        <w:t>9</w:t>
      </w:r>
      <w:r w:rsidR="00C97820">
        <w:rPr>
          <w:rFonts w:ascii="Times New Roman" w:hAnsi="Times New Roman" w:cs="Times New Roman"/>
        </w:rPr>
        <w:t>,</w:t>
      </w:r>
      <w:r w:rsidR="00C55E1F">
        <w:rPr>
          <w:rFonts w:ascii="Times New Roman" w:hAnsi="Times New Roman" w:cs="Times New Roman"/>
        </w:rPr>
        <w:t>936</w:t>
      </w:r>
      <w:r>
        <w:rPr>
          <w:rFonts w:ascii="Times New Roman" w:hAnsi="Times New Roman" w:cs="Times New Roman"/>
        </w:rPr>
        <w:t xml:space="preserve">,000 </w:t>
      </w:r>
      <w:r w:rsidR="00F54F39">
        <w:rPr>
          <w:rFonts w:ascii="Times New Roman" w:hAnsi="Times New Roman" w:cs="Times New Roman"/>
        </w:rPr>
        <w:t>(system)/$</w:t>
      </w:r>
      <w:r w:rsidR="00C97820">
        <w:rPr>
          <w:rFonts w:ascii="Times New Roman" w:hAnsi="Times New Roman" w:cs="Times New Roman"/>
        </w:rPr>
        <w:t>6,</w:t>
      </w:r>
      <w:r w:rsidR="00C55E1F">
        <w:rPr>
          <w:rFonts w:ascii="Times New Roman" w:hAnsi="Times New Roman" w:cs="Times New Roman"/>
        </w:rPr>
        <w:t>459</w:t>
      </w:r>
      <w:r w:rsidR="00C97820">
        <w:rPr>
          <w:rFonts w:ascii="Times New Roman" w:hAnsi="Times New Roman" w:cs="Times New Roman"/>
        </w:rPr>
        <w:t>,</w:t>
      </w:r>
      <w:r w:rsidR="00C55E1F">
        <w:rPr>
          <w:rFonts w:ascii="Times New Roman" w:hAnsi="Times New Roman" w:cs="Times New Roman"/>
        </w:rPr>
        <w:t>394</w:t>
      </w:r>
      <w:r w:rsidR="00F54F39">
        <w:rPr>
          <w:rFonts w:ascii="Times New Roman" w:hAnsi="Times New Roman" w:cs="Times New Roman"/>
        </w:rPr>
        <w:t xml:space="preserve"> (Washington allocation) </w:t>
      </w:r>
      <w:r>
        <w:rPr>
          <w:rFonts w:ascii="Times New Roman" w:hAnsi="Times New Roman" w:cs="Times New Roman"/>
        </w:rPr>
        <w:t>reduction in expense</w:t>
      </w:r>
      <w:r w:rsidR="00F54F39">
        <w:rPr>
          <w:rFonts w:ascii="Times New Roman" w:hAnsi="Times New Roman" w:cs="Times New Roman"/>
        </w:rPr>
        <w:t xml:space="preserve"> from the power supply expense in current rates.  </w:t>
      </w:r>
    </w:p>
    <w:p w:rsidR="000945E1" w:rsidRDefault="000945E1" w:rsidP="00212289">
      <w:pPr>
        <w:pStyle w:val="TestBody"/>
        <w:tabs>
          <w:tab w:val="num" w:pos="0"/>
          <w:tab w:val="num" w:pos="720"/>
        </w:tabs>
        <w:spacing w:line="480" w:lineRule="auto"/>
        <w:ind w:left="0" w:firstLine="0"/>
        <w:jc w:val="center"/>
        <w:rPr>
          <w:rFonts w:ascii="Times New Roman" w:hAnsi="Times New Roman" w:cs="Times New Roman"/>
          <w:b/>
          <w:bCs/>
        </w:rPr>
      </w:pPr>
    </w:p>
    <w:p w:rsidR="00212289" w:rsidRPr="0045060B"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t>IV</w:t>
      </w:r>
      <w:proofErr w:type="gramStart"/>
      <w:r w:rsidRPr="0045060B">
        <w:rPr>
          <w:rFonts w:ascii="Times New Roman" w:hAnsi="Times New Roman" w:cs="Times New Roman"/>
          <w:b/>
          <w:bCs/>
          <w:u w:val="single"/>
        </w:rPr>
        <w:t>.</w:t>
      </w:r>
      <w:r w:rsidR="00274C65">
        <w:rPr>
          <w:rFonts w:ascii="Times New Roman" w:hAnsi="Times New Roman" w:cs="Times New Roman"/>
          <w:b/>
          <w:bCs/>
          <w:u w:val="single"/>
        </w:rPr>
        <w:t xml:space="preserve">  </w:t>
      </w:r>
      <w:r w:rsidRPr="0045060B">
        <w:rPr>
          <w:rFonts w:ascii="Times New Roman" w:hAnsi="Times New Roman" w:cs="Times New Roman"/>
          <w:b/>
          <w:bCs/>
          <w:u w:val="single"/>
        </w:rPr>
        <w:t>MODIFICATIONS</w:t>
      </w:r>
      <w:proofErr w:type="gramEnd"/>
      <w:r w:rsidRPr="0045060B">
        <w:rPr>
          <w:rFonts w:ascii="Times New Roman" w:hAnsi="Times New Roman" w:cs="Times New Roman"/>
          <w:b/>
          <w:bCs/>
          <w:u w:val="single"/>
        </w:rPr>
        <w:t xml:space="preserve"> TO THE ERM</w:t>
      </w:r>
    </w:p>
    <w:p w:rsidR="00212289" w:rsidRPr="00243D57" w:rsidRDefault="00212289" w:rsidP="00212289">
      <w:pPr>
        <w:pStyle w:val="BodyText"/>
        <w:tabs>
          <w:tab w:val="num" w:pos="0"/>
          <w:tab w:val="left" w:pos="810"/>
        </w:tabs>
        <w:spacing w:line="480" w:lineRule="auto"/>
        <w:ind w:firstLine="720"/>
        <w:jc w:val="both"/>
        <w:rPr>
          <w:bCs w:val="0"/>
        </w:rPr>
      </w:pPr>
      <w:r w:rsidRPr="00243D57">
        <w:rPr>
          <w:bCs w:val="0"/>
        </w:rPr>
        <w:t>Q.</w:t>
      </w:r>
      <w:r w:rsidR="0033668A">
        <w:rPr>
          <w:bCs w:val="0"/>
        </w:rPr>
        <w:tab/>
        <w:t xml:space="preserve">Is </w:t>
      </w:r>
      <w:r w:rsidRPr="00243D57">
        <w:rPr>
          <w:bCs w:val="0"/>
        </w:rPr>
        <w:t>the Company</w:t>
      </w:r>
      <w:r w:rsidR="0033668A">
        <w:rPr>
          <w:bCs w:val="0"/>
        </w:rPr>
        <w:t xml:space="preserve"> proposing any modification to the</w:t>
      </w:r>
      <w:r w:rsidRPr="00243D57">
        <w:rPr>
          <w:bCs w:val="0"/>
        </w:rPr>
        <w:t xml:space="preserve"> ERM?</w:t>
      </w:r>
    </w:p>
    <w:p w:rsidR="0033668A" w:rsidRDefault="00212289" w:rsidP="0033668A">
      <w:pPr>
        <w:pStyle w:val="BodyText"/>
        <w:tabs>
          <w:tab w:val="num" w:pos="0"/>
          <w:tab w:val="left" w:pos="810"/>
        </w:tabs>
        <w:spacing w:line="480" w:lineRule="auto"/>
        <w:ind w:firstLine="720"/>
        <w:jc w:val="both"/>
        <w:rPr>
          <w:b w:val="0"/>
          <w:bCs w:val="0"/>
        </w:rPr>
      </w:pPr>
      <w:r>
        <w:rPr>
          <w:b w:val="0"/>
          <w:bCs w:val="0"/>
        </w:rPr>
        <w:t>A.</w:t>
      </w:r>
      <w:r>
        <w:rPr>
          <w:b w:val="0"/>
          <w:bCs w:val="0"/>
        </w:rPr>
        <w:tab/>
      </w:r>
      <w:r w:rsidR="0033668A">
        <w:rPr>
          <w:b w:val="0"/>
          <w:bCs w:val="0"/>
        </w:rPr>
        <w:t xml:space="preserve">No.  </w:t>
      </w:r>
      <w:r>
        <w:rPr>
          <w:b w:val="0"/>
          <w:bCs w:val="0"/>
        </w:rPr>
        <w:t xml:space="preserve">The Company </w:t>
      </w:r>
      <w:r w:rsidR="0033668A">
        <w:rPr>
          <w:b w:val="0"/>
          <w:bCs w:val="0"/>
        </w:rPr>
        <w:t>is not proposing any changes to the ERM</w:t>
      </w:r>
      <w:r w:rsidR="00C43FEC">
        <w:rPr>
          <w:b w:val="0"/>
          <w:bCs w:val="0"/>
        </w:rPr>
        <w:t xml:space="preserve"> at this time.  That said</w:t>
      </w:r>
      <w:proofErr w:type="gramStart"/>
      <w:r w:rsidR="004A135E">
        <w:rPr>
          <w:b w:val="0"/>
          <w:bCs w:val="0"/>
        </w:rPr>
        <w:t>,</w:t>
      </w:r>
      <w:proofErr w:type="gramEnd"/>
      <w:r w:rsidR="0033668A">
        <w:rPr>
          <w:b w:val="0"/>
          <w:bCs w:val="0"/>
        </w:rPr>
        <w:t xml:space="preserve"> there is one issue regarding the ERM that needs to be addressed in this case. </w:t>
      </w:r>
      <w:proofErr w:type="gramStart"/>
      <w:r w:rsidR="0033668A">
        <w:rPr>
          <w:b w:val="0"/>
          <w:bCs w:val="0"/>
        </w:rPr>
        <w:t>In the Multi-Party Settlement Agreement in Docket No.</w:t>
      </w:r>
      <w:proofErr w:type="gramEnd"/>
      <w:r w:rsidR="0033668A">
        <w:rPr>
          <w:b w:val="0"/>
          <w:bCs w:val="0"/>
        </w:rPr>
        <w:t xml:space="preserve"> UE-120436</w:t>
      </w:r>
      <w:r w:rsidR="004A135E">
        <w:rPr>
          <w:b w:val="0"/>
          <w:bCs w:val="0"/>
        </w:rPr>
        <w:t>,</w:t>
      </w:r>
      <w:r w:rsidR="0033668A">
        <w:rPr>
          <w:b w:val="0"/>
          <w:bCs w:val="0"/>
        </w:rPr>
        <w:t xml:space="preserve"> the parties agreed to change the retail revenue credit from the full fixed and variable production and transmission revenue requirement to the energy classified production and transmission revenue requirement.  This reduced the retail revenue credit from roughly $.05/kWh to</w:t>
      </w:r>
      <w:r w:rsidR="00737769">
        <w:rPr>
          <w:b w:val="0"/>
          <w:bCs w:val="0"/>
        </w:rPr>
        <w:t xml:space="preserve"> $.03/kWh.  In Final Order 09</w:t>
      </w:r>
      <w:r w:rsidR="004A135E">
        <w:rPr>
          <w:b w:val="0"/>
          <w:bCs w:val="0"/>
        </w:rPr>
        <w:t>,</w:t>
      </w:r>
      <w:r w:rsidR="00737769">
        <w:rPr>
          <w:b w:val="0"/>
          <w:bCs w:val="0"/>
        </w:rPr>
        <w:t xml:space="preserve"> the</w:t>
      </w:r>
      <w:r w:rsidR="0033668A">
        <w:rPr>
          <w:b w:val="0"/>
          <w:bCs w:val="0"/>
        </w:rPr>
        <w:t xml:space="preserve"> Commission accepted the settlement and the change in the retail revenue credit as a non-precedent setting agreement.  The Commission directed the Company in its next general rate case to seek approval to maintain the change in the retail revenue credit.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Would you please describe how the retail revenue credit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w:t>
      </w:r>
      <w:r w:rsidRPr="006A2054">
        <w:rPr>
          <w:b w:val="0"/>
          <w:bCs w:val="0"/>
        </w:rPr>
        <w:t xml:space="preserve">When retail loads are higher than authorized loads, there is a higher power supply expense to serve the increase in load that is included in </w:t>
      </w:r>
      <w:r>
        <w:rPr>
          <w:b w:val="0"/>
          <w:bCs w:val="0"/>
        </w:rPr>
        <w:t>the ERM</w:t>
      </w:r>
      <w:r w:rsidRPr="006A2054">
        <w:rPr>
          <w:b w:val="0"/>
          <w:bCs w:val="0"/>
        </w:rPr>
        <w:t xml:space="preserve">.  </w:t>
      </w:r>
      <w:r>
        <w:rPr>
          <w:b w:val="0"/>
          <w:bCs w:val="0"/>
        </w:rPr>
        <w:t>There is also a</w:t>
      </w:r>
      <w:r w:rsidRPr="006A2054">
        <w:rPr>
          <w:b w:val="0"/>
          <w:bCs w:val="0"/>
        </w:rPr>
        <w:t xml:space="preserve"> retail revenue credit</w:t>
      </w:r>
      <w:r>
        <w:rPr>
          <w:b w:val="0"/>
          <w:bCs w:val="0"/>
        </w:rPr>
        <w:t xml:space="preserve"> adjustment within the ERM that multiplies the retail revenue credit rate times</w:t>
      </w:r>
      <w:r w:rsidR="00955166">
        <w:rPr>
          <w:b w:val="0"/>
          <w:bCs w:val="0"/>
        </w:rPr>
        <w:t xml:space="preserve"> the increase in sales</w:t>
      </w:r>
      <w:r w:rsidRPr="006A2054">
        <w:rPr>
          <w:b w:val="0"/>
          <w:bCs w:val="0"/>
        </w:rPr>
        <w:t xml:space="preserve"> to take into account that there is an increase in retail </w:t>
      </w:r>
      <w:r w:rsidRPr="006A2054">
        <w:rPr>
          <w:b w:val="0"/>
          <w:bCs w:val="0"/>
        </w:rPr>
        <w:lastRenderedPageBreak/>
        <w:t xml:space="preserve">revenue to correspond with the increase in power supply expense.  Absent the </w:t>
      </w:r>
      <w:r>
        <w:rPr>
          <w:b w:val="0"/>
          <w:bCs w:val="0"/>
        </w:rPr>
        <w:t>retail revenue credit</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in load that is included in the </w:t>
      </w:r>
      <w:r>
        <w:rPr>
          <w:b w:val="0"/>
          <w:bCs w:val="0"/>
        </w:rPr>
        <w:t>ERM</w:t>
      </w:r>
      <w:r w:rsidRPr="006A2054">
        <w:rPr>
          <w:b w:val="0"/>
          <w:bCs w:val="0"/>
        </w:rPr>
        <w:t xml:space="preserve">.  </w:t>
      </w:r>
      <w:r>
        <w:rPr>
          <w:b w:val="0"/>
          <w:bCs w:val="0"/>
        </w:rPr>
        <w:t>The</w:t>
      </w:r>
      <w:r w:rsidRPr="006A2054">
        <w:rPr>
          <w:b w:val="0"/>
          <w:bCs w:val="0"/>
        </w:rPr>
        <w:t xml:space="preserve"> retail revenue credit</w:t>
      </w:r>
      <w:r>
        <w:rPr>
          <w:b w:val="0"/>
          <w:bCs w:val="0"/>
        </w:rPr>
        <w:t xml:space="preserve"> </w:t>
      </w:r>
      <w:r w:rsidRPr="006A2054">
        <w:rPr>
          <w:b w:val="0"/>
          <w:bCs w:val="0"/>
        </w:rPr>
        <w:t>is</w:t>
      </w:r>
      <w:r w:rsidR="00955166">
        <w:rPr>
          <w:b w:val="0"/>
          <w:bCs w:val="0"/>
        </w:rPr>
        <w:t xml:space="preserve"> applied to the decrease in sales</w:t>
      </w:r>
      <w:r w:rsidRPr="006A2054">
        <w:rPr>
          <w:b w:val="0"/>
          <w:bCs w:val="0"/>
        </w:rPr>
        <w:t xml:space="preserve"> to take into account that there is a decrease in retail revenue that corresponds with the decrease in power supply expense.  Absent the </w:t>
      </w:r>
      <w:r>
        <w:rPr>
          <w:b w:val="0"/>
          <w:bCs w:val="0"/>
        </w:rPr>
        <w:t>retail revenue credit</w:t>
      </w:r>
      <w:r w:rsidRPr="006A2054">
        <w:rPr>
          <w:b w:val="0"/>
          <w:bCs w:val="0"/>
        </w:rPr>
        <w:t xml:space="preserve"> adjustment, customers would receive an und</w:t>
      </w:r>
      <w:r w:rsidR="00460A0B">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D36092" w:rsidRDefault="00212289" w:rsidP="00212289">
      <w:pPr>
        <w:pStyle w:val="BodyText"/>
        <w:tabs>
          <w:tab w:val="num" w:pos="0"/>
          <w:tab w:val="left" w:pos="810"/>
        </w:tabs>
        <w:spacing w:line="480" w:lineRule="auto"/>
        <w:ind w:firstLine="720"/>
        <w:jc w:val="both"/>
        <w:rPr>
          <w:bCs w:val="0"/>
        </w:rPr>
      </w:pPr>
      <w:proofErr w:type="gramStart"/>
      <w:r w:rsidRPr="00D36092">
        <w:rPr>
          <w:bCs w:val="0"/>
        </w:rPr>
        <w:t>Q.</w:t>
      </w:r>
      <w:r w:rsidRPr="00D36092">
        <w:rPr>
          <w:bCs w:val="0"/>
        </w:rPr>
        <w:tab/>
        <w:t xml:space="preserve">How is the retail revenue credit rate </w:t>
      </w:r>
      <w:r>
        <w:rPr>
          <w:bCs w:val="0"/>
        </w:rPr>
        <w:t>currently</w:t>
      </w:r>
      <w:proofErr w:type="gramEnd"/>
      <w:r>
        <w:rPr>
          <w:bCs w:val="0"/>
        </w:rPr>
        <w:t xml:space="preserve"> </w:t>
      </w:r>
      <w:r w:rsidRPr="00D36092">
        <w:rPr>
          <w:bCs w:val="0"/>
        </w:rPr>
        <w:t>determined?</w:t>
      </w:r>
    </w:p>
    <w:p w:rsidR="00212289" w:rsidRDefault="00212289" w:rsidP="00212289">
      <w:pPr>
        <w:pStyle w:val="BodyText"/>
        <w:tabs>
          <w:tab w:val="num" w:pos="0"/>
          <w:tab w:val="left" w:pos="810"/>
        </w:tabs>
        <w:spacing w:line="480" w:lineRule="auto"/>
        <w:ind w:firstLine="720"/>
        <w:jc w:val="both"/>
        <w:rPr>
          <w:b w:val="0"/>
          <w:bCs w:val="0"/>
        </w:rPr>
      </w:pPr>
      <w:r w:rsidRPr="00D20E5B">
        <w:rPr>
          <w:b w:val="0"/>
          <w:bCs w:val="0"/>
        </w:rPr>
        <w:t>A.</w:t>
      </w:r>
      <w:r w:rsidRPr="00D20E5B">
        <w:rPr>
          <w:b w:val="0"/>
          <w:bCs w:val="0"/>
        </w:rPr>
        <w:tab/>
      </w:r>
      <w:r w:rsidR="00737769">
        <w:rPr>
          <w:b w:val="0"/>
          <w:bCs w:val="0"/>
        </w:rPr>
        <w:t>Per the Multiparty Settlement Agreement in the last general rate case</w:t>
      </w:r>
      <w:r w:rsidR="00460A0B">
        <w:rPr>
          <w:b w:val="0"/>
          <w:bCs w:val="0"/>
        </w:rPr>
        <w:t>,</w:t>
      </w:r>
      <w:r w:rsidR="00737769">
        <w:rPr>
          <w:b w:val="0"/>
          <w:bCs w:val="0"/>
        </w:rPr>
        <w:t xml:space="preserve"> t</w:t>
      </w:r>
      <w:r>
        <w:rPr>
          <w:b w:val="0"/>
          <w:bCs w:val="0"/>
        </w:rPr>
        <w:t xml:space="preserve">he retail revenue credit rate </w:t>
      </w:r>
      <w:r w:rsidR="00C923ED">
        <w:rPr>
          <w:b w:val="0"/>
          <w:bCs w:val="0"/>
        </w:rPr>
        <w:t>is</w:t>
      </w:r>
      <w:r>
        <w:rPr>
          <w:b w:val="0"/>
          <w:bCs w:val="0"/>
        </w:rPr>
        <w:t xml:space="preserve"> determined based on the </w:t>
      </w:r>
      <w:r w:rsidRPr="00C423D5">
        <w:rPr>
          <w:b w:val="0"/>
          <w:bCs w:val="0"/>
          <w:u w:val="single"/>
        </w:rPr>
        <w:t>energy</w:t>
      </w:r>
      <w:r>
        <w:rPr>
          <w:b w:val="0"/>
          <w:bCs w:val="0"/>
        </w:rPr>
        <w:t xml:space="preserve"> classified portion of the fixed and variable production and transmission revenue requirement, as established in the Company’s cost of service study from the general rate case.</w:t>
      </w:r>
    </w:p>
    <w:p w:rsidR="00212289" w:rsidRPr="00946BF5" w:rsidRDefault="00212289" w:rsidP="00212289">
      <w:pPr>
        <w:pStyle w:val="BodyText"/>
        <w:tabs>
          <w:tab w:val="num" w:pos="0"/>
          <w:tab w:val="left" w:pos="810"/>
        </w:tabs>
        <w:spacing w:line="480" w:lineRule="auto"/>
        <w:ind w:firstLine="720"/>
        <w:jc w:val="both"/>
        <w:rPr>
          <w:bCs w:val="0"/>
        </w:rPr>
      </w:pPr>
      <w:r w:rsidRPr="00946BF5">
        <w:rPr>
          <w:bCs w:val="0"/>
        </w:rPr>
        <w:t>Q.</w:t>
      </w:r>
      <w:r w:rsidRPr="00946BF5">
        <w:rPr>
          <w:bCs w:val="0"/>
        </w:rPr>
        <w:tab/>
        <w:t>What</w:t>
      </w:r>
      <w:r w:rsidR="00624001">
        <w:rPr>
          <w:bCs w:val="0"/>
        </w:rPr>
        <w:t xml:space="preserve"> </w:t>
      </w:r>
      <w:r w:rsidR="00460A0B">
        <w:rPr>
          <w:bCs w:val="0"/>
        </w:rPr>
        <w:t xml:space="preserve">effect </w:t>
      </w:r>
      <w:r w:rsidR="00737769">
        <w:rPr>
          <w:bCs w:val="0"/>
        </w:rPr>
        <w:t>did the change in methodol</w:t>
      </w:r>
      <w:r w:rsidR="00624001">
        <w:rPr>
          <w:bCs w:val="0"/>
        </w:rPr>
        <w:t>ogy approved in the last rate case</w:t>
      </w:r>
      <w:r w:rsidRPr="00946BF5">
        <w:rPr>
          <w:bCs w:val="0"/>
        </w:rPr>
        <w:t xml:space="preserve"> have on the retail revenue credit rate?</w:t>
      </w:r>
    </w:p>
    <w:p w:rsidR="00624001"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Based on the Settlement Agreement approved by the Commission in Docket UE-1</w:t>
      </w:r>
      <w:r w:rsidR="005B5B8F">
        <w:rPr>
          <w:b w:val="0"/>
          <w:bCs w:val="0"/>
        </w:rPr>
        <w:t>20436</w:t>
      </w:r>
      <w:r>
        <w:rPr>
          <w:b w:val="0"/>
          <w:bCs w:val="0"/>
        </w:rPr>
        <w:t>, the retail revenue credit rate that was effective January 1, 201</w:t>
      </w:r>
      <w:r w:rsidR="005B5B8F">
        <w:rPr>
          <w:b w:val="0"/>
          <w:bCs w:val="0"/>
        </w:rPr>
        <w:t>3</w:t>
      </w:r>
      <w:r w:rsidR="00804CDF">
        <w:rPr>
          <w:b w:val="0"/>
          <w:bCs w:val="0"/>
        </w:rPr>
        <w:t xml:space="preserve"> is $</w:t>
      </w:r>
      <w:r w:rsidR="005B5B8F">
        <w:rPr>
          <w:b w:val="0"/>
          <w:bCs w:val="0"/>
        </w:rPr>
        <w:t>32.15</w:t>
      </w:r>
      <w:r w:rsidR="00804CDF">
        <w:rPr>
          <w:b w:val="0"/>
          <w:bCs w:val="0"/>
        </w:rPr>
        <w:t>/</w:t>
      </w:r>
      <w:r>
        <w:rPr>
          <w:b w:val="0"/>
          <w:bCs w:val="0"/>
        </w:rPr>
        <w:t>M</w:t>
      </w:r>
      <w:r w:rsidR="00804CDF">
        <w:rPr>
          <w:b w:val="0"/>
          <w:bCs w:val="0"/>
        </w:rPr>
        <w:t>W</w:t>
      </w:r>
      <w:r>
        <w:rPr>
          <w:b w:val="0"/>
          <w:bCs w:val="0"/>
        </w:rPr>
        <w:t>h</w:t>
      </w:r>
      <w:r w:rsidRPr="00624001">
        <w:rPr>
          <w:b w:val="0"/>
          <w:bCs w:val="0"/>
        </w:rPr>
        <w:t xml:space="preserve">.  Under the </w:t>
      </w:r>
      <w:r w:rsidR="0033668A" w:rsidRPr="00624001">
        <w:rPr>
          <w:b w:val="0"/>
          <w:bCs w:val="0"/>
        </w:rPr>
        <w:t>prior method that based the retail revenue credit on the full fixed and variable production and transmission revenue requirement</w:t>
      </w:r>
      <w:r w:rsidR="004A135E">
        <w:rPr>
          <w:b w:val="0"/>
          <w:bCs w:val="0"/>
        </w:rPr>
        <w:t>,</w:t>
      </w:r>
      <w:r w:rsidR="0033668A" w:rsidRPr="00624001">
        <w:rPr>
          <w:b w:val="0"/>
          <w:bCs w:val="0"/>
        </w:rPr>
        <w:t xml:space="preserve"> the rate would have been </w:t>
      </w:r>
      <w:r w:rsidR="004A135E">
        <w:rPr>
          <w:b w:val="0"/>
          <w:bCs w:val="0"/>
        </w:rPr>
        <w:t>$48.86</w:t>
      </w:r>
      <w:r w:rsidR="0033668A" w:rsidRPr="00624001">
        <w:rPr>
          <w:b w:val="0"/>
          <w:bCs w:val="0"/>
        </w:rPr>
        <w:t>/MWh</w:t>
      </w:r>
      <w:r w:rsidR="00624001" w:rsidRPr="00624001">
        <w:rPr>
          <w:b w:val="0"/>
          <w:bCs w:val="0"/>
        </w:rPr>
        <w:t>.</w:t>
      </w:r>
      <w:r w:rsidRPr="005B5B8F">
        <w:rPr>
          <w:b w:val="0"/>
          <w:bCs w:val="0"/>
          <w:highlight w:val="yellow"/>
        </w:rPr>
        <w:t xml:space="preserve"> </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 xml:space="preserve">Why </w:t>
      </w:r>
      <w:r w:rsidR="005B5B8F">
        <w:rPr>
          <w:bCs w:val="0"/>
        </w:rPr>
        <w:t xml:space="preserve">did the Company </w:t>
      </w:r>
      <w:proofErr w:type="gramStart"/>
      <w:r w:rsidR="005B5B8F">
        <w:rPr>
          <w:bCs w:val="0"/>
        </w:rPr>
        <w:t>propose</w:t>
      </w:r>
      <w:proofErr w:type="gramEnd"/>
      <w:r w:rsidRPr="00D20E5B">
        <w:rPr>
          <w:bCs w:val="0"/>
        </w:rPr>
        <w:t xml:space="preserve"> </w:t>
      </w:r>
      <w:r w:rsidR="005B5B8F">
        <w:rPr>
          <w:bCs w:val="0"/>
        </w:rPr>
        <w:t>changing</w:t>
      </w:r>
      <w:r w:rsidRPr="00D20E5B">
        <w:rPr>
          <w:bCs w:val="0"/>
        </w:rPr>
        <w:t xml:space="preserve"> the way the retail revenue credit rate is determined</w:t>
      </w:r>
      <w:r w:rsidR="005B5B8F">
        <w:rPr>
          <w:bCs w:val="0"/>
        </w:rPr>
        <w:t xml:space="preserve"> in Docket No. </w:t>
      </w:r>
      <w:proofErr w:type="gramStart"/>
      <w:r w:rsidR="005B5B8F">
        <w:rPr>
          <w:bCs w:val="0"/>
        </w:rPr>
        <w:t>UE-120436</w:t>
      </w:r>
      <w:r w:rsidRPr="00D20E5B">
        <w:rPr>
          <w:bCs w:val="0"/>
        </w:rPr>
        <w:t>?</w:t>
      </w:r>
      <w:proofErr w:type="gramEnd"/>
    </w:p>
    <w:p w:rsidR="002034E5"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t xml:space="preserve">The </w:t>
      </w:r>
      <w:r w:rsidR="005B5B8F">
        <w:rPr>
          <w:b w:val="0"/>
          <w:bCs w:val="0"/>
        </w:rPr>
        <w:t>prior method to determine the</w:t>
      </w:r>
      <w:r>
        <w:rPr>
          <w:b w:val="0"/>
          <w:bCs w:val="0"/>
        </w:rPr>
        <w:t xml:space="preserve"> retail re</w:t>
      </w:r>
      <w:r w:rsidR="00955166">
        <w:rPr>
          <w:b w:val="0"/>
          <w:bCs w:val="0"/>
        </w:rPr>
        <w:t>venue credit rate, which was</w:t>
      </w:r>
      <w:r>
        <w:rPr>
          <w:b w:val="0"/>
          <w:bCs w:val="0"/>
        </w:rPr>
        <w:t xml:space="preserve"> based on the </w:t>
      </w:r>
      <w:r w:rsidR="00624001">
        <w:rPr>
          <w:b w:val="0"/>
          <w:bCs w:val="0"/>
        </w:rPr>
        <w:t xml:space="preserve">full </w:t>
      </w:r>
      <w:r>
        <w:rPr>
          <w:b w:val="0"/>
          <w:bCs w:val="0"/>
        </w:rPr>
        <w:t xml:space="preserve">fixed and variable production and transmission costs, </w:t>
      </w:r>
      <w:r w:rsidR="00955166">
        <w:rPr>
          <w:b w:val="0"/>
          <w:bCs w:val="0"/>
        </w:rPr>
        <w:t>resulted</w:t>
      </w:r>
      <w:r w:rsidR="00737769">
        <w:rPr>
          <w:b w:val="0"/>
          <w:bCs w:val="0"/>
        </w:rPr>
        <w:t xml:space="preserve"> in </w:t>
      </w:r>
      <w:r w:rsidR="00647807">
        <w:rPr>
          <w:b w:val="0"/>
          <w:bCs w:val="0"/>
        </w:rPr>
        <w:t>a rate</w:t>
      </w:r>
      <w:r w:rsidR="00737769">
        <w:rPr>
          <w:b w:val="0"/>
          <w:bCs w:val="0"/>
        </w:rPr>
        <w:t xml:space="preserve"> that </w:t>
      </w:r>
      <w:r w:rsidR="004A135E">
        <w:rPr>
          <w:b w:val="0"/>
          <w:bCs w:val="0"/>
        </w:rPr>
        <w:t xml:space="preserve">was </w:t>
      </w:r>
      <w:r>
        <w:rPr>
          <w:b w:val="0"/>
          <w:bCs w:val="0"/>
        </w:rPr>
        <w:t xml:space="preserve">too high.  When retail loads increase, too much new revenue is credited back to customers through the ERM, rather than being available to offset increased costs.  Because too much revenue is credited back to customers through the ERM, the matching principle is violated following a general rate case.  New revenue from load growth </w:t>
      </w:r>
      <w:r w:rsidR="004A135E">
        <w:rPr>
          <w:b w:val="0"/>
          <w:bCs w:val="0"/>
        </w:rPr>
        <w:t>should be</w:t>
      </w:r>
      <w:r>
        <w:rPr>
          <w:b w:val="0"/>
          <w:bCs w:val="0"/>
        </w:rPr>
        <w:t xml:space="preserve"> available to offset costs associated with capital additions that are necessary to </w:t>
      </w:r>
      <w:r w:rsidR="004A135E">
        <w:rPr>
          <w:b w:val="0"/>
          <w:bCs w:val="0"/>
        </w:rPr>
        <w:t xml:space="preserve">add facilities to serve </w:t>
      </w:r>
      <w:r w:rsidR="00647807">
        <w:rPr>
          <w:b w:val="0"/>
          <w:bCs w:val="0"/>
        </w:rPr>
        <w:t>load</w:t>
      </w:r>
      <w:r w:rsidR="004A135E">
        <w:rPr>
          <w:b w:val="0"/>
          <w:bCs w:val="0"/>
        </w:rPr>
        <w:t xml:space="preserve"> growth, to </w:t>
      </w:r>
      <w:r>
        <w:rPr>
          <w:b w:val="0"/>
          <w:bCs w:val="0"/>
        </w:rPr>
        <w:t xml:space="preserve">replace aging production, transmission, and back-bone distribution infrastructure, </w:t>
      </w:r>
      <w:r w:rsidR="004A135E">
        <w:rPr>
          <w:b w:val="0"/>
          <w:bCs w:val="0"/>
        </w:rPr>
        <w:t>and</w:t>
      </w:r>
      <w:r>
        <w:rPr>
          <w:b w:val="0"/>
          <w:bCs w:val="0"/>
        </w:rPr>
        <w:t xml:space="preserve"> increased operation and maintenance expenses.  </w:t>
      </w:r>
      <w:r w:rsidR="002034E5">
        <w:rPr>
          <w:b w:val="0"/>
          <w:bCs w:val="0"/>
        </w:rPr>
        <w:t xml:space="preserve">Inherent in the use of historical test-period ratemaking is the expectation that retail revenue will grow following the test year, and that revenue is available to help cover the increase in costs that occur following the test year.  If the Retail Revenue Credit is designed to </w:t>
      </w:r>
      <w:r w:rsidR="0044625D">
        <w:rPr>
          <w:b w:val="0"/>
          <w:bCs w:val="0"/>
        </w:rPr>
        <w:t>rebate to customers the growth in revenue following the test year</w:t>
      </w:r>
      <w:r w:rsidR="001E1555">
        <w:rPr>
          <w:b w:val="0"/>
          <w:bCs w:val="0"/>
        </w:rPr>
        <w:t>,</w:t>
      </w:r>
      <w:r w:rsidR="0044625D">
        <w:rPr>
          <w:b w:val="0"/>
          <w:bCs w:val="0"/>
        </w:rPr>
        <w:t xml:space="preserve"> then it violates the matching principle and is in conflict with the use of historical test period ratemaking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By setting the retail revenue credit rate at a </w:t>
      </w:r>
      <w:r w:rsidR="001E1555">
        <w:rPr>
          <w:b w:val="0"/>
          <w:bCs w:val="0"/>
        </w:rPr>
        <w:t xml:space="preserve">level </w:t>
      </w:r>
      <w:r w:rsidR="00647807">
        <w:rPr>
          <w:b w:val="0"/>
          <w:bCs w:val="0"/>
        </w:rPr>
        <w:t>that</w:t>
      </w:r>
      <w:r w:rsidR="001E1555">
        <w:rPr>
          <w:b w:val="0"/>
          <w:bCs w:val="0"/>
        </w:rPr>
        <w:t xml:space="preserve"> reflects only the energy classified portion of production and transmission costs the Company retains growth in demand-related revenue to cover the growth in demand-related investment </w:t>
      </w:r>
      <w:proofErr w:type="gramStart"/>
      <w:r w:rsidR="001E1555">
        <w:rPr>
          <w:b w:val="0"/>
          <w:bCs w:val="0"/>
        </w:rPr>
        <w:t>and</w:t>
      </w:r>
      <w:r>
        <w:rPr>
          <w:b w:val="0"/>
          <w:bCs w:val="0"/>
        </w:rPr>
        <w:t xml:space="preserve">  </w:t>
      </w:r>
      <w:r w:rsidR="007D544E">
        <w:rPr>
          <w:b w:val="0"/>
          <w:bCs w:val="0"/>
        </w:rPr>
        <w:t>costs</w:t>
      </w:r>
      <w:proofErr w:type="gramEnd"/>
      <w:r w:rsidR="007D544E">
        <w:rPr>
          <w:b w:val="0"/>
          <w:bCs w:val="0"/>
        </w:rPr>
        <w:t xml:space="preserve">.  </w:t>
      </w:r>
      <w:r>
        <w:rPr>
          <w:b w:val="0"/>
          <w:bCs w:val="0"/>
        </w:rPr>
        <w:t xml:space="preserve">Setting the retail revenue credit </w:t>
      </w:r>
      <w:r w:rsidR="001E1555">
        <w:rPr>
          <w:b w:val="0"/>
          <w:bCs w:val="0"/>
        </w:rPr>
        <w:t>based on the energy classified portion only</w:t>
      </w:r>
      <w:r>
        <w:rPr>
          <w:b w:val="0"/>
          <w:bCs w:val="0"/>
        </w:rPr>
        <w:t xml:space="preserve"> will also eliminate </w:t>
      </w:r>
      <w:r w:rsidR="001E1555">
        <w:rPr>
          <w:b w:val="0"/>
          <w:bCs w:val="0"/>
        </w:rPr>
        <w:t>demand-related</w:t>
      </w:r>
      <w:r>
        <w:rPr>
          <w:b w:val="0"/>
          <w:bCs w:val="0"/>
        </w:rPr>
        <w:t xml:space="preserve"> production and transmission costs from being recovered through the ERM when retail loads decline.</w:t>
      </w:r>
      <w:r w:rsidR="00D61105">
        <w:rPr>
          <w:b w:val="0"/>
          <w:bCs w:val="0"/>
        </w:rPr>
        <w:t xml:space="preserve">  This eliminates any argument that the retail revenue credit operates as a partial decoupling mechanism when loads decline.</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cost changes that are tracked through the ERM are primarily due to changes in the price of </w:t>
      </w:r>
      <w:r w:rsidRPr="00591EDC">
        <w:rPr>
          <w:b w:val="0"/>
          <w:bCs w:val="0"/>
          <w:u w:val="single"/>
        </w:rPr>
        <w:t>energy</w:t>
      </w:r>
      <w:r>
        <w:rPr>
          <w:b w:val="0"/>
          <w:bCs w:val="0"/>
        </w:rPr>
        <w:t>, or changes to the amount of energy bei</w:t>
      </w:r>
      <w:r w:rsidR="004704D9">
        <w:rPr>
          <w:b w:val="0"/>
          <w:bCs w:val="0"/>
        </w:rPr>
        <w:t xml:space="preserve">ng purchased </w:t>
      </w:r>
      <w:r w:rsidR="00F243FF">
        <w:rPr>
          <w:b w:val="0"/>
          <w:bCs w:val="0"/>
        </w:rPr>
        <w:t xml:space="preserve">or sold at the </w:t>
      </w:r>
      <w:r w:rsidR="00F243FF">
        <w:rPr>
          <w:b w:val="0"/>
          <w:bCs w:val="0"/>
        </w:rPr>
        <w:lastRenderedPageBreak/>
        <w:t>wholesale level</w:t>
      </w:r>
      <w:r>
        <w:rPr>
          <w:b w:val="0"/>
          <w:bCs w:val="0"/>
        </w:rPr>
        <w:t xml:space="preserve">.  Since the costs being tracked through the ERM are primarily </w:t>
      </w:r>
      <w:r w:rsidRPr="00591EDC">
        <w:rPr>
          <w:b w:val="0"/>
          <w:bCs w:val="0"/>
          <w:u w:val="single"/>
        </w:rPr>
        <w:t>energy</w:t>
      </w:r>
      <w:r>
        <w:rPr>
          <w:b w:val="0"/>
          <w:bCs w:val="0"/>
        </w:rPr>
        <w:t xml:space="preserve"> related, it </w:t>
      </w:r>
      <w:r w:rsidR="00591EDC">
        <w:rPr>
          <w:b w:val="0"/>
          <w:bCs w:val="0"/>
        </w:rPr>
        <w:t>is appropriate</w:t>
      </w:r>
      <w:r>
        <w:rPr>
          <w:b w:val="0"/>
          <w:bCs w:val="0"/>
        </w:rPr>
        <w:t xml:space="preserve"> for the retail revenue credit to be based on the </w:t>
      </w:r>
      <w:r w:rsidRPr="00591EDC">
        <w:rPr>
          <w:b w:val="0"/>
          <w:bCs w:val="0"/>
          <w:u w:val="single"/>
        </w:rPr>
        <w:t>energy</w:t>
      </w:r>
      <w:r w:rsidR="00591EDC">
        <w:rPr>
          <w:b w:val="0"/>
          <w:bCs w:val="0"/>
        </w:rPr>
        <w:t>-</w:t>
      </w:r>
      <w:r>
        <w:rPr>
          <w:b w:val="0"/>
          <w:bCs w:val="0"/>
        </w:rPr>
        <w:t>related portion of production and transmission costs reflected in retail rates.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retail revenue credit method is used in the Idaho PCA?</w:t>
      </w:r>
    </w:p>
    <w:p w:rsidR="006E4FC3" w:rsidRDefault="00212289" w:rsidP="006E4FC3">
      <w:pPr>
        <w:pStyle w:val="BodyText"/>
        <w:tabs>
          <w:tab w:val="num" w:pos="0"/>
          <w:tab w:val="left" w:pos="810"/>
        </w:tabs>
        <w:spacing w:line="480" w:lineRule="auto"/>
        <w:ind w:firstLine="720"/>
        <w:jc w:val="both"/>
        <w:rPr>
          <w:b w:val="0"/>
          <w:bCs w:val="0"/>
        </w:rPr>
      </w:pPr>
      <w:r>
        <w:rPr>
          <w:bCs w:val="0"/>
        </w:rPr>
        <w:t>A.</w:t>
      </w:r>
      <w:r>
        <w:rPr>
          <w:bCs w:val="0"/>
        </w:rPr>
        <w:tab/>
      </w:r>
      <w:r w:rsidRPr="00235D93">
        <w:rPr>
          <w:b w:val="0"/>
          <w:bCs w:val="0"/>
        </w:rPr>
        <w:t>Effective April 1, 2011</w:t>
      </w:r>
      <w:r w:rsidR="00460A0B">
        <w:rPr>
          <w:b w:val="0"/>
          <w:bCs w:val="0"/>
        </w:rPr>
        <w:t>,</w:t>
      </w:r>
      <w:r>
        <w:rPr>
          <w:b w:val="0"/>
          <w:bCs w:val="0"/>
        </w:rPr>
        <w:t xml:space="preserve"> the Idaho Public Utilities Commission authorized a switch to the energy classified portion of embedded production </w:t>
      </w:r>
      <w:r w:rsidR="001E1555">
        <w:rPr>
          <w:b w:val="0"/>
          <w:bCs w:val="0"/>
        </w:rPr>
        <w:t xml:space="preserve">and transmission </w:t>
      </w:r>
      <w:r>
        <w:rPr>
          <w:b w:val="0"/>
          <w:bCs w:val="0"/>
        </w:rPr>
        <w:t>revenue requirement to determine the retail revenue credit, which is referred to as the “Load Change Adjustment Rate” in Idaho.  The method applies to all three investor-owned, electric utilities in Idaho, namely, Avista, Idaho Power, and Rocky Mountain Power.  On April 1, 2011 the retail revenue credit for Avi</w:t>
      </w:r>
      <w:r w:rsidR="00804CDF">
        <w:rPr>
          <w:b w:val="0"/>
          <w:bCs w:val="0"/>
        </w:rPr>
        <w:t>sta</w:t>
      </w:r>
      <w:r w:rsidR="000945E1">
        <w:rPr>
          <w:b w:val="0"/>
          <w:bCs w:val="0"/>
        </w:rPr>
        <w:t xml:space="preserve"> in Idaho</w:t>
      </w:r>
      <w:r w:rsidR="00804CDF">
        <w:rPr>
          <w:b w:val="0"/>
          <w:bCs w:val="0"/>
        </w:rPr>
        <w:t xml:space="preserve"> was reduced from $48.00/</w:t>
      </w:r>
      <w:proofErr w:type="spellStart"/>
      <w:r>
        <w:rPr>
          <w:b w:val="0"/>
          <w:bCs w:val="0"/>
        </w:rPr>
        <w:t>M</w:t>
      </w:r>
      <w:r w:rsidR="00804CDF">
        <w:rPr>
          <w:b w:val="0"/>
          <w:bCs w:val="0"/>
        </w:rPr>
        <w:t>Wh</w:t>
      </w:r>
      <w:proofErr w:type="spellEnd"/>
      <w:r w:rsidR="00804CDF">
        <w:rPr>
          <w:b w:val="0"/>
          <w:bCs w:val="0"/>
        </w:rPr>
        <w:t xml:space="preserve"> to $30.16/</w:t>
      </w:r>
      <w:proofErr w:type="spellStart"/>
      <w:r>
        <w:rPr>
          <w:b w:val="0"/>
          <w:bCs w:val="0"/>
        </w:rPr>
        <w:t>M</w:t>
      </w:r>
      <w:r w:rsidR="00804CDF">
        <w:rPr>
          <w:b w:val="0"/>
          <w:bCs w:val="0"/>
        </w:rPr>
        <w:t>W</w:t>
      </w:r>
      <w:r>
        <w:rPr>
          <w:b w:val="0"/>
          <w:bCs w:val="0"/>
        </w:rPr>
        <w:t>h</w:t>
      </w:r>
      <w:proofErr w:type="spellEnd"/>
      <w:r>
        <w:rPr>
          <w:b w:val="0"/>
          <w:bCs w:val="0"/>
        </w:rPr>
        <w:t>.</w:t>
      </w:r>
    </w:p>
    <w:p w:rsidR="006E4FC3" w:rsidRDefault="006E4FC3" w:rsidP="006E4FC3">
      <w:pPr>
        <w:pStyle w:val="BodyText"/>
        <w:tabs>
          <w:tab w:val="num" w:pos="0"/>
          <w:tab w:val="left" w:pos="810"/>
        </w:tabs>
        <w:spacing w:line="480" w:lineRule="auto"/>
        <w:ind w:firstLine="720"/>
        <w:jc w:val="both"/>
      </w:pPr>
    </w:p>
    <w:p w:rsidR="00E47BE6" w:rsidRPr="0045060B" w:rsidRDefault="00E47BE6" w:rsidP="00E47BE6">
      <w:pPr>
        <w:pStyle w:val="TestBody"/>
        <w:tabs>
          <w:tab w:val="num" w:pos="0"/>
          <w:tab w:val="num" w:pos="720"/>
        </w:tabs>
        <w:spacing w:line="480" w:lineRule="auto"/>
        <w:ind w:left="0" w:firstLine="0"/>
        <w:jc w:val="center"/>
        <w:rPr>
          <w:rFonts w:ascii="Times New Roman" w:hAnsi="Times New Roman" w:cs="Times New Roman"/>
          <w:b/>
          <w:bCs/>
          <w:u w:val="single"/>
        </w:rPr>
      </w:pPr>
      <w:r w:rsidRPr="0045060B">
        <w:rPr>
          <w:rFonts w:ascii="Times New Roman" w:hAnsi="Times New Roman" w:cs="Times New Roman"/>
          <w:b/>
          <w:bCs/>
          <w:u w:val="single"/>
        </w:rPr>
        <w:t>V.</w:t>
      </w:r>
      <w:r w:rsidR="00274C65">
        <w:rPr>
          <w:rFonts w:ascii="Times New Roman" w:hAnsi="Times New Roman" w:cs="Times New Roman"/>
          <w:b/>
          <w:bCs/>
          <w:u w:val="single"/>
        </w:rPr>
        <w:t xml:space="preserve">  </w:t>
      </w:r>
      <w:r w:rsidRPr="0045060B">
        <w:rPr>
          <w:rFonts w:ascii="Times New Roman" w:hAnsi="Times New Roman" w:cs="Times New Roman"/>
          <w:b/>
          <w:bCs/>
          <w:u w:val="single"/>
        </w:rPr>
        <w:t>RENEWABLE ENERGY CREDIT REVENUE MECHANISM</w:t>
      </w:r>
    </w:p>
    <w:p w:rsidR="00212289" w:rsidRDefault="00C0583F" w:rsidP="00212289">
      <w:pPr>
        <w:pStyle w:val="BodyText"/>
        <w:tabs>
          <w:tab w:val="num" w:pos="0"/>
          <w:tab w:val="left" w:pos="810"/>
        </w:tabs>
        <w:spacing w:line="480" w:lineRule="auto"/>
        <w:ind w:firstLine="720"/>
        <w:jc w:val="both"/>
        <w:rPr>
          <w:bCs w:val="0"/>
        </w:rPr>
      </w:pPr>
      <w:r>
        <w:rPr>
          <w:bCs w:val="0"/>
        </w:rPr>
        <w:t>Q.</w:t>
      </w:r>
      <w:r>
        <w:rPr>
          <w:bCs w:val="0"/>
        </w:rPr>
        <w:tab/>
      </w:r>
      <w:r w:rsidR="001E1555">
        <w:rPr>
          <w:bCs w:val="0"/>
        </w:rPr>
        <w:t>Please explain</w:t>
      </w:r>
      <w:r w:rsidR="00E47BE6">
        <w:rPr>
          <w:bCs w:val="0"/>
        </w:rPr>
        <w:t xml:space="preserve"> the issue regarding Renewable Energy Credit (REC) revenue?</w:t>
      </w:r>
    </w:p>
    <w:p w:rsidR="007B6398" w:rsidRDefault="00E47BE6" w:rsidP="00212289">
      <w:pPr>
        <w:pStyle w:val="BodyText"/>
        <w:tabs>
          <w:tab w:val="num" w:pos="0"/>
          <w:tab w:val="left" w:pos="810"/>
        </w:tabs>
        <w:spacing w:line="480" w:lineRule="auto"/>
        <w:ind w:firstLine="720"/>
        <w:jc w:val="both"/>
        <w:rPr>
          <w:b w:val="0"/>
          <w:bCs w:val="0"/>
        </w:rPr>
      </w:pPr>
      <w:r>
        <w:rPr>
          <w:b w:val="0"/>
          <w:bCs w:val="0"/>
        </w:rPr>
        <w:t>A.</w:t>
      </w:r>
      <w:r>
        <w:rPr>
          <w:b w:val="0"/>
          <w:bCs w:val="0"/>
        </w:rPr>
        <w:tab/>
        <w:t>In Order 09 in D</w:t>
      </w:r>
      <w:r w:rsidR="00C0583F">
        <w:rPr>
          <w:b w:val="0"/>
          <w:bCs w:val="0"/>
        </w:rPr>
        <w:t>ocket No. UE-120436</w:t>
      </w:r>
      <w:r w:rsidR="001E1555">
        <w:rPr>
          <w:b w:val="0"/>
          <w:bCs w:val="0"/>
        </w:rPr>
        <w:t>,</w:t>
      </w:r>
      <w:r w:rsidR="00C0583F">
        <w:rPr>
          <w:b w:val="0"/>
          <w:bCs w:val="0"/>
        </w:rPr>
        <w:t xml:space="preserve"> the Commission ordered the Company to separately track all REC revenue and develop a mechanism to return REC revenue to customers.</w:t>
      </w:r>
      <w:r>
        <w:rPr>
          <w:b w:val="0"/>
          <w:bCs w:val="0"/>
        </w:rPr>
        <w:t xml:space="preserve">  The Commission also ordered the Company to remove REC revenue from bas</w:t>
      </w:r>
      <w:r w:rsidR="004131C2">
        <w:rPr>
          <w:b w:val="0"/>
          <w:bCs w:val="0"/>
        </w:rPr>
        <w:t>e rates beginning January 1, 201</w:t>
      </w:r>
      <w:r>
        <w:rPr>
          <w:b w:val="0"/>
          <w:bCs w:val="0"/>
        </w:rPr>
        <w:t>5.   Prior to that order</w:t>
      </w:r>
      <w:r w:rsidR="004131C2">
        <w:rPr>
          <w:b w:val="0"/>
          <w:bCs w:val="0"/>
        </w:rPr>
        <w:t xml:space="preserve">, the Company included REC </w:t>
      </w:r>
      <w:r>
        <w:rPr>
          <w:b w:val="0"/>
          <w:bCs w:val="0"/>
        </w:rPr>
        <w:t xml:space="preserve">revenue in the power supply pro forma and tracked the difference between actual and authorized REC revenue in the ERM in a manner similar to other power supply expenses and revenues.  That meant that </w:t>
      </w:r>
      <w:r w:rsidR="001E1555">
        <w:rPr>
          <w:b w:val="0"/>
          <w:bCs w:val="0"/>
        </w:rPr>
        <w:t xml:space="preserve">the </w:t>
      </w:r>
      <w:r>
        <w:rPr>
          <w:b w:val="0"/>
          <w:bCs w:val="0"/>
        </w:rPr>
        <w:t xml:space="preserve">difference in REC revenue between the actual and authorized level was subject to the ERM sharing bands.  It also meant that differences in </w:t>
      </w:r>
      <w:r>
        <w:rPr>
          <w:b w:val="0"/>
          <w:bCs w:val="0"/>
        </w:rPr>
        <w:lastRenderedPageBreak/>
        <w:t xml:space="preserve">REC revenue would not flow through to customers until such time </w:t>
      </w:r>
      <w:r w:rsidR="001E1555">
        <w:rPr>
          <w:b w:val="0"/>
          <w:bCs w:val="0"/>
        </w:rPr>
        <w:t xml:space="preserve">as </w:t>
      </w:r>
      <w:r>
        <w:rPr>
          <w:b w:val="0"/>
          <w:bCs w:val="0"/>
        </w:rPr>
        <w:t>the $30 million ERM trigger was reached and there was either a</w:t>
      </w:r>
      <w:r w:rsidR="004131C2">
        <w:rPr>
          <w:b w:val="0"/>
          <w:bCs w:val="0"/>
        </w:rPr>
        <w:t>n</w:t>
      </w:r>
      <w:r>
        <w:rPr>
          <w:b w:val="0"/>
          <w:bCs w:val="0"/>
        </w:rPr>
        <w:t xml:space="preserve"> ERM surcharge or rebate.  </w:t>
      </w:r>
    </w:p>
    <w:p w:rsidR="007B6398" w:rsidRPr="00E47BE6" w:rsidRDefault="007B6398" w:rsidP="00212289">
      <w:pPr>
        <w:pStyle w:val="BodyText"/>
        <w:tabs>
          <w:tab w:val="num" w:pos="0"/>
          <w:tab w:val="left" w:pos="810"/>
        </w:tabs>
        <w:spacing w:line="480" w:lineRule="auto"/>
        <w:ind w:firstLine="720"/>
        <w:jc w:val="both"/>
        <w:rPr>
          <w:bCs w:val="0"/>
        </w:rPr>
      </w:pPr>
      <w:proofErr w:type="gramStart"/>
      <w:r w:rsidRPr="00E47BE6">
        <w:rPr>
          <w:bCs w:val="0"/>
        </w:rPr>
        <w:t>Q.</w:t>
      </w:r>
      <w:r w:rsidRPr="00E47BE6">
        <w:rPr>
          <w:bCs w:val="0"/>
        </w:rPr>
        <w:tab/>
        <w:t>Please describe the Company’s proposal for returning REC revenue to customers.</w:t>
      </w:r>
      <w:proofErr w:type="gramEnd"/>
    </w:p>
    <w:p w:rsidR="007E493D" w:rsidRDefault="007B6398"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proposes to implement a REC revenue re</w:t>
      </w:r>
      <w:r w:rsidR="00D61105">
        <w:rPr>
          <w:b w:val="0"/>
          <w:bCs w:val="0"/>
        </w:rPr>
        <w:t xml:space="preserve">bate effective January 1, 2015, </w:t>
      </w:r>
      <w:r>
        <w:rPr>
          <w:b w:val="0"/>
          <w:bCs w:val="0"/>
        </w:rPr>
        <w:t>coinciding with any change in base rates</w:t>
      </w:r>
      <w:r w:rsidR="001E1555">
        <w:rPr>
          <w:b w:val="0"/>
          <w:bCs w:val="0"/>
        </w:rPr>
        <w:t xml:space="preserve"> from this rate case filing</w:t>
      </w:r>
      <w:r>
        <w:rPr>
          <w:b w:val="0"/>
          <w:bCs w:val="0"/>
        </w:rPr>
        <w:t xml:space="preserve">.  This rebate </w:t>
      </w:r>
      <w:r w:rsidR="001E1555">
        <w:rPr>
          <w:b w:val="0"/>
          <w:bCs w:val="0"/>
        </w:rPr>
        <w:t xml:space="preserve">would </w:t>
      </w:r>
      <w:r w:rsidR="00EA06F1">
        <w:rPr>
          <w:b w:val="0"/>
          <w:bCs w:val="0"/>
        </w:rPr>
        <w:t xml:space="preserve">be based on </w:t>
      </w:r>
      <w:r w:rsidR="00FD76EC">
        <w:rPr>
          <w:b w:val="0"/>
          <w:bCs w:val="0"/>
        </w:rPr>
        <w:t xml:space="preserve">actual and projected net </w:t>
      </w:r>
      <w:r w:rsidR="00EA06F1">
        <w:rPr>
          <w:b w:val="0"/>
          <w:bCs w:val="0"/>
        </w:rPr>
        <w:t>REC revenues fro</w:t>
      </w:r>
      <w:r>
        <w:rPr>
          <w:b w:val="0"/>
          <w:bCs w:val="0"/>
        </w:rPr>
        <w:t>m 2012 through June 2016.</w:t>
      </w:r>
      <w:r w:rsidR="00EA06F1">
        <w:rPr>
          <w:b w:val="0"/>
          <w:bCs w:val="0"/>
        </w:rPr>
        <w:t xml:space="preserve">  The </w:t>
      </w:r>
      <w:r w:rsidR="001E1555">
        <w:rPr>
          <w:b w:val="0"/>
          <w:bCs w:val="0"/>
        </w:rPr>
        <w:t xml:space="preserve">proposed </w:t>
      </w:r>
      <w:r w:rsidR="00EA06F1">
        <w:rPr>
          <w:b w:val="0"/>
          <w:bCs w:val="0"/>
        </w:rPr>
        <w:t xml:space="preserve">amortization period for this rebate </w:t>
      </w:r>
      <w:r w:rsidR="001E1555">
        <w:rPr>
          <w:b w:val="0"/>
          <w:bCs w:val="0"/>
        </w:rPr>
        <w:t xml:space="preserve">would </w:t>
      </w:r>
      <w:r w:rsidR="00EA06F1">
        <w:rPr>
          <w:b w:val="0"/>
          <w:bCs w:val="0"/>
        </w:rPr>
        <w:t xml:space="preserve">be 18 months, January 2015 through June 2016.  REC revenue </w:t>
      </w:r>
      <w:r w:rsidR="001E1555">
        <w:rPr>
          <w:b w:val="0"/>
          <w:bCs w:val="0"/>
        </w:rPr>
        <w:t xml:space="preserve">would </w:t>
      </w:r>
      <w:r w:rsidR="00EA06F1">
        <w:rPr>
          <w:b w:val="0"/>
          <w:bCs w:val="0"/>
        </w:rPr>
        <w:t xml:space="preserve">be based on the actual REC revenue in excess of the amount in base rates for 2012 and 2013, the estimated REC revenue in excess of the amount in base rates for 2014, and the total estimated REC revenue for the period January 2015 through June 2016.  </w:t>
      </w:r>
      <w:r w:rsidR="00B20483">
        <w:rPr>
          <w:b w:val="0"/>
          <w:bCs w:val="0"/>
        </w:rPr>
        <w:t xml:space="preserve">  The Company proposes that the rebate be implemented on a uniform cents/kWh </w:t>
      </w:r>
      <w:r w:rsidR="00D61105">
        <w:rPr>
          <w:b w:val="0"/>
          <w:bCs w:val="0"/>
        </w:rPr>
        <w:t xml:space="preserve">basis </w:t>
      </w:r>
      <w:r w:rsidR="00B20483">
        <w:rPr>
          <w:b w:val="0"/>
          <w:bCs w:val="0"/>
        </w:rPr>
        <w:t>across all rate classes.</w:t>
      </w:r>
    </w:p>
    <w:p w:rsidR="007E493D" w:rsidRPr="007E493D" w:rsidRDefault="007E493D" w:rsidP="00212289">
      <w:pPr>
        <w:pStyle w:val="BodyText"/>
        <w:tabs>
          <w:tab w:val="num" w:pos="0"/>
          <w:tab w:val="left" w:pos="810"/>
        </w:tabs>
        <w:spacing w:line="480" w:lineRule="auto"/>
        <w:ind w:firstLine="720"/>
        <w:jc w:val="both"/>
        <w:rPr>
          <w:bCs w:val="0"/>
        </w:rPr>
      </w:pPr>
      <w:r w:rsidRPr="007E493D">
        <w:rPr>
          <w:bCs w:val="0"/>
        </w:rPr>
        <w:t>Q.</w:t>
      </w:r>
      <w:r w:rsidRPr="007E493D">
        <w:rPr>
          <w:bCs w:val="0"/>
        </w:rPr>
        <w:tab/>
        <w:t xml:space="preserve">Please specify the mechanics of how REC revenues </w:t>
      </w:r>
      <w:r w:rsidR="001E1555">
        <w:rPr>
          <w:bCs w:val="0"/>
        </w:rPr>
        <w:t>would</w:t>
      </w:r>
      <w:r w:rsidR="001E1555" w:rsidRPr="007E493D">
        <w:rPr>
          <w:bCs w:val="0"/>
        </w:rPr>
        <w:t xml:space="preserve"> </w:t>
      </w:r>
      <w:r w:rsidRPr="007E493D">
        <w:rPr>
          <w:bCs w:val="0"/>
        </w:rPr>
        <w:t>be rebated.</w:t>
      </w:r>
    </w:p>
    <w:p w:rsidR="009F321F" w:rsidRPr="009F321F" w:rsidRDefault="007E493D" w:rsidP="009F321F">
      <w:pPr>
        <w:pStyle w:val="BodyText"/>
        <w:tabs>
          <w:tab w:val="num" w:pos="0"/>
          <w:tab w:val="left" w:pos="810"/>
        </w:tabs>
        <w:spacing w:line="480" w:lineRule="auto"/>
        <w:ind w:firstLine="720"/>
        <w:jc w:val="both"/>
        <w:rPr>
          <w:b w:val="0"/>
          <w:bCs w:val="0"/>
        </w:rPr>
      </w:pPr>
      <w:r>
        <w:rPr>
          <w:b w:val="0"/>
          <w:bCs w:val="0"/>
        </w:rPr>
        <w:t>A.</w:t>
      </w:r>
      <w:r>
        <w:rPr>
          <w:b w:val="0"/>
          <w:bCs w:val="0"/>
        </w:rPr>
        <w:tab/>
        <w:t>As stated above, the Company proposes to implement an in</w:t>
      </w:r>
      <w:r w:rsidR="008F7A01">
        <w:rPr>
          <w:b w:val="0"/>
          <w:bCs w:val="0"/>
        </w:rPr>
        <w:t>i</w:t>
      </w:r>
      <w:r>
        <w:rPr>
          <w:b w:val="0"/>
          <w:bCs w:val="0"/>
        </w:rPr>
        <w:t xml:space="preserve">tial </w:t>
      </w:r>
      <w:r w:rsidR="00FD76EC">
        <w:rPr>
          <w:b w:val="0"/>
          <w:bCs w:val="0"/>
        </w:rPr>
        <w:t xml:space="preserve">net </w:t>
      </w:r>
      <w:r>
        <w:rPr>
          <w:b w:val="0"/>
          <w:bCs w:val="0"/>
        </w:rPr>
        <w:t xml:space="preserve">REC revenue rebate </w:t>
      </w:r>
      <w:r w:rsidR="000945E1">
        <w:rPr>
          <w:b w:val="0"/>
          <w:bCs w:val="0"/>
        </w:rPr>
        <w:t xml:space="preserve">beginning January 1, 2015 </w:t>
      </w:r>
      <w:r>
        <w:rPr>
          <w:b w:val="0"/>
          <w:bCs w:val="0"/>
        </w:rPr>
        <w:t xml:space="preserve">based on actual and estimated REC revenues. This rebate would be in effect through June 2016.  </w:t>
      </w:r>
      <w:r w:rsidR="00A938FB">
        <w:rPr>
          <w:b w:val="0"/>
          <w:bCs w:val="0"/>
        </w:rPr>
        <w:t>On or before April 1, 2016</w:t>
      </w:r>
      <w:r w:rsidR="00582255">
        <w:rPr>
          <w:b w:val="0"/>
          <w:bCs w:val="0"/>
        </w:rPr>
        <w:t>, as part of the annual ERM filing</w:t>
      </w:r>
      <w:r w:rsidR="00006315">
        <w:rPr>
          <w:rStyle w:val="FootnoteReference"/>
          <w:b w:val="0"/>
          <w:bCs w:val="0"/>
        </w:rPr>
        <w:footnoteReference w:id="4"/>
      </w:r>
      <w:r w:rsidR="00582255">
        <w:rPr>
          <w:b w:val="0"/>
          <w:bCs w:val="0"/>
        </w:rPr>
        <w:t xml:space="preserve">, the Company </w:t>
      </w:r>
      <w:r w:rsidR="001E1555">
        <w:rPr>
          <w:b w:val="0"/>
          <w:bCs w:val="0"/>
        </w:rPr>
        <w:t xml:space="preserve">would </w:t>
      </w:r>
      <w:r>
        <w:rPr>
          <w:b w:val="0"/>
          <w:bCs w:val="0"/>
        </w:rPr>
        <w:t xml:space="preserve">provide the Commission with a true-up of </w:t>
      </w:r>
      <w:r w:rsidR="00FD76EC">
        <w:rPr>
          <w:b w:val="0"/>
          <w:bCs w:val="0"/>
        </w:rPr>
        <w:t xml:space="preserve">net </w:t>
      </w:r>
      <w:r>
        <w:rPr>
          <w:b w:val="0"/>
          <w:bCs w:val="0"/>
        </w:rPr>
        <w:t>REC revenues through December 201</w:t>
      </w:r>
      <w:r w:rsidR="00D61105">
        <w:rPr>
          <w:b w:val="0"/>
          <w:bCs w:val="0"/>
        </w:rPr>
        <w:t>5</w:t>
      </w:r>
      <w:r>
        <w:rPr>
          <w:b w:val="0"/>
          <w:bCs w:val="0"/>
        </w:rPr>
        <w:t xml:space="preserve"> and provide an estimate of </w:t>
      </w:r>
      <w:r w:rsidR="00FD76EC">
        <w:rPr>
          <w:b w:val="0"/>
          <w:bCs w:val="0"/>
        </w:rPr>
        <w:t xml:space="preserve">net </w:t>
      </w:r>
      <w:r>
        <w:rPr>
          <w:b w:val="0"/>
          <w:bCs w:val="0"/>
        </w:rPr>
        <w:t>REC revenues for the period July 2016 through June 2017.  The Company proposes that this estimate</w:t>
      </w:r>
      <w:r w:rsidR="008F7A01">
        <w:rPr>
          <w:b w:val="0"/>
          <w:bCs w:val="0"/>
        </w:rPr>
        <w:t>,</w:t>
      </w:r>
      <w:r>
        <w:rPr>
          <w:b w:val="0"/>
          <w:bCs w:val="0"/>
        </w:rPr>
        <w:t xml:space="preserve"> along with the true-up</w:t>
      </w:r>
      <w:r w:rsidR="008F7A01">
        <w:rPr>
          <w:b w:val="0"/>
          <w:bCs w:val="0"/>
        </w:rPr>
        <w:t>,</w:t>
      </w:r>
      <w:r>
        <w:rPr>
          <w:b w:val="0"/>
          <w:bCs w:val="0"/>
        </w:rPr>
        <w:t xml:space="preserve"> form the basis for a new REC revenue rebate that would go into effect July 1, 2016 and </w:t>
      </w:r>
      <w:r w:rsidR="00946AEE">
        <w:rPr>
          <w:b w:val="0"/>
          <w:bCs w:val="0"/>
        </w:rPr>
        <w:t xml:space="preserve">end June 30, 2017.  The same process would repeat each year, where the Company </w:t>
      </w:r>
      <w:r w:rsidR="00946AEE">
        <w:rPr>
          <w:b w:val="0"/>
          <w:bCs w:val="0"/>
        </w:rPr>
        <w:lastRenderedPageBreak/>
        <w:t xml:space="preserve">includes a true-up and estimate for a new REC revenue rebate as part of its annual ERM filing.  Exhibit </w:t>
      </w:r>
      <w:r w:rsidR="00E67E92">
        <w:rPr>
          <w:b w:val="0"/>
          <w:bCs w:val="0"/>
        </w:rPr>
        <w:t>No.</w:t>
      </w:r>
      <w:r w:rsidR="00946AEE">
        <w:rPr>
          <w:b w:val="0"/>
          <w:bCs w:val="0"/>
        </w:rPr>
        <w:t xml:space="preserve">___ </w:t>
      </w:r>
      <w:r w:rsidR="00E67E92">
        <w:rPr>
          <w:b w:val="0"/>
          <w:bCs w:val="0"/>
        </w:rPr>
        <w:t xml:space="preserve">(WGJ-5) </w:t>
      </w:r>
      <w:r w:rsidR="00946AEE">
        <w:rPr>
          <w:b w:val="0"/>
          <w:bCs w:val="0"/>
        </w:rPr>
        <w:t>shows a schematic of the Company’s proposed REC revenue rebate mechanism.</w:t>
      </w:r>
    </w:p>
    <w:p w:rsidR="00A634B5" w:rsidRDefault="00C019A2">
      <w:pPr>
        <w:spacing w:line="480" w:lineRule="auto"/>
        <w:ind w:firstLine="720"/>
        <w:jc w:val="both"/>
        <w:rPr>
          <w:b/>
        </w:rPr>
      </w:pPr>
      <w:r w:rsidRPr="00B413E0">
        <w:rPr>
          <w:b/>
        </w:rPr>
        <w:t>Q.</w:t>
      </w:r>
      <w:r w:rsidRPr="00B413E0">
        <w:rPr>
          <w:b/>
        </w:rPr>
        <w:tab/>
        <w:t>Please describe the accounting relating to REC revenues.</w:t>
      </w:r>
    </w:p>
    <w:p w:rsidR="00A634B5" w:rsidRDefault="00C019A2">
      <w:pPr>
        <w:spacing w:line="480" w:lineRule="auto"/>
        <w:ind w:firstLine="720"/>
        <w:jc w:val="both"/>
      </w:pPr>
      <w:r>
        <w:t>A.</w:t>
      </w:r>
      <w:r>
        <w:tab/>
        <w:t>The Company currently uses FERC Account 186</w:t>
      </w:r>
      <w:r w:rsidR="00267481">
        <w:t>.</w:t>
      </w:r>
      <w:r>
        <w:t>322 (Miscellaneous Deferred Debits – WA REC Deferral) to record the actual net REC revenues in excess of the amounts in base rates.  Through December 31, 2013, the Company has recorded $</w:t>
      </w:r>
      <w:r w:rsidR="00D5554F">
        <w:t xml:space="preserve">1,569,264 </w:t>
      </w:r>
      <w:r>
        <w:t>net REC revenues in this FERC Account.  In addition, the Company has accrued interest of $</w:t>
      </w:r>
      <w:r w:rsidR="00D5554F">
        <w:t>37,684</w:t>
      </w:r>
      <w:r>
        <w:t xml:space="preserve">, through December 31, 2013. Interest has been computed using the same method that is used for the ERM.  </w:t>
      </w:r>
      <w:r w:rsidRPr="00F527A4">
        <w:t>Interest is applied to the average of the beginning and ending month deferral balances net of associated deferred federal income tax.  The Company’s weighted cost of debt is used as the interest rate.  The interest rate is updated semi-annually and interest is compounded semi-annually.</w:t>
      </w:r>
    </w:p>
    <w:p w:rsidR="00C019A2" w:rsidRDefault="00C019A2" w:rsidP="00C019A2">
      <w:pPr>
        <w:spacing w:line="480" w:lineRule="auto"/>
        <w:jc w:val="both"/>
      </w:pPr>
      <w:r>
        <w:tab/>
        <w:t>The Company will continue to defer all net REC revenues in excess of the amounts in base rates for 2014 in FERC Account 186</w:t>
      </w:r>
      <w:r w:rsidR="00267481">
        <w:t>.</w:t>
      </w:r>
      <w:r>
        <w:t xml:space="preserve">322.  In addition, the Company will defer all net REC revenues for the 2015 in this account.  Beginning in January 2015, with the effective date of new base rates from this case, the Company will record the rebate to customers, net of revenue-sensitive expenses, in this account.  Interest will continue to accrue, as described above.  </w:t>
      </w:r>
    </w:p>
    <w:p w:rsidR="00C019A2" w:rsidRDefault="00C019A2" w:rsidP="00C019A2">
      <w:pPr>
        <w:spacing w:line="480" w:lineRule="auto"/>
        <w:jc w:val="both"/>
      </w:pPr>
      <w:r>
        <w:tab/>
        <w:t xml:space="preserve">The Company will record all net REC revenues for 2016 in </w:t>
      </w:r>
      <w:r w:rsidR="00267481">
        <w:t xml:space="preserve">a 186.3 </w:t>
      </w:r>
      <w:r>
        <w:t>FERC Accoun</w:t>
      </w:r>
      <w:r w:rsidR="00267481">
        <w:t>t</w:t>
      </w:r>
      <w:r>
        <w:t xml:space="preserve">. </w:t>
      </w:r>
      <w:r w:rsidR="00267481">
        <w:t xml:space="preserve"> </w:t>
      </w:r>
      <w:r>
        <w:t>A separate FERC account will be used to track the 2016 actual net REC revenues, so these net revenues will be provided in the annual ERM review that will be filed by April 1, 2017.  Interest will accrue, as described above.</w:t>
      </w:r>
    </w:p>
    <w:p w:rsidR="009F321F" w:rsidRPr="009F321F" w:rsidRDefault="00C019A2" w:rsidP="009F321F">
      <w:pPr>
        <w:pStyle w:val="BodyText"/>
        <w:tabs>
          <w:tab w:val="num" w:pos="0"/>
          <w:tab w:val="left" w:pos="810"/>
        </w:tabs>
        <w:spacing w:line="480" w:lineRule="auto"/>
        <w:ind w:firstLine="720"/>
        <w:jc w:val="both"/>
        <w:rPr>
          <w:b w:val="0"/>
        </w:rPr>
      </w:pPr>
      <w:r w:rsidRPr="00C019A2">
        <w:rPr>
          <w:b w:val="0"/>
        </w:rPr>
        <w:lastRenderedPageBreak/>
        <w:t>Any balance in FERC Account 186</w:t>
      </w:r>
      <w:r w:rsidR="00267481">
        <w:rPr>
          <w:b w:val="0"/>
        </w:rPr>
        <w:t>.</w:t>
      </w:r>
      <w:r w:rsidRPr="00C019A2">
        <w:rPr>
          <w:b w:val="0"/>
        </w:rPr>
        <w:t xml:space="preserve">322 at </w:t>
      </w:r>
      <w:r w:rsidR="00267481">
        <w:rPr>
          <w:b w:val="0"/>
        </w:rPr>
        <w:t>December 31</w:t>
      </w:r>
      <w:r w:rsidRPr="00C019A2">
        <w:rPr>
          <w:b w:val="0"/>
        </w:rPr>
        <w:t xml:space="preserve">, 2016 will be transferred to </w:t>
      </w:r>
      <w:r w:rsidR="00267481">
        <w:rPr>
          <w:b w:val="0"/>
        </w:rPr>
        <w:t xml:space="preserve">a 186.3 </w:t>
      </w:r>
      <w:r w:rsidRPr="00C019A2">
        <w:rPr>
          <w:b w:val="0"/>
        </w:rPr>
        <w:t>FERC Account.  This process will repeat each year.</w:t>
      </w:r>
    </w:p>
    <w:p w:rsidR="00E67E92" w:rsidRPr="008F7A01" w:rsidRDefault="00E67E92" w:rsidP="00E67E92">
      <w:pPr>
        <w:pStyle w:val="BodyText"/>
        <w:tabs>
          <w:tab w:val="num" w:pos="0"/>
          <w:tab w:val="left" w:pos="810"/>
        </w:tabs>
        <w:spacing w:line="480" w:lineRule="auto"/>
        <w:ind w:firstLine="720"/>
        <w:jc w:val="both"/>
        <w:rPr>
          <w:bCs w:val="0"/>
        </w:rPr>
      </w:pPr>
      <w:r w:rsidRPr="008F7A01">
        <w:rPr>
          <w:bCs w:val="0"/>
        </w:rPr>
        <w:t>Q.</w:t>
      </w:r>
      <w:r w:rsidRPr="008F7A01">
        <w:rPr>
          <w:bCs w:val="0"/>
        </w:rPr>
        <w:tab/>
        <w:t>Wi</w:t>
      </w:r>
      <w:r>
        <w:rPr>
          <w:bCs w:val="0"/>
        </w:rPr>
        <w:t>ll the Company include and track</w:t>
      </w:r>
      <w:r w:rsidRPr="008F7A01">
        <w:rPr>
          <w:bCs w:val="0"/>
        </w:rPr>
        <w:t xml:space="preserve"> any REC expenses?</w:t>
      </w:r>
    </w:p>
    <w:p w:rsidR="00212289" w:rsidRDefault="00E67E92" w:rsidP="00D61105">
      <w:pPr>
        <w:pStyle w:val="BodyText"/>
        <w:tabs>
          <w:tab w:val="num" w:pos="0"/>
          <w:tab w:val="left" w:pos="810"/>
        </w:tabs>
        <w:spacing w:line="480" w:lineRule="auto"/>
        <w:ind w:firstLine="720"/>
        <w:jc w:val="both"/>
        <w:rPr>
          <w:b w:val="0"/>
          <w:bCs w:val="0"/>
        </w:rPr>
      </w:pPr>
      <w:r>
        <w:rPr>
          <w:b w:val="0"/>
          <w:bCs w:val="0"/>
        </w:rPr>
        <w:t>A.</w:t>
      </w:r>
      <w:r>
        <w:rPr>
          <w:b w:val="0"/>
          <w:bCs w:val="0"/>
        </w:rPr>
        <w:tab/>
        <w:t>Yes.  REC revenue will be netted against certain incremental REC expenses.  These expenses include items such as WREGIS fees, Green-e fees, broker fees, any REC purchases, and other specific out-of-pocket expenses required to support REC sales</w:t>
      </w:r>
      <w:r w:rsidR="00267481">
        <w:rPr>
          <w:rStyle w:val="FootnoteReference"/>
          <w:b w:val="0"/>
          <w:bCs w:val="0"/>
        </w:rPr>
        <w:footnoteReference w:id="5"/>
      </w:r>
      <w:r>
        <w:rPr>
          <w:b w:val="0"/>
          <w:bCs w:val="0"/>
        </w:rPr>
        <w:t xml:space="preserve">.  REC expenses will not include any costs associated with generation at Company-owned resources that generate </w:t>
      </w:r>
      <w:proofErr w:type="spellStart"/>
      <w:r>
        <w:rPr>
          <w:b w:val="0"/>
          <w:bCs w:val="0"/>
        </w:rPr>
        <w:t>RECs.</w:t>
      </w:r>
      <w:proofErr w:type="spellEnd"/>
      <w:r w:rsidR="00267481">
        <w:rPr>
          <w:b w:val="0"/>
          <w:bCs w:val="0"/>
        </w:rPr>
        <w:t xml:space="preserve">  However, if the Company in the future receives output from a generating resource such that the Company incurs incremental costs associated with incremental RECs received, it would be appropriate to reflect these incremental costs in the REC deferral.</w:t>
      </w:r>
    </w:p>
    <w:p w:rsidR="00B20483" w:rsidRPr="00E67E92" w:rsidRDefault="00B20483" w:rsidP="00212289">
      <w:pPr>
        <w:pStyle w:val="BodyText"/>
        <w:tabs>
          <w:tab w:val="num" w:pos="0"/>
          <w:tab w:val="left" w:pos="810"/>
        </w:tabs>
        <w:spacing w:line="480" w:lineRule="auto"/>
        <w:ind w:firstLine="720"/>
        <w:jc w:val="both"/>
        <w:rPr>
          <w:bCs w:val="0"/>
        </w:rPr>
      </w:pPr>
      <w:r w:rsidRPr="00E67E92">
        <w:rPr>
          <w:bCs w:val="0"/>
        </w:rPr>
        <w:t>Q.</w:t>
      </w:r>
      <w:r w:rsidRPr="00E67E92">
        <w:rPr>
          <w:bCs w:val="0"/>
        </w:rPr>
        <w:tab/>
        <w:t>What is the estimated REC revenue rebate to go into effect on January 1, 2015?</w:t>
      </w:r>
    </w:p>
    <w:p w:rsidR="006E4FC3" w:rsidRDefault="00B20483" w:rsidP="006E4FC3">
      <w:pPr>
        <w:pStyle w:val="BodyText"/>
        <w:tabs>
          <w:tab w:val="num" w:pos="0"/>
          <w:tab w:val="left" w:pos="810"/>
        </w:tabs>
        <w:spacing w:line="480" w:lineRule="auto"/>
        <w:ind w:firstLine="720"/>
        <w:jc w:val="both"/>
      </w:pPr>
      <w:r>
        <w:rPr>
          <w:b w:val="0"/>
          <w:bCs w:val="0"/>
        </w:rPr>
        <w:t>A.</w:t>
      </w:r>
      <w:r>
        <w:rPr>
          <w:b w:val="0"/>
          <w:bCs w:val="0"/>
        </w:rPr>
        <w:tab/>
        <w:t>Based on actual 2012 and 2013 REC revenue plus the estimated REC revenue for the period 2014 through June 2016</w:t>
      </w:r>
      <w:r w:rsidR="00460A0B">
        <w:rPr>
          <w:b w:val="0"/>
          <w:bCs w:val="0"/>
        </w:rPr>
        <w:t>,</w:t>
      </w:r>
      <w:r>
        <w:rPr>
          <w:b w:val="0"/>
          <w:bCs w:val="0"/>
        </w:rPr>
        <w:t xml:space="preserve"> the total rebate amount is $</w:t>
      </w:r>
      <w:r w:rsidR="00460A0B">
        <w:rPr>
          <w:b w:val="0"/>
          <w:bCs w:val="0"/>
        </w:rPr>
        <w:t>7,841,726</w:t>
      </w:r>
      <w:r>
        <w:rPr>
          <w:b w:val="0"/>
          <w:bCs w:val="0"/>
        </w:rPr>
        <w:t xml:space="preserve"> (Washington allocation).  Amortized over an 18 month period the rebate is </w:t>
      </w:r>
      <w:r w:rsidRPr="00DF4581">
        <w:rPr>
          <w:b w:val="0"/>
          <w:bCs w:val="0"/>
        </w:rPr>
        <w:t>$.</w:t>
      </w:r>
      <w:r w:rsidR="00460A0B" w:rsidRPr="00DF4581">
        <w:rPr>
          <w:b w:val="0"/>
          <w:bCs w:val="0"/>
        </w:rPr>
        <w:t>0009</w:t>
      </w:r>
      <w:r w:rsidR="00DF4581" w:rsidRPr="00DF4581">
        <w:rPr>
          <w:b w:val="0"/>
          <w:bCs w:val="0"/>
        </w:rPr>
        <w:t>4</w:t>
      </w:r>
      <w:r>
        <w:rPr>
          <w:b w:val="0"/>
          <w:bCs w:val="0"/>
        </w:rPr>
        <w:t xml:space="preserve">/kWh, or approximately a </w:t>
      </w:r>
      <w:r w:rsidR="00DF4581">
        <w:rPr>
          <w:b w:val="0"/>
          <w:bCs w:val="0"/>
        </w:rPr>
        <w:t>1.1</w:t>
      </w:r>
      <w:r>
        <w:rPr>
          <w:b w:val="0"/>
          <w:bCs w:val="0"/>
        </w:rPr>
        <w:t>% reduction in rates.</w:t>
      </w:r>
      <w:r w:rsidR="00FD76EC">
        <w:rPr>
          <w:b w:val="0"/>
          <w:bCs w:val="0"/>
        </w:rPr>
        <w:t xml:space="preserve">  A table showing net REC revenues, both actual and projected, by year is shown in Exhibit No. __</w:t>
      </w:r>
      <w:proofErr w:type="gramStart"/>
      <w:r w:rsidR="00FD76EC">
        <w:rPr>
          <w:b w:val="0"/>
          <w:bCs w:val="0"/>
        </w:rPr>
        <w:t>_  (</w:t>
      </w:r>
      <w:proofErr w:type="gramEnd"/>
      <w:r w:rsidR="00FD76EC">
        <w:rPr>
          <w:b w:val="0"/>
          <w:bCs w:val="0"/>
        </w:rPr>
        <w:t>WGJ-6).</w:t>
      </w:r>
      <w:r w:rsidR="006E4FC3">
        <w:rPr>
          <w:b w:val="0"/>
          <w:bCs w:val="0"/>
        </w:rPr>
        <w:br w:type="page"/>
      </w:r>
    </w:p>
    <w:p w:rsidR="00BE21E7" w:rsidRPr="0045060B" w:rsidRDefault="007E493D" w:rsidP="007E493D">
      <w:pPr>
        <w:pStyle w:val="BodyText"/>
        <w:tabs>
          <w:tab w:val="num" w:pos="0"/>
        </w:tabs>
        <w:spacing w:line="480" w:lineRule="auto"/>
        <w:rPr>
          <w:bCs w:val="0"/>
          <w:u w:val="single"/>
        </w:rPr>
      </w:pPr>
      <w:r w:rsidRPr="0045060B">
        <w:rPr>
          <w:bCs w:val="0"/>
          <w:u w:val="single"/>
        </w:rPr>
        <w:lastRenderedPageBreak/>
        <w:t>VI.</w:t>
      </w:r>
      <w:r w:rsidR="00274C65">
        <w:rPr>
          <w:bCs w:val="0"/>
          <w:u w:val="single"/>
        </w:rPr>
        <w:t xml:space="preserve">  </w:t>
      </w:r>
      <w:r w:rsidR="00975878" w:rsidRPr="0045060B">
        <w:rPr>
          <w:bCs w:val="0"/>
          <w:u w:val="single"/>
        </w:rPr>
        <w:t xml:space="preserve">ERM AUTHRORIZED </w:t>
      </w:r>
      <w:r w:rsidR="00647807" w:rsidRPr="0045060B">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8A2713">
        <w:rPr>
          <w:b w:val="0"/>
          <w:bCs w:val="0"/>
        </w:rPr>
        <w:t>160,</w:t>
      </w:r>
      <w:r w:rsidR="00E67E92">
        <w:rPr>
          <w:b w:val="0"/>
          <w:bCs w:val="0"/>
        </w:rPr>
        <w:t>443</w:t>
      </w:r>
      <w:r w:rsidR="008A2713">
        <w:rPr>
          <w:b w:val="0"/>
          <w:bCs w:val="0"/>
        </w:rPr>
        <w:t>,</w:t>
      </w:r>
      <w:r w:rsidR="00E67E92">
        <w:rPr>
          <w:b w:val="0"/>
          <w:bCs w:val="0"/>
        </w:rPr>
        <w:t>687</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008A2713">
        <w:rPr>
          <w:b w:val="0"/>
          <w:bCs w:val="0"/>
        </w:rPr>
        <w:t>$16,698,737</w:t>
      </w:r>
      <w:r w:rsidRPr="00BE21E7">
        <w:rPr>
          <w:b w:val="0"/>
          <w:bCs w:val="0"/>
        </w:rPr>
        <w:t xml:space="preserve">.  The proposed level of Transmission Revenue is </w:t>
      </w:r>
      <w:r w:rsidRPr="00804CDF">
        <w:rPr>
          <w:b w:val="0"/>
          <w:bCs w:val="0"/>
        </w:rPr>
        <w:t>$</w:t>
      </w:r>
      <w:r w:rsidR="001F4990" w:rsidRPr="00804CDF">
        <w:rPr>
          <w:b w:val="0"/>
          <w:bCs w:val="0"/>
        </w:rPr>
        <w:t>1</w:t>
      </w:r>
      <w:r w:rsidR="00930F4B">
        <w:rPr>
          <w:b w:val="0"/>
          <w:bCs w:val="0"/>
        </w:rPr>
        <w:t>6</w:t>
      </w:r>
      <w:r w:rsidRPr="00804CDF">
        <w:rPr>
          <w:b w:val="0"/>
          <w:bCs w:val="0"/>
        </w:rPr>
        <w:t>,</w:t>
      </w:r>
      <w:r w:rsidR="00930F4B">
        <w:rPr>
          <w:b w:val="0"/>
          <w:bCs w:val="0"/>
        </w:rPr>
        <w:t>015,349</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retail revenue credit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D13452">
        <w:rPr>
          <w:b w:val="0"/>
          <w:bCs w:val="0"/>
        </w:rPr>
        <w:t>July</w:t>
      </w:r>
      <w:r w:rsidR="00BE21E7" w:rsidRPr="00BE21E7">
        <w:rPr>
          <w:b w:val="0"/>
          <w:bCs w:val="0"/>
        </w:rPr>
        <w:t xml:space="preserve"> 201</w:t>
      </w:r>
      <w:r w:rsidR="00D13452">
        <w:rPr>
          <w:b w:val="0"/>
          <w:bCs w:val="0"/>
        </w:rPr>
        <w:t>2</w:t>
      </w:r>
      <w:r w:rsidR="00BE21E7" w:rsidRPr="00BE21E7">
        <w:rPr>
          <w:b w:val="0"/>
          <w:bCs w:val="0"/>
        </w:rPr>
        <w:t xml:space="preserve"> through </w:t>
      </w:r>
      <w:r w:rsidR="00D13452">
        <w:rPr>
          <w:b w:val="0"/>
          <w:bCs w:val="0"/>
        </w:rPr>
        <w:t>June 2013</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934412">
        <w:rPr>
          <w:b w:val="0"/>
          <w:bCs w:val="0"/>
        </w:rPr>
        <w:t xml:space="preserve"> adjusted for the Inland Empire Paper load as describe</w:t>
      </w:r>
      <w:r w:rsidR="00647807">
        <w:rPr>
          <w:b w:val="0"/>
          <w:bCs w:val="0"/>
        </w:rPr>
        <w:t>d</w:t>
      </w:r>
      <w:r w:rsidR="00934412">
        <w:rPr>
          <w:b w:val="0"/>
          <w:bCs w:val="0"/>
        </w:rPr>
        <w:t xml:space="preserve"> earlier</w:t>
      </w:r>
      <w:r w:rsidR="00BE21E7" w:rsidRPr="00BE21E7">
        <w:rPr>
          <w:b w:val="0"/>
          <w:bCs w:val="0"/>
        </w:rPr>
        <w:t>.  The pr</w:t>
      </w:r>
      <w:r w:rsidR="00D15846">
        <w:rPr>
          <w:b w:val="0"/>
          <w:bCs w:val="0"/>
        </w:rPr>
        <w:t xml:space="preserve">oposed retail revenue credit is </w:t>
      </w:r>
      <w:r w:rsidR="00647807">
        <w:rPr>
          <w:b w:val="0"/>
          <w:bCs w:val="0"/>
        </w:rPr>
        <w:t>$</w:t>
      </w:r>
      <w:r w:rsidR="00647807" w:rsidRPr="00647807">
        <w:rPr>
          <w:b w:val="0"/>
          <w:bCs w:val="0"/>
        </w:rPr>
        <w:t>33.60</w:t>
      </w:r>
      <w:r w:rsidR="00BE21E7" w:rsidRPr="00647807">
        <w:rPr>
          <w:b w:val="0"/>
          <w:bCs w:val="0"/>
        </w:rPr>
        <w:t>MWh</w:t>
      </w:r>
      <w:r w:rsidR="00BE21E7" w:rsidRPr="00BE21E7">
        <w:rPr>
          <w:b w:val="0"/>
          <w:bCs w:val="0"/>
        </w:rPr>
        <w:t xml:space="preserve">, which is the </w:t>
      </w:r>
      <w:r>
        <w:rPr>
          <w:b w:val="0"/>
          <w:bCs w:val="0"/>
        </w:rPr>
        <w:t>energy classified portion of the fixed and variable production and transmission revenue requirement</w:t>
      </w:r>
      <w:r w:rsidR="00BE21E7" w:rsidRPr="00BE21E7">
        <w:rPr>
          <w:b w:val="0"/>
          <w:bCs w:val="0"/>
        </w:rPr>
        <w:t xml:space="preserve"> in this filing</w:t>
      </w:r>
      <w:r w:rsidR="0044617E">
        <w:rPr>
          <w:b w:val="0"/>
          <w:bCs w:val="0"/>
        </w:rPr>
        <w:t xml:space="preserve"> developed </w:t>
      </w:r>
      <w:r w:rsidR="009C2006">
        <w:rPr>
          <w:b w:val="0"/>
          <w:bCs w:val="0"/>
        </w:rPr>
        <w:t>by Company witness Ms. Knox</w:t>
      </w:r>
      <w:r w:rsidR="00BE21E7"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 xml:space="preserve">The proposed authorized ERM power supply expense and revenue, transmission expense and revenue, and </w:t>
      </w:r>
      <w:r w:rsidR="00C43FEC" w:rsidRPr="00BE21E7">
        <w:rPr>
          <w:b w:val="0"/>
          <w:bCs w:val="0"/>
        </w:rPr>
        <w:t>retail sales are</w:t>
      </w:r>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FD76EC">
        <w:rPr>
          <w:b w:val="0"/>
          <w:bCs w:val="0"/>
        </w:rPr>
        <w:t>7</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6E4FC3">
      <w:pgSz w:w="12240" w:h="15840" w:code="1"/>
      <w:pgMar w:top="1440" w:right="1440" w:bottom="1728" w:left="1872" w:header="720" w:footer="706"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02" w:rsidRDefault="00533F02">
      <w:r>
        <w:separator/>
      </w:r>
    </w:p>
  </w:endnote>
  <w:endnote w:type="continuationSeparator" w:id="0">
    <w:p w:rsidR="00533F02" w:rsidRDefault="0053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Pr="000945E1" w:rsidRDefault="00CB687A">
    <w:pPr>
      <w:pStyle w:val="Footer"/>
      <w:tabs>
        <w:tab w:val="clear" w:pos="4320"/>
        <w:tab w:val="clear" w:pos="8640"/>
        <w:tab w:val="left" w:pos="180"/>
        <w:tab w:val="right" w:pos="9360"/>
      </w:tabs>
    </w:pPr>
    <w:r w:rsidRPr="000945E1">
      <w:t>Direct Testimony of William G. Johnson</w:t>
    </w:r>
    <w:r w:rsidRPr="000945E1">
      <w:tab/>
    </w:r>
  </w:p>
  <w:p w:rsidR="00CB687A" w:rsidRPr="000945E1" w:rsidRDefault="00CB687A">
    <w:pPr>
      <w:pStyle w:val="Footer"/>
      <w:tabs>
        <w:tab w:val="clear" w:pos="4320"/>
        <w:tab w:val="clear" w:pos="8640"/>
        <w:tab w:val="left" w:pos="180"/>
        <w:tab w:val="right" w:pos="9360"/>
      </w:tabs>
      <w:rPr>
        <w:lang w:val="fr-FR"/>
      </w:rPr>
    </w:pPr>
    <w:r w:rsidRPr="000945E1">
      <w:rPr>
        <w:lang w:val="fr-FR"/>
      </w:rPr>
      <w:t>Avista Corporation</w:t>
    </w:r>
  </w:p>
  <w:p w:rsidR="00CB687A" w:rsidRPr="000945E1" w:rsidRDefault="00CB687A">
    <w:pPr>
      <w:pStyle w:val="Footer"/>
      <w:tabs>
        <w:tab w:val="clear" w:pos="4320"/>
        <w:tab w:val="clear" w:pos="8640"/>
        <w:tab w:val="left" w:pos="180"/>
        <w:tab w:val="right" w:pos="9360"/>
      </w:tabs>
      <w:rPr>
        <w:lang w:val="fr-FR"/>
      </w:rPr>
    </w:pPr>
    <w:r w:rsidRPr="000945E1">
      <w:rPr>
        <w:lang w:val="fr-FR"/>
      </w:rPr>
      <w:t>Docket No. UE-14____</w:t>
    </w:r>
    <w:r w:rsidRPr="000945E1">
      <w:rPr>
        <w:lang w:val="fr-FR"/>
      </w:rPr>
      <w:tab/>
      <w:t xml:space="preserve">Page </w:t>
    </w:r>
    <w:r w:rsidR="0052284C" w:rsidRPr="000945E1">
      <w:rPr>
        <w:rStyle w:val="PageNumber"/>
      </w:rPr>
      <w:fldChar w:fldCharType="begin"/>
    </w:r>
    <w:r w:rsidRPr="000945E1">
      <w:rPr>
        <w:rStyle w:val="PageNumber"/>
        <w:lang w:val="fr-FR"/>
      </w:rPr>
      <w:instrText xml:space="preserve"> PAGE </w:instrText>
    </w:r>
    <w:r w:rsidR="0052284C" w:rsidRPr="000945E1">
      <w:rPr>
        <w:rStyle w:val="PageNumber"/>
      </w:rPr>
      <w:fldChar w:fldCharType="separate"/>
    </w:r>
    <w:r w:rsidR="00274C65">
      <w:rPr>
        <w:rStyle w:val="PageNumber"/>
        <w:noProof/>
        <w:lang w:val="fr-FR"/>
      </w:rPr>
      <w:t>18</w:t>
    </w:r>
    <w:r w:rsidR="0052284C" w:rsidRPr="000945E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02" w:rsidRDefault="00533F02">
      <w:r>
        <w:separator/>
      </w:r>
    </w:p>
  </w:footnote>
  <w:footnote w:type="continuationSeparator" w:id="0">
    <w:p w:rsidR="00533F02" w:rsidRDefault="00533F02">
      <w:r>
        <w:continuationSeparator/>
      </w:r>
    </w:p>
  </w:footnote>
  <w:footnote w:id="1">
    <w:p w:rsidR="002108F5" w:rsidRDefault="002108F5" w:rsidP="009F321F">
      <w:pPr>
        <w:pStyle w:val="FootnoteText"/>
        <w:jc w:val="both"/>
      </w:pPr>
      <w:r>
        <w:rPr>
          <w:rStyle w:val="FootnoteReference"/>
        </w:rPr>
        <w:footnoteRef/>
      </w:r>
      <w:r>
        <w:t xml:space="preserve"> </w:t>
      </w:r>
      <w:r w:rsidRPr="009F321F">
        <w:t>As discussed by Company witness Ms. Andrews, the Company is basing its electric revenue increase requested in this case on its electric Attrition Study.  However, as a “cross check” to the Company’s request based on the electric Attrition Study, Ms. Andrews has also prepared an electric Pro Forma Cross Check Study. Both the electric Attrition and Pro Forma Cross Check Studies incorporate Washington’s share of the pro forma power supply adjustment described further in my testimony.</w:t>
      </w:r>
    </w:p>
  </w:footnote>
  <w:footnote w:id="2">
    <w:p w:rsidR="00CB687A" w:rsidRDefault="00CB687A" w:rsidP="000945E1">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3">
    <w:p w:rsidR="001206CC" w:rsidRDefault="001206CC" w:rsidP="000945E1">
      <w:pPr>
        <w:pStyle w:val="FootnoteText"/>
        <w:jc w:val="both"/>
      </w:pPr>
      <w:r>
        <w:rPr>
          <w:rStyle w:val="FootnoteReference"/>
        </w:rPr>
        <w:footnoteRef/>
      </w:r>
      <w:r>
        <w:t xml:space="preserve"> </w:t>
      </w:r>
      <w:r w:rsidR="00D10D71">
        <w:t>Washington’s share of the</w:t>
      </w:r>
      <w:r>
        <w:t xml:space="preserve"> funds</w:t>
      </w:r>
      <w:r w:rsidR="00D10D71">
        <w:t xml:space="preserve"> was approximately $100 million from</w:t>
      </w:r>
      <w:r>
        <w:t xml:space="preserve"> the monetization of the agreement</w:t>
      </w:r>
      <w:r w:rsidR="00D10D71">
        <w:t xml:space="preserve">.  These funds were used </w:t>
      </w:r>
      <w:r>
        <w:t xml:space="preserve">to reduce </w:t>
      </w:r>
      <w:r w:rsidR="00D10D71">
        <w:t xml:space="preserve">generation </w:t>
      </w:r>
      <w:r>
        <w:t>rate base</w:t>
      </w:r>
      <w:r w:rsidR="00D10D71">
        <w:t xml:space="preserve"> by approximately $37 million, to eliminate DSM balance of approximately $21 million</w:t>
      </w:r>
      <w:r>
        <w:t xml:space="preserve"> and to offset certain expenses that would otherwise have increased customers’ rates</w:t>
      </w:r>
      <w:r w:rsidR="00D10D71">
        <w:t xml:space="preserve"> by approximately $38 million</w:t>
      </w:r>
      <w:r>
        <w:t xml:space="preserve"> in accordance with the Commission Order in Docket Nos. </w:t>
      </w:r>
      <w:proofErr w:type="gramStart"/>
      <w:r>
        <w:t>UE-991606 and UG-991607.</w:t>
      </w:r>
      <w:proofErr w:type="gramEnd"/>
    </w:p>
  </w:footnote>
  <w:footnote w:id="4">
    <w:p w:rsidR="00CB687A" w:rsidRDefault="00CB687A" w:rsidP="000945E1">
      <w:pPr>
        <w:pStyle w:val="FootnoteText"/>
        <w:jc w:val="both"/>
      </w:pPr>
      <w:r>
        <w:rPr>
          <w:rStyle w:val="FootnoteReference"/>
        </w:rPr>
        <w:footnoteRef/>
      </w:r>
      <w:r>
        <w:t xml:space="preserve"> The annual ERM prudence review is filed by April 1 of each year.  There is a 90 day review period ending June 30.  </w:t>
      </w:r>
    </w:p>
  </w:footnote>
  <w:footnote w:id="5">
    <w:p w:rsidR="00CB687A" w:rsidRDefault="00CB687A" w:rsidP="000945E1">
      <w:pPr>
        <w:pStyle w:val="FootnoteText"/>
        <w:jc w:val="both"/>
      </w:pPr>
      <w:r>
        <w:rPr>
          <w:rStyle w:val="FootnoteReference"/>
        </w:rPr>
        <w:footnoteRef/>
      </w:r>
      <w:r>
        <w:t xml:space="preserve"> WREGIS fees are required to maintain and transact eligible </w:t>
      </w:r>
      <w:proofErr w:type="spellStart"/>
      <w:r>
        <w:t>RECs.</w:t>
      </w:r>
      <w:proofErr w:type="spellEnd"/>
      <w:r>
        <w:t xml:space="preserve">  Green-e fees are payments to the Center for Resource Solutions to certify generation for eligibility in Green-e participation.  Broker fees are sometimes incurred in the sale or purchase of </w:t>
      </w:r>
      <w:proofErr w:type="spellStart"/>
      <w:r>
        <w:t>RECs.</w:t>
      </w:r>
      <w:proofErr w:type="spellEnd"/>
      <w:r>
        <w:t xml:space="preserve">  Avista at times purchases REC</w:t>
      </w:r>
      <w:r w:rsidR="000945E1">
        <w:t>s</w:t>
      </w:r>
      <w:r>
        <w:t>, primarily to meet Washington Energy Independence Act requirements.   Other REC-related expenses include items such as professional services used to facilitate REC sales.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7A" w:rsidRDefault="00CB687A" w:rsidP="006E4FC3">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6315"/>
    <w:rsid w:val="00022CA6"/>
    <w:rsid w:val="0003296D"/>
    <w:rsid w:val="00036DBA"/>
    <w:rsid w:val="00037B2A"/>
    <w:rsid w:val="00044806"/>
    <w:rsid w:val="000519D7"/>
    <w:rsid w:val="0005483B"/>
    <w:rsid w:val="00055978"/>
    <w:rsid w:val="00067E1A"/>
    <w:rsid w:val="00071F0A"/>
    <w:rsid w:val="00076370"/>
    <w:rsid w:val="000773D0"/>
    <w:rsid w:val="00087A02"/>
    <w:rsid w:val="00092D05"/>
    <w:rsid w:val="000945E1"/>
    <w:rsid w:val="00095636"/>
    <w:rsid w:val="000A2769"/>
    <w:rsid w:val="000B57DD"/>
    <w:rsid w:val="000C6001"/>
    <w:rsid w:val="000E01AF"/>
    <w:rsid w:val="000F40A2"/>
    <w:rsid w:val="00102CD7"/>
    <w:rsid w:val="00105104"/>
    <w:rsid w:val="001177A0"/>
    <w:rsid w:val="001206CC"/>
    <w:rsid w:val="001245BE"/>
    <w:rsid w:val="0012703B"/>
    <w:rsid w:val="00127C1C"/>
    <w:rsid w:val="0013441E"/>
    <w:rsid w:val="00137F9D"/>
    <w:rsid w:val="00147465"/>
    <w:rsid w:val="001665E9"/>
    <w:rsid w:val="001705BE"/>
    <w:rsid w:val="00182994"/>
    <w:rsid w:val="00187892"/>
    <w:rsid w:val="00190B9E"/>
    <w:rsid w:val="001947A1"/>
    <w:rsid w:val="001951A0"/>
    <w:rsid w:val="001973DE"/>
    <w:rsid w:val="00197849"/>
    <w:rsid w:val="001B0749"/>
    <w:rsid w:val="001B0DAD"/>
    <w:rsid w:val="001B4D44"/>
    <w:rsid w:val="001C4C68"/>
    <w:rsid w:val="001D0EAD"/>
    <w:rsid w:val="001D1466"/>
    <w:rsid w:val="001D2067"/>
    <w:rsid w:val="001E1555"/>
    <w:rsid w:val="001F1D02"/>
    <w:rsid w:val="001F37AE"/>
    <w:rsid w:val="001F3D71"/>
    <w:rsid w:val="001F4990"/>
    <w:rsid w:val="001F63E1"/>
    <w:rsid w:val="001F7A60"/>
    <w:rsid w:val="00200197"/>
    <w:rsid w:val="00201A6E"/>
    <w:rsid w:val="00201AC3"/>
    <w:rsid w:val="002034E5"/>
    <w:rsid w:val="002108F5"/>
    <w:rsid w:val="00212289"/>
    <w:rsid w:val="002276E4"/>
    <w:rsid w:val="00230CF6"/>
    <w:rsid w:val="00231AD4"/>
    <w:rsid w:val="002477D3"/>
    <w:rsid w:val="00251070"/>
    <w:rsid w:val="0025436C"/>
    <w:rsid w:val="00254D97"/>
    <w:rsid w:val="002562C3"/>
    <w:rsid w:val="00267481"/>
    <w:rsid w:val="0027382E"/>
    <w:rsid w:val="00274C65"/>
    <w:rsid w:val="00291043"/>
    <w:rsid w:val="002A2261"/>
    <w:rsid w:val="002A4C87"/>
    <w:rsid w:val="002C2686"/>
    <w:rsid w:val="002D06C3"/>
    <w:rsid w:val="002D0C51"/>
    <w:rsid w:val="002D7756"/>
    <w:rsid w:val="002E5016"/>
    <w:rsid w:val="002F1C20"/>
    <w:rsid w:val="002F6EB0"/>
    <w:rsid w:val="00301D3F"/>
    <w:rsid w:val="00305307"/>
    <w:rsid w:val="00317527"/>
    <w:rsid w:val="003214E3"/>
    <w:rsid w:val="00321801"/>
    <w:rsid w:val="00326EEB"/>
    <w:rsid w:val="00335253"/>
    <w:rsid w:val="0033668A"/>
    <w:rsid w:val="0035252D"/>
    <w:rsid w:val="00353674"/>
    <w:rsid w:val="00363D96"/>
    <w:rsid w:val="00380D3E"/>
    <w:rsid w:val="00387A30"/>
    <w:rsid w:val="003932C2"/>
    <w:rsid w:val="00393612"/>
    <w:rsid w:val="003A768F"/>
    <w:rsid w:val="003B2A55"/>
    <w:rsid w:val="003B5B38"/>
    <w:rsid w:val="003C2A70"/>
    <w:rsid w:val="003D15A9"/>
    <w:rsid w:val="003F0DD4"/>
    <w:rsid w:val="003F3CBF"/>
    <w:rsid w:val="003F55FA"/>
    <w:rsid w:val="004007BE"/>
    <w:rsid w:val="00407CC1"/>
    <w:rsid w:val="004131C2"/>
    <w:rsid w:val="00414AC3"/>
    <w:rsid w:val="00414DD7"/>
    <w:rsid w:val="00431EB0"/>
    <w:rsid w:val="00434B9F"/>
    <w:rsid w:val="0044617E"/>
    <w:rsid w:val="0044625D"/>
    <w:rsid w:val="0045060B"/>
    <w:rsid w:val="00452AA7"/>
    <w:rsid w:val="00460A0B"/>
    <w:rsid w:val="004628CA"/>
    <w:rsid w:val="00465735"/>
    <w:rsid w:val="00465B31"/>
    <w:rsid w:val="004704D9"/>
    <w:rsid w:val="00472C4D"/>
    <w:rsid w:val="0047521C"/>
    <w:rsid w:val="00475CD2"/>
    <w:rsid w:val="00476EBC"/>
    <w:rsid w:val="004936A1"/>
    <w:rsid w:val="0049447F"/>
    <w:rsid w:val="00496490"/>
    <w:rsid w:val="004967E7"/>
    <w:rsid w:val="004A135E"/>
    <w:rsid w:val="004A3454"/>
    <w:rsid w:val="004B4163"/>
    <w:rsid w:val="004B4C41"/>
    <w:rsid w:val="004C0725"/>
    <w:rsid w:val="004C1337"/>
    <w:rsid w:val="004C2BF7"/>
    <w:rsid w:val="004C3981"/>
    <w:rsid w:val="004D3D45"/>
    <w:rsid w:val="004D52D2"/>
    <w:rsid w:val="004D5669"/>
    <w:rsid w:val="004E2C61"/>
    <w:rsid w:val="004E4653"/>
    <w:rsid w:val="004E6CF8"/>
    <w:rsid w:val="004E7A16"/>
    <w:rsid w:val="004F74FC"/>
    <w:rsid w:val="004F758B"/>
    <w:rsid w:val="00506FC8"/>
    <w:rsid w:val="005108F2"/>
    <w:rsid w:val="005145D4"/>
    <w:rsid w:val="00514AC4"/>
    <w:rsid w:val="0052284C"/>
    <w:rsid w:val="0053057E"/>
    <w:rsid w:val="00533F02"/>
    <w:rsid w:val="00541D93"/>
    <w:rsid w:val="00542569"/>
    <w:rsid w:val="005430BA"/>
    <w:rsid w:val="005517D9"/>
    <w:rsid w:val="005542A8"/>
    <w:rsid w:val="00565FD8"/>
    <w:rsid w:val="0057220C"/>
    <w:rsid w:val="00576309"/>
    <w:rsid w:val="00580970"/>
    <w:rsid w:val="00582255"/>
    <w:rsid w:val="0058225F"/>
    <w:rsid w:val="00583433"/>
    <w:rsid w:val="005834BD"/>
    <w:rsid w:val="005845F1"/>
    <w:rsid w:val="00590DD4"/>
    <w:rsid w:val="00591D43"/>
    <w:rsid w:val="00591EDC"/>
    <w:rsid w:val="00593E33"/>
    <w:rsid w:val="005A6D43"/>
    <w:rsid w:val="005B1E66"/>
    <w:rsid w:val="005B5B8F"/>
    <w:rsid w:val="005C366C"/>
    <w:rsid w:val="005C39B4"/>
    <w:rsid w:val="005D7E94"/>
    <w:rsid w:val="005D7EE1"/>
    <w:rsid w:val="005E439A"/>
    <w:rsid w:val="005E6D8E"/>
    <w:rsid w:val="005F3EF2"/>
    <w:rsid w:val="005F4F7A"/>
    <w:rsid w:val="005F5256"/>
    <w:rsid w:val="00601E14"/>
    <w:rsid w:val="00612931"/>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1CB7"/>
    <w:rsid w:val="006A26AD"/>
    <w:rsid w:val="006A2758"/>
    <w:rsid w:val="006A6139"/>
    <w:rsid w:val="006A7CFD"/>
    <w:rsid w:val="006B05D4"/>
    <w:rsid w:val="006B492E"/>
    <w:rsid w:val="006B7E17"/>
    <w:rsid w:val="006C01C8"/>
    <w:rsid w:val="006C0205"/>
    <w:rsid w:val="006D1A9B"/>
    <w:rsid w:val="006D353A"/>
    <w:rsid w:val="006D5BF7"/>
    <w:rsid w:val="006E4FC3"/>
    <w:rsid w:val="006F4590"/>
    <w:rsid w:val="0070505F"/>
    <w:rsid w:val="007105B1"/>
    <w:rsid w:val="007119B4"/>
    <w:rsid w:val="0071369A"/>
    <w:rsid w:val="0072665A"/>
    <w:rsid w:val="00737769"/>
    <w:rsid w:val="00742583"/>
    <w:rsid w:val="00743E18"/>
    <w:rsid w:val="00747553"/>
    <w:rsid w:val="0075076D"/>
    <w:rsid w:val="00751E45"/>
    <w:rsid w:val="00754E86"/>
    <w:rsid w:val="00765BA1"/>
    <w:rsid w:val="0077507E"/>
    <w:rsid w:val="007937D3"/>
    <w:rsid w:val="00796F4B"/>
    <w:rsid w:val="007A40D4"/>
    <w:rsid w:val="007A6DE3"/>
    <w:rsid w:val="007A74A3"/>
    <w:rsid w:val="007A795E"/>
    <w:rsid w:val="007A7EF9"/>
    <w:rsid w:val="007B40B5"/>
    <w:rsid w:val="007B6398"/>
    <w:rsid w:val="007C3A4D"/>
    <w:rsid w:val="007C4511"/>
    <w:rsid w:val="007D01A9"/>
    <w:rsid w:val="007D09A6"/>
    <w:rsid w:val="007D3E87"/>
    <w:rsid w:val="007D544E"/>
    <w:rsid w:val="007E2219"/>
    <w:rsid w:val="007E493D"/>
    <w:rsid w:val="007E6C13"/>
    <w:rsid w:val="007E7BC2"/>
    <w:rsid w:val="007F0DC8"/>
    <w:rsid w:val="007F462F"/>
    <w:rsid w:val="00800A6B"/>
    <w:rsid w:val="00804CDF"/>
    <w:rsid w:val="008103E4"/>
    <w:rsid w:val="0081197F"/>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90A57"/>
    <w:rsid w:val="00892EAA"/>
    <w:rsid w:val="008A0A47"/>
    <w:rsid w:val="008A2713"/>
    <w:rsid w:val="008A35A7"/>
    <w:rsid w:val="008A45E4"/>
    <w:rsid w:val="008A5BC6"/>
    <w:rsid w:val="008A76B4"/>
    <w:rsid w:val="008C3F60"/>
    <w:rsid w:val="008D3155"/>
    <w:rsid w:val="008E0200"/>
    <w:rsid w:val="008E77DF"/>
    <w:rsid w:val="008F3931"/>
    <w:rsid w:val="008F6E74"/>
    <w:rsid w:val="008F7A01"/>
    <w:rsid w:val="00904869"/>
    <w:rsid w:val="009055A6"/>
    <w:rsid w:val="0091276F"/>
    <w:rsid w:val="00922C46"/>
    <w:rsid w:val="00930F4B"/>
    <w:rsid w:val="00934412"/>
    <w:rsid w:val="009366BC"/>
    <w:rsid w:val="009373A5"/>
    <w:rsid w:val="00945166"/>
    <w:rsid w:val="00945390"/>
    <w:rsid w:val="00946AEE"/>
    <w:rsid w:val="00946E37"/>
    <w:rsid w:val="0095196D"/>
    <w:rsid w:val="00953816"/>
    <w:rsid w:val="00954DB7"/>
    <w:rsid w:val="00954E28"/>
    <w:rsid w:val="00955166"/>
    <w:rsid w:val="00972518"/>
    <w:rsid w:val="00975878"/>
    <w:rsid w:val="00976E12"/>
    <w:rsid w:val="009920E0"/>
    <w:rsid w:val="009A26DF"/>
    <w:rsid w:val="009A2DAA"/>
    <w:rsid w:val="009A4D7E"/>
    <w:rsid w:val="009A55A7"/>
    <w:rsid w:val="009A610C"/>
    <w:rsid w:val="009B1B04"/>
    <w:rsid w:val="009C2006"/>
    <w:rsid w:val="009C412C"/>
    <w:rsid w:val="009E49FE"/>
    <w:rsid w:val="009E6F0C"/>
    <w:rsid w:val="009F0721"/>
    <w:rsid w:val="009F2E2E"/>
    <w:rsid w:val="009F321F"/>
    <w:rsid w:val="00A040D3"/>
    <w:rsid w:val="00A2043B"/>
    <w:rsid w:val="00A31DD2"/>
    <w:rsid w:val="00A402FE"/>
    <w:rsid w:val="00A47217"/>
    <w:rsid w:val="00A55DD3"/>
    <w:rsid w:val="00A61E60"/>
    <w:rsid w:val="00A634B5"/>
    <w:rsid w:val="00A726C8"/>
    <w:rsid w:val="00A73B72"/>
    <w:rsid w:val="00A745AE"/>
    <w:rsid w:val="00A774E3"/>
    <w:rsid w:val="00A8574B"/>
    <w:rsid w:val="00A9086B"/>
    <w:rsid w:val="00A938FB"/>
    <w:rsid w:val="00A95D47"/>
    <w:rsid w:val="00AA1E96"/>
    <w:rsid w:val="00AA20C9"/>
    <w:rsid w:val="00AA2ED4"/>
    <w:rsid w:val="00AA3E66"/>
    <w:rsid w:val="00AA4BA2"/>
    <w:rsid w:val="00AC036F"/>
    <w:rsid w:val="00AE2899"/>
    <w:rsid w:val="00B0687F"/>
    <w:rsid w:val="00B06EB1"/>
    <w:rsid w:val="00B07EE5"/>
    <w:rsid w:val="00B07FCC"/>
    <w:rsid w:val="00B10EED"/>
    <w:rsid w:val="00B174B1"/>
    <w:rsid w:val="00B20483"/>
    <w:rsid w:val="00B30FD8"/>
    <w:rsid w:val="00B358E3"/>
    <w:rsid w:val="00B36369"/>
    <w:rsid w:val="00B3712F"/>
    <w:rsid w:val="00B4374B"/>
    <w:rsid w:val="00B500C4"/>
    <w:rsid w:val="00B502D2"/>
    <w:rsid w:val="00B527F3"/>
    <w:rsid w:val="00B53214"/>
    <w:rsid w:val="00B53D8C"/>
    <w:rsid w:val="00B54AB5"/>
    <w:rsid w:val="00B708DF"/>
    <w:rsid w:val="00B71810"/>
    <w:rsid w:val="00B7736F"/>
    <w:rsid w:val="00B77F17"/>
    <w:rsid w:val="00B80027"/>
    <w:rsid w:val="00B968D6"/>
    <w:rsid w:val="00B97984"/>
    <w:rsid w:val="00BA6FE4"/>
    <w:rsid w:val="00BB000A"/>
    <w:rsid w:val="00BB1045"/>
    <w:rsid w:val="00BB6621"/>
    <w:rsid w:val="00BB766A"/>
    <w:rsid w:val="00BC03AA"/>
    <w:rsid w:val="00BC154E"/>
    <w:rsid w:val="00BC3C4E"/>
    <w:rsid w:val="00BD5EFD"/>
    <w:rsid w:val="00BE21E7"/>
    <w:rsid w:val="00BE36C6"/>
    <w:rsid w:val="00BF3A72"/>
    <w:rsid w:val="00C019A2"/>
    <w:rsid w:val="00C026FD"/>
    <w:rsid w:val="00C030B8"/>
    <w:rsid w:val="00C03549"/>
    <w:rsid w:val="00C0583F"/>
    <w:rsid w:val="00C117D9"/>
    <w:rsid w:val="00C162D3"/>
    <w:rsid w:val="00C20A53"/>
    <w:rsid w:val="00C213E7"/>
    <w:rsid w:val="00C23C54"/>
    <w:rsid w:val="00C26DE3"/>
    <w:rsid w:val="00C43FEC"/>
    <w:rsid w:val="00C55E1F"/>
    <w:rsid w:val="00C579DD"/>
    <w:rsid w:val="00C608F0"/>
    <w:rsid w:val="00C61CF4"/>
    <w:rsid w:val="00C62BDA"/>
    <w:rsid w:val="00C74C46"/>
    <w:rsid w:val="00C74E30"/>
    <w:rsid w:val="00C86BD0"/>
    <w:rsid w:val="00C90090"/>
    <w:rsid w:val="00C90C2A"/>
    <w:rsid w:val="00C923ED"/>
    <w:rsid w:val="00C92781"/>
    <w:rsid w:val="00C95537"/>
    <w:rsid w:val="00C97820"/>
    <w:rsid w:val="00CA4C19"/>
    <w:rsid w:val="00CA52FC"/>
    <w:rsid w:val="00CB1427"/>
    <w:rsid w:val="00CB687A"/>
    <w:rsid w:val="00CB6E42"/>
    <w:rsid w:val="00CC1C97"/>
    <w:rsid w:val="00CD0757"/>
    <w:rsid w:val="00CD172A"/>
    <w:rsid w:val="00CF4DB1"/>
    <w:rsid w:val="00D007A9"/>
    <w:rsid w:val="00D10D71"/>
    <w:rsid w:val="00D118D9"/>
    <w:rsid w:val="00D13452"/>
    <w:rsid w:val="00D150B6"/>
    <w:rsid w:val="00D15846"/>
    <w:rsid w:val="00D21307"/>
    <w:rsid w:val="00D22C98"/>
    <w:rsid w:val="00D244AB"/>
    <w:rsid w:val="00D26E33"/>
    <w:rsid w:val="00D2745E"/>
    <w:rsid w:val="00D36CB0"/>
    <w:rsid w:val="00D43991"/>
    <w:rsid w:val="00D47735"/>
    <w:rsid w:val="00D51E9F"/>
    <w:rsid w:val="00D5554F"/>
    <w:rsid w:val="00D60043"/>
    <w:rsid w:val="00D61105"/>
    <w:rsid w:val="00D61654"/>
    <w:rsid w:val="00D70A5F"/>
    <w:rsid w:val="00D753BA"/>
    <w:rsid w:val="00D7657F"/>
    <w:rsid w:val="00D77B2C"/>
    <w:rsid w:val="00D81DE9"/>
    <w:rsid w:val="00D83854"/>
    <w:rsid w:val="00D83B3A"/>
    <w:rsid w:val="00DB3BCC"/>
    <w:rsid w:val="00DB55EE"/>
    <w:rsid w:val="00DC7D94"/>
    <w:rsid w:val="00DD3971"/>
    <w:rsid w:val="00DD5899"/>
    <w:rsid w:val="00DE03DF"/>
    <w:rsid w:val="00DF0891"/>
    <w:rsid w:val="00DF4581"/>
    <w:rsid w:val="00E00851"/>
    <w:rsid w:val="00E04B65"/>
    <w:rsid w:val="00E24BB0"/>
    <w:rsid w:val="00E263B2"/>
    <w:rsid w:val="00E273CB"/>
    <w:rsid w:val="00E31282"/>
    <w:rsid w:val="00E35276"/>
    <w:rsid w:val="00E469CC"/>
    <w:rsid w:val="00E47BE6"/>
    <w:rsid w:val="00E502AC"/>
    <w:rsid w:val="00E62431"/>
    <w:rsid w:val="00E65C27"/>
    <w:rsid w:val="00E67E92"/>
    <w:rsid w:val="00E700D9"/>
    <w:rsid w:val="00E74A1D"/>
    <w:rsid w:val="00E81931"/>
    <w:rsid w:val="00E86EAC"/>
    <w:rsid w:val="00E94F2D"/>
    <w:rsid w:val="00EA06F1"/>
    <w:rsid w:val="00EA44DF"/>
    <w:rsid w:val="00EA4963"/>
    <w:rsid w:val="00EA66E0"/>
    <w:rsid w:val="00EA7203"/>
    <w:rsid w:val="00EB2665"/>
    <w:rsid w:val="00EC62F1"/>
    <w:rsid w:val="00EE7C43"/>
    <w:rsid w:val="00F105DA"/>
    <w:rsid w:val="00F134B6"/>
    <w:rsid w:val="00F155E9"/>
    <w:rsid w:val="00F22C09"/>
    <w:rsid w:val="00F23840"/>
    <w:rsid w:val="00F23E30"/>
    <w:rsid w:val="00F243FF"/>
    <w:rsid w:val="00F34816"/>
    <w:rsid w:val="00F34D22"/>
    <w:rsid w:val="00F4206A"/>
    <w:rsid w:val="00F46162"/>
    <w:rsid w:val="00F54F39"/>
    <w:rsid w:val="00F55612"/>
    <w:rsid w:val="00F62AEF"/>
    <w:rsid w:val="00F63D5B"/>
    <w:rsid w:val="00F67CA5"/>
    <w:rsid w:val="00F743C5"/>
    <w:rsid w:val="00F7443D"/>
    <w:rsid w:val="00F76008"/>
    <w:rsid w:val="00F83CE7"/>
    <w:rsid w:val="00F90B35"/>
    <w:rsid w:val="00F92D8E"/>
    <w:rsid w:val="00FA2BB9"/>
    <w:rsid w:val="00FA5D11"/>
    <w:rsid w:val="00FB6544"/>
    <w:rsid w:val="00FC09A4"/>
    <w:rsid w:val="00FD413F"/>
    <w:rsid w:val="00FD6B49"/>
    <w:rsid w:val="00FD76EC"/>
    <w:rsid w:val="00FE2C77"/>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5D3CE0-E5B6-4B8D-9215-F8E0405E30F5}"/>
</file>

<file path=customXml/itemProps2.xml><?xml version="1.0" encoding="utf-8"?>
<ds:datastoreItem xmlns:ds="http://schemas.openxmlformats.org/officeDocument/2006/customXml" ds:itemID="{EDC7F3CE-C757-4098-A0C7-0C19366AB5B9}"/>
</file>

<file path=customXml/itemProps3.xml><?xml version="1.0" encoding="utf-8"?>
<ds:datastoreItem xmlns:ds="http://schemas.openxmlformats.org/officeDocument/2006/customXml" ds:itemID="{30E7A9A0-2CC8-4E05-AF7B-7252B0D5692C}"/>
</file>

<file path=customXml/itemProps4.xml><?xml version="1.0" encoding="utf-8"?>
<ds:datastoreItem xmlns:ds="http://schemas.openxmlformats.org/officeDocument/2006/customXml" ds:itemID="{8A251E03-791B-4D9B-86A2-216AA64522B4}"/>
</file>

<file path=customXml/itemProps5.xml><?xml version="1.0" encoding="utf-8"?>
<ds:datastoreItem xmlns:ds="http://schemas.openxmlformats.org/officeDocument/2006/customXml" ds:itemID="{519780AB-B913-423C-9080-F4305AED9E6E}"/>
</file>

<file path=docProps/app.xml><?xml version="1.0" encoding="utf-8"?>
<Properties xmlns="http://schemas.openxmlformats.org/officeDocument/2006/extended-properties" xmlns:vt="http://schemas.openxmlformats.org/officeDocument/2006/docPropsVTypes">
  <Template>Normal.dotm</Template>
  <TotalTime>566</TotalTime>
  <Pages>19</Pages>
  <Words>4558</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WDM1148</cp:lastModifiedBy>
  <cp:revision>18</cp:revision>
  <cp:lastPrinted>2014-01-28T21:54:00Z</cp:lastPrinted>
  <dcterms:created xsi:type="dcterms:W3CDTF">2014-01-15T23:18:00Z</dcterms:created>
  <dcterms:modified xsi:type="dcterms:W3CDTF">2014-01-28T21:59:00Z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